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6F7B8E">
      <w:pPr>
        <w:pStyle w:val="77"/>
        <w:spacing w:before="0" w:beforeAutospacing="0" w:after="0" w:afterAutospacing="0" w:line="240" w:lineRule="auto"/>
        <w:jc w:val="center"/>
        <w:outlineLvl w:val="0"/>
        <w:rPr>
          <w:rFonts w:hint="eastAsia" w:eastAsia="宋体"/>
          <w:lang w:eastAsia="zh-CN"/>
        </w:rPr>
      </w:pPr>
      <w:r>
        <w:drawing>
          <wp:inline distT="0" distB="0" distL="114300" distR="114300">
            <wp:extent cx="5615305" cy="7855585"/>
            <wp:effectExtent l="0" t="0" r="4445" b="12065"/>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9"/>
                    <a:stretch>
                      <a:fillRect/>
                    </a:stretch>
                  </pic:blipFill>
                  <pic:spPr>
                    <a:xfrm>
                      <a:off x="0" y="0"/>
                      <a:ext cx="5615305" cy="7855585"/>
                    </a:xfrm>
                    <a:prstGeom prst="rect">
                      <a:avLst/>
                    </a:prstGeom>
                    <a:noFill/>
                    <a:ln>
                      <a:noFill/>
                    </a:ln>
                  </pic:spPr>
                </pic:pic>
              </a:graphicData>
            </a:graphic>
          </wp:inline>
        </w:drawing>
      </w:r>
      <w:r>
        <w:rPr>
          <w:rFonts w:hint="eastAsia" w:eastAsia="宋体"/>
          <w:lang w:eastAsia="zh-CN"/>
        </w:rPr>
        <w:drawing>
          <wp:inline distT="0" distB="0" distL="114300" distR="114300">
            <wp:extent cx="5608320" cy="7641590"/>
            <wp:effectExtent l="0" t="0" r="11430" b="16510"/>
            <wp:docPr id="2" name="图片 2" descr="7b3061be4f66511b8edb4e8a62fb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b3061be4f66511b8edb4e8a62fb8932"/>
                    <pic:cNvPicPr>
                      <a:picLocks noChangeAspect="1"/>
                    </pic:cNvPicPr>
                  </pic:nvPicPr>
                  <pic:blipFill>
                    <a:blip r:embed="rId10"/>
                    <a:stretch>
                      <a:fillRect/>
                    </a:stretch>
                  </pic:blipFill>
                  <pic:spPr>
                    <a:xfrm>
                      <a:off x="0" y="0"/>
                      <a:ext cx="5608320" cy="7641590"/>
                    </a:xfrm>
                    <a:prstGeom prst="rect">
                      <a:avLst/>
                    </a:prstGeom>
                  </pic:spPr>
                </pic:pic>
              </a:graphicData>
            </a:graphic>
          </wp:inline>
        </w:drawing>
      </w:r>
      <w:r>
        <w:rPr>
          <w:rFonts w:hint="eastAsia" w:eastAsia="宋体"/>
          <w:lang w:eastAsia="zh-CN"/>
        </w:rPr>
        <w:drawing>
          <wp:inline distT="0" distB="0" distL="114300" distR="114300">
            <wp:extent cx="5603875" cy="7510145"/>
            <wp:effectExtent l="0" t="0" r="15875" b="14605"/>
            <wp:docPr id="3" name="图片 3" descr="ad8b929aee0897dbaea763a69159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d8b929aee0897dbaea763a691598072"/>
                    <pic:cNvPicPr>
                      <a:picLocks noChangeAspect="1"/>
                    </pic:cNvPicPr>
                  </pic:nvPicPr>
                  <pic:blipFill>
                    <a:blip r:embed="rId11"/>
                    <a:stretch>
                      <a:fillRect/>
                    </a:stretch>
                  </pic:blipFill>
                  <pic:spPr>
                    <a:xfrm>
                      <a:off x="0" y="0"/>
                      <a:ext cx="5603875" cy="7510145"/>
                    </a:xfrm>
                    <a:prstGeom prst="rect">
                      <a:avLst/>
                    </a:prstGeom>
                  </pic:spPr>
                </pic:pic>
              </a:graphicData>
            </a:graphic>
          </wp:inline>
        </w:drawing>
      </w:r>
    </w:p>
    <w:p w14:paraId="24FB20FC">
      <w:pPr>
        <w:pStyle w:val="77"/>
        <w:spacing w:before="0" w:beforeAutospacing="0" w:after="0" w:afterAutospacing="0" w:line="240" w:lineRule="auto"/>
        <w:jc w:val="center"/>
        <w:outlineLvl w:val="0"/>
      </w:pPr>
    </w:p>
    <w:p w14:paraId="34097EC7">
      <w:pPr>
        <w:pStyle w:val="77"/>
        <w:spacing w:before="0" w:beforeAutospacing="0" w:after="0" w:afterAutospacing="0" w:line="240" w:lineRule="auto"/>
        <w:jc w:val="center"/>
        <w:outlineLvl w:val="0"/>
      </w:pPr>
    </w:p>
    <w:p w14:paraId="56D38E99">
      <w:pPr>
        <w:pStyle w:val="77"/>
        <w:spacing w:before="0" w:beforeAutospacing="0" w:after="0" w:afterAutospacing="0" w:line="240" w:lineRule="auto"/>
        <w:jc w:val="center"/>
        <w:outlineLvl w:val="0"/>
      </w:pPr>
    </w:p>
    <w:p w14:paraId="08A88EA1">
      <w:pPr>
        <w:pStyle w:val="77"/>
        <w:spacing w:before="0" w:beforeAutospacing="0" w:after="0" w:afterAutospacing="0" w:line="240" w:lineRule="auto"/>
        <w:jc w:val="center"/>
        <w:outlineLvl w:val="0"/>
      </w:pPr>
    </w:p>
    <w:p w14:paraId="1742C3F2">
      <w:pPr>
        <w:pStyle w:val="77"/>
        <w:spacing w:before="0" w:beforeAutospacing="0" w:after="0" w:afterAutospacing="0" w:line="240" w:lineRule="auto"/>
        <w:jc w:val="center"/>
        <w:outlineLvl w:val="0"/>
      </w:pPr>
    </w:p>
    <w:p w14:paraId="5D710BEE">
      <w:pPr>
        <w:pStyle w:val="77"/>
        <w:spacing w:before="0" w:beforeAutospacing="0" w:after="0" w:afterAutospacing="0" w:line="240" w:lineRule="auto"/>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一、建设项目基本情况</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492"/>
        <w:gridCol w:w="1472"/>
        <w:gridCol w:w="2275"/>
        <w:gridCol w:w="2041"/>
        <w:gridCol w:w="2590"/>
      </w:tblGrid>
      <w:tr w14:paraId="08D77C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36A4758F">
            <w:pPr>
              <w:adjustRightInd w:val="0"/>
              <w:snapToGrid w:val="0"/>
              <w:spacing w:line="420" w:lineRule="exact"/>
              <w:jc w:val="center"/>
              <w:rPr>
                <w:color w:val="auto"/>
              </w:rPr>
            </w:pPr>
            <w:r>
              <w:rPr>
                <w:color w:val="auto"/>
              </w:rPr>
              <w:t>建设项目名称</w:t>
            </w:r>
          </w:p>
        </w:tc>
        <w:tc>
          <w:tcPr>
            <w:tcW w:w="6906" w:type="dxa"/>
            <w:gridSpan w:val="3"/>
            <w:vAlign w:val="center"/>
          </w:tcPr>
          <w:p w14:paraId="2D029AA0">
            <w:pPr>
              <w:adjustRightInd w:val="0"/>
              <w:snapToGrid w:val="0"/>
              <w:spacing w:line="420" w:lineRule="exact"/>
              <w:jc w:val="center"/>
              <w:rPr>
                <w:rFonts w:hint="eastAsia" w:eastAsia="宋体"/>
                <w:color w:val="auto"/>
                <w:lang w:eastAsia="zh-CN"/>
              </w:rPr>
            </w:pPr>
            <w:r>
              <w:rPr>
                <w:rFonts w:hint="eastAsia"/>
                <w:color w:val="auto"/>
                <w:lang w:eastAsia="zh-CN"/>
              </w:rPr>
              <w:t>淄博奥腾达新材料有限公司超硬材料磨具项目</w:t>
            </w:r>
          </w:p>
        </w:tc>
      </w:tr>
      <w:tr w14:paraId="21BC9A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4FE11218">
            <w:pPr>
              <w:adjustRightInd w:val="0"/>
              <w:snapToGrid w:val="0"/>
              <w:spacing w:line="420" w:lineRule="exact"/>
              <w:jc w:val="center"/>
              <w:rPr>
                <w:color w:val="auto"/>
              </w:rPr>
            </w:pPr>
            <w:r>
              <w:rPr>
                <w:color w:val="auto"/>
              </w:rPr>
              <w:t>项目代码</w:t>
            </w:r>
          </w:p>
        </w:tc>
        <w:tc>
          <w:tcPr>
            <w:tcW w:w="6906" w:type="dxa"/>
            <w:gridSpan w:val="3"/>
            <w:vAlign w:val="center"/>
          </w:tcPr>
          <w:p w14:paraId="49CCEA58">
            <w:pPr>
              <w:adjustRightInd w:val="0"/>
              <w:snapToGrid w:val="0"/>
              <w:spacing w:line="420" w:lineRule="exact"/>
              <w:jc w:val="center"/>
              <w:rPr>
                <w:rFonts w:hint="eastAsia" w:eastAsia="宋体"/>
                <w:color w:val="auto"/>
                <w:lang w:eastAsia="zh-CN"/>
              </w:rPr>
            </w:pPr>
            <w:r>
              <w:rPr>
                <w:rFonts w:hint="eastAsia"/>
                <w:color w:val="auto"/>
                <w:lang w:eastAsia="zh-CN"/>
              </w:rPr>
              <w:t>2601-370302-89-01-821346</w:t>
            </w:r>
          </w:p>
        </w:tc>
      </w:tr>
      <w:tr w14:paraId="43C32F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6A953C3A">
            <w:pPr>
              <w:adjustRightInd w:val="0"/>
              <w:snapToGrid w:val="0"/>
              <w:spacing w:line="420" w:lineRule="exact"/>
              <w:jc w:val="center"/>
              <w:rPr>
                <w:color w:val="auto"/>
              </w:rPr>
            </w:pPr>
            <w:r>
              <w:rPr>
                <w:color w:val="auto"/>
              </w:rPr>
              <w:t>建设单位联系人</w:t>
            </w:r>
          </w:p>
        </w:tc>
        <w:tc>
          <w:tcPr>
            <w:tcW w:w="2275" w:type="dxa"/>
            <w:vAlign w:val="center"/>
          </w:tcPr>
          <w:p w14:paraId="0201576D">
            <w:pPr>
              <w:adjustRightInd w:val="0"/>
              <w:snapToGrid w:val="0"/>
              <w:spacing w:line="420" w:lineRule="exact"/>
              <w:jc w:val="center"/>
              <w:rPr>
                <w:rFonts w:hint="eastAsia" w:eastAsia="宋体"/>
                <w:color w:val="auto"/>
                <w:lang w:eastAsia="zh-CN"/>
              </w:rPr>
            </w:pPr>
          </w:p>
        </w:tc>
        <w:tc>
          <w:tcPr>
            <w:tcW w:w="2041" w:type="dxa"/>
            <w:vAlign w:val="center"/>
          </w:tcPr>
          <w:p w14:paraId="1D7067B9">
            <w:pPr>
              <w:adjustRightInd w:val="0"/>
              <w:snapToGrid w:val="0"/>
              <w:spacing w:line="420" w:lineRule="exact"/>
              <w:jc w:val="center"/>
              <w:rPr>
                <w:color w:val="auto"/>
              </w:rPr>
            </w:pPr>
            <w:r>
              <w:rPr>
                <w:color w:val="auto"/>
              </w:rPr>
              <w:t>联系方式</w:t>
            </w:r>
          </w:p>
        </w:tc>
        <w:tc>
          <w:tcPr>
            <w:tcW w:w="2590" w:type="dxa"/>
            <w:vAlign w:val="center"/>
          </w:tcPr>
          <w:p w14:paraId="73EBB3CE">
            <w:pPr>
              <w:adjustRightInd w:val="0"/>
              <w:snapToGrid w:val="0"/>
              <w:spacing w:line="420" w:lineRule="exact"/>
              <w:jc w:val="center"/>
              <w:rPr>
                <w:rFonts w:hint="default" w:eastAsia="宋体"/>
                <w:color w:val="auto"/>
                <w:lang w:val="en-US" w:eastAsia="zh-CN"/>
              </w:rPr>
            </w:pPr>
          </w:p>
        </w:tc>
      </w:tr>
      <w:tr w14:paraId="65A6B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08C8B992">
            <w:pPr>
              <w:adjustRightInd w:val="0"/>
              <w:snapToGrid w:val="0"/>
              <w:spacing w:line="420" w:lineRule="exact"/>
              <w:jc w:val="center"/>
              <w:rPr>
                <w:color w:val="auto"/>
              </w:rPr>
            </w:pPr>
            <w:r>
              <w:rPr>
                <w:color w:val="auto"/>
              </w:rPr>
              <w:t>建设地点</w:t>
            </w:r>
          </w:p>
        </w:tc>
        <w:tc>
          <w:tcPr>
            <w:tcW w:w="6906" w:type="dxa"/>
            <w:gridSpan w:val="3"/>
            <w:vAlign w:val="center"/>
          </w:tcPr>
          <w:p w14:paraId="16663AC5">
            <w:pPr>
              <w:adjustRightInd w:val="0"/>
              <w:snapToGrid w:val="0"/>
              <w:spacing w:line="420" w:lineRule="exact"/>
              <w:jc w:val="center"/>
              <w:rPr>
                <w:rFonts w:hint="eastAsia" w:eastAsia="宋体"/>
                <w:color w:val="auto"/>
                <w:lang w:eastAsia="zh-CN"/>
              </w:rPr>
            </w:pPr>
            <w:r>
              <w:rPr>
                <w:rFonts w:hint="eastAsia"/>
                <w:color w:val="auto"/>
                <w:lang w:eastAsia="zh-CN"/>
              </w:rPr>
              <w:t>淄博市淄川区龙泉镇和庄村北450m</w:t>
            </w:r>
          </w:p>
        </w:tc>
      </w:tr>
      <w:tr w14:paraId="0FF649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29A021CA">
            <w:pPr>
              <w:adjustRightInd w:val="0"/>
              <w:snapToGrid w:val="0"/>
              <w:spacing w:line="420" w:lineRule="exact"/>
              <w:jc w:val="center"/>
              <w:rPr>
                <w:color w:val="auto"/>
              </w:rPr>
            </w:pPr>
            <w:r>
              <w:rPr>
                <w:color w:val="auto"/>
              </w:rPr>
              <w:t>地理坐标</w:t>
            </w:r>
          </w:p>
        </w:tc>
        <w:tc>
          <w:tcPr>
            <w:tcW w:w="6906" w:type="dxa"/>
            <w:gridSpan w:val="3"/>
            <w:vAlign w:val="center"/>
          </w:tcPr>
          <w:p w14:paraId="6FDF742F">
            <w:pPr>
              <w:spacing w:line="420" w:lineRule="exact"/>
              <w:jc w:val="center"/>
              <w:rPr>
                <w:color w:val="auto"/>
              </w:rPr>
            </w:pPr>
            <w:r>
              <w:rPr>
                <w:color w:val="auto"/>
              </w:rPr>
              <w:t>（</w:t>
            </w:r>
            <w:bookmarkStart w:id="0" w:name="_Hlk71440774"/>
            <w:r>
              <w:rPr>
                <w:rFonts w:hint="eastAsia"/>
                <w:color w:val="auto"/>
                <w:lang w:val="en-US" w:eastAsia="zh-CN"/>
              </w:rPr>
              <w:t>北纬</w:t>
            </w:r>
            <w:r>
              <w:rPr>
                <w:color w:val="auto"/>
                <w:u w:val="single"/>
              </w:rPr>
              <w:t>36</w:t>
            </w:r>
            <w:r>
              <w:rPr>
                <w:color w:val="auto"/>
              </w:rPr>
              <w:t>度</w:t>
            </w:r>
            <w:r>
              <w:rPr>
                <w:color w:val="auto"/>
                <w:u w:val="single"/>
              </w:rPr>
              <w:t>3</w:t>
            </w:r>
            <w:r>
              <w:rPr>
                <w:rFonts w:hint="eastAsia"/>
                <w:color w:val="auto"/>
                <w:u w:val="single"/>
                <w:lang w:val="en-US" w:eastAsia="zh-CN"/>
              </w:rPr>
              <w:t>5</w:t>
            </w:r>
            <w:r>
              <w:rPr>
                <w:color w:val="auto"/>
              </w:rPr>
              <w:t>分</w:t>
            </w:r>
            <w:r>
              <w:rPr>
                <w:rFonts w:hint="eastAsia"/>
                <w:color w:val="auto"/>
                <w:u w:val="single"/>
                <w:lang w:val="en-US" w:eastAsia="zh-CN"/>
              </w:rPr>
              <w:t>39.752</w:t>
            </w:r>
            <w:r>
              <w:rPr>
                <w:color w:val="auto"/>
              </w:rPr>
              <w:t>秒，</w:t>
            </w:r>
            <w:r>
              <w:rPr>
                <w:rFonts w:hint="eastAsia"/>
                <w:color w:val="auto"/>
                <w:lang w:val="en-US" w:eastAsia="zh-CN"/>
              </w:rPr>
              <w:t>东经</w:t>
            </w:r>
            <w:r>
              <w:rPr>
                <w:color w:val="auto"/>
                <w:u w:val="single"/>
              </w:rPr>
              <w:t>117</w:t>
            </w:r>
            <w:r>
              <w:rPr>
                <w:color w:val="auto"/>
              </w:rPr>
              <w:t>度</w:t>
            </w:r>
            <w:r>
              <w:rPr>
                <w:color w:val="auto"/>
                <w:u w:val="single"/>
              </w:rPr>
              <w:t>5</w:t>
            </w:r>
            <w:r>
              <w:rPr>
                <w:rFonts w:hint="eastAsia"/>
                <w:color w:val="auto"/>
                <w:u w:val="single"/>
                <w:lang w:val="en-US" w:eastAsia="zh-CN"/>
              </w:rPr>
              <w:t>7</w:t>
            </w:r>
            <w:r>
              <w:rPr>
                <w:color w:val="auto"/>
              </w:rPr>
              <w:t>分</w:t>
            </w:r>
            <w:r>
              <w:rPr>
                <w:rFonts w:hint="eastAsia"/>
                <w:color w:val="auto"/>
                <w:u w:val="single"/>
                <w:lang w:val="en-US" w:eastAsia="zh-CN"/>
              </w:rPr>
              <w:t>43.572</w:t>
            </w:r>
            <w:r>
              <w:rPr>
                <w:color w:val="auto"/>
              </w:rPr>
              <w:t>秒</w:t>
            </w:r>
            <w:bookmarkEnd w:id="0"/>
            <w:r>
              <w:rPr>
                <w:color w:val="auto"/>
              </w:rPr>
              <w:t>）</w:t>
            </w:r>
          </w:p>
        </w:tc>
      </w:tr>
      <w:tr w14:paraId="04BE4B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64" w:type="dxa"/>
            <w:gridSpan w:val="2"/>
            <w:tcMar>
              <w:top w:w="16" w:type="dxa"/>
              <w:left w:w="16" w:type="dxa"/>
              <w:right w:w="16" w:type="dxa"/>
            </w:tcMar>
            <w:vAlign w:val="center"/>
          </w:tcPr>
          <w:p w14:paraId="7DF9219E">
            <w:pPr>
              <w:adjustRightInd w:val="0"/>
              <w:snapToGrid w:val="0"/>
              <w:spacing w:line="420" w:lineRule="exact"/>
              <w:jc w:val="center"/>
              <w:rPr>
                <w:color w:val="auto"/>
              </w:rPr>
            </w:pPr>
            <w:r>
              <w:rPr>
                <w:color w:val="auto"/>
              </w:rPr>
              <w:t>国民经济</w:t>
            </w:r>
          </w:p>
          <w:p w14:paraId="02975427">
            <w:pPr>
              <w:adjustRightInd w:val="0"/>
              <w:snapToGrid w:val="0"/>
              <w:spacing w:line="420" w:lineRule="exact"/>
              <w:jc w:val="center"/>
              <w:rPr>
                <w:color w:val="auto"/>
              </w:rPr>
            </w:pPr>
            <w:r>
              <w:rPr>
                <w:color w:val="auto"/>
              </w:rPr>
              <w:t>行业类别</w:t>
            </w:r>
          </w:p>
        </w:tc>
        <w:tc>
          <w:tcPr>
            <w:tcW w:w="2275" w:type="dxa"/>
            <w:vAlign w:val="center"/>
          </w:tcPr>
          <w:p w14:paraId="147B1A6A">
            <w:pPr>
              <w:adjustRightInd w:val="0"/>
              <w:snapToGrid w:val="0"/>
              <w:jc w:val="center"/>
              <w:rPr>
                <w:rFonts w:hint="eastAsia" w:eastAsia="宋体"/>
                <w:color w:val="auto"/>
                <w:lang w:eastAsia="zh-CN"/>
              </w:rPr>
            </w:pPr>
            <w:r>
              <w:rPr>
                <w:rFonts w:hint="eastAsia"/>
                <w:color w:val="auto"/>
                <w:lang w:eastAsia="zh-CN"/>
              </w:rPr>
              <w:t>C3099其他非金属矿物制品制造</w:t>
            </w:r>
          </w:p>
        </w:tc>
        <w:tc>
          <w:tcPr>
            <w:tcW w:w="2041" w:type="dxa"/>
            <w:vAlign w:val="center"/>
          </w:tcPr>
          <w:p w14:paraId="4501B374">
            <w:pPr>
              <w:adjustRightInd w:val="0"/>
              <w:snapToGrid w:val="0"/>
              <w:spacing w:line="420" w:lineRule="exact"/>
              <w:jc w:val="center"/>
              <w:rPr>
                <w:color w:val="auto"/>
              </w:rPr>
            </w:pPr>
            <w:bookmarkStart w:id="1" w:name="_Hlk49843745"/>
            <w:r>
              <w:rPr>
                <w:color w:val="auto"/>
              </w:rPr>
              <w:t>建设项目</w:t>
            </w:r>
          </w:p>
          <w:p w14:paraId="640EF16E">
            <w:pPr>
              <w:adjustRightInd w:val="0"/>
              <w:snapToGrid w:val="0"/>
              <w:spacing w:line="420" w:lineRule="exact"/>
              <w:jc w:val="center"/>
              <w:rPr>
                <w:color w:val="auto"/>
              </w:rPr>
            </w:pPr>
            <w:r>
              <w:rPr>
                <w:color w:val="auto"/>
              </w:rPr>
              <w:t>行业类别</w:t>
            </w:r>
            <w:bookmarkEnd w:id="1"/>
          </w:p>
        </w:tc>
        <w:tc>
          <w:tcPr>
            <w:tcW w:w="2590" w:type="dxa"/>
            <w:vAlign w:val="center"/>
          </w:tcPr>
          <w:p w14:paraId="6B7F1D0C">
            <w:pPr>
              <w:adjustRightInd w:val="0"/>
              <w:snapToGrid w:val="0"/>
              <w:jc w:val="center"/>
              <w:rPr>
                <w:rFonts w:hint="default" w:eastAsia="宋体"/>
                <w:color w:val="auto"/>
                <w:lang w:val="en-US" w:eastAsia="zh-CN"/>
              </w:rPr>
            </w:pPr>
            <w:r>
              <w:rPr>
                <w:rFonts w:hint="eastAsia" w:ascii="Times New Roman" w:hAnsi="Times New Roman" w:eastAsia="宋体"/>
                <w:bCs/>
                <w:color w:val="auto"/>
                <w:sz w:val="21"/>
                <w:szCs w:val="21"/>
              </w:rPr>
              <w:t>二十七、非金属矿物制品业30；</w:t>
            </w:r>
            <w:r>
              <w:rPr>
                <w:rFonts w:ascii="Times New Roman" w:hAnsi="Times New Roman" w:eastAsia="宋体"/>
                <w:bCs/>
                <w:color w:val="auto"/>
                <w:sz w:val="21"/>
                <w:szCs w:val="21"/>
              </w:rPr>
              <w:t>60</w:t>
            </w:r>
            <w:r>
              <w:rPr>
                <w:rFonts w:hint="eastAsia" w:ascii="Times New Roman" w:hAnsi="Times New Roman" w:eastAsia="宋体"/>
                <w:bCs/>
                <w:color w:val="auto"/>
                <w:sz w:val="21"/>
                <w:szCs w:val="21"/>
              </w:rPr>
              <w:t>、耐火材料制品制造308；石墨及其他非金属矿物制品制造309；全部</w:t>
            </w:r>
          </w:p>
        </w:tc>
      </w:tr>
      <w:tr w14:paraId="679ED7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64" w:type="dxa"/>
            <w:gridSpan w:val="2"/>
            <w:tcMar>
              <w:top w:w="16" w:type="dxa"/>
              <w:left w:w="16" w:type="dxa"/>
              <w:right w:w="16" w:type="dxa"/>
            </w:tcMar>
            <w:vAlign w:val="center"/>
          </w:tcPr>
          <w:p w14:paraId="178317EF">
            <w:pPr>
              <w:adjustRightInd w:val="0"/>
              <w:snapToGrid w:val="0"/>
              <w:spacing w:line="420" w:lineRule="exact"/>
              <w:jc w:val="center"/>
              <w:rPr>
                <w:color w:val="auto"/>
              </w:rPr>
            </w:pPr>
            <w:r>
              <w:rPr>
                <w:color w:val="auto"/>
              </w:rPr>
              <w:t>建设性质</w:t>
            </w:r>
          </w:p>
        </w:tc>
        <w:tc>
          <w:tcPr>
            <w:tcW w:w="2275" w:type="dxa"/>
            <w:vAlign w:val="center"/>
          </w:tcPr>
          <w:p w14:paraId="28244191">
            <w:pPr>
              <w:spacing w:line="420" w:lineRule="exact"/>
              <w:jc w:val="left"/>
              <w:rPr>
                <w:rFonts w:hint="eastAsia" w:eastAsia="宋体"/>
                <w:color w:val="auto"/>
                <w:lang w:eastAsia="zh-CN"/>
              </w:rPr>
            </w:pPr>
            <w:r>
              <w:rPr>
                <w:rFonts w:hint="eastAsia"/>
                <w:color w:val="auto"/>
              </w:rPr>
              <w:t>√新建（迁建</w:t>
            </w:r>
            <w:r>
              <w:rPr>
                <w:rFonts w:hint="eastAsia"/>
                <w:color w:val="auto"/>
                <w:lang w:eastAsia="zh-CN"/>
              </w:rPr>
              <w:t>）</w:t>
            </w:r>
          </w:p>
          <w:p w14:paraId="66925D23">
            <w:pPr>
              <w:spacing w:line="420" w:lineRule="exact"/>
              <w:jc w:val="left"/>
              <w:rPr>
                <w:color w:val="auto"/>
              </w:rPr>
            </w:pPr>
            <w:r>
              <w:rPr>
                <w:rFonts w:hint="eastAsia"/>
                <w:color w:val="auto"/>
                <w:lang w:val="en-US" w:eastAsia="zh-CN"/>
              </w:rPr>
              <w:t>□</w:t>
            </w:r>
            <w:r>
              <w:rPr>
                <w:color w:val="auto"/>
              </w:rPr>
              <w:t>改建</w:t>
            </w:r>
          </w:p>
          <w:p w14:paraId="7380458D">
            <w:pPr>
              <w:spacing w:line="420" w:lineRule="exact"/>
              <w:jc w:val="left"/>
              <w:rPr>
                <w:color w:val="auto"/>
              </w:rPr>
            </w:pPr>
            <w:r>
              <w:rPr>
                <w:rFonts w:hint="eastAsia"/>
                <w:color w:val="auto"/>
                <w:lang w:val="en-US" w:eastAsia="zh-CN"/>
              </w:rPr>
              <w:t>□</w:t>
            </w:r>
            <w:r>
              <w:rPr>
                <w:color w:val="auto"/>
              </w:rPr>
              <w:t>扩建</w:t>
            </w:r>
          </w:p>
          <w:p w14:paraId="285FED25">
            <w:pPr>
              <w:spacing w:line="420" w:lineRule="exact"/>
              <w:jc w:val="left"/>
              <w:rPr>
                <w:color w:val="auto"/>
              </w:rPr>
            </w:pPr>
            <w:r>
              <w:rPr>
                <w:rFonts w:hint="eastAsia"/>
                <w:color w:val="auto"/>
                <w:lang w:val="en-US" w:eastAsia="zh-CN"/>
              </w:rPr>
              <w:t>□</w:t>
            </w:r>
            <w:r>
              <w:rPr>
                <w:color w:val="auto"/>
              </w:rPr>
              <w:t>技术改造</w:t>
            </w:r>
          </w:p>
        </w:tc>
        <w:tc>
          <w:tcPr>
            <w:tcW w:w="2041" w:type="dxa"/>
            <w:vAlign w:val="center"/>
          </w:tcPr>
          <w:p w14:paraId="038A2E84">
            <w:pPr>
              <w:adjustRightInd w:val="0"/>
              <w:snapToGrid w:val="0"/>
              <w:spacing w:line="420" w:lineRule="exact"/>
              <w:jc w:val="center"/>
              <w:rPr>
                <w:color w:val="auto"/>
              </w:rPr>
            </w:pPr>
            <w:r>
              <w:rPr>
                <w:color w:val="auto"/>
              </w:rPr>
              <w:t>建设项目</w:t>
            </w:r>
          </w:p>
          <w:p w14:paraId="4EFF4928">
            <w:pPr>
              <w:adjustRightInd w:val="0"/>
              <w:snapToGrid w:val="0"/>
              <w:spacing w:line="420" w:lineRule="exact"/>
              <w:jc w:val="center"/>
              <w:rPr>
                <w:color w:val="auto"/>
              </w:rPr>
            </w:pPr>
            <w:r>
              <w:rPr>
                <w:color w:val="auto"/>
              </w:rPr>
              <w:t>申报情形</w:t>
            </w:r>
          </w:p>
        </w:tc>
        <w:tc>
          <w:tcPr>
            <w:tcW w:w="2590" w:type="dxa"/>
            <w:vAlign w:val="center"/>
          </w:tcPr>
          <w:p w14:paraId="464B9F03">
            <w:pPr>
              <w:spacing w:line="420" w:lineRule="exact"/>
              <w:jc w:val="left"/>
              <w:rPr>
                <w:color w:val="auto"/>
              </w:rPr>
            </w:pPr>
            <w:r>
              <w:rPr>
                <w:rFonts w:hint="eastAsia"/>
                <w:color w:val="auto"/>
                <w:lang w:val="en-US" w:eastAsia="zh-CN"/>
              </w:rPr>
              <w:t>□</w:t>
            </w:r>
            <w:r>
              <w:rPr>
                <w:color w:val="auto"/>
              </w:rPr>
              <w:t xml:space="preserve">首次申报项目             </w:t>
            </w:r>
          </w:p>
          <w:p w14:paraId="081CF596">
            <w:pPr>
              <w:spacing w:line="420" w:lineRule="exact"/>
              <w:jc w:val="left"/>
              <w:rPr>
                <w:color w:val="auto"/>
              </w:rPr>
            </w:pPr>
            <w:r>
              <w:rPr>
                <w:rFonts w:hint="eastAsia"/>
                <w:color w:val="auto"/>
                <w:lang w:val="en-US" w:eastAsia="zh-CN"/>
              </w:rPr>
              <w:t>□</w:t>
            </w:r>
            <w:r>
              <w:rPr>
                <w:color w:val="auto"/>
              </w:rPr>
              <w:t>不予批准后再次申报项目</w:t>
            </w:r>
          </w:p>
          <w:p w14:paraId="151CC5AA">
            <w:pPr>
              <w:spacing w:line="420" w:lineRule="exact"/>
              <w:jc w:val="left"/>
              <w:rPr>
                <w:color w:val="auto"/>
              </w:rPr>
            </w:pPr>
            <w:r>
              <w:rPr>
                <w:rFonts w:hint="eastAsia"/>
                <w:color w:val="auto"/>
                <w:lang w:val="en-US" w:eastAsia="zh-CN"/>
              </w:rPr>
              <w:t>□</w:t>
            </w:r>
            <w:r>
              <w:rPr>
                <w:color w:val="auto"/>
              </w:rPr>
              <w:t xml:space="preserve">超五年重新审核项目     </w:t>
            </w:r>
          </w:p>
          <w:p w14:paraId="3C5EF745">
            <w:pPr>
              <w:spacing w:line="420" w:lineRule="exact"/>
              <w:jc w:val="left"/>
              <w:rPr>
                <w:color w:val="auto"/>
              </w:rPr>
            </w:pPr>
            <w:r>
              <w:rPr>
                <w:rFonts w:hint="eastAsia" w:ascii="宋体" w:hAnsi="宋体" w:cs="宋体"/>
                <w:color w:val="auto"/>
                <w:szCs w:val="21"/>
              </w:rPr>
              <w:t>√重大变动重新报批项目</w:t>
            </w:r>
          </w:p>
        </w:tc>
      </w:tr>
      <w:tr w14:paraId="6115E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64" w:type="dxa"/>
            <w:gridSpan w:val="2"/>
            <w:tcMar>
              <w:top w:w="16" w:type="dxa"/>
              <w:left w:w="16" w:type="dxa"/>
              <w:right w:w="16" w:type="dxa"/>
            </w:tcMar>
            <w:vAlign w:val="center"/>
          </w:tcPr>
          <w:p w14:paraId="2183A83E">
            <w:pPr>
              <w:adjustRightInd w:val="0"/>
              <w:snapToGrid w:val="0"/>
              <w:spacing w:line="420" w:lineRule="exact"/>
              <w:jc w:val="center"/>
              <w:rPr>
                <w:color w:val="auto"/>
              </w:rPr>
            </w:pPr>
            <w:r>
              <w:rPr>
                <w:color w:val="auto"/>
              </w:rPr>
              <w:t>项目备案部门</w:t>
            </w:r>
          </w:p>
        </w:tc>
        <w:tc>
          <w:tcPr>
            <w:tcW w:w="2275" w:type="dxa"/>
            <w:vAlign w:val="center"/>
          </w:tcPr>
          <w:p w14:paraId="014F37BE">
            <w:pPr>
              <w:adjustRightInd w:val="0"/>
              <w:snapToGrid w:val="0"/>
              <w:spacing w:line="420" w:lineRule="exact"/>
              <w:jc w:val="center"/>
              <w:rPr>
                <w:color w:val="auto"/>
              </w:rPr>
            </w:pPr>
            <w:r>
              <w:rPr>
                <w:color w:val="auto"/>
              </w:rPr>
              <w:t>淄川区行政审批服务局</w:t>
            </w:r>
          </w:p>
        </w:tc>
        <w:tc>
          <w:tcPr>
            <w:tcW w:w="2041" w:type="dxa"/>
            <w:vAlign w:val="center"/>
          </w:tcPr>
          <w:p w14:paraId="1C3DFC17">
            <w:pPr>
              <w:adjustRightInd w:val="0"/>
              <w:snapToGrid w:val="0"/>
              <w:spacing w:line="420" w:lineRule="exact"/>
              <w:jc w:val="center"/>
              <w:rPr>
                <w:color w:val="auto"/>
              </w:rPr>
            </w:pPr>
            <w:r>
              <w:rPr>
                <w:color w:val="auto"/>
              </w:rPr>
              <w:t>项目备案文号</w:t>
            </w:r>
          </w:p>
        </w:tc>
        <w:tc>
          <w:tcPr>
            <w:tcW w:w="2590" w:type="dxa"/>
            <w:vAlign w:val="center"/>
          </w:tcPr>
          <w:p w14:paraId="736DCFF9">
            <w:pPr>
              <w:adjustRightInd w:val="0"/>
              <w:snapToGrid w:val="0"/>
              <w:spacing w:line="420" w:lineRule="exact"/>
              <w:jc w:val="center"/>
              <w:rPr>
                <w:rFonts w:hint="default" w:eastAsia="宋体"/>
                <w:color w:val="auto"/>
                <w:lang w:val="en-US" w:eastAsia="zh-CN"/>
              </w:rPr>
            </w:pPr>
            <w:r>
              <w:rPr>
                <w:rFonts w:hint="eastAsia"/>
                <w:color w:val="auto"/>
                <w:lang w:val="en-US" w:eastAsia="zh-CN"/>
              </w:rPr>
              <w:t>--</w:t>
            </w:r>
          </w:p>
        </w:tc>
      </w:tr>
      <w:tr w14:paraId="5A0001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3C8851A0">
            <w:pPr>
              <w:adjustRightInd w:val="0"/>
              <w:snapToGrid w:val="0"/>
              <w:spacing w:line="420" w:lineRule="exact"/>
              <w:jc w:val="center"/>
              <w:rPr>
                <w:color w:val="auto"/>
              </w:rPr>
            </w:pPr>
            <w:r>
              <w:rPr>
                <w:color w:val="auto"/>
              </w:rPr>
              <w:t>总投资（万元）</w:t>
            </w:r>
          </w:p>
        </w:tc>
        <w:tc>
          <w:tcPr>
            <w:tcW w:w="2275" w:type="dxa"/>
            <w:vAlign w:val="center"/>
          </w:tcPr>
          <w:p w14:paraId="7B084722">
            <w:pPr>
              <w:adjustRightInd w:val="0"/>
              <w:snapToGrid w:val="0"/>
              <w:spacing w:line="420" w:lineRule="exact"/>
              <w:jc w:val="center"/>
              <w:rPr>
                <w:rFonts w:hint="default"/>
                <w:color w:val="auto"/>
                <w:lang w:val="en-US"/>
              </w:rPr>
            </w:pPr>
            <w:r>
              <w:rPr>
                <w:rFonts w:hint="eastAsia"/>
                <w:color w:val="auto"/>
                <w:lang w:val="en-US" w:eastAsia="zh-CN"/>
              </w:rPr>
              <w:t>500</w:t>
            </w:r>
          </w:p>
        </w:tc>
        <w:tc>
          <w:tcPr>
            <w:tcW w:w="2041" w:type="dxa"/>
            <w:tcMar>
              <w:top w:w="16" w:type="dxa"/>
              <w:left w:w="16" w:type="dxa"/>
              <w:right w:w="16" w:type="dxa"/>
            </w:tcMar>
            <w:vAlign w:val="center"/>
          </w:tcPr>
          <w:p w14:paraId="2D1B3F83">
            <w:pPr>
              <w:adjustRightInd w:val="0"/>
              <w:snapToGrid w:val="0"/>
              <w:spacing w:line="420" w:lineRule="exact"/>
              <w:jc w:val="center"/>
              <w:rPr>
                <w:color w:val="auto"/>
              </w:rPr>
            </w:pPr>
            <w:r>
              <w:rPr>
                <w:color w:val="auto"/>
              </w:rPr>
              <w:t>环保投资（万元）</w:t>
            </w:r>
          </w:p>
        </w:tc>
        <w:tc>
          <w:tcPr>
            <w:tcW w:w="2590" w:type="dxa"/>
            <w:vAlign w:val="center"/>
          </w:tcPr>
          <w:p w14:paraId="6C4ACB5A">
            <w:pPr>
              <w:adjustRightInd w:val="0"/>
              <w:snapToGrid w:val="0"/>
              <w:spacing w:line="420" w:lineRule="exact"/>
              <w:jc w:val="center"/>
              <w:rPr>
                <w:color w:val="auto"/>
              </w:rPr>
            </w:pPr>
            <w:r>
              <w:rPr>
                <w:color w:val="auto"/>
              </w:rPr>
              <w:t>50</w:t>
            </w:r>
          </w:p>
        </w:tc>
      </w:tr>
      <w:tr w14:paraId="52FCDF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4A889D82">
            <w:pPr>
              <w:adjustRightInd w:val="0"/>
              <w:snapToGrid w:val="0"/>
              <w:spacing w:line="420" w:lineRule="exact"/>
              <w:jc w:val="center"/>
              <w:rPr>
                <w:color w:val="auto"/>
              </w:rPr>
            </w:pPr>
            <w:r>
              <w:rPr>
                <w:color w:val="auto"/>
              </w:rPr>
              <w:t>环保投资占比（%）</w:t>
            </w:r>
          </w:p>
        </w:tc>
        <w:tc>
          <w:tcPr>
            <w:tcW w:w="2275" w:type="dxa"/>
            <w:vAlign w:val="center"/>
          </w:tcPr>
          <w:p w14:paraId="38324ED7">
            <w:pPr>
              <w:adjustRightInd w:val="0"/>
              <w:snapToGrid w:val="0"/>
              <w:spacing w:line="420" w:lineRule="exact"/>
              <w:jc w:val="center"/>
              <w:rPr>
                <w:rFonts w:hint="default" w:eastAsia="宋体"/>
                <w:color w:val="auto"/>
                <w:lang w:val="en-US" w:eastAsia="zh-CN"/>
              </w:rPr>
            </w:pPr>
            <w:r>
              <w:rPr>
                <w:rFonts w:hint="eastAsia"/>
                <w:color w:val="auto"/>
                <w:lang w:val="en-US" w:eastAsia="zh-CN"/>
              </w:rPr>
              <w:t>10</w:t>
            </w:r>
          </w:p>
        </w:tc>
        <w:tc>
          <w:tcPr>
            <w:tcW w:w="2041" w:type="dxa"/>
            <w:tcMar>
              <w:top w:w="16" w:type="dxa"/>
              <w:left w:w="16" w:type="dxa"/>
              <w:right w:w="16" w:type="dxa"/>
            </w:tcMar>
            <w:vAlign w:val="center"/>
          </w:tcPr>
          <w:p w14:paraId="2D74CF76">
            <w:pPr>
              <w:adjustRightInd w:val="0"/>
              <w:snapToGrid w:val="0"/>
              <w:spacing w:line="420" w:lineRule="exact"/>
              <w:jc w:val="center"/>
              <w:rPr>
                <w:color w:val="auto"/>
              </w:rPr>
            </w:pPr>
            <w:r>
              <w:rPr>
                <w:color w:val="auto"/>
              </w:rPr>
              <w:t>施工工期</w:t>
            </w:r>
          </w:p>
        </w:tc>
        <w:tc>
          <w:tcPr>
            <w:tcW w:w="2590" w:type="dxa"/>
            <w:vAlign w:val="center"/>
          </w:tcPr>
          <w:p w14:paraId="3C484C59">
            <w:pPr>
              <w:adjustRightInd w:val="0"/>
              <w:snapToGrid w:val="0"/>
              <w:spacing w:line="420" w:lineRule="exact"/>
              <w:jc w:val="center"/>
              <w:rPr>
                <w:color w:val="auto"/>
              </w:rPr>
            </w:pPr>
            <w:r>
              <w:rPr>
                <w:rFonts w:hint="eastAsia"/>
                <w:color w:val="auto"/>
                <w:lang w:val="en-US" w:eastAsia="zh-CN"/>
              </w:rPr>
              <w:t>3</w:t>
            </w:r>
            <w:r>
              <w:rPr>
                <w:color w:val="auto"/>
              </w:rPr>
              <w:t>个月</w:t>
            </w:r>
          </w:p>
        </w:tc>
      </w:tr>
      <w:tr w14:paraId="2F0DA4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3E26A3DF">
            <w:pPr>
              <w:adjustRightInd w:val="0"/>
              <w:snapToGrid w:val="0"/>
              <w:spacing w:line="420" w:lineRule="exact"/>
              <w:jc w:val="center"/>
              <w:rPr>
                <w:color w:val="auto"/>
              </w:rPr>
            </w:pPr>
            <w:r>
              <w:rPr>
                <w:color w:val="auto"/>
              </w:rPr>
              <w:t>是否开工建设</w:t>
            </w:r>
          </w:p>
        </w:tc>
        <w:tc>
          <w:tcPr>
            <w:tcW w:w="2275" w:type="dxa"/>
            <w:vAlign w:val="center"/>
          </w:tcPr>
          <w:p w14:paraId="0CCAFC49">
            <w:pPr>
              <w:adjustRightInd w:val="0"/>
              <w:snapToGrid w:val="0"/>
              <w:spacing w:line="420" w:lineRule="exact"/>
              <w:rPr>
                <w:color w:val="auto"/>
              </w:rPr>
            </w:pPr>
            <w:r>
              <w:rPr>
                <w:color w:val="auto"/>
              </w:rPr>
              <w:t>√否</w:t>
            </w:r>
          </w:p>
          <w:p w14:paraId="5A9FC22E">
            <w:pPr>
              <w:adjustRightInd w:val="0"/>
              <w:snapToGrid w:val="0"/>
              <w:spacing w:line="420" w:lineRule="exact"/>
              <w:rPr>
                <w:color w:val="auto"/>
              </w:rPr>
            </w:pPr>
            <w:r>
              <w:rPr>
                <w:rFonts w:hint="eastAsia"/>
                <w:color w:val="auto"/>
                <w:lang w:val="en-US" w:eastAsia="zh-CN"/>
              </w:rPr>
              <w:t>□</w:t>
            </w:r>
            <w:r>
              <w:rPr>
                <w:color w:val="auto"/>
              </w:rPr>
              <w:t>是：</w:t>
            </w:r>
            <w:r>
              <w:rPr>
                <w:color w:val="auto"/>
                <w:u w:val="single"/>
              </w:rPr>
              <w:t xml:space="preserve">             </w:t>
            </w:r>
          </w:p>
        </w:tc>
        <w:tc>
          <w:tcPr>
            <w:tcW w:w="2041" w:type="dxa"/>
            <w:tcMar>
              <w:top w:w="16" w:type="dxa"/>
              <w:left w:w="16" w:type="dxa"/>
              <w:right w:w="16" w:type="dxa"/>
            </w:tcMar>
            <w:vAlign w:val="center"/>
          </w:tcPr>
          <w:p w14:paraId="7B6DB780">
            <w:pPr>
              <w:adjustRightInd w:val="0"/>
              <w:snapToGrid w:val="0"/>
              <w:spacing w:line="420" w:lineRule="exact"/>
              <w:jc w:val="center"/>
              <w:rPr>
                <w:color w:val="auto"/>
              </w:rPr>
            </w:pPr>
            <w:r>
              <w:rPr>
                <w:color w:val="auto"/>
                <w:spacing w:val="-6"/>
              </w:rPr>
              <w:t>用地面积（m</w:t>
            </w:r>
            <w:r>
              <w:rPr>
                <w:color w:val="auto"/>
                <w:spacing w:val="-6"/>
                <w:vertAlign w:val="superscript"/>
              </w:rPr>
              <w:t>2</w:t>
            </w:r>
            <w:r>
              <w:rPr>
                <w:color w:val="auto"/>
                <w:spacing w:val="-6"/>
              </w:rPr>
              <w:t>）</w:t>
            </w:r>
          </w:p>
        </w:tc>
        <w:tc>
          <w:tcPr>
            <w:tcW w:w="2590" w:type="dxa"/>
            <w:vAlign w:val="center"/>
          </w:tcPr>
          <w:p w14:paraId="5CBA0773">
            <w:pPr>
              <w:adjustRightInd w:val="0"/>
              <w:snapToGrid w:val="0"/>
              <w:spacing w:line="420" w:lineRule="exact"/>
              <w:jc w:val="center"/>
              <w:rPr>
                <w:rFonts w:hint="default" w:eastAsia="宋体"/>
                <w:color w:val="auto"/>
                <w:lang w:val="en-US" w:eastAsia="zh-CN"/>
              </w:rPr>
            </w:pPr>
            <w:r>
              <w:rPr>
                <w:rFonts w:hint="eastAsia"/>
                <w:color w:val="auto"/>
                <w:highlight w:val="none"/>
                <w:lang w:val="en-US" w:eastAsia="zh-CN"/>
              </w:rPr>
              <w:t>2000</w:t>
            </w:r>
          </w:p>
        </w:tc>
      </w:tr>
      <w:tr w14:paraId="660E8F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964" w:type="dxa"/>
            <w:gridSpan w:val="2"/>
            <w:vAlign w:val="center"/>
          </w:tcPr>
          <w:p w14:paraId="78CAD809">
            <w:pPr>
              <w:autoSpaceDE w:val="0"/>
              <w:autoSpaceDN w:val="0"/>
              <w:adjustRightInd w:val="0"/>
              <w:snapToGrid w:val="0"/>
              <w:spacing w:line="420" w:lineRule="exact"/>
              <w:jc w:val="center"/>
              <w:rPr>
                <w:color w:val="auto"/>
                <w:kern w:val="0"/>
              </w:rPr>
            </w:pPr>
            <w:r>
              <w:rPr>
                <w:color w:val="auto"/>
                <w:kern w:val="0"/>
              </w:rPr>
              <w:t>专项评价设置情况</w:t>
            </w:r>
          </w:p>
        </w:tc>
        <w:tc>
          <w:tcPr>
            <w:tcW w:w="6906" w:type="dxa"/>
            <w:gridSpan w:val="3"/>
            <w:vAlign w:val="center"/>
          </w:tcPr>
          <w:p w14:paraId="2D09032D">
            <w:pPr>
              <w:spacing w:before="120" w:beforeLines="50"/>
              <w:jc w:val="center"/>
              <w:textAlignment w:val="baseline"/>
              <w:rPr>
                <w:b/>
                <w:color w:val="auto"/>
              </w:rPr>
            </w:pPr>
            <w:r>
              <w:rPr>
                <w:b/>
                <w:color w:val="auto"/>
              </w:rPr>
              <w:t>表1-1  专项评价设置情况判定表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3007"/>
              <w:gridCol w:w="1794"/>
              <w:gridCol w:w="745"/>
            </w:tblGrid>
            <w:tr w14:paraId="798BB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2FE9028F">
                  <w:pPr>
                    <w:jc w:val="center"/>
                    <w:textAlignment w:val="baseline"/>
                    <w:rPr>
                      <w:b/>
                      <w:color w:val="auto"/>
                    </w:rPr>
                  </w:pPr>
                  <w:r>
                    <w:rPr>
                      <w:b/>
                      <w:color w:val="auto"/>
                    </w:rPr>
                    <w:t>专项评价的类别</w:t>
                  </w:r>
                </w:p>
              </w:tc>
              <w:tc>
                <w:tcPr>
                  <w:tcW w:w="3150" w:type="dxa"/>
                  <w:vAlign w:val="center"/>
                </w:tcPr>
                <w:p w14:paraId="0320407B">
                  <w:pPr>
                    <w:jc w:val="center"/>
                    <w:textAlignment w:val="baseline"/>
                    <w:rPr>
                      <w:b/>
                      <w:color w:val="auto"/>
                    </w:rPr>
                  </w:pPr>
                  <w:r>
                    <w:rPr>
                      <w:b/>
                      <w:color w:val="auto"/>
                    </w:rPr>
                    <w:t>设置原则</w:t>
                  </w:r>
                </w:p>
              </w:tc>
              <w:tc>
                <w:tcPr>
                  <w:tcW w:w="1854" w:type="dxa"/>
                  <w:vAlign w:val="center"/>
                </w:tcPr>
                <w:p w14:paraId="1917E12D">
                  <w:pPr>
                    <w:jc w:val="center"/>
                    <w:textAlignment w:val="baseline"/>
                    <w:rPr>
                      <w:b/>
                      <w:color w:val="auto"/>
                    </w:rPr>
                  </w:pPr>
                  <w:r>
                    <w:rPr>
                      <w:b/>
                      <w:color w:val="auto"/>
                    </w:rPr>
                    <w:t>项目情况</w:t>
                  </w:r>
                </w:p>
              </w:tc>
              <w:tc>
                <w:tcPr>
                  <w:tcW w:w="765" w:type="dxa"/>
                  <w:vAlign w:val="center"/>
                </w:tcPr>
                <w:p w14:paraId="78CF4A56">
                  <w:pPr>
                    <w:jc w:val="center"/>
                    <w:textAlignment w:val="baseline"/>
                    <w:rPr>
                      <w:b/>
                      <w:color w:val="auto"/>
                    </w:rPr>
                  </w:pPr>
                  <w:r>
                    <w:rPr>
                      <w:b/>
                      <w:color w:val="auto"/>
                    </w:rPr>
                    <w:t>是否设置</w:t>
                  </w:r>
                </w:p>
              </w:tc>
            </w:tr>
            <w:tr w14:paraId="1CE8A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7332AFDD">
                  <w:pPr>
                    <w:jc w:val="center"/>
                    <w:textAlignment w:val="baseline"/>
                    <w:rPr>
                      <w:bCs/>
                      <w:color w:val="auto"/>
                      <w:sz w:val="18"/>
                      <w:szCs w:val="18"/>
                    </w:rPr>
                  </w:pPr>
                  <w:r>
                    <w:rPr>
                      <w:bCs/>
                      <w:color w:val="auto"/>
                      <w:sz w:val="18"/>
                      <w:szCs w:val="18"/>
                    </w:rPr>
                    <w:t>大气</w:t>
                  </w:r>
                </w:p>
              </w:tc>
              <w:tc>
                <w:tcPr>
                  <w:tcW w:w="3150" w:type="dxa"/>
                  <w:vAlign w:val="center"/>
                </w:tcPr>
                <w:p w14:paraId="02C01184">
                  <w:pPr>
                    <w:jc w:val="center"/>
                    <w:textAlignment w:val="baseline"/>
                    <w:rPr>
                      <w:bCs/>
                      <w:color w:val="auto"/>
                      <w:sz w:val="18"/>
                      <w:szCs w:val="18"/>
                    </w:rPr>
                  </w:pPr>
                  <w:r>
                    <w:rPr>
                      <w:bCs/>
                      <w:color w:val="auto"/>
                      <w:sz w:val="18"/>
                      <w:szCs w:val="18"/>
                    </w:rPr>
                    <w:t>排放废气含有毒有害污染物、二噁英、苯并[a]芘、氰化物、</w:t>
                  </w:r>
                  <w:r>
                    <w:rPr>
                      <w:rFonts w:hint="eastAsia"/>
                      <w:bCs/>
                      <w:color w:val="auto"/>
                      <w:sz w:val="18"/>
                      <w:szCs w:val="18"/>
                      <w:lang w:val="en-US" w:eastAsia="zh-CN"/>
                    </w:rPr>
                    <w:t>氯气</w:t>
                  </w:r>
                  <w:r>
                    <w:rPr>
                      <w:bCs/>
                      <w:color w:val="auto"/>
                      <w:sz w:val="18"/>
                      <w:szCs w:val="18"/>
                    </w:rPr>
                    <w:t>且厂界外500米范围内有环境空气保护目标的建设项目</w:t>
                  </w:r>
                </w:p>
              </w:tc>
              <w:tc>
                <w:tcPr>
                  <w:tcW w:w="1854" w:type="dxa"/>
                  <w:vAlign w:val="center"/>
                </w:tcPr>
                <w:p w14:paraId="487E1227">
                  <w:pPr>
                    <w:autoSpaceDE w:val="0"/>
                    <w:autoSpaceDN w:val="0"/>
                    <w:adjustRightInd w:val="0"/>
                    <w:snapToGrid w:val="0"/>
                    <w:jc w:val="center"/>
                    <w:rPr>
                      <w:bCs/>
                      <w:color w:val="auto"/>
                      <w:sz w:val="18"/>
                      <w:szCs w:val="18"/>
                    </w:rPr>
                  </w:pPr>
                  <w:r>
                    <w:rPr>
                      <w:rFonts w:hint="default" w:ascii="Times New Roman" w:hAnsi="Times New Roman" w:cs="Times New Roman"/>
                      <w:color w:val="auto"/>
                      <w:kern w:val="0"/>
                      <w:sz w:val="18"/>
                      <w:szCs w:val="18"/>
                    </w:rPr>
                    <w:t>本项目废气主要污染物为</w:t>
                  </w:r>
                  <w:r>
                    <w:rPr>
                      <w:rFonts w:hint="eastAsia" w:ascii="Times New Roman" w:hAnsi="Times New Roman" w:cs="Times New Roman"/>
                      <w:color w:val="auto"/>
                      <w:kern w:val="0"/>
                      <w:sz w:val="18"/>
                      <w:szCs w:val="18"/>
                      <w:lang w:val="en-US" w:eastAsia="zh-CN"/>
                    </w:rPr>
                    <w:t>颗粒物、</w:t>
                  </w:r>
                  <w:r>
                    <w:rPr>
                      <w:rFonts w:hint="eastAsia" w:cs="Times New Roman"/>
                      <w:color w:val="auto"/>
                      <w:kern w:val="0"/>
                      <w:sz w:val="18"/>
                      <w:szCs w:val="18"/>
                      <w:lang w:eastAsia="zh-CN"/>
                    </w:rPr>
                    <w:t>酚类、甲醛、</w:t>
                  </w:r>
                  <w:r>
                    <w:rPr>
                      <w:rFonts w:hint="default" w:ascii="Times New Roman" w:hAnsi="Times New Roman" w:cs="Times New Roman"/>
                      <w:color w:val="auto"/>
                      <w:kern w:val="0"/>
                      <w:sz w:val="18"/>
                      <w:szCs w:val="18"/>
                    </w:rPr>
                    <w:t>VOCs</w:t>
                  </w:r>
                  <w:r>
                    <w:rPr>
                      <w:rFonts w:hint="eastAsia" w:cs="Times New Roman"/>
                      <w:color w:val="auto"/>
                      <w:kern w:val="0"/>
                      <w:sz w:val="18"/>
                      <w:szCs w:val="18"/>
                      <w:lang w:eastAsia="zh-CN"/>
                    </w:rPr>
                    <w:t>，其中甲醛属于有毒有害污染物，且厂界外</w:t>
                  </w:r>
                  <w:r>
                    <w:rPr>
                      <w:rFonts w:hint="eastAsia" w:cs="Times New Roman"/>
                      <w:color w:val="auto"/>
                      <w:kern w:val="0"/>
                      <w:sz w:val="18"/>
                      <w:szCs w:val="18"/>
                      <w:lang w:val="en-US" w:eastAsia="zh-CN"/>
                    </w:rPr>
                    <w:t>500m范围内有村庄（和庄村）</w:t>
                  </w:r>
                </w:p>
              </w:tc>
              <w:tc>
                <w:tcPr>
                  <w:tcW w:w="765" w:type="dxa"/>
                  <w:vAlign w:val="center"/>
                </w:tcPr>
                <w:p w14:paraId="606EE53C">
                  <w:pPr>
                    <w:autoSpaceDE w:val="0"/>
                    <w:autoSpaceDN w:val="0"/>
                    <w:adjustRightInd w:val="0"/>
                    <w:snapToGrid w:val="0"/>
                    <w:jc w:val="center"/>
                    <w:rPr>
                      <w:bCs/>
                      <w:color w:val="auto"/>
                      <w:sz w:val="18"/>
                      <w:szCs w:val="18"/>
                    </w:rPr>
                  </w:pPr>
                  <w:r>
                    <w:rPr>
                      <w:rFonts w:hint="eastAsia" w:cs="Times New Roman"/>
                      <w:color w:val="auto"/>
                      <w:kern w:val="0"/>
                      <w:sz w:val="18"/>
                      <w:szCs w:val="18"/>
                      <w:lang w:eastAsia="zh-CN"/>
                    </w:rPr>
                    <w:t>是</w:t>
                  </w:r>
                </w:p>
              </w:tc>
            </w:tr>
            <w:tr w14:paraId="6C1E4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286D30DA">
                  <w:pPr>
                    <w:jc w:val="center"/>
                    <w:textAlignment w:val="baseline"/>
                    <w:rPr>
                      <w:bCs/>
                      <w:color w:val="auto"/>
                      <w:sz w:val="18"/>
                      <w:szCs w:val="18"/>
                    </w:rPr>
                  </w:pPr>
                  <w:r>
                    <w:rPr>
                      <w:bCs/>
                      <w:color w:val="auto"/>
                      <w:sz w:val="18"/>
                      <w:szCs w:val="18"/>
                    </w:rPr>
                    <w:t>地表水</w:t>
                  </w:r>
                </w:p>
              </w:tc>
              <w:tc>
                <w:tcPr>
                  <w:tcW w:w="3150" w:type="dxa"/>
                  <w:vAlign w:val="center"/>
                </w:tcPr>
                <w:p w14:paraId="33736629">
                  <w:pPr>
                    <w:jc w:val="center"/>
                    <w:textAlignment w:val="baseline"/>
                    <w:rPr>
                      <w:bCs/>
                      <w:color w:val="auto"/>
                      <w:sz w:val="18"/>
                      <w:szCs w:val="18"/>
                    </w:rPr>
                  </w:pPr>
                  <w:r>
                    <w:rPr>
                      <w:bCs/>
                      <w:color w:val="auto"/>
                      <w:sz w:val="18"/>
                      <w:szCs w:val="18"/>
                    </w:rPr>
                    <w:t>新增工业废水直排建设项目（槽罐车外送污水处理厂的除外）；新增废水直排的污水集中处理厂</w:t>
                  </w:r>
                </w:p>
              </w:tc>
              <w:tc>
                <w:tcPr>
                  <w:tcW w:w="1854" w:type="dxa"/>
                  <w:vAlign w:val="center"/>
                </w:tcPr>
                <w:p w14:paraId="78F1E806">
                  <w:pPr>
                    <w:jc w:val="center"/>
                    <w:textAlignment w:val="baseline"/>
                    <w:rPr>
                      <w:rFonts w:hint="eastAsia" w:eastAsia="宋体"/>
                      <w:bCs/>
                      <w:color w:val="auto"/>
                      <w:sz w:val="18"/>
                      <w:szCs w:val="18"/>
                      <w:lang w:eastAsia="zh-CN"/>
                    </w:rPr>
                  </w:pPr>
                  <w:r>
                    <w:rPr>
                      <w:bCs/>
                      <w:color w:val="auto"/>
                      <w:sz w:val="18"/>
                      <w:szCs w:val="18"/>
                    </w:rPr>
                    <w:t>本项目</w:t>
                  </w:r>
                  <w:r>
                    <w:rPr>
                      <w:rFonts w:hint="eastAsia"/>
                      <w:bCs/>
                      <w:color w:val="auto"/>
                      <w:sz w:val="18"/>
                      <w:szCs w:val="18"/>
                      <w:lang w:eastAsia="zh-CN"/>
                    </w:rPr>
                    <w:t>无</w:t>
                  </w:r>
                  <w:r>
                    <w:rPr>
                      <w:bCs/>
                      <w:color w:val="auto"/>
                      <w:sz w:val="18"/>
                      <w:szCs w:val="18"/>
                    </w:rPr>
                    <w:t>工业废水</w:t>
                  </w:r>
                  <w:r>
                    <w:rPr>
                      <w:rFonts w:hint="eastAsia"/>
                      <w:bCs/>
                      <w:color w:val="auto"/>
                      <w:sz w:val="18"/>
                      <w:szCs w:val="18"/>
                      <w:lang w:eastAsia="zh-CN"/>
                    </w:rPr>
                    <w:t>外排</w:t>
                  </w:r>
                </w:p>
              </w:tc>
              <w:tc>
                <w:tcPr>
                  <w:tcW w:w="765" w:type="dxa"/>
                  <w:vAlign w:val="center"/>
                </w:tcPr>
                <w:p w14:paraId="1D76866E">
                  <w:pPr>
                    <w:jc w:val="center"/>
                    <w:textAlignment w:val="baseline"/>
                    <w:rPr>
                      <w:bCs/>
                      <w:color w:val="auto"/>
                      <w:sz w:val="18"/>
                      <w:szCs w:val="18"/>
                    </w:rPr>
                  </w:pPr>
                  <w:r>
                    <w:rPr>
                      <w:bCs/>
                      <w:color w:val="auto"/>
                      <w:sz w:val="18"/>
                      <w:szCs w:val="18"/>
                    </w:rPr>
                    <w:t>否</w:t>
                  </w:r>
                </w:p>
              </w:tc>
            </w:tr>
            <w:tr w14:paraId="7345D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0F2F9CCE">
                  <w:pPr>
                    <w:jc w:val="center"/>
                    <w:textAlignment w:val="baseline"/>
                    <w:rPr>
                      <w:bCs/>
                      <w:color w:val="auto"/>
                      <w:sz w:val="18"/>
                      <w:szCs w:val="18"/>
                    </w:rPr>
                  </w:pPr>
                  <w:r>
                    <w:rPr>
                      <w:bCs/>
                      <w:color w:val="auto"/>
                      <w:sz w:val="18"/>
                      <w:szCs w:val="18"/>
                    </w:rPr>
                    <w:t>环境风险</w:t>
                  </w:r>
                </w:p>
              </w:tc>
              <w:tc>
                <w:tcPr>
                  <w:tcW w:w="3150" w:type="dxa"/>
                  <w:vAlign w:val="center"/>
                </w:tcPr>
                <w:p w14:paraId="101C4FF5">
                  <w:pPr>
                    <w:jc w:val="center"/>
                    <w:textAlignment w:val="baseline"/>
                    <w:rPr>
                      <w:bCs/>
                      <w:color w:val="auto"/>
                      <w:sz w:val="18"/>
                      <w:szCs w:val="18"/>
                    </w:rPr>
                  </w:pPr>
                  <w:r>
                    <w:rPr>
                      <w:bCs/>
                      <w:color w:val="auto"/>
                      <w:sz w:val="18"/>
                      <w:szCs w:val="18"/>
                    </w:rPr>
                    <w:t>有毒有害和易燃易爆危险物质存储量超过临界量的建设项目</w:t>
                  </w:r>
                </w:p>
              </w:tc>
              <w:tc>
                <w:tcPr>
                  <w:tcW w:w="1854" w:type="dxa"/>
                  <w:vAlign w:val="center"/>
                </w:tcPr>
                <w:p w14:paraId="3C608003">
                  <w:pPr>
                    <w:jc w:val="center"/>
                    <w:textAlignment w:val="baseline"/>
                    <w:rPr>
                      <w:bCs/>
                      <w:color w:val="auto"/>
                      <w:sz w:val="18"/>
                      <w:szCs w:val="18"/>
                    </w:rPr>
                  </w:pPr>
                  <w:r>
                    <w:rPr>
                      <w:bCs/>
                      <w:color w:val="auto"/>
                      <w:sz w:val="18"/>
                      <w:szCs w:val="18"/>
                    </w:rPr>
                    <w:t>本项目涉及</w:t>
                  </w:r>
                  <w:r>
                    <w:rPr>
                      <w:rFonts w:hint="eastAsia"/>
                      <w:bCs/>
                      <w:color w:val="auto"/>
                      <w:sz w:val="18"/>
                      <w:szCs w:val="18"/>
                      <w:lang w:eastAsia="zh-CN"/>
                    </w:rPr>
                    <w:t>危险物质</w:t>
                  </w:r>
                  <w:r>
                    <w:rPr>
                      <w:bCs/>
                      <w:color w:val="auto"/>
                      <w:sz w:val="18"/>
                      <w:szCs w:val="18"/>
                    </w:rPr>
                    <w:t>储存量未超过临界量</w:t>
                  </w:r>
                </w:p>
              </w:tc>
              <w:tc>
                <w:tcPr>
                  <w:tcW w:w="765" w:type="dxa"/>
                  <w:vAlign w:val="center"/>
                </w:tcPr>
                <w:p w14:paraId="0FD4A50A">
                  <w:pPr>
                    <w:jc w:val="center"/>
                    <w:textAlignment w:val="baseline"/>
                    <w:rPr>
                      <w:bCs/>
                      <w:color w:val="auto"/>
                      <w:sz w:val="18"/>
                      <w:szCs w:val="18"/>
                    </w:rPr>
                  </w:pPr>
                  <w:r>
                    <w:rPr>
                      <w:bCs/>
                      <w:color w:val="auto"/>
                      <w:sz w:val="18"/>
                      <w:szCs w:val="18"/>
                    </w:rPr>
                    <w:t>否</w:t>
                  </w:r>
                </w:p>
              </w:tc>
            </w:tr>
            <w:tr w14:paraId="78B5A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3602CF9F">
                  <w:pPr>
                    <w:jc w:val="center"/>
                    <w:textAlignment w:val="baseline"/>
                    <w:rPr>
                      <w:bCs/>
                      <w:color w:val="auto"/>
                      <w:sz w:val="18"/>
                      <w:szCs w:val="18"/>
                    </w:rPr>
                  </w:pPr>
                  <w:r>
                    <w:rPr>
                      <w:bCs/>
                      <w:color w:val="auto"/>
                      <w:sz w:val="18"/>
                      <w:szCs w:val="18"/>
                    </w:rPr>
                    <w:t>生态</w:t>
                  </w:r>
                </w:p>
              </w:tc>
              <w:tc>
                <w:tcPr>
                  <w:tcW w:w="3150" w:type="dxa"/>
                  <w:vAlign w:val="center"/>
                </w:tcPr>
                <w:p w14:paraId="61F8F62F">
                  <w:pPr>
                    <w:jc w:val="center"/>
                    <w:textAlignment w:val="baseline"/>
                    <w:rPr>
                      <w:bCs/>
                      <w:color w:val="auto"/>
                      <w:sz w:val="18"/>
                      <w:szCs w:val="18"/>
                    </w:rPr>
                  </w:pPr>
                  <w:r>
                    <w:rPr>
                      <w:bCs/>
                      <w:color w:val="auto"/>
                      <w:sz w:val="18"/>
                      <w:szCs w:val="18"/>
                    </w:rPr>
                    <w:t>取水口下游500米范围内有重要水生生物的自然产卵场、索饵场、越冬场和洄游通道的新增河道取水的污染类建设项目</w:t>
                  </w:r>
                </w:p>
              </w:tc>
              <w:tc>
                <w:tcPr>
                  <w:tcW w:w="1854" w:type="dxa"/>
                  <w:vAlign w:val="center"/>
                </w:tcPr>
                <w:p w14:paraId="1BE49759">
                  <w:pPr>
                    <w:jc w:val="center"/>
                    <w:textAlignment w:val="baseline"/>
                    <w:rPr>
                      <w:bCs/>
                      <w:color w:val="auto"/>
                      <w:sz w:val="18"/>
                      <w:szCs w:val="18"/>
                    </w:rPr>
                  </w:pPr>
                  <w:r>
                    <w:rPr>
                      <w:bCs/>
                      <w:color w:val="auto"/>
                      <w:sz w:val="18"/>
                      <w:szCs w:val="18"/>
                    </w:rPr>
                    <w:t>不涉及</w:t>
                  </w:r>
                </w:p>
              </w:tc>
              <w:tc>
                <w:tcPr>
                  <w:tcW w:w="765" w:type="dxa"/>
                  <w:vAlign w:val="center"/>
                </w:tcPr>
                <w:p w14:paraId="04C20D7B">
                  <w:pPr>
                    <w:jc w:val="center"/>
                    <w:textAlignment w:val="baseline"/>
                    <w:rPr>
                      <w:bCs/>
                      <w:color w:val="auto"/>
                      <w:sz w:val="18"/>
                      <w:szCs w:val="18"/>
                    </w:rPr>
                  </w:pPr>
                  <w:r>
                    <w:rPr>
                      <w:bCs/>
                      <w:color w:val="auto"/>
                      <w:sz w:val="18"/>
                      <w:szCs w:val="18"/>
                    </w:rPr>
                    <w:t>否</w:t>
                  </w:r>
                </w:p>
              </w:tc>
            </w:tr>
            <w:tr w14:paraId="6B02A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44B4E9BD">
                  <w:pPr>
                    <w:jc w:val="center"/>
                    <w:textAlignment w:val="baseline"/>
                    <w:rPr>
                      <w:bCs/>
                      <w:color w:val="auto"/>
                      <w:sz w:val="18"/>
                      <w:szCs w:val="18"/>
                    </w:rPr>
                  </w:pPr>
                  <w:r>
                    <w:rPr>
                      <w:bCs/>
                      <w:color w:val="auto"/>
                      <w:sz w:val="18"/>
                      <w:szCs w:val="18"/>
                    </w:rPr>
                    <w:t>海洋</w:t>
                  </w:r>
                </w:p>
              </w:tc>
              <w:tc>
                <w:tcPr>
                  <w:tcW w:w="3150" w:type="dxa"/>
                  <w:vAlign w:val="center"/>
                </w:tcPr>
                <w:p w14:paraId="7C540B0A">
                  <w:pPr>
                    <w:jc w:val="center"/>
                    <w:textAlignment w:val="baseline"/>
                    <w:rPr>
                      <w:bCs/>
                      <w:color w:val="auto"/>
                      <w:sz w:val="18"/>
                      <w:szCs w:val="18"/>
                    </w:rPr>
                  </w:pPr>
                  <w:r>
                    <w:rPr>
                      <w:bCs/>
                      <w:color w:val="auto"/>
                      <w:sz w:val="18"/>
                      <w:szCs w:val="18"/>
                    </w:rPr>
                    <w:t>直接向海排放污染物的海洋工程建设项目</w:t>
                  </w:r>
                </w:p>
              </w:tc>
              <w:tc>
                <w:tcPr>
                  <w:tcW w:w="1854" w:type="dxa"/>
                  <w:vAlign w:val="center"/>
                </w:tcPr>
                <w:p w14:paraId="4EBFDEF3">
                  <w:pPr>
                    <w:jc w:val="center"/>
                    <w:textAlignment w:val="baseline"/>
                    <w:rPr>
                      <w:bCs/>
                      <w:color w:val="auto"/>
                      <w:sz w:val="18"/>
                      <w:szCs w:val="18"/>
                    </w:rPr>
                  </w:pPr>
                  <w:r>
                    <w:rPr>
                      <w:bCs/>
                      <w:color w:val="auto"/>
                      <w:sz w:val="18"/>
                      <w:szCs w:val="18"/>
                    </w:rPr>
                    <w:t>不涉及</w:t>
                  </w:r>
                </w:p>
              </w:tc>
              <w:tc>
                <w:tcPr>
                  <w:tcW w:w="765" w:type="dxa"/>
                  <w:vAlign w:val="center"/>
                </w:tcPr>
                <w:p w14:paraId="055C3203">
                  <w:pPr>
                    <w:jc w:val="center"/>
                    <w:textAlignment w:val="baseline"/>
                    <w:rPr>
                      <w:bCs/>
                      <w:color w:val="auto"/>
                      <w:sz w:val="18"/>
                      <w:szCs w:val="18"/>
                    </w:rPr>
                  </w:pPr>
                  <w:r>
                    <w:rPr>
                      <w:bCs/>
                      <w:color w:val="auto"/>
                      <w:sz w:val="18"/>
                      <w:szCs w:val="18"/>
                    </w:rPr>
                    <w:t>否</w:t>
                  </w:r>
                </w:p>
              </w:tc>
            </w:tr>
          </w:tbl>
          <w:p w14:paraId="6FDD03B3">
            <w:pPr>
              <w:autoSpaceDE w:val="0"/>
              <w:autoSpaceDN w:val="0"/>
              <w:adjustRightInd w:val="0"/>
              <w:snapToGrid w:val="0"/>
              <w:jc w:val="center"/>
              <w:rPr>
                <w:color w:val="auto"/>
                <w:kern w:val="0"/>
              </w:rPr>
            </w:pPr>
          </w:p>
        </w:tc>
      </w:tr>
      <w:tr w14:paraId="1A67FB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1964" w:type="dxa"/>
            <w:gridSpan w:val="2"/>
            <w:vAlign w:val="center"/>
          </w:tcPr>
          <w:p w14:paraId="72C0B59F">
            <w:pPr>
              <w:autoSpaceDE w:val="0"/>
              <w:autoSpaceDN w:val="0"/>
              <w:adjustRightInd w:val="0"/>
              <w:snapToGrid w:val="0"/>
              <w:spacing w:line="420" w:lineRule="exact"/>
              <w:jc w:val="center"/>
              <w:rPr>
                <w:color w:val="auto"/>
                <w:kern w:val="0"/>
              </w:rPr>
            </w:pPr>
            <w:r>
              <w:rPr>
                <w:color w:val="auto"/>
              </w:rPr>
              <w:t>规划情况</w:t>
            </w:r>
          </w:p>
        </w:tc>
        <w:tc>
          <w:tcPr>
            <w:tcW w:w="6906" w:type="dxa"/>
            <w:gridSpan w:val="3"/>
            <w:vAlign w:val="center"/>
          </w:tcPr>
          <w:p w14:paraId="07240A36">
            <w:pPr>
              <w:autoSpaceDE w:val="0"/>
              <w:autoSpaceDN w:val="0"/>
              <w:adjustRightInd w:val="0"/>
              <w:snapToGrid w:val="0"/>
              <w:jc w:val="center"/>
              <w:rPr>
                <w:rFonts w:hint="eastAsia"/>
                <w:kern w:val="0"/>
              </w:rPr>
            </w:pPr>
            <w:r>
              <w:rPr>
                <w:rFonts w:hint="eastAsia"/>
                <w:kern w:val="0"/>
              </w:rPr>
              <w:t>规划名称：龙泉新材料产业集聚区</w:t>
            </w:r>
          </w:p>
          <w:p w14:paraId="0BF4DE11">
            <w:pPr>
              <w:autoSpaceDE w:val="0"/>
              <w:autoSpaceDN w:val="0"/>
              <w:adjustRightInd w:val="0"/>
              <w:snapToGrid w:val="0"/>
              <w:jc w:val="center"/>
              <w:rPr>
                <w:rFonts w:hint="eastAsia"/>
                <w:kern w:val="0"/>
              </w:rPr>
            </w:pPr>
            <w:r>
              <w:rPr>
                <w:rFonts w:hint="eastAsia"/>
                <w:kern w:val="0"/>
              </w:rPr>
              <w:t>审批机关：淄川区人民政府</w:t>
            </w:r>
          </w:p>
          <w:p w14:paraId="01FA6802">
            <w:pPr>
              <w:autoSpaceDE w:val="0"/>
              <w:autoSpaceDN w:val="0"/>
              <w:adjustRightInd w:val="0"/>
              <w:snapToGrid w:val="0"/>
              <w:jc w:val="center"/>
              <w:rPr>
                <w:color w:val="auto"/>
                <w:kern w:val="0"/>
              </w:rPr>
            </w:pPr>
            <w:r>
              <w:rPr>
                <w:rFonts w:hint="eastAsia"/>
                <w:kern w:val="0"/>
              </w:rPr>
              <w:t>审批文件名称及文号：川政字[2014]138号文</w:t>
            </w:r>
          </w:p>
        </w:tc>
      </w:tr>
      <w:tr w14:paraId="016D30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964" w:type="dxa"/>
            <w:gridSpan w:val="2"/>
            <w:vAlign w:val="center"/>
          </w:tcPr>
          <w:p w14:paraId="664BB4D5">
            <w:pPr>
              <w:adjustRightInd w:val="0"/>
              <w:snapToGrid w:val="0"/>
              <w:spacing w:line="420" w:lineRule="exact"/>
              <w:jc w:val="center"/>
              <w:rPr>
                <w:color w:val="auto"/>
              </w:rPr>
            </w:pPr>
            <w:r>
              <w:rPr>
                <w:color w:val="auto"/>
              </w:rPr>
              <w:t>规划环境影响</w:t>
            </w:r>
          </w:p>
          <w:p w14:paraId="2202A9E3">
            <w:pPr>
              <w:adjustRightInd w:val="0"/>
              <w:snapToGrid w:val="0"/>
              <w:spacing w:line="420" w:lineRule="exact"/>
              <w:jc w:val="center"/>
              <w:rPr>
                <w:color w:val="auto"/>
                <w:kern w:val="0"/>
              </w:rPr>
            </w:pPr>
            <w:r>
              <w:rPr>
                <w:color w:val="auto"/>
              </w:rPr>
              <w:t>评价情况</w:t>
            </w:r>
          </w:p>
        </w:tc>
        <w:tc>
          <w:tcPr>
            <w:tcW w:w="6906" w:type="dxa"/>
            <w:gridSpan w:val="3"/>
            <w:vAlign w:val="center"/>
          </w:tcPr>
          <w:p w14:paraId="46242A97">
            <w:pPr>
              <w:autoSpaceDE w:val="0"/>
              <w:autoSpaceDN w:val="0"/>
              <w:adjustRightInd w:val="0"/>
              <w:snapToGrid w:val="0"/>
              <w:jc w:val="center"/>
              <w:rPr>
                <w:color w:val="auto"/>
                <w:kern w:val="0"/>
              </w:rPr>
            </w:pPr>
            <w:r>
              <w:rPr>
                <w:color w:val="auto"/>
                <w:kern w:val="0"/>
              </w:rPr>
              <w:t>无</w:t>
            </w:r>
          </w:p>
        </w:tc>
      </w:tr>
      <w:tr w14:paraId="65CFA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1964" w:type="dxa"/>
            <w:gridSpan w:val="2"/>
            <w:vAlign w:val="center"/>
          </w:tcPr>
          <w:p w14:paraId="6B17198E">
            <w:pPr>
              <w:adjustRightInd w:val="0"/>
              <w:snapToGrid w:val="0"/>
              <w:spacing w:line="420" w:lineRule="exact"/>
              <w:jc w:val="center"/>
              <w:rPr>
                <w:color w:val="auto"/>
                <w:kern w:val="0"/>
              </w:rPr>
            </w:pPr>
            <w:r>
              <w:rPr>
                <w:color w:val="auto"/>
                <w:kern w:val="0"/>
              </w:rPr>
              <w:t>规划及规划</w:t>
            </w:r>
            <w:r>
              <w:rPr>
                <w:color w:val="auto"/>
              </w:rPr>
              <w:t>环境</w:t>
            </w:r>
          </w:p>
          <w:p w14:paraId="313C3C5F">
            <w:pPr>
              <w:autoSpaceDE w:val="0"/>
              <w:autoSpaceDN w:val="0"/>
              <w:adjustRightInd w:val="0"/>
              <w:snapToGrid w:val="0"/>
              <w:spacing w:line="420" w:lineRule="exact"/>
              <w:ind w:left="-34" w:leftChars="-16" w:right="-109" w:rightChars="-52"/>
              <w:jc w:val="center"/>
              <w:rPr>
                <w:color w:val="auto"/>
                <w:kern w:val="0"/>
              </w:rPr>
            </w:pPr>
            <w:r>
              <w:rPr>
                <w:color w:val="auto"/>
                <w:kern w:val="0"/>
              </w:rPr>
              <w:t>影响评价符合性分析</w:t>
            </w:r>
          </w:p>
        </w:tc>
        <w:tc>
          <w:tcPr>
            <w:tcW w:w="6906" w:type="dxa"/>
            <w:gridSpan w:val="3"/>
            <w:vAlign w:val="center"/>
          </w:tcPr>
          <w:p w14:paraId="4974EEF5">
            <w:pPr>
              <w:adjustRightInd w:val="0"/>
              <w:snapToGrid w:val="0"/>
              <w:spacing w:line="360" w:lineRule="auto"/>
              <w:ind w:firstLine="420" w:firstLineChars="200"/>
            </w:pPr>
            <w:r>
              <w:rPr>
                <w:rFonts w:hint="eastAsia"/>
              </w:rPr>
              <w:t>1、</w:t>
            </w:r>
            <w:r>
              <w:t>与《</w:t>
            </w:r>
            <w:r>
              <w:rPr>
                <w:rFonts w:hint="eastAsia"/>
              </w:rPr>
              <w:t>淄川区人民政府关于龙泉镇设立新材料产业集聚区的批复</w:t>
            </w:r>
            <w:r>
              <w:t>》的符合性分析，结果见表1-</w:t>
            </w:r>
            <w:r>
              <w:rPr>
                <w:rFonts w:hint="eastAsia"/>
                <w:lang w:val="en-US" w:eastAsia="zh-CN"/>
              </w:rPr>
              <w:t>2</w:t>
            </w:r>
            <w:r>
              <w:t>。</w:t>
            </w:r>
          </w:p>
          <w:p w14:paraId="2CA26936">
            <w:pPr>
              <w:pStyle w:val="732"/>
              <w:snapToGrid w:val="0"/>
              <w:spacing w:line="360" w:lineRule="auto"/>
              <w:jc w:val="center"/>
              <w:rPr>
                <w:b/>
                <w:bCs/>
                <w:color w:val="auto"/>
                <w:sz w:val="21"/>
                <w:szCs w:val="21"/>
              </w:rPr>
            </w:pPr>
            <w:r>
              <w:rPr>
                <w:b/>
                <w:bCs/>
                <w:color w:val="auto"/>
                <w:sz w:val="21"/>
                <w:szCs w:val="21"/>
              </w:rPr>
              <w:t>表1-</w:t>
            </w:r>
            <w:r>
              <w:rPr>
                <w:rFonts w:hint="eastAsia"/>
                <w:b/>
                <w:bCs/>
                <w:color w:val="auto"/>
                <w:sz w:val="21"/>
                <w:szCs w:val="21"/>
                <w:lang w:val="en-US" w:eastAsia="zh-CN"/>
              </w:rPr>
              <w:t>2</w:t>
            </w:r>
            <w:r>
              <w:rPr>
                <w:rFonts w:hint="eastAsia"/>
                <w:b/>
                <w:bCs/>
                <w:color w:val="auto"/>
                <w:sz w:val="21"/>
                <w:szCs w:val="21"/>
              </w:rPr>
              <w:t>本项目</w:t>
            </w:r>
            <w:r>
              <w:rPr>
                <w:b/>
                <w:bCs/>
                <w:color w:val="auto"/>
                <w:sz w:val="21"/>
                <w:szCs w:val="21"/>
              </w:rPr>
              <w:t>与《</w:t>
            </w:r>
            <w:r>
              <w:rPr>
                <w:rFonts w:hint="eastAsia"/>
                <w:b/>
                <w:bCs/>
                <w:color w:val="auto"/>
                <w:sz w:val="21"/>
                <w:szCs w:val="21"/>
              </w:rPr>
              <w:t>淄川区人民政府关于龙泉镇设立新材料产业集聚区的批复</w:t>
            </w:r>
            <w:r>
              <w:rPr>
                <w:b/>
                <w:bCs/>
                <w:color w:val="auto"/>
                <w:sz w:val="21"/>
                <w:szCs w:val="21"/>
              </w:rPr>
              <w:t>》的符合性分析</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6"/>
              <w:gridCol w:w="3497"/>
              <w:gridCol w:w="1847"/>
              <w:gridCol w:w="756"/>
            </w:tblGrid>
            <w:tr w14:paraId="7E0EB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050" w:type="pct"/>
                  <w:gridSpan w:val="2"/>
                  <w:noWrap w:val="0"/>
                  <w:vAlign w:val="center"/>
                </w:tcPr>
                <w:p w14:paraId="15539E50">
                  <w:pPr>
                    <w:jc w:val="center"/>
                    <w:rPr>
                      <w:sz w:val="18"/>
                      <w:szCs w:val="18"/>
                    </w:rPr>
                  </w:pPr>
                  <w:r>
                    <w:rPr>
                      <w:sz w:val="18"/>
                      <w:szCs w:val="18"/>
                    </w:rPr>
                    <w:t>评价结论</w:t>
                  </w:r>
                </w:p>
              </w:tc>
              <w:tc>
                <w:tcPr>
                  <w:tcW w:w="1383" w:type="pct"/>
                  <w:noWrap w:val="0"/>
                  <w:vAlign w:val="center"/>
                </w:tcPr>
                <w:p w14:paraId="159EF98F">
                  <w:pPr>
                    <w:jc w:val="center"/>
                    <w:rPr>
                      <w:sz w:val="18"/>
                      <w:szCs w:val="18"/>
                    </w:rPr>
                  </w:pPr>
                  <w:r>
                    <w:rPr>
                      <w:sz w:val="18"/>
                      <w:szCs w:val="18"/>
                    </w:rPr>
                    <w:t>拟建项目</w:t>
                  </w:r>
                </w:p>
              </w:tc>
              <w:tc>
                <w:tcPr>
                  <w:tcW w:w="566" w:type="pct"/>
                  <w:noWrap w:val="0"/>
                  <w:vAlign w:val="center"/>
                </w:tcPr>
                <w:p w14:paraId="17BC3199">
                  <w:pPr>
                    <w:jc w:val="center"/>
                    <w:rPr>
                      <w:sz w:val="18"/>
                      <w:szCs w:val="18"/>
                    </w:rPr>
                  </w:pPr>
                  <w:r>
                    <w:rPr>
                      <w:sz w:val="18"/>
                      <w:szCs w:val="18"/>
                    </w:rPr>
                    <w:t>符合性</w:t>
                  </w:r>
                </w:p>
              </w:tc>
            </w:tr>
            <w:tr w14:paraId="1AEC2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noWrap w:val="0"/>
                  <w:vAlign w:val="center"/>
                </w:tcPr>
                <w:p w14:paraId="3EC6C488">
                  <w:pPr>
                    <w:jc w:val="center"/>
                    <w:rPr>
                      <w:sz w:val="18"/>
                      <w:szCs w:val="18"/>
                    </w:rPr>
                  </w:pPr>
                  <w:r>
                    <w:rPr>
                      <w:rFonts w:hint="eastAsia"/>
                      <w:sz w:val="18"/>
                      <w:szCs w:val="18"/>
                    </w:rPr>
                    <w:t>一</w:t>
                  </w:r>
                </w:p>
              </w:tc>
              <w:tc>
                <w:tcPr>
                  <w:tcW w:w="2619" w:type="pct"/>
                  <w:noWrap w:val="0"/>
                  <w:vAlign w:val="center"/>
                </w:tcPr>
                <w:p w14:paraId="14530D96">
                  <w:pPr>
                    <w:jc w:val="center"/>
                    <w:rPr>
                      <w:rFonts w:hint="eastAsia"/>
                      <w:sz w:val="18"/>
                      <w:szCs w:val="18"/>
                    </w:rPr>
                  </w:pPr>
                  <w:r>
                    <w:rPr>
                      <w:rFonts w:hint="eastAsia"/>
                      <w:sz w:val="18"/>
                      <w:szCs w:val="18"/>
                    </w:rPr>
                    <w:t>一、集聚区位于淄川区南部，东至湖南路，西至原台头煤井，南至圈子村，北至和庄村，中心地块以淄博广通化工有限公司，淄博英吉新材料有限公司为中心，辐射原柳泉石矿渣土山、台头村原建陶厂、台头煤井，龙一、龙二、龙三煤井等地块，规划面积210.75公顷。</w:t>
                  </w:r>
                </w:p>
              </w:tc>
              <w:tc>
                <w:tcPr>
                  <w:tcW w:w="1383" w:type="pct"/>
                  <w:noWrap w:val="0"/>
                  <w:vAlign w:val="center"/>
                </w:tcPr>
                <w:p w14:paraId="1AF6F7CF">
                  <w:pPr>
                    <w:jc w:val="center"/>
                    <w:rPr>
                      <w:color w:val="auto"/>
                      <w:sz w:val="18"/>
                      <w:szCs w:val="18"/>
                    </w:rPr>
                  </w:pPr>
                  <w:r>
                    <w:rPr>
                      <w:rFonts w:hint="eastAsia"/>
                      <w:color w:val="auto"/>
                      <w:sz w:val="18"/>
                      <w:szCs w:val="18"/>
                    </w:rPr>
                    <w:t>本项目位于</w:t>
                  </w:r>
                  <w:r>
                    <w:rPr>
                      <w:rFonts w:hint="eastAsia"/>
                      <w:color w:val="auto"/>
                      <w:sz w:val="18"/>
                      <w:szCs w:val="18"/>
                      <w:lang w:eastAsia="zh-CN"/>
                    </w:rPr>
                    <w:t>淄博市淄川区龙泉镇和庄村北450m</w:t>
                  </w:r>
                  <w:r>
                    <w:rPr>
                      <w:rFonts w:hint="eastAsia"/>
                      <w:color w:val="auto"/>
                      <w:sz w:val="18"/>
                      <w:szCs w:val="18"/>
                    </w:rPr>
                    <w:t>，属于新材料产业集聚区规划范围内</w:t>
                  </w:r>
                  <w:r>
                    <w:rPr>
                      <w:color w:val="auto"/>
                      <w:sz w:val="18"/>
                      <w:szCs w:val="18"/>
                    </w:rPr>
                    <w:t>。</w:t>
                  </w:r>
                </w:p>
              </w:tc>
              <w:tc>
                <w:tcPr>
                  <w:tcW w:w="566" w:type="pct"/>
                  <w:noWrap w:val="0"/>
                  <w:vAlign w:val="center"/>
                </w:tcPr>
                <w:p w14:paraId="1849AB13">
                  <w:pPr>
                    <w:jc w:val="center"/>
                    <w:rPr>
                      <w:sz w:val="18"/>
                      <w:szCs w:val="18"/>
                    </w:rPr>
                  </w:pPr>
                  <w:r>
                    <w:rPr>
                      <w:sz w:val="18"/>
                      <w:szCs w:val="18"/>
                    </w:rPr>
                    <w:t>符合</w:t>
                  </w:r>
                </w:p>
              </w:tc>
            </w:tr>
            <w:tr w14:paraId="09190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noWrap w:val="0"/>
                  <w:vAlign w:val="center"/>
                </w:tcPr>
                <w:p w14:paraId="26D4E221">
                  <w:pPr>
                    <w:jc w:val="center"/>
                    <w:rPr>
                      <w:sz w:val="18"/>
                      <w:szCs w:val="18"/>
                    </w:rPr>
                  </w:pPr>
                  <w:r>
                    <w:rPr>
                      <w:rFonts w:hint="eastAsia"/>
                      <w:sz w:val="18"/>
                      <w:szCs w:val="18"/>
                    </w:rPr>
                    <w:t>二</w:t>
                  </w:r>
                </w:p>
              </w:tc>
              <w:tc>
                <w:tcPr>
                  <w:tcW w:w="2619" w:type="pct"/>
                  <w:noWrap w:val="0"/>
                  <w:vAlign w:val="center"/>
                </w:tcPr>
                <w:p w14:paraId="51942EBF">
                  <w:pPr>
                    <w:jc w:val="center"/>
                    <w:rPr>
                      <w:sz w:val="18"/>
                      <w:szCs w:val="18"/>
                    </w:rPr>
                  </w:pPr>
                  <w:r>
                    <w:rPr>
                      <w:rFonts w:hint="eastAsia"/>
                      <w:sz w:val="18"/>
                      <w:szCs w:val="18"/>
                    </w:rPr>
                    <w:t>集聚区规划和发展须符合国家产业政策和地方产业规划。集聚区规划与建设须符合规划部门的总体规划和要求，并适时办理相关手续。</w:t>
                  </w:r>
                </w:p>
              </w:tc>
              <w:tc>
                <w:tcPr>
                  <w:tcW w:w="1383" w:type="pct"/>
                  <w:noWrap w:val="0"/>
                  <w:vAlign w:val="center"/>
                </w:tcPr>
                <w:p w14:paraId="21B5D3AE">
                  <w:pPr>
                    <w:jc w:val="center"/>
                    <w:rPr>
                      <w:color w:val="auto"/>
                      <w:sz w:val="18"/>
                      <w:szCs w:val="18"/>
                    </w:rPr>
                  </w:pPr>
                  <w:r>
                    <w:rPr>
                      <w:rFonts w:hint="eastAsia"/>
                      <w:color w:val="auto"/>
                      <w:sz w:val="18"/>
                      <w:szCs w:val="18"/>
                    </w:rPr>
                    <w:t>本项目不属于</w:t>
                  </w:r>
                  <w:r>
                    <w:rPr>
                      <w:rFonts w:hint="eastAsia"/>
                      <w:color w:val="auto"/>
                      <w:sz w:val="18"/>
                      <w:szCs w:val="18"/>
                      <w:lang w:eastAsia="zh-CN"/>
                    </w:rPr>
                    <w:t>《产业结构调整指导目录（2024年）》</w:t>
                  </w:r>
                  <w:r>
                    <w:rPr>
                      <w:rFonts w:hint="eastAsia"/>
                      <w:color w:val="auto"/>
                      <w:sz w:val="18"/>
                      <w:szCs w:val="18"/>
                    </w:rPr>
                    <w:t>中淘汰类、限制类项目，符合国家产业政策</w:t>
                  </w:r>
                  <w:r>
                    <w:rPr>
                      <w:color w:val="auto"/>
                      <w:sz w:val="18"/>
                      <w:szCs w:val="18"/>
                    </w:rPr>
                    <w:t>。</w:t>
                  </w:r>
                  <w:r>
                    <w:rPr>
                      <w:rFonts w:hint="eastAsia"/>
                      <w:color w:val="auto"/>
                      <w:sz w:val="18"/>
                      <w:szCs w:val="18"/>
                    </w:rPr>
                    <w:t>正在办理环评手续。</w:t>
                  </w:r>
                </w:p>
              </w:tc>
              <w:tc>
                <w:tcPr>
                  <w:tcW w:w="566" w:type="pct"/>
                  <w:noWrap w:val="0"/>
                  <w:vAlign w:val="center"/>
                </w:tcPr>
                <w:p w14:paraId="02BC8D06">
                  <w:pPr>
                    <w:jc w:val="center"/>
                    <w:rPr>
                      <w:sz w:val="18"/>
                      <w:szCs w:val="18"/>
                    </w:rPr>
                  </w:pPr>
                  <w:r>
                    <w:rPr>
                      <w:sz w:val="18"/>
                      <w:szCs w:val="18"/>
                    </w:rPr>
                    <w:t>符合</w:t>
                  </w:r>
                </w:p>
              </w:tc>
            </w:tr>
            <w:tr w14:paraId="7BFE5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noWrap w:val="0"/>
                  <w:vAlign w:val="center"/>
                </w:tcPr>
                <w:p w14:paraId="597D4C75">
                  <w:pPr>
                    <w:jc w:val="center"/>
                    <w:rPr>
                      <w:rFonts w:hint="eastAsia"/>
                      <w:sz w:val="18"/>
                      <w:szCs w:val="18"/>
                    </w:rPr>
                  </w:pPr>
                  <w:r>
                    <w:rPr>
                      <w:rFonts w:hint="eastAsia"/>
                      <w:sz w:val="18"/>
                      <w:szCs w:val="18"/>
                    </w:rPr>
                    <w:t>三</w:t>
                  </w:r>
                </w:p>
              </w:tc>
              <w:tc>
                <w:tcPr>
                  <w:tcW w:w="2619" w:type="pct"/>
                  <w:noWrap w:val="0"/>
                  <w:vAlign w:val="center"/>
                </w:tcPr>
                <w:p w14:paraId="0BC6B028">
                  <w:pPr>
                    <w:jc w:val="center"/>
                    <w:rPr>
                      <w:sz w:val="18"/>
                      <w:szCs w:val="18"/>
                    </w:rPr>
                  </w:pPr>
                  <w:r>
                    <w:rPr>
                      <w:rFonts w:hint="eastAsia"/>
                      <w:sz w:val="18"/>
                      <w:szCs w:val="18"/>
                    </w:rPr>
                    <w:t>集聚区用地须符合国土资源部门的规划和要求。并适时办理相关手续。</w:t>
                  </w:r>
                </w:p>
              </w:tc>
              <w:tc>
                <w:tcPr>
                  <w:tcW w:w="1383" w:type="pct"/>
                  <w:noWrap w:val="0"/>
                  <w:vAlign w:val="center"/>
                </w:tcPr>
                <w:p w14:paraId="53FB6922">
                  <w:pPr>
                    <w:jc w:val="center"/>
                    <w:rPr>
                      <w:sz w:val="18"/>
                      <w:szCs w:val="18"/>
                    </w:rPr>
                  </w:pPr>
                  <w:r>
                    <w:rPr>
                      <w:rFonts w:hint="eastAsia"/>
                      <w:sz w:val="18"/>
                      <w:szCs w:val="18"/>
                    </w:rPr>
                    <w:t>本项目符合国土资源部门的规划和要求</w:t>
                  </w:r>
                  <w:r>
                    <w:rPr>
                      <w:sz w:val="18"/>
                      <w:szCs w:val="18"/>
                    </w:rPr>
                    <w:t>。</w:t>
                  </w:r>
                </w:p>
              </w:tc>
              <w:tc>
                <w:tcPr>
                  <w:tcW w:w="566" w:type="pct"/>
                  <w:noWrap w:val="0"/>
                  <w:vAlign w:val="center"/>
                </w:tcPr>
                <w:p w14:paraId="099297D4">
                  <w:pPr>
                    <w:jc w:val="center"/>
                    <w:rPr>
                      <w:sz w:val="18"/>
                      <w:szCs w:val="18"/>
                    </w:rPr>
                  </w:pPr>
                  <w:r>
                    <w:rPr>
                      <w:sz w:val="18"/>
                      <w:szCs w:val="18"/>
                    </w:rPr>
                    <w:t>符合</w:t>
                  </w:r>
                </w:p>
              </w:tc>
            </w:tr>
          </w:tbl>
          <w:p w14:paraId="538232C8">
            <w:pPr>
              <w:autoSpaceDE w:val="0"/>
              <w:autoSpaceDN w:val="0"/>
              <w:adjustRightInd w:val="0"/>
              <w:snapToGrid w:val="0"/>
              <w:jc w:val="center"/>
              <w:rPr>
                <w:color w:val="auto"/>
              </w:rPr>
            </w:pPr>
          </w:p>
        </w:tc>
      </w:tr>
      <w:tr w14:paraId="61C836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92" w:type="dxa"/>
            <w:vAlign w:val="center"/>
          </w:tcPr>
          <w:p w14:paraId="4B35AAB2">
            <w:pPr>
              <w:autoSpaceDE w:val="0"/>
              <w:autoSpaceDN w:val="0"/>
              <w:adjustRightInd w:val="0"/>
              <w:snapToGrid w:val="0"/>
              <w:spacing w:line="420" w:lineRule="exact"/>
              <w:jc w:val="center"/>
              <w:rPr>
                <w:color w:val="FF0000"/>
                <w:kern w:val="0"/>
              </w:rPr>
            </w:pPr>
            <w:r>
              <w:rPr>
                <w:color w:val="auto"/>
                <w:kern w:val="0"/>
              </w:rPr>
              <w:t>其他符合性分析</w:t>
            </w:r>
          </w:p>
        </w:tc>
        <w:tc>
          <w:tcPr>
            <w:tcW w:w="8378" w:type="dxa"/>
            <w:gridSpan w:val="4"/>
            <w:vAlign w:val="center"/>
          </w:tcPr>
          <w:p w14:paraId="6FB75EA7">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b/>
                <w:color w:val="auto"/>
                <w:highlight w:val="none"/>
              </w:rPr>
            </w:pPr>
            <w:r>
              <w:rPr>
                <w:b/>
                <w:color w:val="auto"/>
                <w:highlight w:val="none"/>
              </w:rPr>
              <w:t>一、</w:t>
            </w:r>
            <w:r>
              <w:rPr>
                <w:rFonts w:hint="eastAsia"/>
                <w:b/>
                <w:color w:val="auto"/>
                <w:highlight w:val="none"/>
              </w:rPr>
              <w:t>“生态环境分区管控”</w:t>
            </w:r>
            <w:r>
              <w:rPr>
                <w:rFonts w:hint="default"/>
                <w:b/>
                <w:color w:val="auto"/>
                <w:highlight w:val="none"/>
              </w:rPr>
              <w:t>符合性分析</w:t>
            </w:r>
          </w:p>
          <w:p w14:paraId="063A29A7">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bCs/>
                <w:color w:val="auto"/>
                <w:highlight w:val="none"/>
              </w:rPr>
            </w:pPr>
            <w:r>
              <w:rPr>
                <w:rFonts w:hint="eastAsia" w:ascii="Times New Roman" w:hAnsi="Times New Roman" w:cs="Times New Roman"/>
                <w:color w:val="auto"/>
                <w:highlight w:val="none"/>
                <w:lang w:eastAsia="zh-CN"/>
              </w:rPr>
              <w:t>根据</w:t>
            </w:r>
            <w:r>
              <w:rPr>
                <w:rFonts w:hint="eastAsia"/>
                <w:bCs/>
                <w:color w:val="auto"/>
                <w:highlight w:val="none"/>
              </w:rPr>
              <w:t>淄博市生态环境委员会办公室于2024年4月18日发布的《关于印发&lt;淄博市2023年生态环境分区管控成果动态更新项目生态环境准入清单&gt;的通知》</w:t>
            </w:r>
            <w:r>
              <w:rPr>
                <w:rFonts w:hint="default" w:ascii="Times New Roman" w:hAnsi="Times New Roman" w:cs="Times New Roman"/>
                <w:color w:val="auto"/>
                <w:kern w:val="0"/>
                <w:szCs w:val="21"/>
                <w:highlight w:val="none"/>
                <w:lang w:val="zh-CN"/>
              </w:rPr>
              <w:t>，本项目位于</w:t>
            </w:r>
            <w:r>
              <w:rPr>
                <w:rFonts w:hint="default" w:ascii="Times New Roman" w:hAnsi="Times New Roman" w:cs="Times New Roman"/>
                <w:color w:val="auto"/>
                <w:kern w:val="0"/>
                <w:szCs w:val="21"/>
                <w:highlight w:val="none"/>
                <w:lang w:val="en-US" w:eastAsia="zh-CN"/>
              </w:rPr>
              <w:t>淄川区</w:t>
            </w:r>
            <w:r>
              <w:rPr>
                <w:rFonts w:hint="eastAsia" w:cs="Times New Roman"/>
                <w:color w:val="auto"/>
                <w:kern w:val="0"/>
                <w:szCs w:val="21"/>
                <w:highlight w:val="none"/>
                <w:lang w:val="en-US" w:eastAsia="zh-CN"/>
              </w:rPr>
              <w:t>龙泉镇</w:t>
            </w:r>
            <w:r>
              <w:rPr>
                <w:rFonts w:hint="default" w:ascii="Times New Roman" w:hAnsi="Times New Roman" w:cs="Times New Roman"/>
                <w:color w:val="auto"/>
                <w:kern w:val="0"/>
                <w:szCs w:val="21"/>
                <w:highlight w:val="none"/>
                <w:lang w:val="zh-CN"/>
              </w:rPr>
              <w:t>，管控单元名称</w:t>
            </w:r>
            <w:r>
              <w:rPr>
                <w:rFonts w:hint="default" w:ascii="Times New Roman" w:hAnsi="Times New Roman" w:cs="Times New Roman"/>
                <w:color w:val="auto"/>
                <w:kern w:val="0"/>
                <w:szCs w:val="21"/>
                <w:highlight w:val="none"/>
              </w:rPr>
              <w:t>为</w:t>
            </w:r>
            <w:r>
              <w:rPr>
                <w:rFonts w:hint="eastAsia" w:cs="Times New Roman"/>
                <w:color w:val="auto"/>
                <w:kern w:val="0"/>
                <w:szCs w:val="21"/>
                <w:highlight w:val="none"/>
                <w:lang w:val="en-US" w:eastAsia="zh-CN"/>
              </w:rPr>
              <w:t>龙泉镇</w:t>
            </w:r>
            <w:r>
              <w:rPr>
                <w:rFonts w:hint="default" w:ascii="Times New Roman" w:hAnsi="Times New Roman" w:cs="Times New Roman"/>
                <w:color w:val="auto"/>
                <w:kern w:val="0"/>
                <w:szCs w:val="21"/>
                <w:highlight w:val="none"/>
                <w:lang w:val="zh-CN"/>
              </w:rPr>
              <w:t>，管控单元编码ZH37030230005，为</w:t>
            </w:r>
            <w:r>
              <w:rPr>
                <w:rFonts w:hint="default" w:ascii="Times New Roman" w:hAnsi="Times New Roman" w:cs="Times New Roman"/>
                <w:color w:val="auto"/>
                <w:kern w:val="0"/>
                <w:szCs w:val="21"/>
                <w:highlight w:val="none"/>
                <w:lang w:val="zh-CN" w:eastAsia="zh-CN"/>
              </w:rPr>
              <w:t>一般管控单元</w:t>
            </w:r>
            <w:r>
              <w:rPr>
                <w:rFonts w:hint="default" w:ascii="Times New Roman" w:hAnsi="Times New Roman" w:cs="Times New Roman"/>
                <w:color w:val="auto"/>
                <w:kern w:val="0"/>
                <w:szCs w:val="21"/>
                <w:highlight w:val="none"/>
                <w:lang w:val="zh-CN"/>
              </w:rPr>
              <w:t>，</w:t>
            </w:r>
            <w:r>
              <w:rPr>
                <w:rFonts w:hint="default" w:ascii="Times New Roman" w:hAnsi="Times New Roman" w:cs="Times New Roman"/>
                <w:color w:val="auto"/>
                <w:highlight w:val="none"/>
              </w:rPr>
              <w:t>与淄博市环境管控单元位置关系见附图</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kern w:val="0"/>
                <w:szCs w:val="21"/>
                <w:highlight w:val="none"/>
              </w:rPr>
              <w:t>。本项目与该</w:t>
            </w:r>
            <w:r>
              <w:rPr>
                <w:rFonts w:hint="default" w:ascii="Times New Roman" w:hAnsi="Times New Roman" w:cs="Times New Roman"/>
                <w:color w:val="auto"/>
                <w:kern w:val="0"/>
                <w:szCs w:val="21"/>
                <w:highlight w:val="none"/>
                <w:lang w:val="zh-CN"/>
              </w:rPr>
              <w:t>管控区生态环境准入要求的符合性分析结果见表</w:t>
            </w:r>
            <w:r>
              <w:rPr>
                <w:rFonts w:hint="default" w:ascii="Times New Roman" w:hAnsi="Times New Roman" w:cs="Times New Roman"/>
                <w:color w:val="auto"/>
                <w:highlight w:val="none"/>
              </w:rPr>
              <w:t>1-</w:t>
            </w:r>
            <w:r>
              <w:rPr>
                <w:rFonts w:hint="eastAsia" w:cs="Times New Roman"/>
                <w:color w:val="auto"/>
                <w:highlight w:val="none"/>
                <w:lang w:val="en-US" w:eastAsia="zh-CN"/>
              </w:rPr>
              <w:t>3</w:t>
            </w:r>
            <w:r>
              <w:rPr>
                <w:bCs/>
                <w:color w:val="auto"/>
                <w:highlight w:val="none"/>
              </w:rPr>
              <w:t>：</w:t>
            </w:r>
          </w:p>
          <w:p w14:paraId="3A851268">
            <w:pPr>
              <w:keepNext w:val="0"/>
              <w:keepLines w:val="0"/>
              <w:pageBreakBefore w:val="0"/>
              <w:widowControl w:val="0"/>
              <w:kinsoku/>
              <w:wordWrap/>
              <w:overflowPunct/>
              <w:topLinePunct w:val="0"/>
              <w:bidi w:val="0"/>
              <w:adjustRightInd w:val="0"/>
              <w:snapToGrid w:val="0"/>
              <w:spacing w:line="360" w:lineRule="auto"/>
              <w:jc w:val="center"/>
              <w:textAlignment w:val="auto"/>
              <w:rPr>
                <w:b/>
                <w:bCs/>
                <w:color w:val="auto"/>
                <w:szCs w:val="24"/>
                <w:highlight w:val="none"/>
              </w:rPr>
            </w:pPr>
            <w:r>
              <w:rPr>
                <w:b/>
                <w:bCs/>
                <w:color w:val="auto"/>
                <w:szCs w:val="24"/>
                <w:highlight w:val="none"/>
              </w:rPr>
              <w:t>表1-</w:t>
            </w:r>
            <w:r>
              <w:rPr>
                <w:rFonts w:hint="eastAsia"/>
                <w:b/>
                <w:bCs/>
                <w:color w:val="auto"/>
                <w:szCs w:val="24"/>
                <w:highlight w:val="none"/>
                <w:lang w:val="en-US" w:eastAsia="zh-CN"/>
              </w:rPr>
              <w:t>3</w:t>
            </w:r>
            <w:r>
              <w:rPr>
                <w:b/>
                <w:bCs/>
                <w:color w:val="auto"/>
                <w:szCs w:val="24"/>
                <w:highlight w:val="none"/>
              </w:rPr>
              <w:t xml:space="preserve"> 生态环境准入清单要求</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4471"/>
              <w:gridCol w:w="2995"/>
            </w:tblGrid>
            <w:tr w14:paraId="3B27E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14:paraId="3903ADC9">
                  <w:pPr>
                    <w:pStyle w:val="82"/>
                    <w:keepNext w:val="0"/>
                    <w:keepLines w:val="0"/>
                    <w:pageBreakBefore w:val="0"/>
                    <w:widowControl w:val="0"/>
                    <w:wordWrap/>
                    <w:topLinePunct w:val="0"/>
                    <w:bidi w:val="0"/>
                    <w:adjustRightInd w:val="0"/>
                    <w:snapToGrid w:val="0"/>
                    <w:spacing w:after="0"/>
                    <w:ind w:left="0" w:leftChars="0" w:firstLine="0" w:firstLineChars="0"/>
                    <w:jc w:val="center"/>
                    <w:textAlignment w:val="auto"/>
                    <w:rPr>
                      <w:b/>
                      <w:bCs/>
                      <w:color w:val="auto"/>
                      <w:sz w:val="18"/>
                      <w:szCs w:val="21"/>
                      <w:highlight w:val="none"/>
                    </w:rPr>
                  </w:pPr>
                  <w:r>
                    <w:rPr>
                      <w:b/>
                      <w:bCs/>
                      <w:color w:val="auto"/>
                      <w:sz w:val="18"/>
                      <w:szCs w:val="21"/>
                      <w:highlight w:val="none"/>
                    </w:rPr>
                    <w:t>分类</w:t>
                  </w:r>
                </w:p>
              </w:tc>
              <w:tc>
                <w:tcPr>
                  <w:tcW w:w="4471" w:type="dxa"/>
                  <w:vAlign w:val="center"/>
                </w:tcPr>
                <w:p w14:paraId="052C1E67">
                  <w:pPr>
                    <w:pStyle w:val="82"/>
                    <w:keepNext w:val="0"/>
                    <w:keepLines w:val="0"/>
                    <w:pageBreakBefore w:val="0"/>
                    <w:widowControl w:val="0"/>
                    <w:wordWrap/>
                    <w:topLinePunct w:val="0"/>
                    <w:bidi w:val="0"/>
                    <w:adjustRightInd w:val="0"/>
                    <w:snapToGrid w:val="0"/>
                    <w:spacing w:after="0"/>
                    <w:ind w:left="0" w:leftChars="0" w:firstLine="0" w:firstLineChars="0"/>
                    <w:jc w:val="center"/>
                    <w:textAlignment w:val="auto"/>
                    <w:rPr>
                      <w:b/>
                      <w:bCs/>
                      <w:color w:val="auto"/>
                      <w:sz w:val="18"/>
                      <w:szCs w:val="21"/>
                      <w:highlight w:val="none"/>
                    </w:rPr>
                  </w:pPr>
                  <w:r>
                    <w:rPr>
                      <w:b/>
                      <w:bCs/>
                      <w:color w:val="auto"/>
                      <w:sz w:val="18"/>
                      <w:szCs w:val="21"/>
                      <w:highlight w:val="none"/>
                    </w:rPr>
                    <w:t>要求</w:t>
                  </w:r>
                </w:p>
              </w:tc>
              <w:tc>
                <w:tcPr>
                  <w:tcW w:w="2995" w:type="dxa"/>
                  <w:vAlign w:val="center"/>
                </w:tcPr>
                <w:p w14:paraId="3D0B0AA6">
                  <w:pPr>
                    <w:pStyle w:val="82"/>
                    <w:keepNext w:val="0"/>
                    <w:keepLines w:val="0"/>
                    <w:pageBreakBefore w:val="0"/>
                    <w:widowControl w:val="0"/>
                    <w:wordWrap/>
                    <w:topLinePunct w:val="0"/>
                    <w:bidi w:val="0"/>
                    <w:adjustRightInd w:val="0"/>
                    <w:snapToGrid w:val="0"/>
                    <w:spacing w:after="0"/>
                    <w:ind w:left="0" w:leftChars="0" w:firstLine="0" w:firstLineChars="0"/>
                    <w:jc w:val="center"/>
                    <w:textAlignment w:val="auto"/>
                    <w:rPr>
                      <w:b/>
                      <w:bCs/>
                      <w:color w:val="FF0000"/>
                      <w:sz w:val="18"/>
                      <w:szCs w:val="21"/>
                      <w:highlight w:val="none"/>
                    </w:rPr>
                  </w:pPr>
                  <w:r>
                    <w:rPr>
                      <w:b/>
                      <w:bCs/>
                      <w:color w:val="auto"/>
                      <w:sz w:val="18"/>
                      <w:szCs w:val="21"/>
                      <w:highlight w:val="none"/>
                    </w:rPr>
                    <w:t>符合性分析</w:t>
                  </w:r>
                </w:p>
              </w:tc>
            </w:tr>
            <w:tr w14:paraId="27439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14:paraId="236EAC18">
                  <w:pPr>
                    <w:pStyle w:val="82"/>
                    <w:keepNext w:val="0"/>
                    <w:keepLines w:val="0"/>
                    <w:pageBreakBefore w:val="0"/>
                    <w:widowControl w:val="0"/>
                    <w:wordWrap/>
                    <w:topLinePunct w:val="0"/>
                    <w:bidi w:val="0"/>
                    <w:spacing w:after="0"/>
                    <w:ind w:left="0" w:leftChars="0" w:firstLine="0" w:firstLineChars="0"/>
                    <w:jc w:val="center"/>
                    <w:textAlignment w:val="auto"/>
                    <w:rPr>
                      <w:color w:val="auto"/>
                      <w:sz w:val="18"/>
                      <w:szCs w:val="18"/>
                      <w:highlight w:val="none"/>
                    </w:rPr>
                  </w:pPr>
                  <w:r>
                    <w:rPr>
                      <w:color w:val="auto"/>
                      <w:sz w:val="18"/>
                      <w:szCs w:val="18"/>
                      <w:highlight w:val="none"/>
                    </w:rPr>
                    <w:t>空间布局约束</w:t>
                  </w:r>
                </w:p>
              </w:tc>
              <w:tc>
                <w:tcPr>
                  <w:tcW w:w="4471" w:type="dxa"/>
                  <w:shd w:val="clear" w:color="auto" w:fill="auto"/>
                  <w:vAlign w:val="center"/>
                </w:tcPr>
                <w:p w14:paraId="1C83F2CB">
                  <w:pPr>
                    <w:pStyle w:val="82"/>
                    <w:adjustRightInd w:val="0"/>
                    <w:snapToGrid w:val="0"/>
                    <w:spacing w:after="0"/>
                    <w:ind w:left="0" w:leftChars="0" w:firstLine="0" w:firstLineChars="0"/>
                    <w:rPr>
                      <w:color w:val="auto"/>
                      <w:sz w:val="18"/>
                      <w:szCs w:val="21"/>
                      <w:highlight w:val="none"/>
                    </w:rPr>
                  </w:pPr>
                  <w:r>
                    <w:rPr>
                      <w:color w:val="auto"/>
                      <w:sz w:val="18"/>
                      <w:szCs w:val="21"/>
                      <w:highlight w:val="none"/>
                    </w:rPr>
                    <w:t>1.禁止新建、扩建《产业结构调整指导目录》（现行）明确的淘汰类项目和引入《市场准入负面清单》（现行）禁止准入类事项；鼓励对列入《产业结构调整指导目录》的限制类、淘汰类工业项目进行淘汰和提升改造。</w:t>
                  </w:r>
                  <w:r>
                    <w:rPr>
                      <w:color w:val="auto"/>
                      <w:sz w:val="18"/>
                      <w:szCs w:val="21"/>
                      <w:highlight w:val="none"/>
                    </w:rPr>
                    <w:br w:type="textWrapping"/>
                  </w:r>
                  <w:r>
                    <w:rPr>
                      <w:color w:val="auto"/>
                      <w:sz w:val="18"/>
                      <w:szCs w:val="21"/>
                      <w:highlight w:val="none"/>
                    </w:rPr>
                    <w:t>2.按照省市要求，严格控制“两高”项目，新建“两高”项目实行“五个减量替代”。</w:t>
                  </w:r>
                </w:p>
                <w:p w14:paraId="0D2E8A56">
                  <w:pPr>
                    <w:pStyle w:val="82"/>
                    <w:adjustRightInd w:val="0"/>
                    <w:snapToGrid w:val="0"/>
                    <w:spacing w:after="0"/>
                    <w:ind w:left="0" w:leftChars="0" w:firstLine="0" w:firstLineChars="0"/>
                    <w:rPr>
                      <w:rFonts w:ascii="Times New Roman" w:hAnsi="Times New Roman" w:eastAsia="宋体" w:cs="Times New Roman"/>
                      <w:color w:val="auto"/>
                      <w:kern w:val="0"/>
                      <w:sz w:val="18"/>
                      <w:szCs w:val="21"/>
                      <w:highlight w:val="none"/>
                      <w:lang w:val="en-US" w:eastAsia="zh-CN" w:bidi="ar-SA"/>
                    </w:rPr>
                  </w:pPr>
                  <w:r>
                    <w:rPr>
                      <w:color w:val="auto"/>
                      <w:sz w:val="18"/>
                      <w:szCs w:val="21"/>
                      <w:highlight w:val="none"/>
                    </w:rPr>
                    <w:t>3.生态保护红线外的生态空间，依法依规以保护为主，严格限制大规模、高强度的区域开发，并根据其主导生态功能进行分类管控。</w:t>
                  </w:r>
                  <w:r>
                    <w:rPr>
                      <w:color w:val="auto"/>
                      <w:sz w:val="18"/>
                      <w:szCs w:val="21"/>
                      <w:highlight w:val="none"/>
                    </w:rPr>
                    <w:br w:type="textWrapping"/>
                  </w:r>
                  <w:r>
                    <w:rPr>
                      <w:color w:val="auto"/>
                      <w:sz w:val="18"/>
                      <w:szCs w:val="21"/>
                      <w:highlight w:val="none"/>
                    </w:rPr>
                    <w:t>4.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r>
                    <w:rPr>
                      <w:color w:val="auto"/>
                      <w:sz w:val="18"/>
                      <w:szCs w:val="21"/>
                      <w:highlight w:val="none"/>
                    </w:rPr>
                    <w:br w:type="textWrapping"/>
                  </w:r>
                  <w:r>
                    <w:rPr>
                      <w:color w:val="auto"/>
                      <w:sz w:val="18"/>
                      <w:szCs w:val="21"/>
                      <w:highlight w:val="none"/>
                    </w:rPr>
                    <w:t>5.污水处理设施不健全、未正常运行或污水管网未覆盖的地区，未配套污水处理设施的项目不得建设。</w:t>
                  </w:r>
                  <w:r>
                    <w:rPr>
                      <w:color w:val="auto"/>
                      <w:sz w:val="18"/>
                      <w:szCs w:val="21"/>
                      <w:highlight w:val="none"/>
                    </w:rPr>
                    <w:br w:type="textWrapping"/>
                  </w:r>
                  <w:r>
                    <w:rPr>
                      <w:color w:val="auto"/>
                      <w:sz w:val="18"/>
                      <w:szCs w:val="21"/>
                      <w:highlight w:val="none"/>
                    </w:rPr>
                    <w:t>6.新建有污染物排放的工业项目，除在安全生产等方面有特殊要求的以外，应当进入工业园区或工业聚集区。</w:t>
                  </w:r>
                </w:p>
              </w:tc>
              <w:tc>
                <w:tcPr>
                  <w:tcW w:w="2995" w:type="dxa"/>
                  <w:vAlign w:val="center"/>
                </w:tcPr>
                <w:p w14:paraId="03103072">
                  <w:pPr>
                    <w:pStyle w:val="82"/>
                    <w:keepNext w:val="0"/>
                    <w:keepLines w:val="0"/>
                    <w:pageBreakBefore w:val="0"/>
                    <w:widowControl w:val="0"/>
                    <w:wordWrap/>
                    <w:topLinePunct w:val="0"/>
                    <w:bidi w:val="0"/>
                    <w:spacing w:after="0"/>
                    <w:ind w:left="0" w:leftChars="0" w:firstLine="0" w:firstLineChars="0"/>
                    <w:textAlignment w:val="auto"/>
                    <w:rPr>
                      <w:rFonts w:hint="eastAsia"/>
                      <w:color w:val="auto"/>
                      <w:sz w:val="18"/>
                      <w:szCs w:val="18"/>
                      <w:highlight w:val="none"/>
                      <w:lang w:eastAsia="zh-CN"/>
                    </w:rPr>
                  </w:pPr>
                  <w:r>
                    <w:rPr>
                      <w:color w:val="auto"/>
                      <w:sz w:val="18"/>
                      <w:szCs w:val="18"/>
                      <w:highlight w:val="none"/>
                    </w:rPr>
                    <w:t>1.</w:t>
                  </w:r>
                  <w:r>
                    <w:rPr>
                      <w:rFonts w:hint="default" w:ascii="Times New Roman" w:hAnsi="Times New Roman" w:cs="Times New Roman" w:eastAsiaTheme="minorEastAsia"/>
                      <w:color w:val="auto"/>
                      <w:sz w:val="18"/>
                      <w:szCs w:val="18"/>
                      <w:highlight w:val="none"/>
                      <w:lang w:val="zh-CN"/>
                    </w:rPr>
                    <w:t>本项目不属于《产业结构调整指导目录（2024年本）》中的限制类和淘汰类项目，符合国家产业政策，</w:t>
                  </w:r>
                  <w:r>
                    <w:rPr>
                      <w:rFonts w:hint="default" w:ascii="Times New Roman" w:hAnsi="Times New Roman" w:cs="Times New Roman" w:eastAsiaTheme="minorEastAsia"/>
                      <w:color w:val="auto"/>
                      <w:sz w:val="18"/>
                      <w:szCs w:val="18"/>
                      <w:highlight w:val="none"/>
                    </w:rPr>
                    <w:t>为允许类项目</w:t>
                  </w:r>
                  <w:r>
                    <w:rPr>
                      <w:rFonts w:hint="eastAsia"/>
                      <w:color w:val="auto"/>
                      <w:sz w:val="18"/>
                      <w:szCs w:val="18"/>
                      <w:highlight w:val="none"/>
                      <w:lang w:eastAsia="zh-CN"/>
                    </w:rPr>
                    <w:t>。</w:t>
                  </w:r>
                </w:p>
                <w:p w14:paraId="1E95D4CA">
                  <w:pPr>
                    <w:keepNext w:val="0"/>
                    <w:keepLines w:val="0"/>
                    <w:pageBreakBefore w:val="0"/>
                    <w:widowControl w:val="0"/>
                    <w:wordWrap/>
                    <w:topLinePunct w:val="0"/>
                    <w:bidi w:val="0"/>
                    <w:ind w:left="0" w:leftChars="0"/>
                    <w:textAlignment w:val="auto"/>
                    <w:rPr>
                      <w:color w:val="auto"/>
                      <w:sz w:val="18"/>
                      <w:szCs w:val="18"/>
                      <w:highlight w:val="none"/>
                    </w:rPr>
                  </w:pPr>
                  <w:r>
                    <w:rPr>
                      <w:color w:val="auto"/>
                      <w:sz w:val="18"/>
                      <w:szCs w:val="18"/>
                      <w:highlight w:val="none"/>
                    </w:rPr>
                    <w:t>2.本项目属于</w:t>
                  </w:r>
                  <w:r>
                    <w:rPr>
                      <w:rFonts w:hint="eastAsia"/>
                      <w:color w:val="auto"/>
                      <w:sz w:val="18"/>
                      <w:szCs w:val="18"/>
                      <w:highlight w:val="none"/>
                      <w:lang w:eastAsia="zh-CN"/>
                    </w:rPr>
                    <w:t>C3099其他非金属矿物制品制造</w:t>
                  </w:r>
                  <w:r>
                    <w:rPr>
                      <w:color w:val="auto"/>
                      <w:sz w:val="18"/>
                      <w:szCs w:val="18"/>
                      <w:highlight w:val="none"/>
                    </w:rPr>
                    <w:t>，不属于</w:t>
                  </w:r>
                  <w:r>
                    <w:rPr>
                      <w:rFonts w:hint="eastAsia"/>
                      <w:color w:val="auto"/>
                      <w:sz w:val="18"/>
                      <w:szCs w:val="18"/>
                      <w:highlight w:val="none"/>
                      <w:lang w:eastAsia="zh-CN"/>
                    </w:rPr>
                    <w:t>两高</w:t>
                  </w:r>
                  <w:r>
                    <w:rPr>
                      <w:color w:val="auto"/>
                      <w:sz w:val="18"/>
                      <w:szCs w:val="18"/>
                      <w:highlight w:val="none"/>
                    </w:rPr>
                    <w:t>行业。</w:t>
                  </w:r>
                </w:p>
                <w:p w14:paraId="0001FB14">
                  <w:pPr>
                    <w:keepNext w:val="0"/>
                    <w:keepLines w:val="0"/>
                    <w:pageBreakBefore w:val="0"/>
                    <w:widowControl w:val="0"/>
                    <w:wordWrap/>
                    <w:topLinePunct w:val="0"/>
                    <w:bidi w:val="0"/>
                    <w:adjustRightInd w:val="0"/>
                    <w:snapToGrid w:val="0"/>
                    <w:ind w:left="0" w:leftChars="0"/>
                    <w:textAlignment w:val="auto"/>
                    <w:rPr>
                      <w:color w:val="auto"/>
                      <w:sz w:val="18"/>
                      <w:szCs w:val="18"/>
                      <w:highlight w:val="none"/>
                    </w:rPr>
                  </w:pPr>
                  <w:r>
                    <w:rPr>
                      <w:color w:val="auto"/>
                      <w:sz w:val="18"/>
                      <w:szCs w:val="18"/>
                      <w:highlight w:val="none"/>
                    </w:rPr>
                    <w:t>3.本项目不新征用地，租赁</w:t>
                  </w:r>
                  <w:r>
                    <w:rPr>
                      <w:rFonts w:hint="eastAsia"/>
                      <w:color w:val="auto"/>
                      <w:sz w:val="18"/>
                      <w:szCs w:val="18"/>
                      <w:highlight w:val="none"/>
                      <w:lang w:eastAsia="zh-CN"/>
                    </w:rPr>
                    <w:t>现有厂房</w:t>
                  </w:r>
                  <w:r>
                    <w:rPr>
                      <w:color w:val="auto"/>
                      <w:sz w:val="18"/>
                      <w:szCs w:val="18"/>
                      <w:highlight w:val="none"/>
                    </w:rPr>
                    <w:t>进行生产；</w:t>
                  </w:r>
                  <w:r>
                    <w:rPr>
                      <w:rFonts w:hint="eastAsia"/>
                      <w:color w:val="auto"/>
                      <w:sz w:val="18"/>
                      <w:szCs w:val="18"/>
                      <w:highlight w:val="none"/>
                      <w:lang w:eastAsia="zh-CN"/>
                    </w:rPr>
                    <w:t>建</w:t>
                  </w:r>
                  <w:r>
                    <w:rPr>
                      <w:color w:val="auto"/>
                      <w:sz w:val="18"/>
                      <w:szCs w:val="18"/>
                      <w:highlight w:val="none"/>
                    </w:rPr>
                    <w:t>设环保措施对污染物进行处理，废气排放量小；资源消耗量相对区域资源利用总量较少，对生态环境影响不大。</w:t>
                  </w:r>
                </w:p>
                <w:p w14:paraId="4555FE77">
                  <w:pPr>
                    <w:pStyle w:val="82"/>
                    <w:keepNext w:val="0"/>
                    <w:keepLines w:val="0"/>
                    <w:pageBreakBefore w:val="0"/>
                    <w:widowControl w:val="0"/>
                    <w:wordWrap/>
                    <w:topLinePunct w:val="0"/>
                    <w:bidi w:val="0"/>
                    <w:adjustRightInd w:val="0"/>
                    <w:snapToGrid w:val="0"/>
                    <w:spacing w:after="0"/>
                    <w:ind w:left="0" w:leftChars="0" w:firstLine="0" w:firstLineChars="0"/>
                    <w:textAlignment w:val="auto"/>
                    <w:rPr>
                      <w:color w:val="auto"/>
                      <w:sz w:val="18"/>
                      <w:szCs w:val="18"/>
                      <w:highlight w:val="none"/>
                    </w:rPr>
                  </w:pPr>
                  <w:r>
                    <w:rPr>
                      <w:color w:val="auto"/>
                      <w:sz w:val="18"/>
                      <w:szCs w:val="18"/>
                      <w:highlight w:val="none"/>
                    </w:rPr>
                    <w:t>4.本项目不属于</w:t>
                  </w:r>
                  <w:r>
                    <w:rPr>
                      <w:color w:val="auto"/>
                      <w:sz w:val="18"/>
                      <w:szCs w:val="21"/>
                      <w:highlight w:val="none"/>
                    </w:rPr>
                    <w:t>有色金属冶炼、石油加工、化工、焦化、电镀、制革等行业企业</w:t>
                  </w:r>
                  <w:r>
                    <w:rPr>
                      <w:color w:val="auto"/>
                      <w:sz w:val="18"/>
                      <w:szCs w:val="18"/>
                      <w:highlight w:val="none"/>
                    </w:rPr>
                    <w:t>。</w:t>
                  </w:r>
                </w:p>
                <w:p w14:paraId="6B2F15D6">
                  <w:pPr>
                    <w:pStyle w:val="82"/>
                    <w:keepNext w:val="0"/>
                    <w:keepLines w:val="0"/>
                    <w:pageBreakBefore w:val="0"/>
                    <w:widowControl w:val="0"/>
                    <w:wordWrap/>
                    <w:topLinePunct w:val="0"/>
                    <w:bidi w:val="0"/>
                    <w:adjustRightInd w:val="0"/>
                    <w:snapToGrid w:val="0"/>
                    <w:spacing w:after="0"/>
                    <w:ind w:left="0" w:leftChars="0" w:firstLine="0" w:firstLineChars="0"/>
                    <w:textAlignment w:val="auto"/>
                    <w:rPr>
                      <w:color w:val="auto"/>
                      <w:sz w:val="18"/>
                      <w:szCs w:val="18"/>
                      <w:highlight w:val="none"/>
                    </w:rPr>
                  </w:pPr>
                  <w:r>
                    <w:rPr>
                      <w:color w:val="auto"/>
                      <w:sz w:val="18"/>
                      <w:szCs w:val="18"/>
                      <w:highlight w:val="none"/>
                    </w:rPr>
                    <w:t>5.本项目废水主要为生活污水，经化粪池暂存后由环卫部门定期清运。</w:t>
                  </w:r>
                </w:p>
                <w:p w14:paraId="7706E4B6">
                  <w:pPr>
                    <w:rPr>
                      <w:rFonts w:hint="eastAsia" w:eastAsia="宋体"/>
                      <w:color w:val="FF0000"/>
                      <w:highlight w:val="none"/>
                      <w:lang w:val="en-US" w:eastAsia="zh-CN"/>
                    </w:rPr>
                  </w:pPr>
                  <w:r>
                    <w:rPr>
                      <w:rFonts w:hint="eastAsia"/>
                      <w:color w:val="auto"/>
                      <w:sz w:val="18"/>
                      <w:szCs w:val="18"/>
                      <w:highlight w:val="none"/>
                      <w:lang w:val="en-US" w:eastAsia="zh-CN"/>
                    </w:rPr>
                    <w:t>6.本项目位于龙泉镇新材料产业集聚区</w:t>
                  </w:r>
                  <w:r>
                    <w:rPr>
                      <w:rFonts w:hint="eastAsia"/>
                      <w:color w:val="auto"/>
                      <w:kern w:val="0"/>
                      <w:sz w:val="18"/>
                      <w:szCs w:val="18"/>
                      <w:highlight w:val="none"/>
                      <w:lang w:eastAsia="zh-CN"/>
                    </w:rPr>
                    <w:t>内。</w:t>
                  </w:r>
                </w:p>
              </w:tc>
            </w:tr>
            <w:tr w14:paraId="36A38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14:paraId="1209D282">
                  <w:pPr>
                    <w:pStyle w:val="82"/>
                    <w:keepNext w:val="0"/>
                    <w:keepLines w:val="0"/>
                    <w:pageBreakBefore w:val="0"/>
                    <w:widowControl w:val="0"/>
                    <w:wordWrap/>
                    <w:topLinePunct w:val="0"/>
                    <w:bidi w:val="0"/>
                    <w:spacing w:after="0"/>
                    <w:ind w:left="0" w:leftChars="0" w:firstLine="0" w:firstLineChars="0"/>
                    <w:jc w:val="center"/>
                    <w:textAlignment w:val="auto"/>
                    <w:rPr>
                      <w:color w:val="auto"/>
                      <w:sz w:val="18"/>
                      <w:szCs w:val="21"/>
                      <w:highlight w:val="none"/>
                    </w:rPr>
                  </w:pPr>
                  <w:r>
                    <w:rPr>
                      <w:color w:val="auto"/>
                      <w:sz w:val="18"/>
                      <w:szCs w:val="21"/>
                      <w:highlight w:val="none"/>
                    </w:rPr>
                    <w:t>污染物排放管控</w:t>
                  </w:r>
                </w:p>
              </w:tc>
              <w:tc>
                <w:tcPr>
                  <w:tcW w:w="4471" w:type="dxa"/>
                  <w:shd w:val="clear" w:color="auto" w:fill="auto"/>
                  <w:vAlign w:val="center"/>
                </w:tcPr>
                <w:p w14:paraId="1C3F3D87">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1.涉“两高”项目企业应当积极实施节能改造提升，提高能源使用效率，推进节能减排。</w:t>
                  </w:r>
                </w:p>
                <w:p w14:paraId="67E55913">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2.落实主要污染物总量替代要求，按照山东省生态环境厅《关于印发山东省建设项目主要大气污染物排放总量替代指标核算及管理办法的通知》，实施动态管控替代。</w:t>
                  </w:r>
                </w:p>
                <w:p w14:paraId="72D05465">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3.废水应当按照要求进行预处理，达到行业排放标准或是综合排放标准后方可排放。</w:t>
                  </w:r>
                </w:p>
                <w:p w14:paraId="47E88365">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4.禁止工业废水和生活污水未经处理直排环境；原则上除工业污水集中处理设施、城镇污水处理厂外不得新建入河排污口。</w:t>
                  </w:r>
                </w:p>
                <w:p w14:paraId="3CF47F1F">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5.化工、建材等严格按照淄博市行业环境管控要求，实施源头替代，建立健全治理设施，确保污染物稳定达标排放，做到持证排污。</w:t>
                  </w:r>
                </w:p>
                <w:p w14:paraId="72146236">
                  <w:pPr>
                    <w:pStyle w:val="82"/>
                    <w:adjustRightInd w:val="0"/>
                    <w:snapToGrid w:val="0"/>
                    <w:spacing w:after="0"/>
                    <w:ind w:left="0" w:leftChars="0" w:firstLine="0" w:firstLineChars="0"/>
                    <w:rPr>
                      <w:rFonts w:hint="eastAsia" w:ascii="Times New Roman" w:hAnsi="Times New Roman" w:eastAsia="宋体" w:cs="Times New Roman"/>
                      <w:color w:val="auto"/>
                      <w:kern w:val="0"/>
                      <w:sz w:val="18"/>
                      <w:szCs w:val="21"/>
                      <w:highlight w:val="none"/>
                      <w:lang w:val="en-US" w:eastAsia="zh-CN" w:bidi="ar-SA"/>
                    </w:rPr>
                  </w:pPr>
                  <w:r>
                    <w:rPr>
                      <w:rFonts w:hint="eastAsia"/>
                      <w:color w:val="auto"/>
                      <w:sz w:val="18"/>
                      <w:szCs w:val="21"/>
                      <w:highlight w:val="none"/>
                    </w:rPr>
                    <w:t>6.进一步加强对建设工程施工、建筑物拆除、交通运输、道路保洁、物料运输与堆存、采石取土、养护绿化等活动的扬尘管理。</w:t>
                  </w:r>
                </w:p>
              </w:tc>
              <w:tc>
                <w:tcPr>
                  <w:tcW w:w="2995" w:type="dxa"/>
                  <w:vAlign w:val="center"/>
                </w:tcPr>
                <w:p w14:paraId="0833956E">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1.本项目不属于“两高”项目。</w:t>
                  </w:r>
                </w:p>
                <w:p w14:paraId="6EE5C9CA">
                  <w:pPr>
                    <w:keepNext w:val="0"/>
                    <w:keepLines w:val="0"/>
                    <w:pageBreakBefore w:val="0"/>
                    <w:widowControl w:val="0"/>
                    <w:kinsoku w:val="0"/>
                    <w:wordWrap/>
                    <w:overflowPunct w:val="0"/>
                    <w:topLinePunct w:val="0"/>
                    <w:autoSpaceDE w:val="0"/>
                    <w:autoSpaceDN w:val="0"/>
                    <w:bidi w:val="0"/>
                    <w:ind w:left="0" w:leftChars="0"/>
                    <w:textAlignment w:val="auto"/>
                    <w:rPr>
                      <w:color w:val="auto"/>
                      <w:sz w:val="18"/>
                      <w:highlight w:val="none"/>
                    </w:rPr>
                  </w:pPr>
                  <w:r>
                    <w:rPr>
                      <w:color w:val="auto"/>
                      <w:sz w:val="18"/>
                      <w:highlight w:val="none"/>
                    </w:rPr>
                    <w:t>2.本项目建成后</w:t>
                  </w:r>
                  <w:r>
                    <w:rPr>
                      <w:rFonts w:hint="eastAsia"/>
                      <w:color w:val="auto"/>
                      <w:sz w:val="18"/>
                      <w:highlight w:val="none"/>
                      <w:lang w:eastAsia="zh-CN"/>
                    </w:rPr>
                    <w:t>需填报</w:t>
                  </w:r>
                  <w:r>
                    <w:rPr>
                      <w:color w:val="auto"/>
                      <w:sz w:val="18"/>
                      <w:highlight w:val="none"/>
                    </w:rPr>
                    <w:t>排污</w:t>
                  </w:r>
                  <w:r>
                    <w:rPr>
                      <w:rFonts w:hint="eastAsia"/>
                      <w:color w:val="auto"/>
                      <w:sz w:val="18"/>
                      <w:highlight w:val="none"/>
                      <w:lang w:eastAsia="zh-CN"/>
                    </w:rPr>
                    <w:t>登记</w:t>
                  </w:r>
                  <w:r>
                    <w:rPr>
                      <w:color w:val="auto"/>
                      <w:sz w:val="18"/>
                      <w:highlight w:val="none"/>
                    </w:rPr>
                    <w:t>；</w:t>
                  </w:r>
                  <w:r>
                    <w:rPr>
                      <w:rFonts w:hint="eastAsia"/>
                      <w:color w:val="auto"/>
                      <w:sz w:val="18"/>
                      <w:highlight w:val="none"/>
                      <w:lang w:val="en-US" w:eastAsia="zh-CN"/>
                    </w:rPr>
                    <w:t>本项目属于新建项目，</w:t>
                  </w:r>
                  <w:r>
                    <w:rPr>
                      <w:rFonts w:hint="eastAsia" w:eastAsiaTheme="minorEastAsia"/>
                      <w:color w:val="auto"/>
                      <w:sz w:val="18"/>
                      <w:szCs w:val="18"/>
                      <w:highlight w:val="none"/>
                      <w:lang w:val="en-US" w:eastAsia="zh-CN"/>
                    </w:rPr>
                    <w:t>新增颗粒物和VOCs，需</w:t>
                  </w:r>
                  <w:r>
                    <w:rPr>
                      <w:color w:val="auto"/>
                      <w:sz w:val="18"/>
                      <w:szCs w:val="18"/>
                      <w:highlight w:val="none"/>
                    </w:rPr>
                    <w:t>申请总量</w:t>
                  </w:r>
                  <w:r>
                    <w:rPr>
                      <w:rFonts w:hint="eastAsia" w:cs="Times New Roman" w:eastAsiaTheme="minorEastAsia"/>
                      <w:color w:val="auto"/>
                      <w:sz w:val="18"/>
                      <w:szCs w:val="18"/>
                      <w:highlight w:val="none"/>
                      <w:lang w:val="zh-CN"/>
                    </w:rPr>
                    <w:t>，</w:t>
                  </w:r>
                  <w:r>
                    <w:rPr>
                      <w:rFonts w:hint="eastAsia" w:cs="Times New Roman" w:eastAsiaTheme="minorEastAsia"/>
                      <w:color w:val="auto"/>
                      <w:sz w:val="18"/>
                      <w:szCs w:val="18"/>
                      <w:highlight w:val="none"/>
                      <w:lang w:val="en-US" w:eastAsia="zh-CN"/>
                    </w:rPr>
                    <w:t>并进行倍量替代</w:t>
                  </w:r>
                  <w:r>
                    <w:rPr>
                      <w:color w:val="auto"/>
                      <w:sz w:val="18"/>
                      <w:highlight w:val="none"/>
                    </w:rPr>
                    <w:t>。</w:t>
                  </w:r>
                </w:p>
                <w:p w14:paraId="082DC8B1">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3.本项目废水主要为生活污水，经化粪池暂存后由环卫部门定期清运。</w:t>
                  </w:r>
                </w:p>
                <w:p w14:paraId="6EACBED1">
                  <w:pPr>
                    <w:keepNext w:val="0"/>
                    <w:keepLines w:val="0"/>
                    <w:pageBreakBefore w:val="0"/>
                    <w:widowControl w:val="0"/>
                    <w:wordWrap/>
                    <w:topLinePunct w:val="0"/>
                    <w:bidi w:val="0"/>
                    <w:ind w:left="0" w:leftChars="0"/>
                    <w:textAlignment w:val="auto"/>
                    <w:rPr>
                      <w:color w:val="auto"/>
                      <w:sz w:val="18"/>
                      <w:highlight w:val="none"/>
                    </w:rPr>
                  </w:pPr>
                  <w:r>
                    <w:rPr>
                      <w:color w:val="auto"/>
                      <w:sz w:val="18"/>
                      <w:highlight w:val="none"/>
                    </w:rPr>
                    <w:t>4、本项目废水主要为生活污水，经化粪池暂存后由环卫部门定期清运。</w:t>
                  </w:r>
                </w:p>
                <w:p w14:paraId="56B6FD01">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5.本项目不属于化工、建材行业。</w:t>
                  </w:r>
                </w:p>
                <w:p w14:paraId="31A73E89">
                  <w:pPr>
                    <w:keepNext w:val="0"/>
                    <w:keepLines w:val="0"/>
                    <w:pageBreakBefore w:val="0"/>
                    <w:widowControl w:val="0"/>
                    <w:wordWrap/>
                    <w:topLinePunct w:val="0"/>
                    <w:bidi w:val="0"/>
                    <w:ind w:left="0" w:leftChars="0"/>
                    <w:textAlignment w:val="auto"/>
                    <w:rPr>
                      <w:color w:val="auto"/>
                      <w:sz w:val="18"/>
                      <w:highlight w:val="none"/>
                    </w:rPr>
                  </w:pPr>
                  <w:r>
                    <w:rPr>
                      <w:color w:val="auto"/>
                      <w:sz w:val="18"/>
                      <w:highlight w:val="none"/>
                    </w:rPr>
                    <w:t>6.本项目施工期</w:t>
                  </w:r>
                  <w:r>
                    <w:rPr>
                      <w:rFonts w:hint="eastAsia"/>
                      <w:color w:val="auto"/>
                      <w:sz w:val="18"/>
                      <w:highlight w:val="none"/>
                      <w:lang w:eastAsia="zh-CN"/>
                    </w:rPr>
                    <w:t>会加强施工过程中的扬尘管理</w:t>
                  </w:r>
                  <w:r>
                    <w:rPr>
                      <w:color w:val="auto"/>
                      <w:sz w:val="18"/>
                      <w:highlight w:val="none"/>
                    </w:rPr>
                    <w:t>，</w:t>
                  </w:r>
                  <w:r>
                    <w:rPr>
                      <w:rFonts w:hint="eastAsia"/>
                      <w:color w:val="auto"/>
                      <w:sz w:val="18"/>
                      <w:highlight w:val="none"/>
                      <w:lang w:eastAsia="zh-CN"/>
                    </w:rPr>
                    <w:t>施工时间较短，</w:t>
                  </w:r>
                  <w:r>
                    <w:rPr>
                      <w:color w:val="auto"/>
                      <w:sz w:val="18"/>
                      <w:highlight w:val="none"/>
                    </w:rPr>
                    <w:t>对周围环境影响较小。</w:t>
                  </w:r>
                </w:p>
              </w:tc>
            </w:tr>
            <w:tr w14:paraId="3B3F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14:paraId="3C9A22A9">
                  <w:pPr>
                    <w:pStyle w:val="82"/>
                    <w:keepNext w:val="0"/>
                    <w:keepLines w:val="0"/>
                    <w:pageBreakBefore w:val="0"/>
                    <w:widowControl w:val="0"/>
                    <w:wordWrap/>
                    <w:topLinePunct w:val="0"/>
                    <w:bidi w:val="0"/>
                    <w:spacing w:after="0"/>
                    <w:ind w:left="0" w:leftChars="0" w:firstLine="0" w:firstLineChars="0"/>
                    <w:jc w:val="center"/>
                    <w:textAlignment w:val="auto"/>
                    <w:rPr>
                      <w:color w:val="auto"/>
                      <w:sz w:val="18"/>
                      <w:szCs w:val="21"/>
                      <w:highlight w:val="none"/>
                    </w:rPr>
                  </w:pPr>
                  <w:r>
                    <w:rPr>
                      <w:color w:val="auto"/>
                      <w:sz w:val="18"/>
                      <w:szCs w:val="21"/>
                      <w:highlight w:val="none"/>
                    </w:rPr>
                    <w:t>环境风险防控</w:t>
                  </w:r>
                </w:p>
              </w:tc>
              <w:tc>
                <w:tcPr>
                  <w:tcW w:w="4471" w:type="dxa"/>
                  <w:shd w:val="clear" w:color="auto" w:fill="auto"/>
                  <w:vAlign w:val="center"/>
                </w:tcPr>
                <w:p w14:paraId="07AD09E2">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1.企业事业单位按照《企业事业单位突发环境事件应急预案备案管理办法（试行）》等要求，依法依规编制环境应急预案并定期开展演练。</w:t>
                  </w:r>
                </w:p>
                <w:p w14:paraId="15B3B4CB">
                  <w:pPr>
                    <w:pStyle w:val="82"/>
                    <w:adjustRightInd w:val="0"/>
                    <w:snapToGrid w:val="0"/>
                    <w:spacing w:after="0"/>
                    <w:ind w:left="0" w:leftChars="0" w:firstLine="0" w:firstLineChars="0"/>
                    <w:rPr>
                      <w:rFonts w:ascii="Times New Roman" w:hAnsi="Times New Roman" w:eastAsia="宋体" w:cs="Times New Roman"/>
                      <w:color w:val="auto"/>
                      <w:kern w:val="0"/>
                      <w:sz w:val="18"/>
                      <w:szCs w:val="21"/>
                      <w:highlight w:val="none"/>
                      <w:lang w:val="en-US" w:eastAsia="zh-CN" w:bidi="ar-SA"/>
                    </w:rPr>
                  </w:pPr>
                  <w:r>
                    <w:rPr>
                      <w:rFonts w:hint="eastAsia"/>
                      <w:color w:val="auto"/>
                      <w:sz w:val="18"/>
                      <w:szCs w:val="21"/>
                      <w:highlight w:val="none"/>
                      <w:lang w:val="en-US" w:eastAsia="zh-CN"/>
                    </w:rPr>
                    <w:t>2</w:t>
                  </w:r>
                  <w:r>
                    <w:rPr>
                      <w:rFonts w:hint="eastAsia"/>
                      <w:color w:val="auto"/>
                      <w:sz w:val="18"/>
                      <w:szCs w:val="21"/>
                      <w:highlight w:val="none"/>
                    </w:rPr>
                    <w:t>.建立各企业危险废物的贮存、申报、经营许可（无废城市建设豁免的除外）、转移及处置管理制度，并负责对危废相应活动的全程监管和环境安全保障。</w:t>
                  </w:r>
                </w:p>
              </w:tc>
              <w:tc>
                <w:tcPr>
                  <w:tcW w:w="2995" w:type="dxa"/>
                  <w:vAlign w:val="center"/>
                </w:tcPr>
                <w:p w14:paraId="615A09B2">
                  <w:pPr>
                    <w:pStyle w:val="82"/>
                    <w:keepNext w:val="0"/>
                    <w:keepLines w:val="0"/>
                    <w:pageBreakBefore w:val="0"/>
                    <w:widowControl w:val="0"/>
                    <w:wordWrap/>
                    <w:topLinePunct w:val="0"/>
                    <w:bidi w:val="0"/>
                    <w:spacing w:after="0"/>
                    <w:ind w:left="0" w:leftChars="0" w:firstLine="0" w:firstLineChars="0"/>
                    <w:textAlignment w:val="auto"/>
                    <w:rPr>
                      <w:color w:val="auto"/>
                      <w:sz w:val="18"/>
                      <w:szCs w:val="18"/>
                      <w:highlight w:val="none"/>
                    </w:rPr>
                  </w:pPr>
                  <w:r>
                    <w:rPr>
                      <w:rFonts w:hint="eastAsia"/>
                      <w:color w:val="auto"/>
                      <w:sz w:val="18"/>
                      <w:szCs w:val="18"/>
                      <w:highlight w:val="none"/>
                      <w:lang w:val="en-US" w:eastAsia="zh-CN"/>
                    </w:rPr>
                    <w:t>1.</w:t>
                  </w:r>
                  <w:r>
                    <w:rPr>
                      <w:color w:val="auto"/>
                      <w:sz w:val="18"/>
                      <w:szCs w:val="18"/>
                      <w:highlight w:val="none"/>
                    </w:rPr>
                    <w:t>现处于环评编制阶段，企业应按照要求编制环境风险应急预案并定期开展演练。</w:t>
                  </w:r>
                </w:p>
                <w:p w14:paraId="4FF1791B">
                  <w:pPr>
                    <w:pStyle w:val="82"/>
                    <w:keepNext w:val="0"/>
                    <w:keepLines w:val="0"/>
                    <w:pageBreakBefore w:val="0"/>
                    <w:widowControl w:val="0"/>
                    <w:wordWrap/>
                    <w:topLinePunct w:val="0"/>
                    <w:bidi w:val="0"/>
                    <w:spacing w:after="0"/>
                    <w:ind w:left="0" w:leftChars="0" w:firstLine="0" w:firstLineChars="0"/>
                    <w:textAlignment w:val="auto"/>
                    <w:rPr>
                      <w:rFonts w:hint="default" w:eastAsia="宋体"/>
                      <w:color w:val="auto"/>
                      <w:highlight w:val="none"/>
                      <w:lang w:val="en-US" w:eastAsia="zh-CN"/>
                    </w:rPr>
                  </w:pPr>
                  <w:r>
                    <w:rPr>
                      <w:rFonts w:hint="eastAsia"/>
                      <w:color w:val="auto"/>
                      <w:sz w:val="18"/>
                      <w:szCs w:val="18"/>
                      <w:highlight w:val="none"/>
                      <w:lang w:val="en-US" w:eastAsia="zh-CN"/>
                    </w:rPr>
                    <w:t>2</w:t>
                  </w:r>
                  <w:r>
                    <w:rPr>
                      <w:color w:val="auto"/>
                      <w:sz w:val="18"/>
                      <w:szCs w:val="18"/>
                      <w:highlight w:val="none"/>
                    </w:rPr>
                    <w:t>.本项目建成后应建立危险废物贮存、申报、经营许可、转移及处置管理制度，并负责对危废相应活动的全程监管和环境安全保障。</w:t>
                  </w:r>
                </w:p>
              </w:tc>
            </w:tr>
            <w:tr w14:paraId="64A50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14:paraId="13E379D1">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资源开发效率要求</w:t>
                  </w:r>
                </w:p>
              </w:tc>
              <w:tc>
                <w:tcPr>
                  <w:tcW w:w="4471" w:type="dxa"/>
                  <w:shd w:val="clear" w:color="auto" w:fill="auto"/>
                  <w:vAlign w:val="center"/>
                </w:tcPr>
                <w:p w14:paraId="419A82F9">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1.高污染燃料禁燃区内执行淄博市高污染燃料禁燃区划定文件的管控要求。</w:t>
                  </w:r>
                </w:p>
                <w:p w14:paraId="259B6B4F">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2.强化节水措施，提高水资源使用效率。</w:t>
                  </w:r>
                </w:p>
                <w:p w14:paraId="17073946">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3.提升土地集约化水平。</w:t>
                  </w:r>
                </w:p>
                <w:p w14:paraId="77F94292">
                  <w:pPr>
                    <w:pStyle w:val="82"/>
                    <w:adjustRightInd w:val="0"/>
                    <w:snapToGrid w:val="0"/>
                    <w:spacing w:after="0"/>
                    <w:ind w:left="0" w:leftChars="0" w:firstLine="0" w:firstLineChars="0"/>
                    <w:rPr>
                      <w:rFonts w:ascii="Times New Roman" w:hAnsi="Times New Roman" w:eastAsia="宋体" w:cs="Times New Roman"/>
                      <w:color w:val="auto"/>
                      <w:kern w:val="0"/>
                      <w:sz w:val="18"/>
                      <w:szCs w:val="21"/>
                      <w:highlight w:val="none"/>
                      <w:lang w:val="en-US" w:eastAsia="zh-CN" w:bidi="ar-SA"/>
                    </w:rPr>
                  </w:pPr>
                  <w:r>
                    <w:rPr>
                      <w:rFonts w:hint="eastAsia"/>
                      <w:color w:val="auto"/>
                      <w:sz w:val="18"/>
                      <w:szCs w:val="21"/>
                      <w:highlight w:val="none"/>
                    </w:rPr>
                    <w:t>4.优化调整能源利用结构，控制煤炭消费量，实现减量化，鼓励使用清洁能源、新能源和可再生能源</w:t>
                  </w:r>
                  <w:r>
                    <w:rPr>
                      <w:color w:val="auto"/>
                      <w:sz w:val="18"/>
                      <w:szCs w:val="21"/>
                      <w:highlight w:val="none"/>
                    </w:rPr>
                    <w:t>。</w:t>
                  </w:r>
                </w:p>
              </w:tc>
              <w:tc>
                <w:tcPr>
                  <w:tcW w:w="2995" w:type="dxa"/>
                  <w:vAlign w:val="center"/>
                </w:tcPr>
                <w:p w14:paraId="27EA806E">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1.本项目不使用燃料，能源使用清洁能源电。</w:t>
                  </w:r>
                </w:p>
                <w:p w14:paraId="27508D31">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2.本项目运营过程中消耗水资源</w:t>
                  </w:r>
                  <w:r>
                    <w:rPr>
                      <w:rFonts w:hint="eastAsia"/>
                      <w:color w:val="auto"/>
                      <w:sz w:val="18"/>
                      <w:szCs w:val="21"/>
                      <w:highlight w:val="none"/>
                      <w:lang w:val="en-US" w:eastAsia="zh-CN"/>
                    </w:rPr>
                    <w:t>281.1</w:t>
                  </w:r>
                  <w:r>
                    <w:rPr>
                      <w:color w:val="auto"/>
                      <w:sz w:val="18"/>
                      <w:szCs w:val="21"/>
                      <w:highlight w:val="none"/>
                    </w:rPr>
                    <w:t>m</w:t>
                  </w:r>
                  <w:r>
                    <w:rPr>
                      <w:color w:val="auto"/>
                      <w:sz w:val="18"/>
                      <w:szCs w:val="21"/>
                      <w:highlight w:val="none"/>
                      <w:vertAlign w:val="superscript"/>
                    </w:rPr>
                    <w:t>3</w:t>
                  </w:r>
                  <w:r>
                    <w:rPr>
                      <w:color w:val="auto"/>
                      <w:sz w:val="18"/>
                      <w:szCs w:val="21"/>
                      <w:highlight w:val="none"/>
                    </w:rPr>
                    <w:t>/a，资源消耗量相对区域资源利用总量较少。</w:t>
                  </w:r>
                </w:p>
                <w:p w14:paraId="0B1B46B0">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3.本项目不新征用地。</w:t>
                  </w:r>
                </w:p>
                <w:p w14:paraId="6795759E">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4.本项目不使用煤炭，能源使用清洁能源电。</w:t>
                  </w:r>
                </w:p>
              </w:tc>
            </w:tr>
          </w:tbl>
          <w:p w14:paraId="1BE21333">
            <w:pPr>
              <w:autoSpaceDE w:val="0"/>
              <w:autoSpaceDN w:val="0"/>
              <w:adjustRightInd w:val="0"/>
              <w:snapToGrid w:val="0"/>
              <w:spacing w:line="360" w:lineRule="auto"/>
              <w:ind w:firstLine="422" w:firstLineChars="200"/>
              <w:rPr>
                <w:color w:val="auto"/>
                <w:kern w:val="0"/>
              </w:rPr>
            </w:pPr>
            <w:r>
              <w:rPr>
                <w:b/>
                <w:color w:val="auto"/>
                <w:kern w:val="0"/>
              </w:rPr>
              <w:t>二、</w:t>
            </w:r>
            <w:r>
              <w:rPr>
                <w:b/>
                <w:color w:val="auto"/>
              </w:rPr>
              <w:t>项目政策符合性分析</w:t>
            </w:r>
          </w:p>
          <w:p w14:paraId="04C28FE5">
            <w:pPr>
              <w:adjustRightInd w:val="0"/>
              <w:snapToGrid w:val="0"/>
              <w:spacing w:line="360" w:lineRule="auto"/>
              <w:ind w:firstLine="420" w:firstLineChars="200"/>
              <w:rPr>
                <w:color w:val="auto"/>
              </w:rPr>
            </w:pPr>
            <w:r>
              <w:rPr>
                <w:color w:val="auto"/>
              </w:rPr>
              <w:t>1、产业政策符合性</w:t>
            </w:r>
          </w:p>
          <w:p w14:paraId="4CE17125">
            <w:pPr>
              <w:adjustRightInd w:val="0"/>
              <w:snapToGrid w:val="0"/>
              <w:spacing w:line="360" w:lineRule="auto"/>
              <w:ind w:firstLine="420" w:firstLineChars="200"/>
              <w:rPr>
                <w:b w:val="0"/>
                <w:bCs w:val="0"/>
                <w:color w:val="auto"/>
                <w:highlight w:val="none"/>
              </w:rPr>
            </w:pPr>
            <w:r>
              <w:rPr>
                <w:rFonts w:hint="default" w:ascii="Times New Roman" w:hAnsi="Times New Roman" w:cs="Times New Roman"/>
                <w:color w:val="auto"/>
                <w:szCs w:val="21"/>
              </w:rPr>
              <w:t>项目的规模、产品、工艺以及采用的生产设备均不属于</w:t>
            </w:r>
            <w:r>
              <w:rPr>
                <w:rFonts w:hint="default" w:ascii="Times New Roman" w:hAnsi="Times New Roman" w:cs="Times New Roman"/>
                <w:color w:val="auto"/>
                <w:szCs w:val="21"/>
                <w:lang w:eastAsia="zh-CN"/>
              </w:rPr>
              <w:t>《产业结构调整指导目录（2024年本）》</w:t>
            </w:r>
            <w:r>
              <w:rPr>
                <w:rFonts w:hint="default" w:ascii="Times New Roman" w:hAnsi="Times New Roman" w:cs="Times New Roman"/>
                <w:color w:val="auto"/>
                <w:szCs w:val="21"/>
              </w:rPr>
              <w:t>中的限制类和淘汰类项目，</w:t>
            </w:r>
            <w:r>
              <w:rPr>
                <w:rFonts w:hint="default" w:ascii="Times New Roman" w:hAnsi="Times New Roman" w:cs="Times New Roman"/>
                <w:color w:val="auto"/>
                <w:szCs w:val="21"/>
                <w:highlight w:val="none"/>
              </w:rPr>
              <w:t>符合国家产业政策</w:t>
            </w:r>
            <w:r>
              <w:rPr>
                <w:b w:val="0"/>
                <w:bCs w:val="0"/>
                <w:color w:val="auto"/>
                <w:kern w:val="0"/>
                <w:highlight w:val="none"/>
              </w:rPr>
              <w:t>。</w:t>
            </w:r>
          </w:p>
          <w:p w14:paraId="634FB948">
            <w:pPr>
              <w:adjustRightInd w:val="0"/>
              <w:snapToGrid w:val="0"/>
              <w:spacing w:line="360" w:lineRule="auto"/>
              <w:ind w:firstLine="420" w:firstLineChars="200"/>
              <w:rPr>
                <w:color w:val="auto"/>
                <w:highlight w:val="none"/>
              </w:rPr>
            </w:pPr>
            <w:r>
              <w:rPr>
                <w:color w:val="auto"/>
                <w:highlight w:val="none"/>
              </w:rPr>
              <w:t>2、</w:t>
            </w:r>
            <w:r>
              <w:rPr>
                <w:rFonts w:hint="eastAsia"/>
                <w:color w:val="auto"/>
                <w:highlight w:val="none"/>
                <w:lang w:eastAsia="zh-CN"/>
              </w:rPr>
              <w:t>规划及</w:t>
            </w:r>
            <w:r>
              <w:rPr>
                <w:color w:val="auto"/>
                <w:highlight w:val="none"/>
              </w:rPr>
              <w:t>土地政策符合性</w:t>
            </w:r>
          </w:p>
          <w:p w14:paraId="1B9BFB37">
            <w:pPr>
              <w:spacing w:line="360" w:lineRule="auto"/>
              <w:ind w:firstLine="420" w:firstLineChars="200"/>
              <w:rPr>
                <w:color w:val="auto"/>
                <w:highlight w:val="none"/>
              </w:rPr>
            </w:pPr>
            <w:r>
              <w:rPr>
                <w:rFonts w:hint="eastAsia"/>
                <w:color w:val="auto"/>
                <w:highlight w:val="none"/>
              </w:rPr>
              <w:t>本项目位于</w:t>
            </w:r>
            <w:r>
              <w:rPr>
                <w:rFonts w:hint="eastAsia"/>
                <w:color w:val="auto"/>
                <w:highlight w:val="none"/>
                <w:lang w:eastAsia="zh-CN"/>
              </w:rPr>
              <w:t>淄博市淄川区龙泉镇和庄村北450m</w:t>
            </w:r>
            <w:r>
              <w:rPr>
                <w:rFonts w:hint="eastAsia"/>
                <w:color w:val="auto"/>
                <w:highlight w:val="none"/>
              </w:rPr>
              <w:t>，</w:t>
            </w:r>
            <w:r>
              <w:rPr>
                <w:rFonts w:hint="eastAsia"/>
                <w:b w:val="0"/>
                <w:bCs/>
                <w:color w:val="auto"/>
                <w:highlight w:val="none"/>
                <w:lang w:val="en-US" w:eastAsia="zh-CN"/>
              </w:rPr>
              <w:t>根据附图4淄博市国土空间总体规划（2021-2035年）-市域国土空间控制线规划图可知，本项目不属于城镇开发边界之内，</w:t>
            </w:r>
            <w:r>
              <w:rPr>
                <w:color w:val="auto"/>
                <w:highlight w:val="none"/>
              </w:rPr>
              <w:t>根据</w:t>
            </w:r>
            <w:r>
              <w:rPr>
                <w:rFonts w:hint="eastAsia"/>
                <w:color w:val="auto"/>
                <w:highlight w:val="none"/>
                <w:lang w:eastAsia="zh-CN"/>
              </w:rPr>
              <w:t>《龙泉镇国土空间控制总体规划图（</w:t>
            </w:r>
            <w:r>
              <w:rPr>
                <w:rFonts w:hint="eastAsia"/>
                <w:color w:val="auto"/>
                <w:highlight w:val="none"/>
                <w:lang w:val="en-US" w:eastAsia="zh-CN"/>
              </w:rPr>
              <w:t>2021-2035</w:t>
            </w:r>
            <w:r>
              <w:rPr>
                <w:rFonts w:hint="eastAsia"/>
                <w:color w:val="auto"/>
                <w:highlight w:val="none"/>
                <w:lang w:eastAsia="zh-CN"/>
              </w:rPr>
              <w:t>）》（见附图</w:t>
            </w:r>
            <w:r>
              <w:rPr>
                <w:rFonts w:hint="eastAsia"/>
                <w:color w:val="auto"/>
                <w:highlight w:val="none"/>
                <w:lang w:val="en-US" w:eastAsia="zh-CN"/>
              </w:rPr>
              <w:t>6</w:t>
            </w:r>
            <w:r>
              <w:rPr>
                <w:rFonts w:hint="eastAsia"/>
                <w:color w:val="auto"/>
                <w:highlight w:val="none"/>
                <w:lang w:eastAsia="zh-CN"/>
              </w:rPr>
              <w:t>），</w:t>
            </w:r>
            <w:r>
              <w:rPr>
                <w:rFonts w:hint="eastAsia"/>
                <w:color w:val="auto"/>
                <w:highlight w:val="none"/>
                <w:lang w:val="en-US" w:eastAsia="zh-CN"/>
              </w:rPr>
              <w:t>本项目</w:t>
            </w:r>
            <w:r>
              <w:rPr>
                <w:rFonts w:hint="eastAsia"/>
                <w:color w:val="auto"/>
                <w:highlight w:val="none"/>
                <w:lang w:eastAsia="zh-CN"/>
              </w:rPr>
              <w:t>现状</w:t>
            </w:r>
            <w:r>
              <w:rPr>
                <w:rFonts w:hint="eastAsia"/>
                <w:color w:val="auto"/>
                <w:highlight w:val="none"/>
              </w:rPr>
              <w:t>用地属于</w:t>
            </w:r>
            <w:r>
              <w:rPr>
                <w:rFonts w:hint="eastAsia"/>
                <w:color w:val="auto"/>
                <w:highlight w:val="none"/>
                <w:lang w:eastAsia="zh-CN"/>
              </w:rPr>
              <w:t>工业</w:t>
            </w:r>
            <w:r>
              <w:rPr>
                <w:rFonts w:hint="eastAsia"/>
                <w:color w:val="auto"/>
                <w:highlight w:val="none"/>
              </w:rPr>
              <w:t>用地，符合乡镇规划</w:t>
            </w:r>
            <w:r>
              <w:rPr>
                <w:rFonts w:hint="eastAsia"/>
                <w:color w:val="auto"/>
                <w:highlight w:val="none"/>
                <w:lang w:eastAsia="zh-CN"/>
              </w:rPr>
              <w:t>要求，如因后期相关规划调整，项目需无条件按最新规划调整内容执行。</w:t>
            </w:r>
          </w:p>
          <w:p w14:paraId="5C8203C8">
            <w:pPr>
              <w:adjustRightInd w:val="0"/>
              <w:snapToGrid w:val="0"/>
              <w:spacing w:line="360" w:lineRule="auto"/>
              <w:ind w:firstLine="420" w:firstLineChars="200"/>
              <w:rPr>
                <w:color w:val="auto"/>
              </w:rPr>
            </w:pPr>
            <w:r>
              <w:rPr>
                <w:rFonts w:hint="default" w:ascii="Times New Roman" w:hAnsi="Times New Roman" w:cs="Times New Roman"/>
                <w:color w:val="auto"/>
                <w:highlight w:val="none"/>
              </w:rPr>
              <w:t>本项目用地不属于</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自然资源要素支撑产业高质量发展指导目录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（2024年本）（自然资发〔2024〕273号）中相应用地，不属于《</w:t>
            </w:r>
            <w:r>
              <w:rPr>
                <w:rFonts w:hint="default" w:ascii="Times New Roman" w:hAnsi="Times New Roman" w:eastAsia="宋体" w:cs="Times New Roman"/>
                <w:color w:val="auto"/>
              </w:rPr>
              <w:t>山东省禁止限制供地项目目录及建设用地集约利用控制标准》中山东省禁止、限制供地项目用地</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选址符合要求</w:t>
            </w:r>
            <w:r>
              <w:rPr>
                <w:color w:val="auto"/>
                <w:kern w:val="0"/>
              </w:rPr>
              <w:t>。</w:t>
            </w:r>
          </w:p>
          <w:p w14:paraId="6BFDEA03">
            <w:pPr>
              <w:pStyle w:val="77"/>
              <w:adjustRightInd w:val="0"/>
              <w:snapToGrid w:val="0"/>
              <w:spacing w:before="0" w:beforeAutospacing="0" w:after="0" w:afterAutospacing="0" w:line="360" w:lineRule="auto"/>
              <w:ind w:firstLine="420" w:firstLineChars="200"/>
              <w:jc w:val="both"/>
              <w:rPr>
                <w:rFonts w:ascii="Times New Roman" w:hAnsi="Times New Roman"/>
                <w:color w:val="auto"/>
                <w:sz w:val="21"/>
                <w:szCs w:val="21"/>
              </w:rPr>
            </w:pPr>
            <w:r>
              <w:rPr>
                <w:rFonts w:ascii="Times New Roman" w:hAnsi="Times New Roman"/>
                <w:color w:val="auto"/>
                <w:sz w:val="21"/>
                <w:szCs w:val="21"/>
              </w:rPr>
              <w:t>3、环保政策符合性分析</w:t>
            </w:r>
          </w:p>
          <w:p w14:paraId="5008C560">
            <w:pPr>
              <w:tabs>
                <w:tab w:val="left" w:pos="5427"/>
              </w:tabs>
              <w:adjustRightInd w:val="0"/>
              <w:snapToGrid w:val="0"/>
              <w:spacing w:line="360" w:lineRule="auto"/>
              <w:ind w:firstLine="420" w:firstLineChars="200"/>
              <w:rPr>
                <w:color w:val="auto"/>
              </w:rPr>
            </w:pPr>
            <w:r>
              <w:rPr>
                <w:bCs/>
                <w:color w:val="auto"/>
              </w:rPr>
              <w:t>（1）</w:t>
            </w:r>
            <w:r>
              <w:rPr>
                <w:color w:val="auto"/>
              </w:rPr>
              <w:t>与《关于做好环境影响评价制度与排污许可制衔接相关工作的通知》（环办环评[2017]84号）的符合性分析</w:t>
            </w:r>
          </w:p>
          <w:p w14:paraId="424554A9">
            <w:pPr>
              <w:adjustRightInd w:val="0"/>
              <w:snapToGrid w:val="0"/>
              <w:spacing w:line="360" w:lineRule="auto"/>
              <w:jc w:val="center"/>
              <w:rPr>
                <w:b/>
                <w:color w:val="auto"/>
              </w:rPr>
            </w:pPr>
            <w:r>
              <w:rPr>
                <w:b/>
                <w:color w:val="auto"/>
              </w:rPr>
              <w:t>表1-</w:t>
            </w:r>
            <w:r>
              <w:rPr>
                <w:rFonts w:hint="eastAsia"/>
                <w:b/>
                <w:color w:val="auto"/>
                <w:lang w:val="en-US" w:eastAsia="zh-CN"/>
              </w:rPr>
              <w:t>4</w:t>
            </w:r>
            <w:r>
              <w:rPr>
                <w:b/>
                <w:color w:val="auto"/>
              </w:rPr>
              <w:t>项目与环办环评[2017]84号文件符合性分析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61"/>
              <w:gridCol w:w="2847"/>
              <w:gridCol w:w="644"/>
            </w:tblGrid>
            <w:tr w14:paraId="41DE6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4662" w:type="dxa"/>
                  <w:vAlign w:val="center"/>
                </w:tcPr>
                <w:p w14:paraId="3EB77A9A">
                  <w:pPr>
                    <w:pStyle w:val="200"/>
                    <w:spacing w:before="24" w:after="24"/>
                    <w:rPr>
                      <w:rFonts w:ascii="Times New Roman"/>
                      <w:b/>
                      <w:bCs/>
                      <w:color w:val="auto"/>
                      <w:sz w:val="18"/>
                      <w:szCs w:val="18"/>
                    </w:rPr>
                  </w:pPr>
                  <w:r>
                    <w:rPr>
                      <w:rFonts w:ascii="Times New Roman"/>
                      <w:b/>
                      <w:bCs/>
                      <w:color w:val="auto"/>
                      <w:sz w:val="18"/>
                      <w:szCs w:val="18"/>
                    </w:rPr>
                    <w:t>文件要求</w:t>
                  </w:r>
                </w:p>
              </w:tc>
              <w:tc>
                <w:tcPr>
                  <w:tcW w:w="2847" w:type="dxa"/>
                  <w:vAlign w:val="center"/>
                </w:tcPr>
                <w:p w14:paraId="35B8464D">
                  <w:pPr>
                    <w:pStyle w:val="200"/>
                    <w:spacing w:before="24" w:after="24"/>
                    <w:rPr>
                      <w:rFonts w:ascii="Times New Roman"/>
                      <w:b/>
                      <w:bCs/>
                      <w:color w:val="auto"/>
                      <w:sz w:val="18"/>
                      <w:szCs w:val="18"/>
                    </w:rPr>
                  </w:pPr>
                  <w:r>
                    <w:rPr>
                      <w:rFonts w:ascii="Times New Roman"/>
                      <w:b/>
                      <w:bCs/>
                      <w:color w:val="auto"/>
                      <w:sz w:val="18"/>
                      <w:szCs w:val="18"/>
                    </w:rPr>
                    <w:t>项目情况</w:t>
                  </w:r>
                </w:p>
              </w:tc>
              <w:tc>
                <w:tcPr>
                  <w:tcW w:w="644" w:type="dxa"/>
                  <w:tcMar>
                    <w:left w:w="28" w:type="dxa"/>
                    <w:right w:w="28" w:type="dxa"/>
                  </w:tcMar>
                  <w:vAlign w:val="center"/>
                </w:tcPr>
                <w:p w14:paraId="3CD7260F">
                  <w:pPr>
                    <w:pStyle w:val="200"/>
                    <w:spacing w:before="24" w:after="24"/>
                    <w:rPr>
                      <w:rFonts w:ascii="Times New Roman"/>
                      <w:b/>
                      <w:bCs/>
                      <w:color w:val="auto"/>
                      <w:sz w:val="18"/>
                      <w:szCs w:val="18"/>
                    </w:rPr>
                  </w:pPr>
                  <w:r>
                    <w:rPr>
                      <w:rFonts w:ascii="Times New Roman"/>
                      <w:b/>
                      <w:bCs/>
                      <w:color w:val="auto"/>
                      <w:sz w:val="18"/>
                      <w:szCs w:val="18"/>
                    </w:rPr>
                    <w:t>符合性</w:t>
                  </w:r>
                </w:p>
              </w:tc>
            </w:tr>
            <w:tr w14:paraId="5984D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76EC99ED">
                  <w:pPr>
                    <w:pStyle w:val="200"/>
                    <w:spacing w:before="24" w:after="24"/>
                    <w:rPr>
                      <w:rFonts w:ascii="Times New Roman"/>
                      <w:color w:val="auto"/>
                      <w:sz w:val="18"/>
                      <w:szCs w:val="18"/>
                    </w:rPr>
                  </w:pPr>
                  <w:r>
                    <w:rPr>
                      <w:rFonts w:ascii="Times New Roman"/>
                      <w:color w:val="auto"/>
                      <w:sz w:val="18"/>
                      <w:szCs w:val="18"/>
                    </w:rPr>
                    <w:t>环境影响评价审批部门要做好建设项目环境影响报告书</w:t>
                  </w:r>
                  <w:r>
                    <w:rPr>
                      <w:rFonts w:hint="eastAsia" w:ascii="Times New Roman"/>
                      <w:color w:val="auto"/>
                      <w:sz w:val="18"/>
                      <w:szCs w:val="18"/>
                      <w:lang w:eastAsia="zh-CN"/>
                    </w:rPr>
                    <w:t>（</w:t>
                  </w:r>
                  <w:r>
                    <w:rPr>
                      <w:rFonts w:ascii="Times New Roman"/>
                      <w:color w:val="auto"/>
                      <w:sz w:val="18"/>
                      <w:szCs w:val="18"/>
                    </w:rPr>
                    <w:t>表</w:t>
                  </w:r>
                  <w:r>
                    <w:rPr>
                      <w:rFonts w:hint="eastAsia" w:ascii="Times New Roman"/>
                      <w:color w:val="auto"/>
                      <w:sz w:val="18"/>
                      <w:szCs w:val="18"/>
                      <w:lang w:eastAsia="zh-CN"/>
                    </w:rPr>
                    <w:t>）</w:t>
                  </w:r>
                  <w:r>
                    <w:rPr>
                      <w:rFonts w:ascii="Times New Roman"/>
                      <w:color w:val="auto"/>
                      <w:sz w:val="18"/>
                      <w:szCs w:val="18"/>
                    </w:rPr>
                    <w:t>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tc>
              <w:tc>
                <w:tcPr>
                  <w:tcW w:w="2847" w:type="dxa"/>
                  <w:vAlign w:val="center"/>
                </w:tcPr>
                <w:p w14:paraId="7088F022">
                  <w:pPr>
                    <w:pStyle w:val="200"/>
                    <w:spacing w:before="24" w:after="24"/>
                    <w:rPr>
                      <w:rFonts w:ascii="Times New Roman"/>
                      <w:color w:val="auto"/>
                      <w:sz w:val="18"/>
                      <w:szCs w:val="18"/>
                      <w:highlight w:val="yellow"/>
                    </w:rPr>
                  </w:pPr>
                  <w:r>
                    <w:rPr>
                      <w:rFonts w:ascii="Times New Roman"/>
                      <w:color w:val="auto"/>
                      <w:sz w:val="18"/>
                      <w:szCs w:val="18"/>
                    </w:rPr>
                    <w:t>本次环评根据环境影响评价要素导则严格核定了产排污环节、污染物种类及污染防治设施和措施、排放口数量、位置以及每个排放口的污染物种类、允许排放浓度和允许排放量、排放方式、排放去向、自行监测计划等与污染物排放相关的主要内容；污染物排放均依据国家相应标准要求进行核算。</w:t>
                  </w:r>
                </w:p>
              </w:tc>
              <w:tc>
                <w:tcPr>
                  <w:tcW w:w="644" w:type="dxa"/>
                  <w:vAlign w:val="center"/>
                </w:tcPr>
                <w:p w14:paraId="1A1D97BB">
                  <w:pPr>
                    <w:pStyle w:val="200"/>
                    <w:spacing w:before="24" w:after="24"/>
                    <w:rPr>
                      <w:rFonts w:ascii="Times New Roman"/>
                      <w:color w:val="auto"/>
                      <w:sz w:val="18"/>
                      <w:szCs w:val="18"/>
                    </w:rPr>
                  </w:pPr>
                  <w:r>
                    <w:rPr>
                      <w:rFonts w:ascii="Times New Roman"/>
                      <w:color w:val="auto"/>
                      <w:sz w:val="18"/>
                      <w:szCs w:val="18"/>
                    </w:rPr>
                    <w:t>符合</w:t>
                  </w:r>
                </w:p>
              </w:tc>
            </w:tr>
            <w:tr w14:paraId="66C35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02EE61FF">
                  <w:pPr>
                    <w:pStyle w:val="200"/>
                    <w:spacing w:before="24" w:after="24"/>
                    <w:rPr>
                      <w:rFonts w:ascii="Times New Roman"/>
                      <w:color w:val="auto"/>
                      <w:sz w:val="18"/>
                      <w:szCs w:val="18"/>
                    </w:rPr>
                  </w:pPr>
                  <w:r>
                    <w:rPr>
                      <w:rFonts w:ascii="Times New Roman"/>
                      <w:color w:val="auto"/>
                      <w:sz w:val="18"/>
                      <w:szCs w:val="18"/>
                    </w:rPr>
                    <w:t>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p>
              </w:tc>
              <w:tc>
                <w:tcPr>
                  <w:tcW w:w="2847" w:type="dxa"/>
                  <w:vAlign w:val="center"/>
                </w:tcPr>
                <w:p w14:paraId="5C783AC0">
                  <w:pPr>
                    <w:pStyle w:val="200"/>
                    <w:spacing w:before="24" w:after="24"/>
                    <w:rPr>
                      <w:rFonts w:ascii="Times New Roman"/>
                      <w:color w:val="auto"/>
                      <w:sz w:val="18"/>
                      <w:szCs w:val="18"/>
                    </w:rPr>
                  </w:pPr>
                  <w:r>
                    <w:rPr>
                      <w:rFonts w:ascii="Times New Roman"/>
                      <w:color w:val="auto"/>
                      <w:sz w:val="18"/>
                      <w:szCs w:val="18"/>
                    </w:rPr>
                    <w:t>本项目应当按照国家环境保护相关法律法规以及排污许可证申请与核发技术规范要求进行排污许可证的申请。建设项目未取得排污证，建设单位不得出具该项目验收合格的意见。</w:t>
                  </w:r>
                </w:p>
              </w:tc>
              <w:tc>
                <w:tcPr>
                  <w:tcW w:w="644" w:type="dxa"/>
                  <w:vAlign w:val="center"/>
                </w:tcPr>
                <w:p w14:paraId="44CEDF18">
                  <w:pPr>
                    <w:pStyle w:val="200"/>
                    <w:spacing w:before="24" w:after="24"/>
                    <w:rPr>
                      <w:rFonts w:ascii="Times New Roman"/>
                      <w:color w:val="auto"/>
                      <w:sz w:val="18"/>
                      <w:szCs w:val="18"/>
                    </w:rPr>
                  </w:pPr>
                  <w:r>
                    <w:rPr>
                      <w:rFonts w:ascii="Times New Roman"/>
                      <w:color w:val="auto"/>
                      <w:sz w:val="18"/>
                      <w:szCs w:val="18"/>
                    </w:rPr>
                    <w:t>符合</w:t>
                  </w:r>
                </w:p>
              </w:tc>
            </w:tr>
          </w:tbl>
          <w:p w14:paraId="336AA3ED">
            <w:pPr>
              <w:tabs>
                <w:tab w:val="left" w:pos="5427"/>
              </w:tabs>
              <w:spacing w:line="360" w:lineRule="auto"/>
              <w:ind w:firstLine="420" w:firstLineChars="200"/>
              <w:rPr>
                <w:bCs/>
                <w:color w:val="auto"/>
                <w:highlight w:val="none"/>
              </w:rPr>
            </w:pPr>
            <w:r>
              <w:rPr>
                <w:color w:val="auto"/>
              </w:rPr>
              <w:t>（2</w:t>
            </w:r>
            <w:r>
              <w:rPr>
                <w:color w:val="auto"/>
                <w:highlight w:val="none"/>
              </w:rPr>
              <w:t>）</w:t>
            </w:r>
            <w:r>
              <w:rPr>
                <w:bCs/>
                <w:color w:val="auto"/>
                <w:highlight w:val="none"/>
              </w:rPr>
              <w:t>与鲁环办函[2016]141号的相关符合性分析</w:t>
            </w:r>
          </w:p>
          <w:p w14:paraId="1C47ABA0">
            <w:pPr>
              <w:tabs>
                <w:tab w:val="left" w:pos="5427"/>
              </w:tabs>
              <w:spacing w:line="360" w:lineRule="auto"/>
              <w:ind w:firstLine="420" w:firstLineChars="200"/>
              <w:rPr>
                <w:bCs/>
                <w:color w:val="auto"/>
                <w:highlight w:val="none"/>
              </w:rPr>
            </w:pPr>
            <w:r>
              <w:rPr>
                <w:bCs/>
                <w:color w:val="auto"/>
                <w:highlight w:val="none"/>
              </w:rPr>
              <w:t>山东省环保厅于2016年9月印发了《关于进一步加强建设项目固体废物环境管理的通知》（鲁环办函[2016]141号）。项目与该文件的符合性见下表。</w:t>
            </w:r>
          </w:p>
          <w:p w14:paraId="2FC02D5D">
            <w:pPr>
              <w:spacing w:line="360" w:lineRule="auto"/>
              <w:jc w:val="center"/>
              <w:rPr>
                <w:b/>
                <w:color w:val="auto"/>
                <w:sz w:val="18"/>
                <w:szCs w:val="18"/>
              </w:rPr>
            </w:pPr>
            <w:r>
              <w:rPr>
                <w:b/>
                <w:color w:val="auto"/>
              </w:rPr>
              <w:t>表1-</w:t>
            </w:r>
            <w:r>
              <w:rPr>
                <w:rFonts w:hint="eastAsia"/>
                <w:b/>
                <w:color w:val="auto"/>
                <w:lang w:val="en-US" w:eastAsia="zh-CN"/>
              </w:rPr>
              <w:t>5</w:t>
            </w:r>
            <w:r>
              <w:rPr>
                <w:b/>
                <w:color w:val="auto"/>
              </w:rPr>
              <w:t>项目建设与鲁环办函[2016]141号文符合性分析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4570"/>
              <w:gridCol w:w="2930"/>
            </w:tblGrid>
            <w:tr w14:paraId="68F23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277259FA">
                  <w:pPr>
                    <w:pStyle w:val="200"/>
                    <w:spacing w:before="24" w:after="24"/>
                    <w:rPr>
                      <w:rFonts w:ascii="Times New Roman"/>
                      <w:b/>
                      <w:bCs/>
                      <w:color w:val="auto"/>
                      <w:sz w:val="18"/>
                      <w:szCs w:val="18"/>
                    </w:rPr>
                  </w:pPr>
                  <w:r>
                    <w:rPr>
                      <w:rFonts w:ascii="Times New Roman"/>
                      <w:b/>
                      <w:bCs/>
                      <w:color w:val="auto"/>
                      <w:sz w:val="18"/>
                      <w:szCs w:val="18"/>
                    </w:rPr>
                    <w:t>序号</w:t>
                  </w:r>
                </w:p>
              </w:tc>
              <w:tc>
                <w:tcPr>
                  <w:tcW w:w="4570" w:type="dxa"/>
                  <w:vAlign w:val="center"/>
                </w:tcPr>
                <w:p w14:paraId="6EBBAD2B">
                  <w:pPr>
                    <w:pStyle w:val="200"/>
                    <w:spacing w:before="24" w:after="24"/>
                    <w:rPr>
                      <w:rFonts w:ascii="Times New Roman"/>
                      <w:b/>
                      <w:bCs/>
                      <w:color w:val="auto"/>
                      <w:sz w:val="18"/>
                      <w:szCs w:val="18"/>
                    </w:rPr>
                  </w:pPr>
                  <w:r>
                    <w:rPr>
                      <w:rFonts w:ascii="Times New Roman"/>
                      <w:b/>
                      <w:bCs/>
                      <w:color w:val="auto"/>
                      <w:sz w:val="18"/>
                      <w:szCs w:val="18"/>
                    </w:rPr>
                    <w:t>文件内容</w:t>
                  </w:r>
                </w:p>
              </w:tc>
              <w:tc>
                <w:tcPr>
                  <w:tcW w:w="2930" w:type="dxa"/>
                  <w:vAlign w:val="center"/>
                </w:tcPr>
                <w:p w14:paraId="6FAC28B4">
                  <w:pPr>
                    <w:pStyle w:val="200"/>
                    <w:spacing w:before="24" w:after="24"/>
                    <w:rPr>
                      <w:rFonts w:ascii="Times New Roman"/>
                      <w:b/>
                      <w:bCs/>
                      <w:color w:val="auto"/>
                      <w:sz w:val="18"/>
                      <w:szCs w:val="18"/>
                    </w:rPr>
                  </w:pPr>
                  <w:r>
                    <w:rPr>
                      <w:rFonts w:ascii="Times New Roman"/>
                      <w:b/>
                      <w:bCs/>
                      <w:color w:val="auto"/>
                      <w:sz w:val="18"/>
                      <w:szCs w:val="18"/>
                    </w:rPr>
                    <w:t>项目符合性</w:t>
                  </w:r>
                </w:p>
              </w:tc>
            </w:tr>
            <w:tr w14:paraId="14086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45704223">
                  <w:pPr>
                    <w:pStyle w:val="200"/>
                    <w:spacing w:before="24" w:after="24"/>
                    <w:rPr>
                      <w:rFonts w:ascii="Times New Roman"/>
                      <w:color w:val="auto"/>
                      <w:sz w:val="18"/>
                      <w:szCs w:val="18"/>
                    </w:rPr>
                  </w:pPr>
                  <w:r>
                    <w:rPr>
                      <w:rFonts w:ascii="Times New Roman"/>
                      <w:color w:val="auto"/>
                      <w:sz w:val="18"/>
                      <w:szCs w:val="18"/>
                    </w:rPr>
                    <w:t>1</w:t>
                  </w:r>
                </w:p>
              </w:tc>
              <w:tc>
                <w:tcPr>
                  <w:tcW w:w="4570" w:type="dxa"/>
                  <w:vAlign w:val="center"/>
                </w:tcPr>
                <w:p w14:paraId="225D55CC">
                  <w:pPr>
                    <w:pStyle w:val="324"/>
                    <w:jc w:val="both"/>
                    <w:rPr>
                      <w:color w:val="auto"/>
                      <w:sz w:val="18"/>
                      <w:szCs w:val="18"/>
                    </w:rPr>
                  </w:pPr>
                  <w:r>
                    <w:rPr>
                      <w:color w:val="auto"/>
                      <w:sz w:val="18"/>
                      <w:szCs w:val="18"/>
                    </w:rPr>
                    <w:t>环境影响评价机构在编制建设项目环境影响评价文件时，要依据原辅料、工艺设计和物料平衡，深入分析固体废物的产生环节、种类、性质及危害特性，科学预测产生量，评价其综合利用和无害化处置方式的环境影响，并提出相应的对策措施：一要结合建设项目的工艺过程，梳理说明各类固体废物</w:t>
                  </w:r>
                  <w:r>
                    <w:rPr>
                      <w:rFonts w:hint="eastAsia"/>
                      <w:color w:val="auto"/>
                      <w:sz w:val="18"/>
                      <w:szCs w:val="18"/>
                      <w:lang w:eastAsia="zh-CN"/>
                    </w:rPr>
                    <w:t>（</w:t>
                  </w:r>
                  <w:r>
                    <w:rPr>
                      <w:color w:val="auto"/>
                      <w:sz w:val="18"/>
                      <w:szCs w:val="18"/>
                    </w:rPr>
                    <w:t>固态、半固态及高浓度液体</w:t>
                  </w:r>
                  <w:r>
                    <w:rPr>
                      <w:rFonts w:hint="eastAsia"/>
                      <w:color w:val="auto"/>
                      <w:sz w:val="18"/>
                      <w:szCs w:val="18"/>
                      <w:lang w:eastAsia="zh-CN"/>
                    </w:rPr>
                    <w:t>）</w:t>
                  </w:r>
                  <w:r>
                    <w:rPr>
                      <w:color w:val="auto"/>
                      <w:sz w:val="18"/>
                      <w:szCs w:val="18"/>
                    </w:rPr>
                    <w:t>的产生环节、主要成分和理化特性；二要根据《固体废物鉴别导则</w:t>
                  </w:r>
                  <w:r>
                    <w:rPr>
                      <w:rFonts w:hint="eastAsia"/>
                      <w:color w:val="auto"/>
                      <w:sz w:val="18"/>
                      <w:szCs w:val="18"/>
                      <w:lang w:eastAsia="zh-CN"/>
                    </w:rPr>
                    <w:t>（</w:t>
                  </w:r>
                  <w:r>
                    <w:rPr>
                      <w:color w:val="auto"/>
                      <w:sz w:val="18"/>
                      <w:szCs w:val="18"/>
                    </w:rPr>
                    <w:t>试行</w:t>
                  </w:r>
                  <w:r>
                    <w:rPr>
                      <w:rFonts w:hint="eastAsia"/>
                      <w:color w:val="auto"/>
                      <w:sz w:val="18"/>
                      <w:szCs w:val="18"/>
                      <w:lang w:eastAsia="zh-CN"/>
                    </w:rPr>
                    <w:t>）</w:t>
                  </w:r>
                  <w:r>
                    <w:rPr>
                      <w:color w:val="auto"/>
                      <w:sz w:val="18"/>
                      <w:szCs w:val="18"/>
                    </w:rPr>
                    <w:t>》</w:t>
                  </w:r>
                  <w:r>
                    <w:rPr>
                      <w:rFonts w:hint="eastAsia"/>
                      <w:color w:val="auto"/>
                      <w:sz w:val="18"/>
                      <w:szCs w:val="18"/>
                      <w:lang w:eastAsia="zh-CN"/>
                    </w:rPr>
                    <w:t>（</w:t>
                  </w:r>
                  <w:r>
                    <w:rPr>
                      <w:color w:val="auto"/>
                      <w:sz w:val="18"/>
                      <w:szCs w:val="18"/>
                    </w:rPr>
                    <w:t>国家环保总局公告2006年11号</w:t>
                  </w:r>
                  <w:r>
                    <w:rPr>
                      <w:rFonts w:hint="eastAsia"/>
                      <w:color w:val="auto"/>
                      <w:sz w:val="18"/>
                      <w:szCs w:val="18"/>
                      <w:lang w:eastAsia="zh-CN"/>
                    </w:rPr>
                    <w:t>）</w:t>
                  </w:r>
                  <w:r>
                    <w:rPr>
                      <w:color w:val="auto"/>
                      <w:sz w:val="18"/>
                      <w:szCs w:val="18"/>
                    </w:rPr>
                    <w:t>的规定，对建设项目产生的各类副产物是否属于固体废物进行判断，属于固体废物的，应依据《国家危险废物名录》</w:t>
                  </w:r>
                  <w:r>
                    <w:rPr>
                      <w:rFonts w:hint="eastAsia"/>
                      <w:color w:val="auto"/>
                      <w:sz w:val="18"/>
                      <w:szCs w:val="18"/>
                      <w:lang w:eastAsia="zh-CN"/>
                    </w:rPr>
                    <w:t>（</w:t>
                  </w:r>
                  <w:r>
                    <w:rPr>
                      <w:color w:val="auto"/>
                      <w:sz w:val="18"/>
                      <w:szCs w:val="18"/>
                    </w:rPr>
                    <w:t>以下简称《名录》</w:t>
                  </w:r>
                  <w:r>
                    <w:rPr>
                      <w:rFonts w:hint="eastAsia"/>
                      <w:color w:val="auto"/>
                      <w:sz w:val="18"/>
                      <w:szCs w:val="18"/>
                      <w:lang w:eastAsia="zh-CN"/>
                    </w:rPr>
                    <w:t>）</w:t>
                  </w:r>
                  <w:r>
                    <w:rPr>
                      <w:color w:val="auto"/>
                      <w:sz w:val="18"/>
                      <w:szCs w:val="18"/>
                    </w:rPr>
                    <w:t>判断其是否属于危险废物，凡列入《名录》的，属于危险废物，不需再进行危险特性鉴别；未列入《名录》、但疑似危险废物的，应根据产生环节和主要成分进行分析，对可能含有危险组分的，应明确在项目试生产阶段，对其作危险特性鉴别要求，并提出鉴别指标选取的建议方案；三要对分析结果进行汇总，以列表形式说明建设项目产生的固体废物的名称、类别、属性和数量等情况。在评价建设项目固体废物的环境影响时，要逐项评价建设项目业主单位提出的固体废物利用处置方案是否符合环保要求，并对其可行性进行论证。环评机构要根据建设项目固体废物工程分析和环境影响预测结果，提出废物分类收集、安全贮存、综合利用和无害化处置的合理建议，按照《环境影响评价技术导则》的有关要求，编写环境影响报告固体废物污染防治章节。</w:t>
                  </w:r>
                </w:p>
              </w:tc>
              <w:tc>
                <w:tcPr>
                  <w:tcW w:w="2930" w:type="dxa"/>
                  <w:vAlign w:val="center"/>
                </w:tcPr>
                <w:p w14:paraId="5D9B7DB2">
                  <w:pPr>
                    <w:pStyle w:val="324"/>
                    <w:jc w:val="both"/>
                    <w:rPr>
                      <w:color w:val="auto"/>
                      <w:sz w:val="18"/>
                      <w:szCs w:val="18"/>
                    </w:rPr>
                  </w:pPr>
                  <w:r>
                    <w:rPr>
                      <w:color w:val="auto"/>
                      <w:sz w:val="18"/>
                      <w:szCs w:val="18"/>
                    </w:rPr>
                    <w:t>本次评价环评编制期间，深入分析了固体废物的产生环节、种类、性质及危害特性，根据项目实际运行情况统计了相应固废产生量，并核实了相应处置措施的可行性，报告表提出废物分类收集、安全贮存、综合利用和无害化处置的合理建议。</w:t>
                  </w:r>
                </w:p>
              </w:tc>
            </w:tr>
            <w:tr w14:paraId="08E7F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3F5A3925">
                  <w:pPr>
                    <w:pStyle w:val="200"/>
                    <w:spacing w:before="24" w:after="24"/>
                    <w:rPr>
                      <w:rFonts w:ascii="Times New Roman"/>
                      <w:color w:val="auto"/>
                      <w:sz w:val="18"/>
                      <w:szCs w:val="18"/>
                    </w:rPr>
                  </w:pPr>
                  <w:r>
                    <w:rPr>
                      <w:rFonts w:ascii="Times New Roman"/>
                      <w:color w:val="auto"/>
                      <w:sz w:val="18"/>
                      <w:szCs w:val="18"/>
                    </w:rPr>
                    <w:t>2</w:t>
                  </w:r>
                </w:p>
              </w:tc>
              <w:tc>
                <w:tcPr>
                  <w:tcW w:w="4570" w:type="dxa"/>
                  <w:vAlign w:val="center"/>
                </w:tcPr>
                <w:p w14:paraId="0BB2236A">
                  <w:pPr>
                    <w:pStyle w:val="200"/>
                    <w:spacing w:before="24" w:after="24"/>
                    <w:jc w:val="both"/>
                    <w:rPr>
                      <w:rFonts w:ascii="Times New Roman"/>
                      <w:color w:val="auto"/>
                      <w:sz w:val="18"/>
                      <w:szCs w:val="18"/>
                    </w:rPr>
                  </w:pPr>
                  <w:r>
                    <w:rPr>
                      <w:rFonts w:ascii="Times New Roman"/>
                      <w:color w:val="auto"/>
                      <w:sz w:val="18"/>
                      <w:szCs w:val="18"/>
                    </w:rPr>
                    <w:t>核实固体废物的产生环节、种类和数量：验收监测机构应在正常工况下，选择一到两个生产周期，统计产生环节、种类和数量，并按废物类别和生产负荷</w:t>
                  </w:r>
                  <w:r>
                    <w:rPr>
                      <w:rFonts w:hint="eastAsia" w:ascii="Times New Roman"/>
                      <w:color w:val="auto"/>
                      <w:sz w:val="18"/>
                      <w:szCs w:val="18"/>
                      <w:lang w:eastAsia="zh-CN"/>
                    </w:rPr>
                    <w:t>（</w:t>
                  </w:r>
                  <w:r>
                    <w:rPr>
                      <w:rFonts w:ascii="Times New Roman"/>
                      <w:color w:val="auto"/>
                      <w:sz w:val="18"/>
                      <w:szCs w:val="18"/>
                    </w:rPr>
                    <w:t>75%以上</w:t>
                  </w:r>
                  <w:r>
                    <w:rPr>
                      <w:rFonts w:hint="eastAsia" w:ascii="Times New Roman"/>
                      <w:color w:val="auto"/>
                      <w:sz w:val="18"/>
                      <w:szCs w:val="18"/>
                      <w:lang w:eastAsia="zh-CN"/>
                    </w:rPr>
                    <w:t>）</w:t>
                  </w:r>
                  <w:r>
                    <w:rPr>
                      <w:rFonts w:ascii="Times New Roman"/>
                      <w:color w:val="auto"/>
                      <w:sz w:val="18"/>
                      <w:szCs w:val="18"/>
                    </w:rPr>
                    <w:t>，将生产周期内的产生量折算成年均产生量。建设项目的一个生产周期超过一个月的，则建设项目固体废物的种类和数量按一个月统计；生产周期在两周以内的，应统计两个生产周期的数量和种类。对于在试生产阶段尚未产生的固体废物，如废水处理设施的污泥、废催化剂和报废吸附脱色材料等，验收监测机构可通过同行业类比调查或者环评报告预测结果，估算固体废物的种类和产生量，同等条件下，优先采用环评预测量。建设项目在竣工环保验收前发现危险废物实际产生种类、数量或利用、处置方式发生重大变化的，应编制环境影响补充报告，报有审批权环保部门的环评科</w:t>
                  </w:r>
                  <w:r>
                    <w:rPr>
                      <w:rFonts w:hint="eastAsia" w:ascii="Times New Roman"/>
                      <w:color w:val="auto"/>
                      <w:sz w:val="18"/>
                      <w:szCs w:val="18"/>
                      <w:lang w:eastAsia="zh-CN"/>
                    </w:rPr>
                    <w:t>（</w:t>
                  </w:r>
                  <w:r>
                    <w:rPr>
                      <w:rFonts w:ascii="Times New Roman"/>
                      <w:color w:val="auto"/>
                      <w:sz w:val="18"/>
                      <w:szCs w:val="18"/>
                    </w:rPr>
                    <w:t>处</w:t>
                  </w:r>
                  <w:r>
                    <w:rPr>
                      <w:rFonts w:hint="eastAsia" w:ascii="Times New Roman"/>
                      <w:color w:val="auto"/>
                      <w:sz w:val="18"/>
                      <w:szCs w:val="18"/>
                      <w:lang w:eastAsia="zh-CN"/>
                    </w:rPr>
                    <w:t>）</w:t>
                  </w:r>
                  <w:r>
                    <w:rPr>
                      <w:rFonts w:ascii="Times New Roman"/>
                      <w:color w:val="auto"/>
                      <w:sz w:val="18"/>
                      <w:szCs w:val="18"/>
                    </w:rPr>
                    <w:t>备案。不属于重大变化的，验收监测报告中应将变化情况予以说明。建设项目在通过竣工环保验收后，发现危险废物实际产生种类、数量或利用、处置方式发生重大变化的，应编制固废环境影响专题报告，报有审批权环保部门的环评、固废管理科</w:t>
                  </w:r>
                  <w:r>
                    <w:rPr>
                      <w:rFonts w:hint="eastAsia" w:ascii="Times New Roman"/>
                      <w:color w:val="auto"/>
                      <w:sz w:val="18"/>
                      <w:szCs w:val="18"/>
                      <w:lang w:eastAsia="zh-CN"/>
                    </w:rPr>
                    <w:t>（</w:t>
                  </w:r>
                  <w:r>
                    <w:rPr>
                      <w:rFonts w:ascii="Times New Roman"/>
                      <w:color w:val="auto"/>
                      <w:sz w:val="18"/>
                      <w:szCs w:val="18"/>
                    </w:rPr>
                    <w:t>处</w:t>
                  </w:r>
                  <w:r>
                    <w:rPr>
                      <w:rFonts w:hint="eastAsia" w:ascii="Times New Roman"/>
                      <w:color w:val="auto"/>
                      <w:sz w:val="18"/>
                      <w:szCs w:val="18"/>
                      <w:lang w:eastAsia="zh-CN"/>
                    </w:rPr>
                    <w:t>）</w:t>
                  </w:r>
                  <w:r>
                    <w:rPr>
                      <w:rFonts w:ascii="Times New Roman"/>
                      <w:color w:val="auto"/>
                      <w:sz w:val="18"/>
                      <w:szCs w:val="18"/>
                    </w:rPr>
                    <w:t>和项目所在地环境监察、固废管理机构备案。</w:t>
                  </w:r>
                </w:p>
              </w:tc>
              <w:tc>
                <w:tcPr>
                  <w:tcW w:w="2930" w:type="dxa"/>
                  <w:vAlign w:val="center"/>
                </w:tcPr>
                <w:p w14:paraId="025E38F3">
                  <w:pPr>
                    <w:pStyle w:val="200"/>
                    <w:spacing w:before="24" w:after="24"/>
                    <w:jc w:val="center"/>
                    <w:rPr>
                      <w:rFonts w:ascii="Times New Roman"/>
                      <w:color w:val="auto"/>
                      <w:sz w:val="18"/>
                      <w:szCs w:val="18"/>
                    </w:rPr>
                  </w:pPr>
                  <w:r>
                    <w:rPr>
                      <w:rFonts w:ascii="Times New Roman"/>
                      <w:color w:val="auto"/>
                      <w:sz w:val="18"/>
                      <w:szCs w:val="18"/>
                    </w:rPr>
                    <w:t>本项目现处于环评阶段。</w:t>
                  </w:r>
                </w:p>
              </w:tc>
            </w:tr>
            <w:tr w14:paraId="5712E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7" w:hRule="atLeast"/>
                <w:jc w:val="center"/>
              </w:trPr>
              <w:tc>
                <w:tcPr>
                  <w:tcW w:w="652" w:type="dxa"/>
                  <w:vAlign w:val="center"/>
                </w:tcPr>
                <w:p w14:paraId="4DB4001E">
                  <w:pPr>
                    <w:pStyle w:val="200"/>
                    <w:spacing w:before="24" w:after="24"/>
                    <w:rPr>
                      <w:rFonts w:ascii="Times New Roman"/>
                      <w:color w:val="auto"/>
                      <w:sz w:val="18"/>
                      <w:szCs w:val="18"/>
                    </w:rPr>
                  </w:pPr>
                  <w:r>
                    <w:rPr>
                      <w:rFonts w:ascii="Times New Roman"/>
                      <w:color w:val="auto"/>
                      <w:sz w:val="18"/>
                      <w:szCs w:val="18"/>
                    </w:rPr>
                    <w:t>3</w:t>
                  </w:r>
                </w:p>
              </w:tc>
              <w:tc>
                <w:tcPr>
                  <w:tcW w:w="4570" w:type="dxa"/>
                  <w:vAlign w:val="center"/>
                </w:tcPr>
                <w:p w14:paraId="4162611D">
                  <w:pPr>
                    <w:pStyle w:val="200"/>
                    <w:spacing w:before="24" w:after="24"/>
                    <w:jc w:val="both"/>
                    <w:rPr>
                      <w:rFonts w:ascii="Times New Roman"/>
                      <w:color w:val="auto"/>
                      <w:sz w:val="18"/>
                      <w:szCs w:val="18"/>
                    </w:rPr>
                  </w:pPr>
                  <w:r>
                    <w:rPr>
                      <w:rFonts w:ascii="Times New Roman"/>
                      <w:color w:val="auto"/>
                      <w:sz w:val="18"/>
                      <w:szCs w:val="18"/>
                    </w:rPr>
                    <w:t>核实配套工程落实情况：建有固体废物或危险废物贮存设施的，分别按一般工业固体废物和危险废物贮存有关技术标准检查，重点检查贮存设施的标志标识、防渗、污水导排、包装容器和分类存放等内容。建有固体废物填埋、焚烧等处置设施的，要对试生产期间设施的运行和污染物排放情况分析和监测。</w:t>
                  </w:r>
                </w:p>
              </w:tc>
              <w:tc>
                <w:tcPr>
                  <w:tcW w:w="2930" w:type="dxa"/>
                  <w:shd w:val="clear" w:color="auto" w:fill="auto"/>
                  <w:vAlign w:val="center"/>
                </w:tcPr>
                <w:p w14:paraId="0CE84B5B">
                  <w:pPr>
                    <w:pStyle w:val="200"/>
                    <w:spacing w:before="24" w:after="24"/>
                    <w:jc w:val="both"/>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rPr>
                    <w:t>一般固体废物暂存处严格按照《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号）要求，危险废物贮存设施按照危险废物执行《危险废物贮存污染控制标准》（GB18597-20</w:t>
                  </w:r>
                  <w:r>
                    <w:rPr>
                      <w:rFonts w:hint="default" w:ascii="Times New Roman" w:hAnsi="Times New Roman" w:eastAsia="宋体" w:cs="Times New Roman"/>
                      <w:color w:val="auto"/>
                      <w:sz w:val="18"/>
                      <w:szCs w:val="18"/>
                      <w:lang w:val="en-US" w:eastAsia="zh-CN"/>
                    </w:rPr>
                    <w:t>23</w:t>
                  </w:r>
                  <w:r>
                    <w:rPr>
                      <w:rFonts w:hint="default" w:ascii="Times New Roman" w:hAnsi="Times New Roman" w:eastAsia="宋体" w:cs="Times New Roman"/>
                      <w:color w:val="auto"/>
                      <w:sz w:val="18"/>
                      <w:szCs w:val="18"/>
                    </w:rPr>
                    <w:t>）中的相关要求进行设置。</w:t>
                  </w:r>
                </w:p>
              </w:tc>
            </w:tr>
            <w:tr w14:paraId="78DEE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652" w:type="dxa"/>
                  <w:vAlign w:val="center"/>
                </w:tcPr>
                <w:p w14:paraId="6BC4C52F">
                  <w:pPr>
                    <w:pStyle w:val="200"/>
                    <w:spacing w:before="24" w:after="24"/>
                    <w:rPr>
                      <w:rFonts w:ascii="Times New Roman"/>
                      <w:color w:val="auto"/>
                      <w:sz w:val="18"/>
                      <w:szCs w:val="18"/>
                    </w:rPr>
                  </w:pPr>
                  <w:r>
                    <w:rPr>
                      <w:rFonts w:ascii="Times New Roman"/>
                      <w:color w:val="auto"/>
                      <w:sz w:val="18"/>
                      <w:szCs w:val="18"/>
                    </w:rPr>
                    <w:t>4</w:t>
                  </w:r>
                </w:p>
              </w:tc>
              <w:tc>
                <w:tcPr>
                  <w:tcW w:w="4570" w:type="dxa"/>
                  <w:vAlign w:val="center"/>
                </w:tcPr>
                <w:p w14:paraId="787DBEF8">
                  <w:pPr>
                    <w:pStyle w:val="200"/>
                    <w:spacing w:before="24" w:after="24"/>
                    <w:jc w:val="both"/>
                    <w:rPr>
                      <w:rFonts w:ascii="Times New Roman"/>
                      <w:color w:val="auto"/>
                      <w:sz w:val="18"/>
                      <w:szCs w:val="18"/>
                    </w:rPr>
                  </w:pPr>
                  <w:r>
                    <w:rPr>
                      <w:rFonts w:ascii="Times New Roman"/>
                      <w:color w:val="auto"/>
                      <w:sz w:val="18"/>
                      <w:szCs w:val="18"/>
                    </w:rPr>
                    <w:t>检查固体废物利用处置方案和管理制度落实情况：应与环评报告提出的利用处置方案、污染事故应急预案和相关管理制度等进行对比，特别是对固体废物综合利用和无害化处置的情况要跟踪落实。利用处置工艺或接受单位发生变更的，要说明原因。属危险废物委托利用处置的，要核实接受单位资质情况，检查委托利用处置等协议合同，并说明试生产期间转移联单执行情况。</w:t>
                  </w:r>
                </w:p>
              </w:tc>
              <w:tc>
                <w:tcPr>
                  <w:tcW w:w="2930" w:type="dxa"/>
                  <w:shd w:val="clear" w:color="auto" w:fill="auto"/>
                  <w:vAlign w:val="center"/>
                </w:tcPr>
                <w:p w14:paraId="78BC2D08">
                  <w:pPr>
                    <w:pStyle w:val="200"/>
                    <w:spacing w:before="24" w:after="24"/>
                    <w:jc w:val="both"/>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rPr>
                    <w:t>本项目产生的固体废物均可以得到有效的处置，企业将落实固体废物处置方案和管理制度，进行相关台账的记录。</w:t>
                  </w:r>
                </w:p>
              </w:tc>
            </w:tr>
            <w:tr w14:paraId="6DA9E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1BAD4E69">
                  <w:pPr>
                    <w:pStyle w:val="200"/>
                    <w:spacing w:before="24" w:after="24"/>
                    <w:rPr>
                      <w:rFonts w:ascii="Times New Roman"/>
                      <w:color w:val="auto"/>
                      <w:sz w:val="18"/>
                      <w:szCs w:val="18"/>
                    </w:rPr>
                  </w:pPr>
                  <w:r>
                    <w:rPr>
                      <w:rFonts w:ascii="Times New Roman"/>
                      <w:color w:val="auto"/>
                      <w:sz w:val="18"/>
                      <w:szCs w:val="18"/>
                    </w:rPr>
                    <w:t>5</w:t>
                  </w:r>
                </w:p>
              </w:tc>
              <w:tc>
                <w:tcPr>
                  <w:tcW w:w="4570" w:type="dxa"/>
                  <w:vAlign w:val="center"/>
                </w:tcPr>
                <w:p w14:paraId="413BD90D">
                  <w:pPr>
                    <w:pStyle w:val="200"/>
                    <w:spacing w:before="24" w:after="24"/>
                    <w:jc w:val="both"/>
                    <w:rPr>
                      <w:rFonts w:ascii="Times New Roman"/>
                      <w:color w:val="auto"/>
                      <w:sz w:val="18"/>
                      <w:szCs w:val="18"/>
                    </w:rPr>
                  </w:pPr>
                  <w:r>
                    <w:rPr>
                      <w:rFonts w:ascii="Times New Roman"/>
                      <w:color w:val="auto"/>
                      <w:sz w:val="18"/>
                      <w:szCs w:val="18"/>
                    </w:rPr>
                    <w:t>建设项目的业主或负有管理责任的单位</w:t>
                  </w:r>
                  <w:r>
                    <w:rPr>
                      <w:rFonts w:hint="eastAsia" w:ascii="Times New Roman"/>
                      <w:color w:val="auto"/>
                      <w:sz w:val="18"/>
                      <w:szCs w:val="18"/>
                      <w:lang w:eastAsia="zh-CN"/>
                    </w:rPr>
                    <w:t>（</w:t>
                  </w:r>
                  <w:r>
                    <w:rPr>
                      <w:rFonts w:ascii="Times New Roman"/>
                      <w:color w:val="auto"/>
                      <w:sz w:val="18"/>
                      <w:szCs w:val="18"/>
                    </w:rPr>
                    <w:t>以下统称“产生者”</w:t>
                  </w:r>
                  <w:r>
                    <w:rPr>
                      <w:rFonts w:hint="eastAsia" w:ascii="Times New Roman"/>
                      <w:color w:val="auto"/>
                      <w:sz w:val="18"/>
                      <w:szCs w:val="18"/>
                      <w:lang w:eastAsia="zh-CN"/>
                    </w:rPr>
                    <w:t>）</w:t>
                  </w:r>
                  <w:r>
                    <w:rPr>
                      <w:rFonts w:ascii="Times New Roman"/>
                      <w:color w:val="auto"/>
                      <w:sz w:val="18"/>
                      <w:szCs w:val="18"/>
                    </w:rPr>
                    <w:t>对其产生的固体废物，应承担污染防治主体责任。在建设项目正式投入生产前，产生者应当如实提供建设项目的生产工艺、设备和原辅材料种类、性质和数量，分析可能产生固体废物的环节、数量和性质以及固体废物贮存、处置的方法和途径，供有关评价或验收监测机构参考。产生者应按国家有关法规要求，妥善利用处置产生的固体废物。属委托利用处置危险废物的，在委托前，产生者应对被委托方的处置资格、能力等进行调查核实，在此基础上，产生者应与被委托方签订书面委托协议，明确拟交与危险废物的种类、性质、数量、交付方式、运输和利用处置要求与标准等事项。处置时，产生者应主动了解、核实处置情况，保证委托协议得到实施，确保危险废物得到妥善、安全和无害化利用或处置。</w:t>
                  </w:r>
                </w:p>
              </w:tc>
              <w:tc>
                <w:tcPr>
                  <w:tcW w:w="2930" w:type="dxa"/>
                  <w:shd w:val="clear" w:color="auto" w:fill="auto"/>
                  <w:vAlign w:val="center"/>
                </w:tcPr>
                <w:p w14:paraId="0C6EA749">
                  <w:pPr>
                    <w:pStyle w:val="200"/>
                    <w:spacing w:before="24" w:after="24"/>
                    <w:jc w:val="both"/>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sz w:val="18"/>
                      <w:szCs w:val="18"/>
                    </w:rPr>
                    <w:t>本项目现处于环评阶段，所有生产工艺，设备和原辅料均为企业提供，企业届时将按照要求进行固体废物的台账记录和处置</w:t>
                  </w:r>
                </w:p>
              </w:tc>
            </w:tr>
          </w:tbl>
          <w:p w14:paraId="2FBE86B8">
            <w:pPr>
              <w:pStyle w:val="82"/>
              <w:spacing w:line="420" w:lineRule="exact"/>
              <w:ind w:left="0" w:leftChars="0" w:firstLine="420" w:firstLineChars="200"/>
              <w:rPr>
                <w:color w:val="auto"/>
                <w:sz w:val="21"/>
                <w:szCs w:val="21"/>
              </w:rPr>
            </w:pPr>
            <w:r>
              <w:rPr>
                <w:bCs/>
                <w:color w:val="auto"/>
                <w:sz w:val="21"/>
                <w:szCs w:val="21"/>
              </w:rPr>
              <w:t>由上表可知，项目符合《关于进一步加强建设项目固体废物环境管理的通知》（鲁环办函[2016]141号）的要求。</w:t>
            </w:r>
          </w:p>
          <w:p w14:paraId="1DADF066">
            <w:pPr>
              <w:tabs>
                <w:tab w:val="left" w:pos="5427"/>
              </w:tabs>
              <w:spacing w:line="360" w:lineRule="auto"/>
              <w:ind w:firstLine="420" w:firstLineChars="200"/>
              <w:rPr>
                <w:bCs/>
                <w:color w:val="auto"/>
              </w:rPr>
            </w:pPr>
            <w:r>
              <w:rPr>
                <w:color w:val="auto"/>
              </w:rPr>
              <w:t>（3）</w:t>
            </w:r>
            <w:r>
              <w:rPr>
                <w:bCs/>
                <w:color w:val="auto"/>
              </w:rPr>
              <w:t xml:space="preserve">与《山东省大气污染防治条例》的相关符合性分析 </w:t>
            </w:r>
          </w:p>
          <w:p w14:paraId="354D3338">
            <w:pPr>
              <w:tabs>
                <w:tab w:val="left" w:pos="5427"/>
              </w:tabs>
              <w:spacing w:line="360" w:lineRule="auto"/>
              <w:ind w:firstLine="420" w:firstLineChars="200"/>
              <w:rPr>
                <w:bCs/>
                <w:color w:val="auto"/>
              </w:rPr>
            </w:pPr>
            <w:r>
              <w:rPr>
                <w:bCs/>
                <w:color w:val="auto"/>
              </w:rPr>
              <w:t>本项目与《山东省大气污染防治条例》的符合性见下表：</w:t>
            </w:r>
          </w:p>
          <w:p w14:paraId="535F8E95">
            <w:pPr>
              <w:spacing w:line="360" w:lineRule="auto"/>
              <w:jc w:val="center"/>
              <w:rPr>
                <w:b/>
                <w:color w:val="auto"/>
              </w:rPr>
            </w:pPr>
            <w:r>
              <w:rPr>
                <w:b/>
                <w:color w:val="auto"/>
              </w:rPr>
              <w:t>表1-</w:t>
            </w:r>
            <w:r>
              <w:rPr>
                <w:rFonts w:hint="eastAsia"/>
                <w:b/>
                <w:color w:val="auto"/>
                <w:lang w:val="en-US" w:eastAsia="zh-CN"/>
              </w:rPr>
              <w:t>6</w:t>
            </w:r>
            <w:r>
              <w:rPr>
                <w:b/>
                <w:color w:val="auto"/>
              </w:rPr>
              <w:t>项目与山东省大气污染防治条例符合情况分析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82"/>
              <w:gridCol w:w="5358"/>
              <w:gridCol w:w="2212"/>
            </w:tblGrid>
            <w:tr w14:paraId="7583E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 w:hRule="exact"/>
                <w:jc w:val="center"/>
              </w:trPr>
              <w:tc>
                <w:tcPr>
                  <w:tcW w:w="582" w:type="dxa"/>
                  <w:vAlign w:val="center"/>
                </w:tcPr>
                <w:p w14:paraId="1F46D934">
                  <w:pPr>
                    <w:pStyle w:val="1314"/>
                    <w:ind w:right="62"/>
                    <w:jc w:val="center"/>
                    <w:textAlignment w:val="baseline"/>
                    <w:rPr>
                      <w:rFonts w:ascii="Times New Roman" w:hAnsi="Times New Roman" w:cs="Times New Roman"/>
                      <w:b/>
                      <w:bCs/>
                      <w:color w:val="auto"/>
                      <w:sz w:val="18"/>
                      <w:szCs w:val="21"/>
                    </w:rPr>
                  </w:pPr>
                  <w:r>
                    <w:rPr>
                      <w:rFonts w:ascii="Times New Roman" w:hAnsi="Times New Roman" w:cs="Times New Roman"/>
                      <w:b/>
                      <w:bCs/>
                      <w:color w:val="auto"/>
                      <w:sz w:val="18"/>
                      <w:szCs w:val="16"/>
                    </w:rPr>
                    <w:t>序号</w:t>
                  </w:r>
                </w:p>
              </w:tc>
              <w:tc>
                <w:tcPr>
                  <w:tcW w:w="5358" w:type="dxa"/>
                  <w:vAlign w:val="center"/>
                </w:tcPr>
                <w:p w14:paraId="5BBF9F5E">
                  <w:pPr>
                    <w:pStyle w:val="1314"/>
                    <w:ind w:left="19"/>
                    <w:jc w:val="center"/>
                    <w:textAlignment w:val="baseline"/>
                    <w:rPr>
                      <w:rFonts w:ascii="Times New Roman" w:hAnsi="Times New Roman" w:cs="Times New Roman"/>
                      <w:b/>
                      <w:bCs/>
                      <w:color w:val="auto"/>
                      <w:sz w:val="18"/>
                      <w:szCs w:val="21"/>
                    </w:rPr>
                  </w:pPr>
                  <w:r>
                    <w:rPr>
                      <w:rFonts w:ascii="Times New Roman" w:hAnsi="Times New Roman" w:cs="Times New Roman"/>
                      <w:b/>
                      <w:bCs/>
                      <w:color w:val="auto"/>
                      <w:sz w:val="18"/>
                      <w:szCs w:val="16"/>
                    </w:rPr>
                    <w:t xml:space="preserve">规划要求 </w:t>
                  </w:r>
                </w:p>
              </w:tc>
              <w:tc>
                <w:tcPr>
                  <w:tcW w:w="2212" w:type="dxa"/>
                  <w:vAlign w:val="center"/>
                </w:tcPr>
                <w:p w14:paraId="326662C2">
                  <w:pPr>
                    <w:pStyle w:val="1314"/>
                    <w:ind w:left="57"/>
                    <w:jc w:val="center"/>
                    <w:textAlignment w:val="baseline"/>
                    <w:rPr>
                      <w:rFonts w:ascii="Times New Roman" w:hAnsi="Times New Roman" w:cs="Times New Roman"/>
                      <w:b/>
                      <w:bCs/>
                      <w:color w:val="auto"/>
                      <w:sz w:val="18"/>
                      <w:szCs w:val="21"/>
                    </w:rPr>
                  </w:pPr>
                  <w:r>
                    <w:rPr>
                      <w:rFonts w:ascii="Times New Roman" w:hAnsi="Times New Roman" w:cs="Times New Roman"/>
                      <w:b/>
                      <w:bCs/>
                      <w:color w:val="auto"/>
                      <w:sz w:val="18"/>
                      <w:szCs w:val="16"/>
                    </w:rPr>
                    <w:t>项目符合性</w:t>
                  </w:r>
                </w:p>
              </w:tc>
            </w:tr>
            <w:tr w14:paraId="0E202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48" w:hRule="atLeast"/>
                <w:jc w:val="center"/>
              </w:trPr>
              <w:tc>
                <w:tcPr>
                  <w:tcW w:w="582" w:type="dxa"/>
                  <w:vAlign w:val="center"/>
                </w:tcPr>
                <w:p w14:paraId="73D70902">
                  <w:pPr>
                    <w:pStyle w:val="1314"/>
                    <w:jc w:val="center"/>
                    <w:textAlignment w:val="baseline"/>
                    <w:rPr>
                      <w:rFonts w:hint="eastAsia" w:ascii="Times New Roman" w:hAnsi="Times New Roman" w:eastAsia="宋体" w:cs="Times New Roman"/>
                      <w:color w:val="auto"/>
                      <w:sz w:val="18"/>
                      <w:szCs w:val="21"/>
                      <w:lang w:val="en-US" w:eastAsia="zh-CN"/>
                    </w:rPr>
                  </w:pPr>
                  <w:r>
                    <w:rPr>
                      <w:rFonts w:hint="eastAsia" w:ascii="Times New Roman" w:hAnsi="Times New Roman" w:cs="Times New Roman"/>
                      <w:color w:val="auto"/>
                      <w:sz w:val="18"/>
                      <w:szCs w:val="21"/>
                      <w:lang w:val="en-US" w:eastAsia="zh-CN"/>
                    </w:rPr>
                    <w:t>1</w:t>
                  </w:r>
                </w:p>
              </w:tc>
              <w:tc>
                <w:tcPr>
                  <w:tcW w:w="5358" w:type="dxa"/>
                  <w:vAlign w:val="center"/>
                </w:tcPr>
                <w:p w14:paraId="72F1D209">
                  <w:pPr>
                    <w:pStyle w:val="1314"/>
                    <w:ind w:left="129"/>
                    <w:jc w:val="both"/>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县级以上人民政府应当合理确定产业布局和发展规模，制定产业投资项目负面清单，严格控制新建、扩建钢铁、石化、化工、有色金属冶炼、水泥、平板玻璃、建筑陶瓷等工业项目，鼓励、支持现有的工业企业进行技术升级改造。在城市建成区及其周边的重污染企业，应当逐步进行搬迁改造或者转型退出。</w:t>
                  </w:r>
                </w:p>
              </w:tc>
              <w:tc>
                <w:tcPr>
                  <w:tcW w:w="2212" w:type="dxa"/>
                  <w:vAlign w:val="center"/>
                </w:tcPr>
                <w:p w14:paraId="708B6D79">
                  <w:pPr>
                    <w:pStyle w:val="1314"/>
                    <w:jc w:val="center"/>
                    <w:textAlignment w:val="baseline"/>
                    <w:rPr>
                      <w:rFonts w:ascii="Times New Roman" w:hAnsi="Times New Roman" w:cs="Times New Roman"/>
                      <w:color w:val="auto"/>
                      <w:sz w:val="18"/>
                      <w:szCs w:val="21"/>
                      <w:lang w:val="en-US"/>
                    </w:rPr>
                  </w:pPr>
                  <w:r>
                    <w:rPr>
                      <w:rFonts w:ascii="Times New Roman" w:hAnsi="Times New Roman" w:cs="Times New Roman"/>
                      <w:color w:val="auto"/>
                      <w:sz w:val="18"/>
                      <w:szCs w:val="21"/>
                    </w:rPr>
                    <w:t>项目</w:t>
                  </w:r>
                  <w:r>
                    <w:rPr>
                      <w:rFonts w:ascii="Times New Roman" w:hAnsi="Times New Roman" w:cs="Times New Roman"/>
                      <w:color w:val="auto"/>
                      <w:sz w:val="18"/>
                      <w:szCs w:val="21"/>
                      <w:lang w:val="en-US"/>
                    </w:rPr>
                    <w:t>不涉及钢铁、石化、化工、有色金属冶炼、水泥、平板玻璃、建筑陶瓷等工业项目。</w:t>
                  </w:r>
                </w:p>
              </w:tc>
            </w:tr>
            <w:tr w14:paraId="42398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82" w:type="dxa"/>
                  <w:vAlign w:val="center"/>
                </w:tcPr>
                <w:p w14:paraId="07392F04">
                  <w:pPr>
                    <w:pStyle w:val="1314"/>
                    <w:jc w:val="center"/>
                    <w:textAlignment w:val="baseline"/>
                    <w:rPr>
                      <w:rFonts w:hint="eastAsia" w:ascii="Times New Roman" w:hAnsi="Times New Roman" w:eastAsia="宋体" w:cs="Times New Roman"/>
                      <w:color w:val="auto"/>
                      <w:sz w:val="18"/>
                      <w:szCs w:val="21"/>
                      <w:lang w:val="en-US" w:eastAsia="zh-CN"/>
                    </w:rPr>
                  </w:pPr>
                  <w:r>
                    <w:rPr>
                      <w:rFonts w:hint="eastAsia" w:ascii="Times New Roman" w:hAnsi="Times New Roman" w:cs="Times New Roman"/>
                      <w:color w:val="auto"/>
                      <w:sz w:val="18"/>
                      <w:szCs w:val="21"/>
                      <w:lang w:val="en-US" w:eastAsia="zh-CN"/>
                    </w:rPr>
                    <w:t>2</w:t>
                  </w:r>
                </w:p>
              </w:tc>
              <w:tc>
                <w:tcPr>
                  <w:tcW w:w="5358" w:type="dxa"/>
                  <w:vAlign w:val="center"/>
                </w:tcPr>
                <w:p w14:paraId="2C9915FD">
                  <w:pPr>
                    <w:pStyle w:val="1314"/>
                    <w:ind w:left="129"/>
                    <w:jc w:val="both"/>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对不经过排气筒集中排放的大气污染物，排污单位应当采取密闭、封闭、集中收集、吸附、分解等处理措施，严格控制生产过程以及内部物料堆存、传输、装卸等环节产生的粉尘和气态污染物的排放。</w:t>
                  </w:r>
                </w:p>
              </w:tc>
              <w:tc>
                <w:tcPr>
                  <w:tcW w:w="2212" w:type="dxa"/>
                  <w:vAlign w:val="center"/>
                </w:tcPr>
                <w:p w14:paraId="41B892AD">
                  <w:pPr>
                    <w:pStyle w:val="1314"/>
                    <w:jc w:val="center"/>
                    <w:textAlignment w:val="baseline"/>
                    <w:rPr>
                      <w:rFonts w:ascii="Times New Roman" w:hAnsi="Times New Roman" w:cs="Times New Roman"/>
                      <w:color w:val="auto"/>
                      <w:sz w:val="18"/>
                      <w:szCs w:val="21"/>
                      <w:lang w:val="en-US"/>
                    </w:rPr>
                  </w:pPr>
                  <w:r>
                    <w:rPr>
                      <w:rFonts w:ascii="Times New Roman" w:hAnsi="Times New Roman" w:cs="Times New Roman"/>
                      <w:color w:val="auto"/>
                      <w:sz w:val="18"/>
                      <w:szCs w:val="21"/>
                    </w:rPr>
                    <w:t>本项目所有产污工序均进行密闭、局部封闭、集中收集，通过</w:t>
                  </w:r>
                  <w:r>
                    <w:rPr>
                      <w:rFonts w:ascii="Times New Roman" w:hAnsi="Times New Roman" w:cs="Times New Roman"/>
                      <w:color w:val="auto"/>
                      <w:sz w:val="18"/>
                      <w:szCs w:val="21"/>
                      <w:lang w:val="en-US"/>
                    </w:rPr>
                    <w:t>环保设施</w:t>
                  </w:r>
                  <w:r>
                    <w:rPr>
                      <w:rFonts w:ascii="Times New Roman" w:hAnsi="Times New Roman" w:cs="Times New Roman"/>
                      <w:color w:val="auto"/>
                      <w:sz w:val="18"/>
                      <w:szCs w:val="21"/>
                    </w:rPr>
                    <w:t>处理后有组织排放</w:t>
                  </w:r>
                </w:p>
              </w:tc>
            </w:tr>
            <w:tr w14:paraId="69C41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3" w:hRule="atLeast"/>
                <w:jc w:val="center"/>
              </w:trPr>
              <w:tc>
                <w:tcPr>
                  <w:tcW w:w="582" w:type="dxa"/>
                  <w:vAlign w:val="center"/>
                </w:tcPr>
                <w:p w14:paraId="63548EB3">
                  <w:pPr>
                    <w:pStyle w:val="1314"/>
                    <w:jc w:val="center"/>
                    <w:textAlignment w:val="baseline"/>
                    <w:rPr>
                      <w:rFonts w:hint="eastAsia" w:ascii="Times New Roman" w:hAnsi="Times New Roman" w:eastAsia="宋体" w:cs="Times New Roman"/>
                      <w:color w:val="auto"/>
                      <w:sz w:val="18"/>
                      <w:szCs w:val="21"/>
                      <w:lang w:val="en-US" w:eastAsia="zh-CN"/>
                    </w:rPr>
                  </w:pPr>
                  <w:r>
                    <w:rPr>
                      <w:rFonts w:hint="eastAsia" w:ascii="Times New Roman" w:hAnsi="Times New Roman" w:cs="Times New Roman"/>
                      <w:color w:val="auto"/>
                      <w:sz w:val="18"/>
                      <w:szCs w:val="21"/>
                      <w:lang w:val="en-US" w:eastAsia="zh-CN"/>
                    </w:rPr>
                    <w:t>3</w:t>
                  </w:r>
                </w:p>
              </w:tc>
              <w:tc>
                <w:tcPr>
                  <w:tcW w:w="5358" w:type="dxa"/>
                  <w:vAlign w:val="center"/>
                </w:tcPr>
                <w:p w14:paraId="095EA684">
                  <w:pPr>
                    <w:pStyle w:val="1314"/>
                    <w:ind w:left="129"/>
                    <w:jc w:val="both"/>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向大气排放恶臭气体的排污单位以及垃圾处置场、污水处理厂，应当按照规定设置合理的防护距离，安装净化装置或者采取其他措施减少恶臭气体排放。</w:t>
                  </w:r>
                </w:p>
              </w:tc>
              <w:tc>
                <w:tcPr>
                  <w:tcW w:w="2212" w:type="dxa"/>
                  <w:vAlign w:val="center"/>
                </w:tcPr>
                <w:p w14:paraId="5B9586C6">
                  <w:pPr>
                    <w:pStyle w:val="1314"/>
                    <w:ind w:right="57"/>
                    <w:jc w:val="center"/>
                    <w:textAlignment w:val="baseline"/>
                    <w:rPr>
                      <w:rFonts w:hint="default" w:ascii="Times New Roman" w:hAnsi="Times New Roman" w:cs="Times New Roman"/>
                      <w:color w:val="auto"/>
                      <w:sz w:val="18"/>
                      <w:szCs w:val="21"/>
                      <w:lang w:val="en-US"/>
                    </w:rPr>
                  </w:pPr>
                  <w:r>
                    <w:rPr>
                      <w:rFonts w:ascii="Times New Roman" w:hAnsi="Times New Roman" w:cs="Times New Roman"/>
                      <w:color w:val="auto"/>
                      <w:sz w:val="18"/>
                      <w:szCs w:val="21"/>
                    </w:rPr>
                    <w:t>项目</w:t>
                  </w:r>
                  <w:r>
                    <w:rPr>
                      <w:rFonts w:hint="eastAsia" w:ascii="Times New Roman" w:hAnsi="Times New Roman" w:cs="Times New Roman"/>
                      <w:color w:val="auto"/>
                      <w:sz w:val="18"/>
                      <w:szCs w:val="21"/>
                      <w:lang w:val="en-US"/>
                    </w:rPr>
                    <w:t>不涉及</w:t>
                  </w:r>
                </w:p>
              </w:tc>
            </w:tr>
          </w:tbl>
          <w:p w14:paraId="39484955">
            <w:pPr>
              <w:tabs>
                <w:tab w:val="left" w:pos="5427"/>
              </w:tabs>
              <w:spacing w:line="360" w:lineRule="auto"/>
              <w:ind w:firstLine="420" w:firstLineChars="200"/>
              <w:rPr>
                <w:bCs/>
                <w:color w:val="auto"/>
              </w:rPr>
            </w:pPr>
            <w:r>
              <w:rPr>
                <w:bCs/>
                <w:color w:val="auto"/>
              </w:rPr>
              <w:t>由上表可知，项目符合《山东省大气污染防治条例》的要求。</w:t>
            </w:r>
          </w:p>
          <w:p w14:paraId="4F328B5B">
            <w:pPr>
              <w:tabs>
                <w:tab w:val="left" w:pos="5427"/>
              </w:tabs>
              <w:spacing w:line="360" w:lineRule="auto"/>
              <w:ind w:firstLine="420" w:firstLineChars="200"/>
              <w:rPr>
                <w:bCs/>
                <w:color w:val="auto"/>
              </w:rPr>
            </w:pPr>
            <w:r>
              <w:rPr>
                <w:bCs/>
                <w:color w:val="auto"/>
              </w:rPr>
              <w:t>（4）《山东省工业企业无组织排放分行业管控指导意见》鲁环发[2020]30 号的符合性分析</w:t>
            </w:r>
          </w:p>
          <w:p w14:paraId="4C3FBF16">
            <w:pPr>
              <w:tabs>
                <w:tab w:val="left" w:pos="5427"/>
              </w:tabs>
              <w:spacing w:line="360" w:lineRule="auto"/>
              <w:ind w:firstLine="420" w:firstLineChars="200"/>
              <w:rPr>
                <w:bCs/>
                <w:color w:val="auto"/>
              </w:rPr>
            </w:pPr>
            <w:r>
              <w:rPr>
                <w:bCs/>
                <w:color w:val="auto"/>
              </w:rPr>
              <w:t>本项目与鲁环发[2020]30 号的符合性分析见下表。</w:t>
            </w:r>
          </w:p>
          <w:p w14:paraId="53891FEC">
            <w:pPr>
              <w:pStyle w:val="8"/>
              <w:spacing w:line="360" w:lineRule="auto"/>
              <w:ind w:firstLine="422"/>
              <w:jc w:val="center"/>
              <w:rPr>
                <w:b/>
                <w:color w:val="auto"/>
              </w:rPr>
            </w:pPr>
          </w:p>
          <w:p w14:paraId="1AA7BF03">
            <w:pPr>
              <w:pStyle w:val="8"/>
              <w:spacing w:line="360" w:lineRule="auto"/>
              <w:ind w:firstLine="422"/>
              <w:jc w:val="center"/>
              <w:rPr>
                <w:b/>
                <w:color w:val="auto"/>
              </w:rPr>
            </w:pPr>
          </w:p>
          <w:p w14:paraId="6C3EDC8B">
            <w:pPr>
              <w:pStyle w:val="8"/>
              <w:spacing w:line="360" w:lineRule="auto"/>
              <w:ind w:firstLine="422"/>
              <w:jc w:val="center"/>
              <w:rPr>
                <w:color w:val="auto"/>
                <w:lang w:eastAsia="zh"/>
              </w:rPr>
            </w:pPr>
            <w:r>
              <w:rPr>
                <w:b/>
                <w:color w:val="auto"/>
              </w:rPr>
              <w:t>表1-</w:t>
            </w:r>
            <w:r>
              <w:rPr>
                <w:rFonts w:hint="eastAsia"/>
                <w:b/>
                <w:color w:val="auto"/>
                <w:lang w:val="en-US" w:eastAsia="zh-CN"/>
              </w:rPr>
              <w:t>7</w:t>
            </w:r>
            <w:r>
              <w:rPr>
                <w:b/>
                <w:color w:val="auto"/>
              </w:rPr>
              <w:t>项目与鲁环发[2020]30 号符合情况分析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6"/>
              <w:gridCol w:w="4453"/>
              <w:gridCol w:w="2515"/>
              <w:gridCol w:w="698"/>
            </w:tblGrid>
            <w:tr w14:paraId="5E802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Align w:val="center"/>
                </w:tcPr>
                <w:p w14:paraId="2BCE88FC">
                  <w:pPr>
                    <w:pStyle w:val="1314"/>
                    <w:ind w:right="24"/>
                    <w:jc w:val="center"/>
                    <w:textAlignment w:val="baseline"/>
                    <w:rPr>
                      <w:rFonts w:ascii="Times New Roman" w:hAnsi="Times New Roman" w:cs="Times New Roman"/>
                      <w:b/>
                      <w:bCs/>
                      <w:color w:val="auto"/>
                      <w:sz w:val="18"/>
                      <w:szCs w:val="21"/>
                    </w:rPr>
                  </w:pPr>
                  <w:r>
                    <w:rPr>
                      <w:rFonts w:ascii="Times New Roman" w:hAnsi="Times New Roman" w:cs="Times New Roman"/>
                      <w:b/>
                      <w:bCs/>
                      <w:color w:val="auto"/>
                      <w:sz w:val="18"/>
                      <w:szCs w:val="21"/>
                    </w:rPr>
                    <w:t>分类</w:t>
                  </w:r>
                </w:p>
              </w:tc>
              <w:tc>
                <w:tcPr>
                  <w:tcW w:w="4453" w:type="dxa"/>
                  <w:vAlign w:val="center"/>
                </w:tcPr>
                <w:p w14:paraId="7BBFA093">
                  <w:pPr>
                    <w:pStyle w:val="1314"/>
                    <w:ind w:left="19"/>
                    <w:jc w:val="center"/>
                    <w:textAlignment w:val="baseline"/>
                    <w:rPr>
                      <w:rFonts w:ascii="Times New Roman" w:hAnsi="Times New Roman" w:cs="Times New Roman"/>
                      <w:b/>
                      <w:bCs/>
                      <w:color w:val="auto"/>
                      <w:sz w:val="18"/>
                      <w:szCs w:val="21"/>
                    </w:rPr>
                  </w:pPr>
                  <w:r>
                    <w:rPr>
                      <w:rFonts w:ascii="Times New Roman" w:hAnsi="Times New Roman" w:cs="Times New Roman"/>
                      <w:b/>
                      <w:bCs/>
                      <w:color w:val="auto"/>
                      <w:sz w:val="18"/>
                      <w:szCs w:val="21"/>
                    </w:rPr>
                    <w:t>文件要求</w:t>
                  </w:r>
                </w:p>
              </w:tc>
              <w:tc>
                <w:tcPr>
                  <w:tcW w:w="2515" w:type="dxa"/>
                  <w:vAlign w:val="center"/>
                </w:tcPr>
                <w:p w14:paraId="5884C306">
                  <w:pPr>
                    <w:pStyle w:val="1314"/>
                    <w:ind w:left="19"/>
                    <w:jc w:val="center"/>
                    <w:textAlignment w:val="baseline"/>
                    <w:rPr>
                      <w:rFonts w:ascii="Times New Roman" w:hAnsi="Times New Roman" w:cs="Times New Roman"/>
                      <w:b/>
                      <w:bCs/>
                      <w:color w:val="auto"/>
                      <w:sz w:val="18"/>
                      <w:szCs w:val="21"/>
                    </w:rPr>
                  </w:pPr>
                  <w:r>
                    <w:rPr>
                      <w:rFonts w:ascii="Times New Roman" w:hAnsi="Times New Roman" w:cs="Times New Roman"/>
                      <w:b/>
                      <w:bCs/>
                      <w:color w:val="auto"/>
                      <w:sz w:val="18"/>
                      <w:szCs w:val="21"/>
                    </w:rPr>
                    <w:t>本项目情况</w:t>
                  </w:r>
                </w:p>
              </w:tc>
              <w:tc>
                <w:tcPr>
                  <w:tcW w:w="698" w:type="dxa"/>
                  <w:vAlign w:val="center"/>
                </w:tcPr>
                <w:p w14:paraId="60030943">
                  <w:pPr>
                    <w:pStyle w:val="1314"/>
                    <w:ind w:left="48"/>
                    <w:jc w:val="center"/>
                    <w:textAlignment w:val="baseline"/>
                    <w:rPr>
                      <w:rFonts w:ascii="Times New Roman" w:hAnsi="Times New Roman" w:cs="Times New Roman"/>
                      <w:b/>
                      <w:bCs/>
                      <w:color w:val="auto"/>
                      <w:sz w:val="18"/>
                      <w:szCs w:val="21"/>
                    </w:rPr>
                  </w:pPr>
                  <w:r>
                    <w:rPr>
                      <w:rFonts w:ascii="Times New Roman" w:hAnsi="Times New Roman" w:cs="Times New Roman"/>
                      <w:b/>
                      <w:bCs/>
                      <w:color w:val="auto"/>
                      <w:sz w:val="18"/>
                      <w:szCs w:val="21"/>
                    </w:rPr>
                    <w:t>符合性</w:t>
                  </w:r>
                </w:p>
              </w:tc>
            </w:tr>
            <w:tr w14:paraId="68361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restart"/>
                  <w:vAlign w:val="center"/>
                </w:tcPr>
                <w:p w14:paraId="33F5386C">
                  <w:pPr>
                    <w:pStyle w:val="1314"/>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管控要求</w:t>
                  </w:r>
                </w:p>
              </w:tc>
              <w:tc>
                <w:tcPr>
                  <w:tcW w:w="4453" w:type="dxa"/>
                  <w:vAlign w:val="center"/>
                </w:tcPr>
                <w:p w14:paraId="0B83C2B7">
                  <w:pPr>
                    <w:pStyle w:val="1314"/>
                    <w:ind w:left="76"/>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1、加强物料运输、装卸环节管控。煤粉、粉煤灰、石灰、除尘灰、脱硫灰、原料药等粉状物料采用管状带式输送机、气力输送、真空罐车、密闭车厢等密闭方式运输；砂石、矿石、煤、铁精矿、脱硫石膏等块状、粒状或粘湿物料采用皮带通廊、封闭车厢等封闭方式运输或苫盖严密，防止沿途抛洒和飞扬。料场或厂区出入口配备车辆清洗装置或采取其他控制措施，确保出场车辆清洁、运输不起尘。厂区道路硬化，平整无破损、无积尘，厂区无裸露空地，闲置裸露空地及时绿化或硬化，厂区道路定期洒水清扫。块状、粒状或粘湿物料直接卸落至储存料场，装卸过程配备有效抑尘、集尘除尘设施，粉状物料装卸口配备密封防尘装置且不得直接卸落到地面。挥发性有机液体装车采用顶部浸没式或底部装载，严禁喷溅，运输相关产品的车辆具备油气回收接口。</w:t>
                  </w:r>
                </w:p>
              </w:tc>
              <w:tc>
                <w:tcPr>
                  <w:tcW w:w="2515" w:type="dxa"/>
                  <w:vAlign w:val="center"/>
                </w:tcPr>
                <w:p w14:paraId="259DEA90">
                  <w:pPr>
                    <w:pStyle w:val="1314"/>
                    <w:ind w:left="72"/>
                    <w:jc w:val="center"/>
                    <w:textAlignment w:val="baseline"/>
                    <w:rPr>
                      <w:rFonts w:hint="eastAsia" w:ascii="Times New Roman" w:hAnsi="Times New Roman" w:eastAsia="宋体" w:cs="Times New Roman"/>
                      <w:color w:val="auto"/>
                      <w:sz w:val="18"/>
                      <w:szCs w:val="21"/>
                      <w:lang w:val="en-US" w:eastAsia="zh-CN"/>
                    </w:rPr>
                  </w:pPr>
                  <w:r>
                    <w:rPr>
                      <w:rFonts w:ascii="Times New Roman" w:hAnsi="Times New Roman" w:cs="Times New Roman"/>
                      <w:color w:val="auto"/>
                      <w:sz w:val="18"/>
                      <w:szCs w:val="21"/>
                      <w:lang w:val="en-US"/>
                    </w:rPr>
                    <w:t>本</w:t>
                  </w:r>
                  <w:r>
                    <w:rPr>
                      <w:rFonts w:ascii="Times New Roman" w:hAnsi="Times New Roman" w:cs="Times New Roman"/>
                      <w:color w:val="auto"/>
                      <w:sz w:val="18"/>
                      <w:szCs w:val="21"/>
                      <w:highlight w:val="none"/>
                      <w:lang w:val="en-US"/>
                    </w:rPr>
                    <w:t>项目</w:t>
                  </w:r>
                  <w:r>
                    <w:rPr>
                      <w:rFonts w:hint="eastAsia" w:ascii="Times New Roman" w:hAnsi="Times New Roman" w:cs="Times New Roman"/>
                      <w:color w:val="auto"/>
                      <w:sz w:val="18"/>
                      <w:szCs w:val="21"/>
                      <w:highlight w:val="none"/>
                      <w:lang w:val="en-US" w:eastAsia="zh-CN"/>
                    </w:rPr>
                    <w:t>原辅料为袋装/桶装，均密闭</w:t>
                  </w:r>
                  <w:r>
                    <w:rPr>
                      <w:rFonts w:hint="eastAsia" w:ascii="Times New Roman" w:hAnsi="Times New Roman" w:cs="Times New Roman"/>
                      <w:color w:val="auto"/>
                      <w:sz w:val="18"/>
                      <w:szCs w:val="21"/>
                      <w:lang w:val="en-US" w:eastAsia="zh-CN"/>
                    </w:rPr>
                    <w:t>储存在仓库，</w:t>
                  </w:r>
                  <w:r>
                    <w:rPr>
                      <w:rFonts w:hint="eastAsia" w:ascii="Times New Roman" w:hAnsi="Times New Roman" w:cs="Times New Roman"/>
                      <w:color w:val="auto"/>
                      <w:sz w:val="18"/>
                      <w:szCs w:val="21"/>
                      <w:highlight w:val="none"/>
                      <w:lang w:val="en-US" w:eastAsia="zh-CN"/>
                    </w:rPr>
                    <w:t>车间内定期洒水降尘</w:t>
                  </w:r>
                  <w:r>
                    <w:rPr>
                      <w:rFonts w:hint="eastAsia" w:ascii="Times New Roman" w:hAnsi="Times New Roman" w:cs="Times New Roman"/>
                      <w:color w:val="auto"/>
                      <w:sz w:val="18"/>
                      <w:szCs w:val="21"/>
                      <w:lang w:val="en-US" w:eastAsia="zh-CN"/>
                    </w:rPr>
                    <w:t>。</w:t>
                  </w:r>
                </w:p>
              </w:tc>
              <w:tc>
                <w:tcPr>
                  <w:tcW w:w="698" w:type="dxa"/>
                  <w:vAlign w:val="center"/>
                </w:tcPr>
                <w:p w14:paraId="205655A7">
                  <w:pPr>
                    <w:pStyle w:val="1314"/>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符合</w:t>
                  </w:r>
                </w:p>
              </w:tc>
            </w:tr>
            <w:tr w14:paraId="7F8BE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2CA691E3">
                  <w:pPr>
                    <w:pStyle w:val="1314"/>
                    <w:jc w:val="center"/>
                    <w:textAlignment w:val="baseline"/>
                    <w:rPr>
                      <w:rFonts w:ascii="Times New Roman" w:hAnsi="Times New Roman" w:cs="Times New Roman"/>
                      <w:color w:val="FF0000"/>
                      <w:sz w:val="18"/>
                      <w:szCs w:val="21"/>
                    </w:rPr>
                  </w:pPr>
                </w:p>
              </w:tc>
              <w:tc>
                <w:tcPr>
                  <w:tcW w:w="4453" w:type="dxa"/>
                  <w:vAlign w:val="center"/>
                </w:tcPr>
                <w:p w14:paraId="3A340E04">
                  <w:pPr>
                    <w:pStyle w:val="1314"/>
                    <w:ind w:left="76"/>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18"/>
                    </w:rPr>
                    <w:t>2、加强物料储存、输送环节管控。煤粉、粉煤灰、石灰、除尘灰、脱硫灰、原料药等粉状物料采用料仓、储罐、容器、包装袋等方式密闭储存，料仓、储罐配置高效除尘设施；采用管状带式输送机、气力输送、真空罐车、密闭车辆等方式输送。砂石、矿石、煤、铁精矿、脱硫石膏等块状、粒状或粘湿物料采用密闭料仓、封闭料棚或建设防风抑尘网等方式进行规范储存，封闭料棚和露天料场内设有喷淋装置，喷淋范围覆盖整个料堆。所储存物料对含水率有严格要求或遇水发生变化的，在料场内安装有效集尘除尘设施。封闭料棚进出口安装封闭性良好且便于开关的卷帘门、推拉门或自动感应门等，无车辆通过时将门关闭。防风抑尘网高度高于料场堆存高度，并对堆存物料进行严密苫盖。块状、粒状或粘湿物料上料口设置在封闭料棚内，采用管状带式输送机、皮带通廊、封闭车辆等方式输送。物料上料、输送、转接、出料和扒渣等过程中的产尘点采取有效抑尘、集尘除尘措施。含挥发性有机物（VOCs）物料储存于密闭容器、包装袋，高效密封储罐，封闭式储库、料仓等；封闭式储库、料仓设置VOCs有效收集治理设施。含VOCs物料输送，采用密闭管道或密闭容器、罐车等。</w:t>
                  </w:r>
                </w:p>
              </w:tc>
              <w:tc>
                <w:tcPr>
                  <w:tcW w:w="2515" w:type="dxa"/>
                  <w:vAlign w:val="center"/>
                </w:tcPr>
                <w:p w14:paraId="603F2A81">
                  <w:pPr>
                    <w:pStyle w:val="1314"/>
                    <w:ind w:left="72"/>
                    <w:jc w:val="center"/>
                    <w:textAlignment w:val="baseline"/>
                    <w:rPr>
                      <w:rFonts w:hint="eastAsia" w:ascii="Times New Roman" w:hAnsi="Times New Roman" w:eastAsia="宋体" w:cs="Times New Roman"/>
                      <w:color w:val="auto"/>
                      <w:sz w:val="18"/>
                      <w:szCs w:val="21"/>
                      <w:lang w:val="en-US" w:eastAsia="zh-CN"/>
                    </w:rPr>
                  </w:pPr>
                  <w:r>
                    <w:rPr>
                      <w:rFonts w:ascii="Times New Roman" w:hAnsi="Times New Roman" w:cs="Times New Roman"/>
                      <w:color w:val="auto"/>
                      <w:sz w:val="18"/>
                      <w:szCs w:val="21"/>
                      <w:lang w:val="en-US"/>
                    </w:rPr>
                    <w:t>本</w:t>
                  </w:r>
                  <w:r>
                    <w:rPr>
                      <w:rFonts w:ascii="Times New Roman" w:hAnsi="Times New Roman" w:cs="Times New Roman"/>
                      <w:color w:val="auto"/>
                      <w:sz w:val="18"/>
                      <w:szCs w:val="21"/>
                      <w:highlight w:val="none"/>
                      <w:lang w:val="en-US"/>
                    </w:rPr>
                    <w:t>项目</w:t>
                  </w:r>
                  <w:r>
                    <w:rPr>
                      <w:rFonts w:hint="eastAsia" w:ascii="Times New Roman" w:hAnsi="Times New Roman" w:cs="Times New Roman"/>
                      <w:color w:val="auto"/>
                      <w:sz w:val="18"/>
                      <w:szCs w:val="21"/>
                      <w:highlight w:val="none"/>
                      <w:lang w:val="en-US" w:eastAsia="zh-CN"/>
                    </w:rPr>
                    <w:t>原辅料为袋装/桶装，均密闭</w:t>
                  </w:r>
                  <w:r>
                    <w:rPr>
                      <w:rFonts w:hint="eastAsia" w:ascii="Times New Roman" w:hAnsi="Times New Roman" w:cs="Times New Roman"/>
                      <w:color w:val="auto"/>
                      <w:sz w:val="18"/>
                      <w:szCs w:val="21"/>
                      <w:lang w:val="en-US" w:eastAsia="zh-CN"/>
                    </w:rPr>
                    <w:t>储存在仓库。</w:t>
                  </w:r>
                  <w:r>
                    <w:rPr>
                      <w:rFonts w:hint="eastAsia" w:ascii="Times New Roman" w:hAnsi="Times New Roman" w:cs="Times New Roman"/>
                      <w:color w:val="auto"/>
                      <w:sz w:val="18"/>
                      <w:szCs w:val="18"/>
                      <w:highlight w:val="none"/>
                      <w:lang w:val="en-US" w:eastAsia="zh-CN"/>
                    </w:rPr>
                    <w:t>磨边轮生产线配料、筛分、混料过程产生的粉尘经集气罩收集，1#布袋除尘器处理后由15m高排气筒（DA001）有组织排放；喷砂过程产生的粉尘经自带布袋除尘器处理后由15m高排气筒（DA001）有组织排放</w:t>
                  </w:r>
                  <w:r>
                    <w:rPr>
                      <w:rFonts w:hint="default" w:ascii="Times New Roman" w:hAnsi="Times New Roman" w:cs="Times New Roman"/>
                      <w:color w:val="auto"/>
                      <w:sz w:val="18"/>
                      <w:szCs w:val="18"/>
                      <w:highlight w:val="none"/>
                      <w:lang w:val="en-US" w:eastAsia="zh-CN"/>
                    </w:rPr>
                    <w:t>；</w:t>
                  </w:r>
                  <w:r>
                    <w:rPr>
                      <w:rFonts w:hint="eastAsia" w:ascii="Times New Roman" w:hAnsi="Times New Roman" w:cs="Times New Roman"/>
                      <w:color w:val="auto"/>
                      <w:sz w:val="18"/>
                      <w:szCs w:val="18"/>
                      <w:highlight w:val="none"/>
                      <w:lang w:val="en-US" w:eastAsia="zh-CN"/>
                    </w:rPr>
                    <w:t>弹性磨块</w:t>
                  </w:r>
                  <w:r>
                    <w:rPr>
                      <w:rFonts w:hint="default" w:ascii="Times New Roman" w:hAnsi="Times New Roman" w:cs="Times New Roman"/>
                      <w:color w:val="auto"/>
                      <w:sz w:val="18"/>
                      <w:szCs w:val="18"/>
                      <w:highlight w:val="none"/>
                      <w:lang w:val="en-US" w:eastAsia="zh-CN"/>
                    </w:rPr>
                    <w:t>生产线配料、筛分、混料过程产生的粉尘经集气罩收集，2#布袋除尘器处理后由15m高排气筒（DA002）有组织排放；热压、烘干、粘结过程产生的VOCs、甲醛、苯酚经集气罩收集，二级活性炭吸附装置处理后由15m高排气筒（DA003）有组织排放</w:t>
                  </w:r>
                  <w:r>
                    <w:rPr>
                      <w:rFonts w:hint="eastAsia" w:ascii="Times New Roman" w:hAnsi="Times New Roman" w:cs="Times New Roman"/>
                      <w:color w:val="auto"/>
                      <w:sz w:val="18"/>
                      <w:szCs w:val="21"/>
                      <w:lang w:val="en-US" w:eastAsia="zh-CN"/>
                    </w:rPr>
                    <w:t>。</w:t>
                  </w:r>
                </w:p>
              </w:tc>
              <w:tc>
                <w:tcPr>
                  <w:tcW w:w="698" w:type="dxa"/>
                  <w:vAlign w:val="center"/>
                </w:tcPr>
                <w:p w14:paraId="6C3F9E02">
                  <w:pPr>
                    <w:pStyle w:val="1314"/>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符合</w:t>
                  </w:r>
                </w:p>
              </w:tc>
            </w:tr>
            <w:tr w14:paraId="4477C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1E1B912B">
                  <w:pPr>
                    <w:pStyle w:val="1314"/>
                    <w:jc w:val="center"/>
                    <w:textAlignment w:val="baseline"/>
                    <w:rPr>
                      <w:rFonts w:ascii="Times New Roman" w:hAnsi="Times New Roman" w:cs="Times New Roman"/>
                      <w:color w:val="FF0000"/>
                      <w:sz w:val="18"/>
                      <w:szCs w:val="21"/>
                    </w:rPr>
                  </w:pPr>
                </w:p>
              </w:tc>
              <w:tc>
                <w:tcPr>
                  <w:tcW w:w="4453" w:type="dxa"/>
                  <w:vAlign w:val="center"/>
                </w:tcPr>
                <w:p w14:paraId="783284BE">
                  <w:pPr>
                    <w:pStyle w:val="1314"/>
                    <w:ind w:left="76"/>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18"/>
                    </w:rPr>
                    <w:t>3、加强生产环节管控。通过提高工艺自动化和设备密闭化水平，减少生产过程中的无组织排放。生产过程中的产尘点和VOCs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原件外，不得采用压缩空气吹扫等易产生扬尘的清理措施。厂内污水收集、输送、处理，污泥产生、暂存、处置，危险废物暂存等产生VOCs或恶臭气体的区域加罩或加盖封闭并进行收集处理。涉VOCs化（试）验室实验平台设置负压集气系统，对化（试）验室中产生的废气进行集中收集治理。</w:t>
                  </w:r>
                </w:p>
              </w:tc>
              <w:tc>
                <w:tcPr>
                  <w:tcW w:w="2515" w:type="dxa"/>
                  <w:vAlign w:val="center"/>
                </w:tcPr>
                <w:p w14:paraId="4F3E3A8C">
                  <w:pPr>
                    <w:pStyle w:val="1314"/>
                    <w:ind w:left="72"/>
                    <w:jc w:val="center"/>
                    <w:textAlignment w:val="baseline"/>
                    <w:rPr>
                      <w:rFonts w:hint="eastAsia" w:ascii="Times New Roman" w:hAnsi="Times New Roman" w:eastAsia="宋体" w:cs="Times New Roman"/>
                      <w:color w:val="auto"/>
                      <w:sz w:val="18"/>
                      <w:szCs w:val="21"/>
                      <w:lang w:val="en-US" w:eastAsia="zh-CN"/>
                    </w:rPr>
                  </w:pPr>
                  <w:r>
                    <w:rPr>
                      <w:rFonts w:ascii="Times New Roman" w:hAnsi="Times New Roman" w:cs="Times New Roman"/>
                      <w:color w:val="auto"/>
                      <w:sz w:val="18"/>
                      <w:szCs w:val="21"/>
                      <w:lang w:val="en-US"/>
                    </w:rPr>
                    <w:t>本</w:t>
                  </w:r>
                  <w:r>
                    <w:rPr>
                      <w:rFonts w:ascii="Times New Roman" w:hAnsi="Times New Roman" w:cs="Times New Roman"/>
                      <w:color w:val="auto"/>
                      <w:sz w:val="18"/>
                      <w:szCs w:val="21"/>
                      <w:highlight w:val="none"/>
                      <w:lang w:val="en-US"/>
                    </w:rPr>
                    <w:t>项目</w:t>
                  </w:r>
                  <w:r>
                    <w:rPr>
                      <w:rFonts w:hint="eastAsia" w:ascii="Times New Roman" w:hAnsi="Times New Roman" w:cs="Times New Roman"/>
                      <w:color w:val="auto"/>
                      <w:sz w:val="18"/>
                      <w:szCs w:val="21"/>
                      <w:highlight w:val="none"/>
                      <w:lang w:val="en-US" w:eastAsia="zh-CN"/>
                    </w:rPr>
                    <w:t>原辅料为袋装/桶装，均密闭</w:t>
                  </w:r>
                  <w:r>
                    <w:rPr>
                      <w:rFonts w:hint="eastAsia" w:ascii="Times New Roman" w:hAnsi="Times New Roman" w:cs="Times New Roman"/>
                      <w:color w:val="auto"/>
                      <w:sz w:val="18"/>
                      <w:szCs w:val="21"/>
                      <w:lang w:val="en-US" w:eastAsia="zh-CN"/>
                    </w:rPr>
                    <w:t>储存在仓库。</w:t>
                  </w:r>
                  <w:r>
                    <w:rPr>
                      <w:rFonts w:hint="eastAsia" w:ascii="Times New Roman" w:hAnsi="Times New Roman" w:cs="Times New Roman"/>
                      <w:color w:val="auto"/>
                      <w:sz w:val="18"/>
                      <w:szCs w:val="18"/>
                      <w:highlight w:val="none"/>
                      <w:lang w:val="en-US" w:eastAsia="zh-CN"/>
                    </w:rPr>
                    <w:t>磨边轮生产线配料、筛分、混料过程产生的粉尘经集气罩收集，1#布袋除尘器处理后由15m高排气筒（DA001）有组织排放；喷砂过程产生的粉尘经自带布袋除尘器处理后由15m高排气筒（DA001）有组织排放</w:t>
                  </w:r>
                  <w:r>
                    <w:rPr>
                      <w:rFonts w:hint="default" w:ascii="Times New Roman" w:hAnsi="Times New Roman" w:cs="Times New Roman"/>
                      <w:color w:val="auto"/>
                      <w:sz w:val="18"/>
                      <w:szCs w:val="18"/>
                      <w:highlight w:val="none"/>
                      <w:lang w:val="en-US" w:eastAsia="zh-CN"/>
                    </w:rPr>
                    <w:t>；</w:t>
                  </w:r>
                  <w:r>
                    <w:rPr>
                      <w:rFonts w:hint="eastAsia" w:ascii="Times New Roman" w:hAnsi="Times New Roman" w:cs="Times New Roman"/>
                      <w:color w:val="auto"/>
                      <w:sz w:val="18"/>
                      <w:szCs w:val="18"/>
                      <w:highlight w:val="none"/>
                      <w:lang w:val="en-US" w:eastAsia="zh-CN"/>
                    </w:rPr>
                    <w:t>弹性磨块</w:t>
                  </w:r>
                  <w:r>
                    <w:rPr>
                      <w:rFonts w:hint="default" w:ascii="Times New Roman" w:hAnsi="Times New Roman" w:cs="Times New Roman"/>
                      <w:color w:val="auto"/>
                      <w:sz w:val="18"/>
                      <w:szCs w:val="18"/>
                      <w:highlight w:val="none"/>
                      <w:lang w:val="en-US" w:eastAsia="zh-CN"/>
                    </w:rPr>
                    <w:t>生产线配料、筛分、混料过程产生的粉尘经集气罩收集，2#布袋除尘器处理后由15m高排气筒（DA002）有组织排放；热压、烘干、粘结过程产生的VOCs、甲醛、苯酚经集气罩收集，二级活性炭吸附装置处理后由15m高排气筒（DA003）有组织排放</w:t>
                  </w:r>
                  <w:r>
                    <w:rPr>
                      <w:rFonts w:hint="eastAsia" w:ascii="Times New Roman" w:hAnsi="Times New Roman" w:cs="Times New Roman"/>
                      <w:color w:val="auto"/>
                      <w:sz w:val="18"/>
                      <w:szCs w:val="21"/>
                      <w:lang w:val="en-US" w:eastAsia="zh-CN"/>
                    </w:rPr>
                    <w:t>。</w:t>
                  </w:r>
                </w:p>
              </w:tc>
              <w:tc>
                <w:tcPr>
                  <w:tcW w:w="698" w:type="dxa"/>
                  <w:vAlign w:val="center"/>
                </w:tcPr>
                <w:p w14:paraId="5F62B954">
                  <w:pPr>
                    <w:pStyle w:val="1314"/>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符合</w:t>
                  </w:r>
                </w:p>
              </w:tc>
            </w:tr>
            <w:tr w14:paraId="71C2B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36293747">
                  <w:pPr>
                    <w:pStyle w:val="1314"/>
                    <w:jc w:val="center"/>
                    <w:textAlignment w:val="baseline"/>
                    <w:rPr>
                      <w:rFonts w:ascii="Times New Roman" w:hAnsi="Times New Roman" w:cs="Times New Roman"/>
                      <w:color w:val="FF0000"/>
                      <w:sz w:val="18"/>
                      <w:szCs w:val="21"/>
                    </w:rPr>
                  </w:pPr>
                </w:p>
              </w:tc>
              <w:tc>
                <w:tcPr>
                  <w:tcW w:w="4453" w:type="dxa"/>
                  <w:vAlign w:val="center"/>
                </w:tcPr>
                <w:p w14:paraId="1357A94F">
                  <w:pPr>
                    <w:pStyle w:val="1314"/>
                    <w:ind w:left="76"/>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18"/>
                    </w:rPr>
                    <w:t>4、加强精细化管控。针对各无组织排放环节，制定“一厂一策”深度治理方案。制定无组织排放治理设施操作规程，并建立管理台账，记录操作人员操作内容、运行、维护、检修和含VOCs物料使用回收等情况，记录保存期限不得少于三年。鼓励安装视频、空气微站等监控设施和综合监控信息平台，用于企业日常自我监督，逐步实现无组织排放向精细化和可量化管理方式转变。</w:t>
                  </w:r>
                </w:p>
              </w:tc>
              <w:tc>
                <w:tcPr>
                  <w:tcW w:w="2515" w:type="dxa"/>
                  <w:vAlign w:val="center"/>
                </w:tcPr>
                <w:p w14:paraId="43ED3B38">
                  <w:pPr>
                    <w:pStyle w:val="1314"/>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项目建成后届时按照要求编制治理方案，建立</w:t>
                  </w:r>
                  <w:r>
                    <w:rPr>
                      <w:rFonts w:hint="eastAsia" w:ascii="Times New Roman" w:hAnsi="Times New Roman" w:cs="Times New Roman"/>
                      <w:color w:val="auto"/>
                      <w:sz w:val="18"/>
                      <w:szCs w:val="21"/>
                      <w:lang w:eastAsia="zh-CN"/>
                    </w:rPr>
                    <w:t>生产</w:t>
                  </w:r>
                  <w:r>
                    <w:rPr>
                      <w:rFonts w:ascii="Times New Roman" w:hAnsi="Times New Roman" w:cs="Times New Roman"/>
                      <w:color w:val="auto"/>
                      <w:sz w:val="18"/>
                      <w:szCs w:val="21"/>
                    </w:rPr>
                    <w:t>管理台账等信息</w:t>
                  </w:r>
                </w:p>
              </w:tc>
              <w:tc>
                <w:tcPr>
                  <w:tcW w:w="698" w:type="dxa"/>
                  <w:vAlign w:val="center"/>
                </w:tcPr>
                <w:p w14:paraId="5AB723B9">
                  <w:pPr>
                    <w:pStyle w:val="1314"/>
                    <w:jc w:val="center"/>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符合</w:t>
                  </w:r>
                </w:p>
              </w:tc>
            </w:tr>
          </w:tbl>
          <w:p w14:paraId="459EF409">
            <w:pPr>
              <w:adjustRightInd w:val="0"/>
              <w:snapToGrid w:val="0"/>
              <w:spacing w:line="360" w:lineRule="auto"/>
              <w:ind w:firstLine="420" w:firstLineChars="200"/>
              <w:rPr>
                <w:color w:val="auto"/>
              </w:rPr>
            </w:pPr>
            <w:r>
              <w:rPr>
                <w:color w:val="auto"/>
              </w:rPr>
              <w:t>（5）与《山东省“两高”项目管理目录》（202</w:t>
            </w:r>
            <w:r>
              <w:rPr>
                <w:rFonts w:hint="eastAsia"/>
                <w:color w:val="auto"/>
                <w:lang w:val="en-US" w:eastAsia="zh-CN"/>
              </w:rPr>
              <w:t>5</w:t>
            </w:r>
            <w:r>
              <w:rPr>
                <w:color w:val="auto"/>
              </w:rPr>
              <w:t>年版）的符合性</w:t>
            </w:r>
          </w:p>
          <w:p w14:paraId="1C313CB0">
            <w:pPr>
              <w:adjustRightInd w:val="0"/>
              <w:snapToGrid w:val="0"/>
              <w:spacing w:line="360" w:lineRule="auto"/>
              <w:ind w:firstLine="420" w:firstLineChars="200"/>
              <w:rPr>
                <w:color w:val="auto"/>
              </w:rPr>
            </w:pPr>
            <w:r>
              <w:rPr>
                <w:bCs/>
                <w:color w:val="auto"/>
              </w:rPr>
              <w:t>本项目属于</w:t>
            </w:r>
            <w:r>
              <w:rPr>
                <w:rFonts w:hint="eastAsia"/>
                <w:color w:val="auto"/>
                <w:lang w:eastAsia="zh-CN"/>
              </w:rPr>
              <w:t>C3099其他非金属矿物制品制造，</w:t>
            </w:r>
            <w:r>
              <w:rPr>
                <w:bCs/>
                <w:color w:val="auto"/>
              </w:rPr>
              <w:t>不属于上述“两高”行业</w:t>
            </w:r>
            <w:r>
              <w:rPr>
                <w:color w:val="auto"/>
              </w:rPr>
              <w:t>，项目建设符合《山东省“两高”项目管理目录》（202</w:t>
            </w:r>
            <w:r>
              <w:rPr>
                <w:rFonts w:hint="eastAsia"/>
                <w:color w:val="auto"/>
                <w:lang w:val="en-US" w:eastAsia="zh-CN"/>
              </w:rPr>
              <w:t>5</w:t>
            </w:r>
            <w:r>
              <w:rPr>
                <w:color w:val="auto"/>
              </w:rPr>
              <w:t>年版）要求。</w:t>
            </w:r>
          </w:p>
          <w:p w14:paraId="42EB9E8A">
            <w:pPr>
              <w:adjustRightInd w:val="0"/>
              <w:snapToGrid w:val="0"/>
              <w:spacing w:line="360" w:lineRule="auto"/>
              <w:ind w:firstLine="420" w:firstLineChars="200"/>
              <w:rPr>
                <w:color w:val="auto"/>
              </w:rPr>
            </w:pPr>
            <w:r>
              <w:rPr>
                <w:color w:val="auto"/>
              </w:rPr>
              <w:t>（6）与《关于印发山东省“十四五”生态环境保护规划的通知》（鲁政发〔2021〕12号）的符合性</w:t>
            </w:r>
          </w:p>
          <w:p w14:paraId="77C0781C">
            <w:pPr>
              <w:pStyle w:val="8"/>
              <w:spacing w:line="360" w:lineRule="auto"/>
              <w:ind w:firstLine="422"/>
              <w:jc w:val="center"/>
              <w:rPr>
                <w:b/>
                <w:color w:val="auto"/>
              </w:rPr>
            </w:pPr>
            <w:r>
              <w:rPr>
                <w:b/>
                <w:color w:val="auto"/>
              </w:rPr>
              <w:t>表1-</w:t>
            </w:r>
            <w:r>
              <w:rPr>
                <w:rFonts w:hint="eastAsia"/>
                <w:b/>
                <w:color w:val="auto"/>
                <w:lang w:val="en-US" w:eastAsia="zh-CN"/>
              </w:rPr>
              <w:t>8</w:t>
            </w:r>
            <w:r>
              <w:rPr>
                <w:b/>
                <w:color w:val="auto"/>
              </w:rPr>
              <w:t>与《关于印发山东省“十四五”生态环境保护规划的通知》（鲁政发〔2021〕12号）符合性分析</w:t>
            </w:r>
          </w:p>
          <w:tbl>
            <w:tblPr>
              <w:tblStyle w:val="83"/>
              <w:tblW w:w="4998"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0" w:type="dxa"/>
                <w:bottom w:w="0" w:type="dxa"/>
                <w:right w:w="0" w:type="dxa"/>
              </w:tblCellMar>
            </w:tblPr>
            <w:tblGrid>
              <w:gridCol w:w="837"/>
              <w:gridCol w:w="4676"/>
              <w:gridCol w:w="1907"/>
              <w:gridCol w:w="734"/>
            </w:tblGrid>
            <w:tr w14:paraId="6A8C111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3" w:type="pct"/>
                  <w:tcMar>
                    <w:top w:w="0" w:type="dxa"/>
                    <w:left w:w="45" w:type="dxa"/>
                    <w:bottom w:w="0" w:type="dxa"/>
                    <w:right w:w="45" w:type="dxa"/>
                  </w:tcMar>
                  <w:vAlign w:val="center"/>
                </w:tcPr>
                <w:p w14:paraId="5BED1E18">
                  <w:pPr>
                    <w:adjustRightInd w:val="0"/>
                    <w:snapToGrid w:val="0"/>
                    <w:jc w:val="center"/>
                    <w:rPr>
                      <w:color w:val="auto"/>
                      <w:sz w:val="18"/>
                      <w:szCs w:val="18"/>
                    </w:rPr>
                  </w:pPr>
                  <w:r>
                    <w:rPr>
                      <w:color w:val="auto"/>
                      <w:sz w:val="18"/>
                      <w:szCs w:val="18"/>
                    </w:rPr>
                    <w:t>文件要求</w:t>
                  </w:r>
                </w:p>
              </w:tc>
              <w:tc>
                <w:tcPr>
                  <w:tcW w:w="2866" w:type="pct"/>
                  <w:tcMar>
                    <w:top w:w="0" w:type="dxa"/>
                    <w:left w:w="45" w:type="dxa"/>
                    <w:bottom w:w="0" w:type="dxa"/>
                    <w:right w:w="45" w:type="dxa"/>
                  </w:tcMar>
                  <w:vAlign w:val="center"/>
                </w:tcPr>
                <w:p w14:paraId="330F5297">
                  <w:pPr>
                    <w:adjustRightInd w:val="0"/>
                    <w:snapToGrid w:val="0"/>
                    <w:jc w:val="center"/>
                    <w:rPr>
                      <w:color w:val="auto"/>
                      <w:sz w:val="18"/>
                      <w:szCs w:val="18"/>
                    </w:rPr>
                  </w:pPr>
                  <w:r>
                    <w:rPr>
                      <w:color w:val="auto"/>
                      <w:sz w:val="18"/>
                      <w:szCs w:val="18"/>
                    </w:rPr>
                    <w:t>具体规定</w:t>
                  </w:r>
                </w:p>
              </w:tc>
              <w:tc>
                <w:tcPr>
                  <w:tcW w:w="1169" w:type="pct"/>
                  <w:tcMar>
                    <w:top w:w="0" w:type="dxa"/>
                    <w:left w:w="45" w:type="dxa"/>
                    <w:bottom w:w="0" w:type="dxa"/>
                    <w:right w:w="45" w:type="dxa"/>
                  </w:tcMar>
                  <w:vAlign w:val="center"/>
                </w:tcPr>
                <w:p w14:paraId="49A4DF89">
                  <w:pPr>
                    <w:adjustRightInd w:val="0"/>
                    <w:snapToGrid w:val="0"/>
                    <w:jc w:val="center"/>
                    <w:rPr>
                      <w:color w:val="auto"/>
                      <w:sz w:val="18"/>
                      <w:szCs w:val="18"/>
                    </w:rPr>
                  </w:pPr>
                  <w:r>
                    <w:rPr>
                      <w:color w:val="auto"/>
                      <w:sz w:val="18"/>
                      <w:szCs w:val="18"/>
                    </w:rPr>
                    <w:t>本项目情况</w:t>
                  </w:r>
                </w:p>
              </w:tc>
              <w:tc>
                <w:tcPr>
                  <w:tcW w:w="450" w:type="pct"/>
                  <w:tcMar>
                    <w:top w:w="0" w:type="dxa"/>
                    <w:left w:w="45" w:type="dxa"/>
                    <w:bottom w:w="0" w:type="dxa"/>
                    <w:right w:w="45" w:type="dxa"/>
                  </w:tcMar>
                  <w:vAlign w:val="center"/>
                </w:tcPr>
                <w:p w14:paraId="61B1C87C">
                  <w:pPr>
                    <w:adjustRightInd w:val="0"/>
                    <w:snapToGrid w:val="0"/>
                    <w:jc w:val="center"/>
                    <w:rPr>
                      <w:color w:val="auto"/>
                      <w:sz w:val="18"/>
                      <w:szCs w:val="18"/>
                    </w:rPr>
                  </w:pPr>
                  <w:r>
                    <w:rPr>
                      <w:color w:val="auto"/>
                      <w:sz w:val="18"/>
                      <w:szCs w:val="18"/>
                    </w:rPr>
                    <w:t>符合</w:t>
                  </w:r>
                </w:p>
                <w:p w14:paraId="2BB8F337">
                  <w:pPr>
                    <w:adjustRightInd w:val="0"/>
                    <w:snapToGrid w:val="0"/>
                    <w:jc w:val="center"/>
                    <w:rPr>
                      <w:color w:val="auto"/>
                      <w:sz w:val="18"/>
                      <w:szCs w:val="18"/>
                    </w:rPr>
                  </w:pPr>
                  <w:r>
                    <w:rPr>
                      <w:color w:val="auto"/>
                      <w:sz w:val="18"/>
                      <w:szCs w:val="18"/>
                    </w:rPr>
                    <w:t>情况</w:t>
                  </w:r>
                </w:p>
              </w:tc>
            </w:tr>
            <w:tr w14:paraId="48DE042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3" w:type="pct"/>
                  <w:tcMar>
                    <w:top w:w="0" w:type="dxa"/>
                    <w:left w:w="45" w:type="dxa"/>
                    <w:bottom w:w="0" w:type="dxa"/>
                    <w:right w:w="45" w:type="dxa"/>
                  </w:tcMar>
                  <w:vAlign w:val="center"/>
                </w:tcPr>
                <w:p w14:paraId="20530DA8">
                  <w:pPr>
                    <w:adjustRightInd w:val="0"/>
                    <w:snapToGrid w:val="0"/>
                    <w:jc w:val="center"/>
                    <w:rPr>
                      <w:color w:val="auto"/>
                      <w:sz w:val="18"/>
                      <w:szCs w:val="18"/>
                    </w:rPr>
                  </w:pPr>
                  <w:r>
                    <w:rPr>
                      <w:color w:val="auto"/>
                      <w:sz w:val="18"/>
                      <w:szCs w:val="18"/>
                    </w:rPr>
                    <w:t>坚决淘汰落后产能</w:t>
                  </w:r>
                </w:p>
              </w:tc>
              <w:tc>
                <w:tcPr>
                  <w:tcW w:w="2866" w:type="pct"/>
                  <w:tcMar>
                    <w:top w:w="0" w:type="dxa"/>
                    <w:left w:w="45" w:type="dxa"/>
                    <w:bottom w:w="0" w:type="dxa"/>
                    <w:right w:w="45" w:type="dxa"/>
                  </w:tcMar>
                  <w:vAlign w:val="center"/>
                </w:tcPr>
                <w:p w14:paraId="447E1BA9">
                  <w:pPr>
                    <w:adjustRightInd w:val="0"/>
                    <w:snapToGrid w:val="0"/>
                    <w:jc w:val="center"/>
                    <w:rPr>
                      <w:color w:val="auto"/>
                      <w:sz w:val="18"/>
                      <w:szCs w:val="18"/>
                    </w:rPr>
                  </w:pPr>
                  <w:r>
                    <w:rPr>
                      <w:color w:val="auto"/>
                      <w:sz w:val="18"/>
                      <w:szCs w:val="18"/>
                    </w:rPr>
                    <w:t>严格落实《产业结构调整指导目录》，加快推动“淘汰类”生产工艺和产品退出。精准聚焦钢铁、地炼、焦化、煤电、水泥、轮胎、煤炭、化工等8个重点行业，加快淘汰低效落后动能。进一步健全并严格落实环保、安全、技术、能耗、效益标准，各市制定具体措施，重点围绕再生橡胶、废旧塑料再生、砖瓦、石灰、石膏等行业，分类组织实施转移、压减、整合、关停任务，推动低效落后产能退出。</w:t>
                  </w:r>
                </w:p>
              </w:tc>
              <w:tc>
                <w:tcPr>
                  <w:tcW w:w="1169" w:type="pct"/>
                  <w:tcMar>
                    <w:top w:w="0" w:type="dxa"/>
                    <w:left w:w="45" w:type="dxa"/>
                    <w:bottom w:w="0" w:type="dxa"/>
                    <w:right w:w="45" w:type="dxa"/>
                  </w:tcMar>
                  <w:vAlign w:val="center"/>
                </w:tcPr>
                <w:p w14:paraId="03664D4F">
                  <w:pPr>
                    <w:adjustRightInd w:val="0"/>
                    <w:snapToGrid w:val="0"/>
                    <w:jc w:val="center"/>
                    <w:rPr>
                      <w:color w:val="auto"/>
                      <w:sz w:val="18"/>
                      <w:szCs w:val="18"/>
                    </w:rPr>
                  </w:pPr>
                  <w:r>
                    <w:rPr>
                      <w:color w:val="auto"/>
                      <w:sz w:val="18"/>
                      <w:szCs w:val="18"/>
                    </w:rPr>
                    <w:t>项目已完成立项，立项代码为</w:t>
                  </w:r>
                  <w:r>
                    <w:rPr>
                      <w:rFonts w:hint="eastAsia"/>
                      <w:color w:val="auto"/>
                      <w:sz w:val="18"/>
                      <w:szCs w:val="18"/>
                      <w:lang w:eastAsia="zh-CN"/>
                    </w:rPr>
                    <w:t>2601-370302-89-01-821346</w:t>
                  </w:r>
                  <w:r>
                    <w:rPr>
                      <w:color w:val="auto"/>
                      <w:sz w:val="18"/>
                      <w:szCs w:val="18"/>
                    </w:rPr>
                    <w:t>，符合国家和淄博市产业政策。</w:t>
                  </w:r>
                </w:p>
              </w:tc>
              <w:tc>
                <w:tcPr>
                  <w:tcW w:w="450" w:type="pct"/>
                  <w:tcMar>
                    <w:top w:w="0" w:type="dxa"/>
                    <w:left w:w="45" w:type="dxa"/>
                    <w:bottom w:w="0" w:type="dxa"/>
                    <w:right w:w="45" w:type="dxa"/>
                  </w:tcMar>
                  <w:vAlign w:val="center"/>
                </w:tcPr>
                <w:p w14:paraId="1E1B49F6">
                  <w:pPr>
                    <w:adjustRightInd w:val="0"/>
                    <w:snapToGrid w:val="0"/>
                    <w:jc w:val="center"/>
                    <w:rPr>
                      <w:color w:val="auto"/>
                      <w:sz w:val="18"/>
                      <w:szCs w:val="18"/>
                    </w:rPr>
                  </w:pPr>
                  <w:r>
                    <w:rPr>
                      <w:color w:val="auto"/>
                      <w:sz w:val="18"/>
                      <w:szCs w:val="18"/>
                    </w:rPr>
                    <w:t>符合</w:t>
                  </w:r>
                </w:p>
              </w:tc>
            </w:tr>
            <w:tr w14:paraId="24A55B7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3" w:type="pct"/>
                  <w:tcMar>
                    <w:top w:w="0" w:type="dxa"/>
                    <w:left w:w="45" w:type="dxa"/>
                    <w:bottom w:w="0" w:type="dxa"/>
                    <w:right w:w="45" w:type="dxa"/>
                  </w:tcMar>
                  <w:vAlign w:val="center"/>
                </w:tcPr>
                <w:p w14:paraId="10608D7F">
                  <w:pPr>
                    <w:adjustRightInd w:val="0"/>
                    <w:snapToGrid w:val="0"/>
                    <w:jc w:val="center"/>
                    <w:rPr>
                      <w:color w:val="auto"/>
                      <w:sz w:val="18"/>
                      <w:szCs w:val="18"/>
                    </w:rPr>
                  </w:pPr>
                  <w:r>
                    <w:rPr>
                      <w:color w:val="auto"/>
                      <w:sz w:val="18"/>
                      <w:szCs w:val="18"/>
                    </w:rPr>
                    <w:t>严把准入关口</w:t>
                  </w:r>
                </w:p>
              </w:tc>
              <w:tc>
                <w:tcPr>
                  <w:tcW w:w="2866" w:type="pct"/>
                  <w:tcMar>
                    <w:top w:w="0" w:type="dxa"/>
                    <w:left w:w="45" w:type="dxa"/>
                    <w:bottom w:w="0" w:type="dxa"/>
                    <w:right w:w="45" w:type="dxa"/>
                  </w:tcMar>
                  <w:vAlign w:val="center"/>
                </w:tcPr>
                <w:p w14:paraId="1B6D711E">
                  <w:pPr>
                    <w:adjustRightInd w:val="0"/>
                    <w:snapToGrid w:val="0"/>
                    <w:jc w:val="center"/>
                    <w:rPr>
                      <w:color w:val="auto"/>
                      <w:sz w:val="18"/>
                      <w:szCs w:val="18"/>
                    </w:rPr>
                  </w:pPr>
                  <w:r>
                    <w:rPr>
                      <w:color w:val="auto"/>
                      <w:sz w:val="18"/>
                      <w:szCs w:val="18"/>
                    </w:rPr>
                    <w:t>坚持环境质量“只能更好，不能变坏”的底线，严格落实污染物排放总量和产能总量控制刚性要求。实施“四上四压”，坚持“上新压旧”“上大压小”“上高压低”“上整压散”。“两高”项目确有必要建设的，须严格落实产能、煤耗、能耗、碳排放和污染物排放“五个减量替代”要求，新（改、扩）建项目要减量替代，已建项目要减量运行。依据国家相关产业政策，对钢铁、地炼、焦化、煤电、电解铝、水泥、轮胎、平板玻璃、氮肥、铁合金等重点行业严格执行产能置换要求，确保产能总量只减不增。原则上不再审批新建煤矿项目。严禁省外水泥熟料、粉磨、焦化产能转入，严禁新增水泥熟料、粉磨产能。</w:t>
                  </w:r>
                </w:p>
              </w:tc>
              <w:tc>
                <w:tcPr>
                  <w:tcW w:w="1169" w:type="pct"/>
                  <w:tcMar>
                    <w:top w:w="0" w:type="dxa"/>
                    <w:left w:w="45" w:type="dxa"/>
                    <w:bottom w:w="0" w:type="dxa"/>
                    <w:right w:w="45" w:type="dxa"/>
                  </w:tcMar>
                  <w:vAlign w:val="center"/>
                </w:tcPr>
                <w:p w14:paraId="0BFEFF16">
                  <w:pPr>
                    <w:adjustRightInd w:val="0"/>
                    <w:snapToGrid w:val="0"/>
                    <w:jc w:val="center"/>
                    <w:rPr>
                      <w:color w:val="auto"/>
                      <w:sz w:val="18"/>
                      <w:szCs w:val="18"/>
                    </w:rPr>
                  </w:pPr>
                  <w:r>
                    <w:rPr>
                      <w:color w:val="auto"/>
                      <w:sz w:val="18"/>
                      <w:szCs w:val="18"/>
                    </w:rPr>
                    <w:t>项目不属于两高项目。</w:t>
                  </w:r>
                </w:p>
              </w:tc>
              <w:tc>
                <w:tcPr>
                  <w:tcW w:w="450" w:type="pct"/>
                  <w:tcMar>
                    <w:top w:w="0" w:type="dxa"/>
                    <w:left w:w="45" w:type="dxa"/>
                    <w:bottom w:w="0" w:type="dxa"/>
                    <w:right w:w="45" w:type="dxa"/>
                  </w:tcMar>
                  <w:vAlign w:val="center"/>
                </w:tcPr>
                <w:p w14:paraId="556374CE">
                  <w:pPr>
                    <w:adjustRightInd w:val="0"/>
                    <w:snapToGrid w:val="0"/>
                    <w:jc w:val="center"/>
                    <w:rPr>
                      <w:color w:val="auto"/>
                      <w:sz w:val="18"/>
                      <w:szCs w:val="18"/>
                    </w:rPr>
                  </w:pPr>
                  <w:r>
                    <w:rPr>
                      <w:color w:val="auto"/>
                      <w:sz w:val="18"/>
                      <w:szCs w:val="18"/>
                    </w:rPr>
                    <w:t>符合</w:t>
                  </w:r>
                </w:p>
              </w:tc>
            </w:tr>
          </w:tbl>
          <w:p w14:paraId="4F2F2FF7">
            <w:pPr>
              <w:pStyle w:val="8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textAlignment w:val="auto"/>
              <w:rPr>
                <w:color w:val="auto"/>
                <w:sz w:val="21"/>
                <w:szCs w:val="21"/>
              </w:rPr>
            </w:pPr>
            <w:r>
              <w:rPr>
                <w:color w:val="auto"/>
                <w:sz w:val="21"/>
                <w:szCs w:val="21"/>
              </w:rPr>
              <w:t>综上，项目建设符合《关于印发山东省“十四五”生态环境保护规划的通知》（鲁政发〔2021〕12号）要求。</w:t>
            </w:r>
          </w:p>
          <w:p w14:paraId="46B760B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rPr>
            </w:pPr>
            <w:r>
              <w:rPr>
                <w:color w:val="auto"/>
              </w:rPr>
              <w:t>（7）与《关于严格项目审批工作坚决防止新上“散乱污”项目的通知》（鲁环字[2021]58号）的符合性分析。</w:t>
            </w:r>
          </w:p>
          <w:p w14:paraId="1F3D04A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b/>
                <w:color w:val="auto"/>
              </w:rPr>
            </w:pPr>
            <w:r>
              <w:rPr>
                <w:b/>
                <w:color w:val="auto"/>
              </w:rPr>
              <w:t>表1-</w:t>
            </w:r>
            <w:r>
              <w:rPr>
                <w:rFonts w:hint="eastAsia"/>
                <w:b/>
                <w:color w:val="auto"/>
                <w:lang w:val="en-US" w:eastAsia="zh-CN"/>
              </w:rPr>
              <w:t>9</w:t>
            </w:r>
            <w:r>
              <w:rPr>
                <w:b/>
                <w:color w:val="auto"/>
              </w:rPr>
              <w:t>项目与《关于严格项目审批工作坚决防止新上“散乱污”项目的通知》（鲁环字[2021]58号）的符合性分析</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4258"/>
              <w:gridCol w:w="2148"/>
              <w:gridCol w:w="814"/>
            </w:tblGrid>
            <w:tr w14:paraId="068BB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72" w:type="pct"/>
                  <w:vAlign w:val="center"/>
                </w:tcPr>
                <w:p w14:paraId="182700C9">
                  <w:pPr>
                    <w:jc w:val="center"/>
                    <w:rPr>
                      <w:b/>
                      <w:bCs/>
                      <w:color w:val="auto"/>
                      <w:sz w:val="18"/>
                      <w:szCs w:val="18"/>
                    </w:rPr>
                  </w:pPr>
                  <w:r>
                    <w:rPr>
                      <w:b/>
                      <w:bCs/>
                      <w:color w:val="auto"/>
                      <w:sz w:val="18"/>
                      <w:szCs w:val="18"/>
                    </w:rPr>
                    <w:t>序号</w:t>
                  </w:r>
                </w:p>
              </w:tc>
              <w:tc>
                <w:tcPr>
                  <w:tcW w:w="2611" w:type="pct"/>
                  <w:vAlign w:val="center"/>
                </w:tcPr>
                <w:p w14:paraId="0A613D10">
                  <w:pPr>
                    <w:jc w:val="center"/>
                    <w:rPr>
                      <w:b/>
                      <w:bCs/>
                      <w:color w:val="auto"/>
                      <w:sz w:val="18"/>
                      <w:szCs w:val="18"/>
                    </w:rPr>
                  </w:pPr>
                  <w:r>
                    <w:rPr>
                      <w:b/>
                      <w:bCs/>
                      <w:color w:val="auto"/>
                      <w:sz w:val="18"/>
                      <w:szCs w:val="18"/>
                    </w:rPr>
                    <w:t>关于严格项目审批工作坚决防止新上“散乱污”项目的通知（鲁环字[2021]58号）</w:t>
                  </w:r>
                </w:p>
              </w:tc>
              <w:tc>
                <w:tcPr>
                  <w:tcW w:w="1317" w:type="pct"/>
                  <w:vAlign w:val="center"/>
                </w:tcPr>
                <w:p w14:paraId="1374B51A">
                  <w:pPr>
                    <w:jc w:val="center"/>
                    <w:rPr>
                      <w:b/>
                      <w:bCs/>
                      <w:color w:val="auto"/>
                      <w:sz w:val="18"/>
                      <w:szCs w:val="18"/>
                    </w:rPr>
                  </w:pPr>
                  <w:r>
                    <w:rPr>
                      <w:b/>
                      <w:bCs/>
                      <w:color w:val="auto"/>
                      <w:sz w:val="18"/>
                      <w:szCs w:val="18"/>
                    </w:rPr>
                    <w:t>项目符合情况</w:t>
                  </w:r>
                </w:p>
              </w:tc>
              <w:tc>
                <w:tcPr>
                  <w:tcW w:w="499" w:type="pct"/>
                  <w:vAlign w:val="center"/>
                </w:tcPr>
                <w:p w14:paraId="7B1C6577">
                  <w:pPr>
                    <w:jc w:val="center"/>
                    <w:rPr>
                      <w:b/>
                      <w:bCs/>
                      <w:color w:val="auto"/>
                      <w:sz w:val="18"/>
                      <w:szCs w:val="18"/>
                    </w:rPr>
                  </w:pPr>
                  <w:r>
                    <w:rPr>
                      <w:b/>
                      <w:bCs/>
                      <w:color w:val="auto"/>
                      <w:sz w:val="18"/>
                      <w:szCs w:val="18"/>
                    </w:rPr>
                    <w:t>符合情况</w:t>
                  </w:r>
                </w:p>
              </w:tc>
            </w:tr>
            <w:tr w14:paraId="7DB8B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1586BA96">
                  <w:pPr>
                    <w:snapToGrid w:val="0"/>
                    <w:jc w:val="center"/>
                    <w:rPr>
                      <w:color w:val="auto"/>
                      <w:sz w:val="18"/>
                      <w:szCs w:val="18"/>
                    </w:rPr>
                  </w:pPr>
                  <w:r>
                    <w:rPr>
                      <w:color w:val="auto"/>
                      <w:sz w:val="18"/>
                      <w:szCs w:val="18"/>
                    </w:rPr>
                    <w:t>一</w:t>
                  </w:r>
                </w:p>
              </w:tc>
              <w:tc>
                <w:tcPr>
                  <w:tcW w:w="4258" w:type="dxa"/>
                  <w:vAlign w:val="center"/>
                </w:tcPr>
                <w:p w14:paraId="75FDF578">
                  <w:pPr>
                    <w:snapToGrid w:val="0"/>
                    <w:jc w:val="center"/>
                    <w:rPr>
                      <w:color w:val="auto"/>
                      <w:sz w:val="18"/>
                      <w:szCs w:val="18"/>
                    </w:rPr>
                  </w:pPr>
                  <w:r>
                    <w:rPr>
                      <w:rFonts w:hint="eastAsia"/>
                      <w:color w:val="auto"/>
                      <w:sz w:val="18"/>
                      <w:szCs w:val="18"/>
                    </w:rPr>
                    <w:t>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w:t>
                  </w:r>
                  <w:r>
                    <w:rPr>
                      <w:rFonts w:hint="eastAsia"/>
                      <w:color w:val="auto"/>
                      <w:sz w:val="18"/>
                      <w:szCs w:val="18"/>
                      <w:lang w:eastAsia="zh-CN"/>
                    </w:rPr>
                    <w:t>2024年本</w:t>
                  </w:r>
                  <w:r>
                    <w:rPr>
                      <w:rFonts w:hint="eastAsia"/>
                      <w:color w:val="auto"/>
                      <w:sz w:val="18"/>
                      <w:szCs w:val="18"/>
                    </w:rPr>
                    <w:t>）》（如有更新，以更新后文件为准），对鼓励类项目，按照有关规定审批、核准或备案；对限制类项目，禁止新建，现有生产能力允许在一定期限内改造升级；对淘汰类项目，市场主体不得进入，行政机关不予审批</w:t>
                  </w:r>
                  <w:r>
                    <w:rPr>
                      <w:color w:val="auto"/>
                      <w:sz w:val="18"/>
                      <w:szCs w:val="18"/>
                    </w:rPr>
                    <w:t>。</w:t>
                  </w:r>
                </w:p>
              </w:tc>
              <w:tc>
                <w:tcPr>
                  <w:tcW w:w="1317" w:type="pct"/>
                  <w:vAlign w:val="center"/>
                </w:tcPr>
                <w:p w14:paraId="764DE9C5">
                  <w:pPr>
                    <w:snapToGrid w:val="0"/>
                    <w:jc w:val="center"/>
                    <w:rPr>
                      <w:color w:val="auto"/>
                      <w:sz w:val="18"/>
                      <w:szCs w:val="18"/>
                    </w:rPr>
                  </w:pPr>
                  <w:r>
                    <w:rPr>
                      <w:color w:val="auto"/>
                      <w:sz w:val="18"/>
                      <w:szCs w:val="18"/>
                    </w:rPr>
                    <w:t>项目工艺、设备不属于国家公布的淘汰工艺和落后设备；项目不属于耗能高、污染大、生产粗放、不符合国家产业政策的项目；经查询《产业结构调整指导目录（2019年）》，项目</w:t>
                  </w:r>
                  <w:r>
                    <w:rPr>
                      <w:rFonts w:hint="eastAsia"/>
                      <w:color w:val="auto"/>
                      <w:sz w:val="18"/>
                      <w:szCs w:val="18"/>
                      <w:lang w:val="en-US" w:eastAsia="zh-CN"/>
                    </w:rPr>
                    <w:t>为允许类</w:t>
                  </w:r>
                  <w:r>
                    <w:rPr>
                      <w:color w:val="auto"/>
                      <w:sz w:val="18"/>
                      <w:szCs w:val="18"/>
                    </w:rPr>
                    <w:t>项目</w:t>
                  </w:r>
                  <w:r>
                    <w:rPr>
                      <w:rFonts w:hint="eastAsia"/>
                      <w:color w:val="auto"/>
                      <w:sz w:val="18"/>
                      <w:szCs w:val="18"/>
                      <w:lang w:eastAsia="zh-CN"/>
                    </w:rPr>
                    <w:t>，</w:t>
                  </w:r>
                  <w:r>
                    <w:rPr>
                      <w:rFonts w:hint="eastAsia"/>
                      <w:color w:val="auto"/>
                      <w:sz w:val="18"/>
                      <w:szCs w:val="18"/>
                      <w:lang w:val="en-US" w:eastAsia="zh-CN"/>
                    </w:rPr>
                    <w:t>不属于淘汰类和限制类项目</w:t>
                  </w:r>
                  <w:r>
                    <w:rPr>
                      <w:color w:val="auto"/>
                      <w:sz w:val="18"/>
                      <w:szCs w:val="18"/>
                    </w:rPr>
                    <w:t>。</w:t>
                  </w:r>
                </w:p>
              </w:tc>
              <w:tc>
                <w:tcPr>
                  <w:tcW w:w="499" w:type="pct"/>
                  <w:vAlign w:val="center"/>
                </w:tcPr>
                <w:p w14:paraId="459985F8">
                  <w:pPr>
                    <w:snapToGrid w:val="0"/>
                    <w:jc w:val="center"/>
                    <w:rPr>
                      <w:color w:val="auto"/>
                      <w:sz w:val="18"/>
                      <w:szCs w:val="18"/>
                    </w:rPr>
                  </w:pPr>
                  <w:r>
                    <w:rPr>
                      <w:color w:val="auto"/>
                      <w:sz w:val="18"/>
                      <w:szCs w:val="18"/>
                    </w:rPr>
                    <w:t>符合</w:t>
                  </w:r>
                </w:p>
              </w:tc>
            </w:tr>
            <w:tr w14:paraId="01A6B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49149FCA">
                  <w:pPr>
                    <w:snapToGrid w:val="0"/>
                    <w:jc w:val="center"/>
                    <w:rPr>
                      <w:color w:val="auto"/>
                      <w:sz w:val="18"/>
                      <w:szCs w:val="18"/>
                    </w:rPr>
                  </w:pPr>
                  <w:r>
                    <w:rPr>
                      <w:color w:val="auto"/>
                      <w:sz w:val="18"/>
                      <w:szCs w:val="18"/>
                    </w:rPr>
                    <w:t>二</w:t>
                  </w:r>
                </w:p>
              </w:tc>
              <w:tc>
                <w:tcPr>
                  <w:tcW w:w="4258" w:type="dxa"/>
                  <w:vAlign w:val="center"/>
                </w:tcPr>
                <w:p w14:paraId="2FCE352E">
                  <w:pPr>
                    <w:snapToGrid w:val="0"/>
                    <w:jc w:val="center"/>
                    <w:rPr>
                      <w:color w:val="auto"/>
                      <w:sz w:val="18"/>
                      <w:szCs w:val="18"/>
                    </w:rPr>
                  </w:pPr>
                  <w:r>
                    <w:rPr>
                      <w:rFonts w:hint="eastAsia"/>
                      <w:color w:val="auto"/>
                      <w:sz w:val="18"/>
                      <w:szCs w:val="18"/>
                    </w:rPr>
                    <w:t>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r>
                    <w:rPr>
                      <w:color w:val="auto"/>
                      <w:sz w:val="18"/>
                      <w:szCs w:val="18"/>
                    </w:rPr>
                    <w:t>。</w:t>
                  </w:r>
                </w:p>
              </w:tc>
              <w:tc>
                <w:tcPr>
                  <w:tcW w:w="1317" w:type="pct"/>
                  <w:vAlign w:val="center"/>
                </w:tcPr>
                <w:p w14:paraId="13A1E6CE">
                  <w:pPr>
                    <w:snapToGrid w:val="0"/>
                    <w:jc w:val="center"/>
                    <w:rPr>
                      <w:color w:val="auto"/>
                      <w:sz w:val="18"/>
                      <w:szCs w:val="18"/>
                    </w:rPr>
                  </w:pPr>
                  <w:r>
                    <w:rPr>
                      <w:color w:val="auto"/>
                      <w:sz w:val="18"/>
                      <w:szCs w:val="18"/>
                    </w:rPr>
                    <w:t>项目位于淄博市淄川区龙泉镇，该厂址位于</w:t>
                  </w:r>
                  <w:r>
                    <w:rPr>
                      <w:rFonts w:hint="eastAsia"/>
                      <w:color w:val="auto"/>
                      <w:sz w:val="18"/>
                      <w:szCs w:val="18"/>
                      <w:lang w:val="en-US" w:eastAsia="zh-CN"/>
                    </w:rPr>
                    <w:t>龙泉镇新材料产业</w:t>
                  </w:r>
                  <w:r>
                    <w:rPr>
                      <w:color w:val="auto"/>
                      <w:sz w:val="18"/>
                      <w:szCs w:val="18"/>
                    </w:rPr>
                    <w:t>集聚区，该项目符合城镇总体规划。</w:t>
                  </w:r>
                </w:p>
              </w:tc>
              <w:tc>
                <w:tcPr>
                  <w:tcW w:w="499" w:type="pct"/>
                  <w:vAlign w:val="center"/>
                </w:tcPr>
                <w:p w14:paraId="54CE45F3">
                  <w:pPr>
                    <w:snapToGrid w:val="0"/>
                    <w:jc w:val="center"/>
                    <w:rPr>
                      <w:color w:val="auto"/>
                      <w:sz w:val="18"/>
                      <w:szCs w:val="18"/>
                    </w:rPr>
                  </w:pPr>
                  <w:r>
                    <w:rPr>
                      <w:color w:val="auto"/>
                      <w:sz w:val="18"/>
                      <w:szCs w:val="18"/>
                    </w:rPr>
                    <w:t>符合</w:t>
                  </w:r>
                </w:p>
              </w:tc>
            </w:tr>
            <w:tr w14:paraId="2F783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26E0BCDD">
                  <w:pPr>
                    <w:snapToGrid w:val="0"/>
                    <w:jc w:val="center"/>
                    <w:rPr>
                      <w:color w:val="auto"/>
                      <w:sz w:val="18"/>
                      <w:szCs w:val="18"/>
                    </w:rPr>
                  </w:pPr>
                  <w:r>
                    <w:rPr>
                      <w:color w:val="auto"/>
                      <w:sz w:val="18"/>
                      <w:szCs w:val="18"/>
                    </w:rPr>
                    <w:t>三</w:t>
                  </w:r>
                </w:p>
              </w:tc>
              <w:tc>
                <w:tcPr>
                  <w:tcW w:w="4258" w:type="dxa"/>
                  <w:vAlign w:val="center"/>
                </w:tcPr>
                <w:p w14:paraId="16DAB338">
                  <w:pPr>
                    <w:snapToGrid w:val="0"/>
                    <w:jc w:val="center"/>
                    <w:rPr>
                      <w:color w:val="auto"/>
                      <w:sz w:val="18"/>
                      <w:szCs w:val="18"/>
                    </w:rPr>
                  </w:pPr>
                  <w:r>
                    <w:rPr>
                      <w:rFonts w:hint="eastAsia"/>
                      <w:color w:val="auto"/>
                      <w:sz w:val="18"/>
                      <w:szCs w:val="18"/>
                    </w:rPr>
                    <w:t>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r>
                    <w:rPr>
                      <w:color w:val="auto"/>
                      <w:sz w:val="18"/>
                      <w:szCs w:val="18"/>
                    </w:rPr>
                    <w:t>。</w:t>
                  </w:r>
                </w:p>
              </w:tc>
              <w:tc>
                <w:tcPr>
                  <w:tcW w:w="1317" w:type="pct"/>
                  <w:vAlign w:val="center"/>
                </w:tcPr>
                <w:p w14:paraId="6ADD6F29">
                  <w:pPr>
                    <w:snapToGrid w:val="0"/>
                    <w:jc w:val="center"/>
                    <w:rPr>
                      <w:color w:val="auto"/>
                      <w:sz w:val="18"/>
                      <w:szCs w:val="18"/>
                    </w:rPr>
                  </w:pPr>
                  <w:r>
                    <w:rPr>
                      <w:color w:val="auto"/>
                      <w:sz w:val="18"/>
                      <w:szCs w:val="18"/>
                    </w:rPr>
                    <w:t>项目位于淄博市淄川区龙泉镇，该厂址位于</w:t>
                  </w:r>
                  <w:r>
                    <w:rPr>
                      <w:rFonts w:hint="eastAsia"/>
                      <w:color w:val="auto"/>
                      <w:sz w:val="18"/>
                      <w:szCs w:val="18"/>
                      <w:lang w:val="en-US" w:eastAsia="zh-CN"/>
                    </w:rPr>
                    <w:t>龙泉镇新材料产业</w:t>
                  </w:r>
                  <w:r>
                    <w:rPr>
                      <w:color w:val="auto"/>
                      <w:sz w:val="18"/>
                      <w:szCs w:val="18"/>
                    </w:rPr>
                    <w:t>集聚区，该项目符合城镇总体规划。</w:t>
                  </w:r>
                </w:p>
              </w:tc>
              <w:tc>
                <w:tcPr>
                  <w:tcW w:w="499" w:type="pct"/>
                  <w:vAlign w:val="center"/>
                </w:tcPr>
                <w:p w14:paraId="4D6103A1">
                  <w:pPr>
                    <w:snapToGrid w:val="0"/>
                    <w:jc w:val="center"/>
                    <w:rPr>
                      <w:color w:val="auto"/>
                      <w:sz w:val="18"/>
                      <w:szCs w:val="18"/>
                    </w:rPr>
                  </w:pPr>
                  <w:r>
                    <w:rPr>
                      <w:color w:val="auto"/>
                      <w:sz w:val="18"/>
                      <w:szCs w:val="18"/>
                    </w:rPr>
                    <w:t>符合</w:t>
                  </w:r>
                </w:p>
              </w:tc>
            </w:tr>
            <w:tr w14:paraId="792BF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3C585069">
                  <w:pPr>
                    <w:snapToGrid w:val="0"/>
                    <w:jc w:val="center"/>
                    <w:rPr>
                      <w:color w:val="auto"/>
                      <w:sz w:val="18"/>
                      <w:szCs w:val="18"/>
                    </w:rPr>
                  </w:pPr>
                  <w:r>
                    <w:rPr>
                      <w:color w:val="auto"/>
                      <w:sz w:val="18"/>
                      <w:szCs w:val="18"/>
                    </w:rPr>
                    <w:t>四</w:t>
                  </w:r>
                </w:p>
              </w:tc>
              <w:tc>
                <w:tcPr>
                  <w:tcW w:w="4258" w:type="dxa"/>
                  <w:vAlign w:val="center"/>
                </w:tcPr>
                <w:p w14:paraId="7EAE07E7">
                  <w:pPr>
                    <w:snapToGrid w:val="0"/>
                    <w:jc w:val="center"/>
                    <w:rPr>
                      <w:color w:val="auto"/>
                      <w:sz w:val="18"/>
                      <w:szCs w:val="18"/>
                    </w:rPr>
                  </w:pPr>
                  <w:r>
                    <w:rPr>
                      <w:rFonts w:hint="eastAsia"/>
                      <w:color w:val="auto"/>
                      <w:sz w:val="18"/>
                      <w:szCs w:val="18"/>
                    </w:rPr>
                    <w:t>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r>
                    <w:rPr>
                      <w:color w:val="auto"/>
                      <w:sz w:val="18"/>
                      <w:szCs w:val="18"/>
                    </w:rPr>
                    <w:t>。</w:t>
                  </w:r>
                </w:p>
              </w:tc>
              <w:tc>
                <w:tcPr>
                  <w:tcW w:w="1317" w:type="pct"/>
                  <w:vAlign w:val="center"/>
                </w:tcPr>
                <w:p w14:paraId="5952C3C3">
                  <w:pPr>
                    <w:snapToGrid w:val="0"/>
                    <w:jc w:val="center"/>
                    <w:rPr>
                      <w:color w:val="auto"/>
                      <w:sz w:val="18"/>
                      <w:szCs w:val="18"/>
                    </w:rPr>
                  </w:pPr>
                  <w:r>
                    <w:rPr>
                      <w:color w:val="auto"/>
                      <w:sz w:val="18"/>
                      <w:szCs w:val="18"/>
                    </w:rPr>
                    <w:t>项目不在生态保护红线区，不涉及占用或穿越生态保护红线。选址符合山东省生态保护红线规划和淄博市生态保护红线规划要求。</w:t>
                  </w:r>
                </w:p>
              </w:tc>
              <w:tc>
                <w:tcPr>
                  <w:tcW w:w="499" w:type="pct"/>
                  <w:vAlign w:val="center"/>
                </w:tcPr>
                <w:p w14:paraId="13F09E43">
                  <w:pPr>
                    <w:snapToGrid w:val="0"/>
                    <w:jc w:val="center"/>
                    <w:rPr>
                      <w:color w:val="auto"/>
                      <w:sz w:val="18"/>
                      <w:szCs w:val="18"/>
                    </w:rPr>
                  </w:pPr>
                  <w:r>
                    <w:rPr>
                      <w:color w:val="auto"/>
                      <w:sz w:val="18"/>
                      <w:szCs w:val="18"/>
                    </w:rPr>
                    <w:t>符合</w:t>
                  </w:r>
                </w:p>
              </w:tc>
            </w:tr>
            <w:tr w14:paraId="5F42D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1702C586">
                  <w:pPr>
                    <w:snapToGrid w:val="0"/>
                    <w:jc w:val="center"/>
                    <w:rPr>
                      <w:color w:val="auto"/>
                      <w:sz w:val="18"/>
                      <w:szCs w:val="18"/>
                    </w:rPr>
                  </w:pPr>
                  <w:r>
                    <w:rPr>
                      <w:color w:val="auto"/>
                      <w:sz w:val="18"/>
                      <w:szCs w:val="18"/>
                    </w:rPr>
                    <w:t>五</w:t>
                  </w:r>
                </w:p>
              </w:tc>
              <w:tc>
                <w:tcPr>
                  <w:tcW w:w="4258" w:type="dxa"/>
                  <w:vAlign w:val="center"/>
                </w:tcPr>
                <w:p w14:paraId="67CEBBF2">
                  <w:pPr>
                    <w:snapToGrid w:val="0"/>
                    <w:jc w:val="center"/>
                    <w:rPr>
                      <w:color w:val="auto"/>
                      <w:sz w:val="18"/>
                      <w:szCs w:val="18"/>
                    </w:rPr>
                  </w:pPr>
                  <w:r>
                    <w:rPr>
                      <w:rFonts w:hint="eastAsia"/>
                      <w:color w:val="auto"/>
                      <w:sz w:val="18"/>
                      <w:szCs w:val="18"/>
                    </w:rPr>
                    <w:t>强化日常监管执法。持续加大对违反产业政策、规划、准入规定等违法违规建设行为的查处力度，坚决遏制“未批先建”等违法行为。畅通群众举报投诉渠道，对“散乱污”项目做到早发现、早应对、早处置，严防死灰复燃</w:t>
                  </w:r>
                  <w:r>
                    <w:rPr>
                      <w:color w:val="auto"/>
                      <w:sz w:val="18"/>
                      <w:szCs w:val="18"/>
                    </w:rPr>
                    <w:t>。</w:t>
                  </w:r>
                </w:p>
              </w:tc>
              <w:tc>
                <w:tcPr>
                  <w:tcW w:w="1317" w:type="pct"/>
                  <w:vAlign w:val="center"/>
                </w:tcPr>
                <w:p w14:paraId="64A03811">
                  <w:pPr>
                    <w:snapToGrid w:val="0"/>
                    <w:jc w:val="center"/>
                    <w:rPr>
                      <w:color w:val="auto"/>
                      <w:sz w:val="18"/>
                      <w:szCs w:val="18"/>
                    </w:rPr>
                  </w:pPr>
                  <w:r>
                    <w:rPr>
                      <w:color w:val="auto"/>
                      <w:sz w:val="18"/>
                      <w:szCs w:val="18"/>
                    </w:rPr>
                    <w:t>项目不属于“未批先建”，无违法违规建设行为</w:t>
                  </w:r>
                </w:p>
              </w:tc>
              <w:tc>
                <w:tcPr>
                  <w:tcW w:w="499" w:type="pct"/>
                  <w:vAlign w:val="center"/>
                </w:tcPr>
                <w:p w14:paraId="3D6C18C8">
                  <w:pPr>
                    <w:snapToGrid w:val="0"/>
                    <w:jc w:val="center"/>
                    <w:rPr>
                      <w:color w:val="auto"/>
                      <w:sz w:val="18"/>
                      <w:szCs w:val="18"/>
                    </w:rPr>
                  </w:pPr>
                  <w:r>
                    <w:rPr>
                      <w:color w:val="auto"/>
                      <w:sz w:val="18"/>
                      <w:szCs w:val="18"/>
                    </w:rPr>
                    <w:t>符合</w:t>
                  </w:r>
                </w:p>
              </w:tc>
            </w:tr>
          </w:tbl>
          <w:p w14:paraId="619D0F30">
            <w:pPr>
              <w:pStyle w:val="82"/>
              <w:adjustRightInd w:val="0"/>
              <w:snapToGrid w:val="0"/>
              <w:spacing w:line="360" w:lineRule="auto"/>
              <w:ind w:left="0" w:leftChars="0" w:firstLine="420" w:firstLineChars="200"/>
              <w:rPr>
                <w:color w:val="auto"/>
                <w:sz w:val="21"/>
                <w:szCs w:val="21"/>
              </w:rPr>
            </w:pPr>
            <w:r>
              <w:rPr>
                <w:color w:val="auto"/>
                <w:sz w:val="21"/>
                <w:szCs w:val="21"/>
              </w:rPr>
              <w:t>由上表可见，项目的建设符合《关于严格项目审批工作坚决防止新上“散乱污”项目的通知》（鲁环字〔2021〕58号）的要求。</w:t>
            </w:r>
          </w:p>
          <w:p w14:paraId="16252434">
            <w:pPr>
              <w:spacing w:line="360" w:lineRule="auto"/>
              <w:ind w:firstLine="420" w:firstLineChars="200"/>
              <w:rPr>
                <w:color w:val="auto"/>
              </w:rPr>
            </w:pPr>
            <w:r>
              <w:rPr>
                <w:color w:val="auto"/>
              </w:rPr>
              <w:t>（8）与关于印发《全市工业企业大气污染治理品质提升实施方案》的通知（淄环委办〔2022〕10号）的符合性分析</w:t>
            </w:r>
          </w:p>
          <w:p w14:paraId="17ACC363">
            <w:pPr>
              <w:spacing w:line="360" w:lineRule="auto"/>
              <w:jc w:val="center"/>
              <w:rPr>
                <w:b/>
                <w:bCs/>
                <w:color w:val="auto"/>
              </w:rPr>
            </w:pPr>
            <w:r>
              <w:rPr>
                <w:b/>
                <w:bCs/>
                <w:color w:val="auto"/>
              </w:rPr>
              <w:t>表1-</w:t>
            </w:r>
            <w:r>
              <w:rPr>
                <w:rFonts w:hint="eastAsia"/>
                <w:b/>
                <w:bCs/>
                <w:color w:val="auto"/>
                <w:lang w:val="en-US" w:eastAsia="zh-CN"/>
              </w:rPr>
              <w:t>10</w:t>
            </w:r>
            <w:r>
              <w:rPr>
                <w:b/>
                <w:bCs/>
                <w:color w:val="auto"/>
              </w:rPr>
              <w:t>项目与淄环委办〔2022〕10号的符合性分析</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0"/>
              <w:gridCol w:w="4442"/>
              <w:gridCol w:w="2660"/>
              <w:gridCol w:w="657"/>
            </w:tblGrid>
            <w:tr w14:paraId="37B5B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964" w:type="pct"/>
                  <w:gridSpan w:val="2"/>
                  <w:vAlign w:val="center"/>
                </w:tcPr>
                <w:p w14:paraId="09642B86">
                  <w:pPr>
                    <w:pStyle w:val="200"/>
                    <w:spacing w:beforeLines="0" w:afterLines="0" w:line="240" w:lineRule="atLeast"/>
                    <w:rPr>
                      <w:rFonts w:ascii="Times New Roman"/>
                      <w:b/>
                      <w:bCs/>
                      <w:color w:val="auto"/>
                      <w:sz w:val="18"/>
                      <w:szCs w:val="18"/>
                    </w:rPr>
                  </w:pPr>
                  <w:r>
                    <w:rPr>
                      <w:rFonts w:ascii="Times New Roman"/>
                      <w:b/>
                      <w:bCs/>
                      <w:color w:val="auto"/>
                      <w:sz w:val="18"/>
                      <w:szCs w:val="18"/>
                    </w:rPr>
                    <w:t>文件要求</w:t>
                  </w:r>
                </w:p>
              </w:tc>
              <w:tc>
                <w:tcPr>
                  <w:tcW w:w="1632" w:type="pct"/>
                  <w:vAlign w:val="center"/>
                </w:tcPr>
                <w:p w14:paraId="30EE3DED">
                  <w:pPr>
                    <w:pStyle w:val="200"/>
                    <w:spacing w:beforeLines="0" w:afterLines="0" w:line="240" w:lineRule="atLeast"/>
                    <w:rPr>
                      <w:rFonts w:ascii="Times New Roman"/>
                      <w:b/>
                      <w:bCs/>
                      <w:color w:val="auto"/>
                      <w:sz w:val="18"/>
                      <w:szCs w:val="18"/>
                    </w:rPr>
                  </w:pPr>
                  <w:r>
                    <w:rPr>
                      <w:rFonts w:ascii="Times New Roman"/>
                      <w:b/>
                      <w:bCs/>
                      <w:color w:val="auto"/>
                      <w:sz w:val="18"/>
                      <w:szCs w:val="18"/>
                    </w:rPr>
                    <w:t>项目情况</w:t>
                  </w:r>
                </w:p>
              </w:tc>
              <w:tc>
                <w:tcPr>
                  <w:tcW w:w="403" w:type="pct"/>
                  <w:tcMar>
                    <w:left w:w="28" w:type="dxa"/>
                    <w:right w:w="28" w:type="dxa"/>
                  </w:tcMar>
                  <w:vAlign w:val="center"/>
                </w:tcPr>
                <w:p w14:paraId="46784407">
                  <w:pPr>
                    <w:pStyle w:val="200"/>
                    <w:spacing w:beforeLines="0" w:afterLines="0" w:line="240" w:lineRule="atLeast"/>
                    <w:rPr>
                      <w:rFonts w:ascii="Times New Roman"/>
                      <w:b/>
                      <w:bCs/>
                      <w:color w:val="auto"/>
                      <w:sz w:val="18"/>
                      <w:szCs w:val="18"/>
                    </w:rPr>
                  </w:pPr>
                  <w:r>
                    <w:rPr>
                      <w:rFonts w:ascii="Times New Roman"/>
                      <w:b/>
                      <w:bCs/>
                      <w:color w:val="auto"/>
                      <w:sz w:val="18"/>
                      <w:szCs w:val="18"/>
                    </w:rPr>
                    <w:t>符合性</w:t>
                  </w:r>
                </w:p>
              </w:tc>
            </w:tr>
            <w:tr w14:paraId="592FE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restart"/>
                  <w:vAlign w:val="center"/>
                </w:tcPr>
                <w:p w14:paraId="490D9B6E">
                  <w:pPr>
                    <w:pStyle w:val="200"/>
                    <w:spacing w:beforeLines="0" w:afterLines="0" w:line="240" w:lineRule="atLeast"/>
                    <w:rPr>
                      <w:rFonts w:ascii="Times New Roman"/>
                      <w:color w:val="auto"/>
                      <w:sz w:val="18"/>
                      <w:szCs w:val="18"/>
                    </w:rPr>
                  </w:pPr>
                  <w:r>
                    <w:rPr>
                      <w:rFonts w:ascii="Times New Roman"/>
                      <w:color w:val="auto"/>
                      <w:sz w:val="18"/>
                      <w:szCs w:val="18"/>
                    </w:rPr>
                    <w:t>提升颗粒物治理水平</w:t>
                  </w:r>
                </w:p>
              </w:tc>
              <w:tc>
                <w:tcPr>
                  <w:tcW w:w="2724" w:type="pct"/>
                  <w:vAlign w:val="center"/>
                </w:tcPr>
                <w:p w14:paraId="3984C8D0">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23.粉性原料、物料（含易起尘的粒状）等贮存场所要全密闭，非道路移动机械（铲车、挖掘机等）内部作业时宜安装并启用喷雾降尘装置</w:t>
                  </w:r>
                </w:p>
              </w:tc>
              <w:tc>
                <w:tcPr>
                  <w:tcW w:w="1632" w:type="pct"/>
                  <w:vAlign w:val="center"/>
                </w:tcPr>
                <w:p w14:paraId="52477C35">
                  <w:pPr>
                    <w:pStyle w:val="200"/>
                    <w:spacing w:beforeLines="0" w:afterLines="0" w:line="240" w:lineRule="atLeast"/>
                    <w:jc w:val="both"/>
                    <w:rPr>
                      <w:rFonts w:hint="eastAsia" w:ascii="Times New Roman" w:eastAsia="宋体"/>
                      <w:color w:val="auto"/>
                      <w:sz w:val="18"/>
                      <w:szCs w:val="18"/>
                      <w:lang w:eastAsia="zh-CN"/>
                    </w:rPr>
                  </w:pPr>
                  <w:r>
                    <w:rPr>
                      <w:rFonts w:ascii="Times New Roman"/>
                      <w:color w:val="auto"/>
                      <w:sz w:val="18"/>
                      <w:szCs w:val="21"/>
                    </w:rPr>
                    <w:t>本项目原料均为</w:t>
                  </w:r>
                  <w:r>
                    <w:rPr>
                      <w:rFonts w:hint="eastAsia" w:ascii="Times New Roman"/>
                      <w:color w:val="auto"/>
                      <w:sz w:val="18"/>
                      <w:szCs w:val="21"/>
                      <w:lang w:val="en-US" w:eastAsia="zh-CN"/>
                    </w:rPr>
                    <w:t>袋装，密闭储存在仓库中</w:t>
                  </w:r>
                  <w:r>
                    <w:rPr>
                      <w:rFonts w:ascii="Times New Roman"/>
                      <w:color w:val="auto"/>
                      <w:sz w:val="18"/>
                      <w:szCs w:val="21"/>
                    </w:rPr>
                    <w:t>，</w:t>
                  </w:r>
                  <w:r>
                    <w:rPr>
                      <w:rFonts w:hint="eastAsia" w:ascii="Times New Roman"/>
                      <w:color w:val="auto"/>
                      <w:sz w:val="18"/>
                      <w:szCs w:val="21"/>
                      <w:lang w:val="en-US" w:eastAsia="zh-CN"/>
                    </w:rPr>
                    <w:t>不涉及非道路移动机械（铲车、挖掘机等）</w:t>
                  </w:r>
                  <w:r>
                    <w:rPr>
                      <w:rFonts w:hint="eastAsia" w:ascii="Times New Roman"/>
                      <w:color w:val="auto"/>
                      <w:sz w:val="18"/>
                      <w:szCs w:val="21"/>
                      <w:lang w:eastAsia="zh-CN"/>
                    </w:rPr>
                    <w:t>。</w:t>
                  </w:r>
                </w:p>
              </w:tc>
              <w:tc>
                <w:tcPr>
                  <w:tcW w:w="403" w:type="pct"/>
                  <w:vAlign w:val="center"/>
                </w:tcPr>
                <w:p w14:paraId="7C20B303">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45E91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0016041A">
                  <w:pPr>
                    <w:pStyle w:val="200"/>
                    <w:spacing w:beforeLines="0" w:afterLines="0" w:line="240" w:lineRule="atLeast"/>
                    <w:rPr>
                      <w:rFonts w:ascii="Times New Roman"/>
                      <w:color w:val="auto"/>
                      <w:sz w:val="18"/>
                      <w:szCs w:val="18"/>
                    </w:rPr>
                  </w:pPr>
                </w:p>
              </w:tc>
              <w:tc>
                <w:tcPr>
                  <w:tcW w:w="2724" w:type="pct"/>
                  <w:vAlign w:val="center"/>
                </w:tcPr>
                <w:p w14:paraId="520A5BFA">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24.粉状物料破碎、粉磨以及产品烘干、冷却、混料、包装等过程中产生的粉尘，要设置布袋除尘器或者其他粉尘收集处理设施进行有效收集处理。其中，要根据企业生产情况和布袋除尘器压差变化情况，合理确定反吹时间间隔与频次。</w:t>
                  </w:r>
                </w:p>
              </w:tc>
              <w:tc>
                <w:tcPr>
                  <w:tcW w:w="1632" w:type="pct"/>
                  <w:vAlign w:val="center"/>
                </w:tcPr>
                <w:p w14:paraId="643C5A41">
                  <w:pPr>
                    <w:pStyle w:val="200"/>
                    <w:spacing w:beforeLines="0" w:afterLines="0" w:line="240" w:lineRule="atLeast"/>
                    <w:jc w:val="both"/>
                    <w:rPr>
                      <w:rFonts w:ascii="Times New Roman"/>
                      <w:color w:val="auto"/>
                      <w:sz w:val="18"/>
                      <w:szCs w:val="18"/>
                    </w:rPr>
                  </w:pPr>
                  <w:r>
                    <w:rPr>
                      <w:rFonts w:ascii="Times New Roman"/>
                      <w:color w:val="auto"/>
                      <w:sz w:val="18"/>
                      <w:szCs w:val="18"/>
                    </w:rPr>
                    <w:t>本项目产尘环节均设置除尘设施收集产尘过程产生的粉尘，粉尘经除尘器处理后有组织排放</w:t>
                  </w:r>
                </w:p>
              </w:tc>
              <w:tc>
                <w:tcPr>
                  <w:tcW w:w="403" w:type="pct"/>
                  <w:vAlign w:val="center"/>
                </w:tcPr>
                <w:p w14:paraId="2E78085F">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77B71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2375C3E8">
                  <w:pPr>
                    <w:pStyle w:val="200"/>
                    <w:spacing w:beforeLines="0" w:afterLines="0" w:line="240" w:lineRule="atLeast"/>
                    <w:rPr>
                      <w:rFonts w:ascii="Times New Roman"/>
                      <w:color w:val="auto"/>
                      <w:sz w:val="18"/>
                      <w:szCs w:val="18"/>
                    </w:rPr>
                  </w:pPr>
                </w:p>
              </w:tc>
              <w:tc>
                <w:tcPr>
                  <w:tcW w:w="2724" w:type="pct"/>
                  <w:vAlign w:val="center"/>
                </w:tcPr>
                <w:p w14:paraId="5301A67B">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25.厂内道路要全部硬化，地面要硬化或者绿化，不得出现裸露地面。定期对厂内及车间内道路、地面等进行洒扫保洁，原则上每周冲洗不少于1次，每天洒扫不少于2次，地面无积尘。</w:t>
                  </w:r>
                </w:p>
              </w:tc>
              <w:tc>
                <w:tcPr>
                  <w:tcW w:w="1632" w:type="pct"/>
                  <w:vAlign w:val="center"/>
                </w:tcPr>
                <w:p w14:paraId="595BA4BE">
                  <w:pPr>
                    <w:pStyle w:val="200"/>
                    <w:spacing w:beforeLines="0" w:afterLines="0" w:line="240" w:lineRule="atLeast"/>
                    <w:jc w:val="both"/>
                    <w:rPr>
                      <w:rFonts w:hint="eastAsia" w:ascii="Times New Roman" w:eastAsia="宋体"/>
                      <w:color w:val="auto"/>
                      <w:sz w:val="18"/>
                      <w:szCs w:val="18"/>
                      <w:lang w:eastAsia="zh-CN"/>
                    </w:rPr>
                  </w:pPr>
                  <w:r>
                    <w:rPr>
                      <w:rFonts w:ascii="Times New Roman"/>
                      <w:color w:val="auto"/>
                      <w:sz w:val="18"/>
                      <w:szCs w:val="18"/>
                    </w:rPr>
                    <w:t>本项目厂区道路全部硬化。本项目建成后将按照要求对厂内道路、车间地面</w:t>
                  </w:r>
                  <w:r>
                    <w:rPr>
                      <w:rFonts w:hint="eastAsia" w:ascii="Times New Roman"/>
                      <w:color w:val="auto"/>
                      <w:sz w:val="18"/>
                      <w:szCs w:val="18"/>
                      <w:lang w:val="en-US" w:eastAsia="zh-CN"/>
                    </w:rPr>
                    <w:t>定期洒水降尘</w:t>
                  </w:r>
                  <w:r>
                    <w:rPr>
                      <w:rFonts w:ascii="Times New Roman"/>
                      <w:color w:val="auto"/>
                      <w:sz w:val="18"/>
                      <w:szCs w:val="18"/>
                    </w:rPr>
                    <w:t>，做到地面无积尘</w:t>
                  </w:r>
                  <w:r>
                    <w:rPr>
                      <w:rFonts w:hint="eastAsia" w:ascii="Times New Roman"/>
                      <w:color w:val="auto"/>
                      <w:sz w:val="18"/>
                      <w:szCs w:val="18"/>
                      <w:lang w:eastAsia="zh-CN"/>
                    </w:rPr>
                    <w:t>。</w:t>
                  </w:r>
                </w:p>
              </w:tc>
              <w:tc>
                <w:tcPr>
                  <w:tcW w:w="403" w:type="pct"/>
                  <w:vAlign w:val="center"/>
                </w:tcPr>
                <w:p w14:paraId="75F95E29">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14EBF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restart"/>
                  <w:vAlign w:val="center"/>
                </w:tcPr>
                <w:p w14:paraId="53EA4BBE">
                  <w:pPr>
                    <w:pStyle w:val="200"/>
                    <w:spacing w:beforeLines="0" w:afterLines="0" w:line="240" w:lineRule="atLeast"/>
                    <w:rPr>
                      <w:rFonts w:ascii="Times New Roman"/>
                      <w:color w:val="auto"/>
                      <w:sz w:val="18"/>
                      <w:szCs w:val="18"/>
                    </w:rPr>
                  </w:pPr>
                  <w:r>
                    <w:rPr>
                      <w:rFonts w:ascii="Times New Roman"/>
                      <w:color w:val="auto"/>
                      <w:sz w:val="18"/>
                      <w:szCs w:val="18"/>
                    </w:rPr>
                    <w:t>提升精细化管理水平</w:t>
                  </w:r>
                </w:p>
              </w:tc>
              <w:tc>
                <w:tcPr>
                  <w:tcW w:w="2724" w:type="pct"/>
                  <w:vAlign w:val="center"/>
                </w:tcPr>
                <w:p w14:paraId="719BB131">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28.企业要按照排污许可证相关要求，完整记录和保存生产设施运行、脱硫脱硝剂消费、活性炭等吸附剂更换、原辅料及能源消费、污染设施运行等台账信息，相关台账信息要与DCS记录一致。DCS记录应定期备份，保存时间不少于书面台账。</w:t>
                  </w:r>
                </w:p>
              </w:tc>
              <w:tc>
                <w:tcPr>
                  <w:tcW w:w="1632" w:type="pct"/>
                  <w:vMerge w:val="restart"/>
                  <w:vAlign w:val="center"/>
                </w:tcPr>
                <w:p w14:paraId="6E50E4C0">
                  <w:pPr>
                    <w:pStyle w:val="200"/>
                    <w:spacing w:beforeLines="0" w:afterLines="0" w:line="240" w:lineRule="atLeast"/>
                    <w:jc w:val="both"/>
                    <w:rPr>
                      <w:rFonts w:ascii="Times New Roman"/>
                      <w:color w:val="auto"/>
                      <w:sz w:val="18"/>
                      <w:szCs w:val="18"/>
                    </w:rPr>
                  </w:pPr>
                  <w:r>
                    <w:rPr>
                      <w:rFonts w:ascii="Times New Roman"/>
                      <w:color w:val="auto"/>
                      <w:sz w:val="18"/>
                      <w:szCs w:val="18"/>
                    </w:rPr>
                    <w:t>本项目建成后将按照要求进行精细化管理</w:t>
                  </w:r>
                </w:p>
              </w:tc>
              <w:tc>
                <w:tcPr>
                  <w:tcW w:w="403" w:type="pct"/>
                  <w:vMerge w:val="restart"/>
                  <w:vAlign w:val="center"/>
                </w:tcPr>
                <w:p w14:paraId="39E03BBE">
                  <w:pPr>
                    <w:pStyle w:val="200"/>
                    <w:spacing w:beforeLines="0" w:afterLines="0" w:line="240" w:lineRule="atLeast"/>
                    <w:rPr>
                      <w:rFonts w:ascii="Times New Roman"/>
                      <w:color w:val="auto"/>
                      <w:sz w:val="18"/>
                      <w:szCs w:val="18"/>
                    </w:rPr>
                  </w:pPr>
                  <w:r>
                    <w:rPr>
                      <w:rFonts w:ascii="Times New Roman"/>
                      <w:color w:val="auto"/>
                      <w:sz w:val="18"/>
                      <w:szCs w:val="18"/>
                    </w:rPr>
                    <w:t>符合</w:t>
                  </w:r>
                </w:p>
              </w:tc>
            </w:tr>
            <w:tr w14:paraId="7CB8C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3152C890">
                  <w:pPr>
                    <w:pStyle w:val="200"/>
                    <w:spacing w:beforeLines="0" w:afterLines="0" w:line="240" w:lineRule="atLeast"/>
                    <w:rPr>
                      <w:rFonts w:ascii="Times New Roman"/>
                      <w:color w:val="auto"/>
                      <w:sz w:val="18"/>
                      <w:szCs w:val="18"/>
                    </w:rPr>
                  </w:pPr>
                </w:p>
              </w:tc>
              <w:tc>
                <w:tcPr>
                  <w:tcW w:w="2724" w:type="pct"/>
                  <w:vAlign w:val="center"/>
                </w:tcPr>
                <w:p w14:paraId="120E5A8B">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30.废气处理系统应与生产工艺设备“同启同停”，企业要根据处理工艺，在治污设施操作规程中规定要操作方法，明确启停时间、温度、压力、烟气量等参数</w:t>
                  </w:r>
                </w:p>
              </w:tc>
              <w:tc>
                <w:tcPr>
                  <w:tcW w:w="1632" w:type="pct"/>
                  <w:vMerge w:val="continue"/>
                  <w:vAlign w:val="center"/>
                </w:tcPr>
                <w:p w14:paraId="3101371B">
                  <w:pPr>
                    <w:pStyle w:val="200"/>
                    <w:spacing w:beforeLines="0" w:afterLines="0" w:line="240" w:lineRule="atLeast"/>
                    <w:jc w:val="both"/>
                    <w:rPr>
                      <w:rFonts w:ascii="Times New Roman"/>
                      <w:color w:val="FF0000"/>
                      <w:sz w:val="18"/>
                      <w:szCs w:val="18"/>
                      <w:highlight w:val="yellow"/>
                    </w:rPr>
                  </w:pPr>
                </w:p>
              </w:tc>
              <w:tc>
                <w:tcPr>
                  <w:tcW w:w="403" w:type="pct"/>
                  <w:vMerge w:val="continue"/>
                  <w:vAlign w:val="center"/>
                </w:tcPr>
                <w:p w14:paraId="2404589D">
                  <w:pPr>
                    <w:pStyle w:val="200"/>
                    <w:spacing w:beforeLines="0" w:afterLines="0" w:line="240" w:lineRule="atLeast"/>
                    <w:rPr>
                      <w:rFonts w:ascii="Times New Roman"/>
                      <w:color w:val="FF0000"/>
                      <w:sz w:val="18"/>
                      <w:szCs w:val="18"/>
                      <w:highlight w:val="yellow"/>
                    </w:rPr>
                  </w:pPr>
                </w:p>
              </w:tc>
            </w:tr>
            <w:tr w14:paraId="22C3A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63B84ACE">
                  <w:pPr>
                    <w:pStyle w:val="200"/>
                    <w:spacing w:beforeLines="0" w:afterLines="0" w:line="240" w:lineRule="atLeast"/>
                    <w:rPr>
                      <w:rFonts w:ascii="Times New Roman"/>
                      <w:color w:val="auto"/>
                      <w:sz w:val="18"/>
                      <w:szCs w:val="18"/>
                    </w:rPr>
                  </w:pPr>
                </w:p>
              </w:tc>
              <w:tc>
                <w:tcPr>
                  <w:tcW w:w="2724" w:type="pct"/>
                  <w:vAlign w:val="center"/>
                </w:tcPr>
                <w:p w14:paraId="726FB3C1">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31.企业应建立健全大气污染治理责任制、管理制度和操作规程，定期开展专项培训或综合培训。其中，治污设施操作人员的专项培训，每季度至少开展一次公司级培训，每月至少开展一次车间级培训，考核合格后方可上岗。</w:t>
                  </w:r>
                </w:p>
              </w:tc>
              <w:tc>
                <w:tcPr>
                  <w:tcW w:w="1632" w:type="pct"/>
                  <w:vMerge w:val="continue"/>
                  <w:vAlign w:val="center"/>
                </w:tcPr>
                <w:p w14:paraId="4D2C74FD">
                  <w:pPr>
                    <w:pStyle w:val="200"/>
                    <w:spacing w:beforeLines="0" w:afterLines="0" w:line="240" w:lineRule="atLeast"/>
                    <w:jc w:val="both"/>
                    <w:rPr>
                      <w:rFonts w:ascii="Times New Roman"/>
                      <w:color w:val="FF0000"/>
                      <w:sz w:val="18"/>
                      <w:szCs w:val="18"/>
                      <w:highlight w:val="yellow"/>
                    </w:rPr>
                  </w:pPr>
                </w:p>
              </w:tc>
              <w:tc>
                <w:tcPr>
                  <w:tcW w:w="403" w:type="pct"/>
                  <w:vMerge w:val="continue"/>
                  <w:vAlign w:val="center"/>
                </w:tcPr>
                <w:p w14:paraId="609B2FBF">
                  <w:pPr>
                    <w:pStyle w:val="200"/>
                    <w:spacing w:beforeLines="0" w:afterLines="0" w:line="240" w:lineRule="atLeast"/>
                    <w:rPr>
                      <w:rFonts w:ascii="Times New Roman"/>
                      <w:color w:val="FF0000"/>
                      <w:sz w:val="18"/>
                      <w:szCs w:val="18"/>
                      <w:highlight w:val="yellow"/>
                    </w:rPr>
                  </w:pPr>
                </w:p>
              </w:tc>
            </w:tr>
            <w:tr w14:paraId="22962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Merge w:val="continue"/>
                  <w:vAlign w:val="center"/>
                </w:tcPr>
                <w:p w14:paraId="212DC6B4">
                  <w:pPr>
                    <w:pStyle w:val="200"/>
                    <w:spacing w:beforeLines="0" w:afterLines="0" w:line="240" w:lineRule="atLeast"/>
                    <w:rPr>
                      <w:rFonts w:ascii="Times New Roman"/>
                      <w:color w:val="auto"/>
                      <w:sz w:val="18"/>
                      <w:szCs w:val="18"/>
                    </w:rPr>
                  </w:pPr>
                </w:p>
              </w:tc>
              <w:tc>
                <w:tcPr>
                  <w:tcW w:w="2724" w:type="pct"/>
                  <w:vAlign w:val="center"/>
                </w:tcPr>
                <w:p w14:paraId="77DB6CAF">
                  <w:pPr>
                    <w:pStyle w:val="200"/>
                    <w:spacing w:before="24" w:after="24" w:line="240" w:lineRule="atLeast"/>
                    <w:rPr>
                      <w:rFonts w:ascii="Times New Roman"/>
                      <w:color w:val="auto"/>
                      <w:sz w:val="18"/>
                      <w:szCs w:val="18"/>
                      <w:shd w:val="clear" w:color="auto" w:fill="FFFFFF"/>
                    </w:rPr>
                  </w:pPr>
                  <w:r>
                    <w:rPr>
                      <w:rFonts w:ascii="Times New Roman"/>
                      <w:color w:val="auto"/>
                      <w:sz w:val="18"/>
                      <w:szCs w:val="18"/>
                      <w:shd w:val="clear" w:color="auto" w:fill="FFFFFF"/>
                    </w:rPr>
                    <w:t>32.企业应建立治污设施运行巡查制度，定期巡查治污设施运行情况，巡查间隔时间不得超过半小时。治污设施运行参数要张贴悬挂于醒目位置，并明确异常问题的处理办法。巡查发现的问题要及时处置，不能整改的启用备用治污设施或有序停产，确保污染物达标排放</w:t>
                  </w:r>
                </w:p>
              </w:tc>
              <w:tc>
                <w:tcPr>
                  <w:tcW w:w="1632" w:type="pct"/>
                  <w:vMerge w:val="continue"/>
                  <w:vAlign w:val="center"/>
                </w:tcPr>
                <w:p w14:paraId="67113F4C">
                  <w:pPr>
                    <w:pStyle w:val="200"/>
                    <w:spacing w:beforeLines="0" w:afterLines="0" w:line="240" w:lineRule="atLeast"/>
                    <w:jc w:val="both"/>
                    <w:rPr>
                      <w:rFonts w:ascii="Times New Roman"/>
                      <w:color w:val="FF0000"/>
                      <w:sz w:val="18"/>
                      <w:szCs w:val="18"/>
                      <w:highlight w:val="yellow"/>
                    </w:rPr>
                  </w:pPr>
                </w:p>
              </w:tc>
              <w:tc>
                <w:tcPr>
                  <w:tcW w:w="403" w:type="pct"/>
                  <w:vMerge w:val="continue"/>
                  <w:vAlign w:val="center"/>
                </w:tcPr>
                <w:p w14:paraId="7E6ED5FA">
                  <w:pPr>
                    <w:pStyle w:val="200"/>
                    <w:spacing w:beforeLines="0" w:afterLines="0" w:line="240" w:lineRule="atLeast"/>
                    <w:rPr>
                      <w:rFonts w:ascii="Times New Roman"/>
                      <w:color w:val="FF0000"/>
                      <w:sz w:val="18"/>
                      <w:szCs w:val="18"/>
                      <w:highlight w:val="yellow"/>
                    </w:rPr>
                  </w:pPr>
                </w:p>
              </w:tc>
            </w:tr>
            <w:tr w14:paraId="4307D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39" w:type="pct"/>
                  <w:vAlign w:val="center"/>
                </w:tcPr>
                <w:p w14:paraId="4F92B974">
                  <w:pPr>
                    <w:pStyle w:val="200"/>
                    <w:spacing w:beforeLines="0" w:afterLines="0" w:line="240" w:lineRule="atLeast"/>
                    <w:rPr>
                      <w:rFonts w:ascii="Times New Roman"/>
                      <w:color w:val="auto"/>
                      <w:sz w:val="18"/>
                      <w:szCs w:val="18"/>
                      <w:highlight w:val="none"/>
                    </w:rPr>
                  </w:pPr>
                  <w:r>
                    <w:rPr>
                      <w:rFonts w:ascii="Times New Roman"/>
                      <w:color w:val="auto"/>
                      <w:sz w:val="18"/>
                      <w:szCs w:val="18"/>
                      <w:highlight w:val="none"/>
                    </w:rPr>
                    <w:t>坚决淘汰落后处理工艺</w:t>
                  </w:r>
                </w:p>
              </w:tc>
              <w:tc>
                <w:tcPr>
                  <w:tcW w:w="2724" w:type="pct"/>
                  <w:vAlign w:val="center"/>
                </w:tcPr>
                <w:p w14:paraId="4E2485C7">
                  <w:pPr>
                    <w:pStyle w:val="200"/>
                    <w:spacing w:before="24" w:after="24" w:line="240" w:lineRule="atLeast"/>
                    <w:rPr>
                      <w:rFonts w:ascii="Times New Roman"/>
                      <w:color w:val="auto"/>
                      <w:sz w:val="18"/>
                      <w:szCs w:val="18"/>
                      <w:highlight w:val="none"/>
                      <w:shd w:val="clear" w:color="auto" w:fill="FFFFFF"/>
                    </w:rPr>
                  </w:pPr>
                  <w:r>
                    <w:rPr>
                      <w:rFonts w:ascii="Times New Roman"/>
                      <w:color w:val="auto"/>
                      <w:sz w:val="18"/>
                      <w:szCs w:val="18"/>
                      <w:highlight w:val="none"/>
                      <w:shd w:val="clear" w:color="auto" w:fill="FFFFFF"/>
                    </w:rPr>
                    <w:t>全面淘汰除尘脱硫一体化、简易脱硫脱硝一体化、水洗法脱硫、氨法脱硫、生物脱硫以及无法实现精准管控的双碱法等脱硫工艺；全面淘汰微生物法脱硝及难以实现精准有效控制的氧化法脱硝和湿法脱硝工艺；全面淘汰水膜除尘、重力降尘、旋风除尘等单一措施除尘工艺。</w:t>
                  </w:r>
                </w:p>
              </w:tc>
              <w:tc>
                <w:tcPr>
                  <w:tcW w:w="1632" w:type="pct"/>
                  <w:vAlign w:val="center"/>
                </w:tcPr>
                <w:p w14:paraId="4BC840CB">
                  <w:pPr>
                    <w:pStyle w:val="200"/>
                    <w:spacing w:beforeLines="0" w:afterLines="0" w:line="240" w:lineRule="atLeast"/>
                    <w:jc w:val="both"/>
                    <w:rPr>
                      <w:rFonts w:ascii="Times New Roman"/>
                      <w:color w:val="auto"/>
                      <w:sz w:val="18"/>
                      <w:szCs w:val="18"/>
                      <w:highlight w:val="none"/>
                    </w:rPr>
                  </w:pPr>
                  <w:r>
                    <w:rPr>
                      <w:rFonts w:ascii="Times New Roman"/>
                      <w:color w:val="auto"/>
                      <w:sz w:val="18"/>
                      <w:szCs w:val="18"/>
                      <w:highlight w:val="none"/>
                    </w:rPr>
                    <w:t>本项目产尘环节主要治污设施为布袋除尘器</w:t>
                  </w:r>
                </w:p>
              </w:tc>
              <w:tc>
                <w:tcPr>
                  <w:tcW w:w="403" w:type="pct"/>
                  <w:vAlign w:val="center"/>
                </w:tcPr>
                <w:p w14:paraId="6048408D">
                  <w:pPr>
                    <w:pStyle w:val="200"/>
                    <w:spacing w:beforeLines="0" w:afterLines="0" w:line="240" w:lineRule="atLeast"/>
                    <w:rPr>
                      <w:rFonts w:ascii="Times New Roman"/>
                      <w:color w:val="auto"/>
                      <w:sz w:val="18"/>
                      <w:szCs w:val="18"/>
                      <w:highlight w:val="none"/>
                    </w:rPr>
                  </w:pPr>
                  <w:r>
                    <w:rPr>
                      <w:rFonts w:ascii="Times New Roman"/>
                      <w:color w:val="auto"/>
                      <w:sz w:val="18"/>
                      <w:szCs w:val="18"/>
                      <w:highlight w:val="none"/>
                    </w:rPr>
                    <w:t>符合</w:t>
                  </w:r>
                </w:p>
              </w:tc>
            </w:tr>
          </w:tbl>
          <w:p w14:paraId="049CCEED">
            <w:pPr>
              <w:pStyle w:val="381"/>
              <w:ind w:firstLine="420"/>
              <w:rPr>
                <w:rFonts w:hint="eastAsia" w:eastAsia="宋体"/>
                <w:color w:val="auto"/>
                <w:sz w:val="21"/>
                <w:highlight w:val="none"/>
                <w:lang w:eastAsia="zh-CN"/>
              </w:rPr>
            </w:pPr>
            <w:r>
              <w:rPr>
                <w:color w:val="auto"/>
                <w:sz w:val="21"/>
                <w:szCs w:val="18"/>
                <w:highlight w:val="none"/>
                <w:lang w:val="en-US"/>
              </w:rPr>
              <w:t>综上分析，项目符合</w:t>
            </w:r>
            <w:r>
              <w:rPr>
                <w:color w:val="auto"/>
                <w:sz w:val="21"/>
                <w:highlight w:val="none"/>
              </w:rPr>
              <w:t>《全市工业企业大气污染治理品质提升实施方案》的通知（</w:t>
            </w:r>
            <w:r>
              <w:rPr>
                <w:color w:val="auto"/>
                <w:kern w:val="0"/>
                <w:sz w:val="21"/>
                <w:szCs w:val="18"/>
                <w:highlight w:val="none"/>
                <w:shd w:val="clear" w:color="auto" w:fill="FFFFFF"/>
              </w:rPr>
              <w:t>淄环委办〔2022〕10号</w:t>
            </w:r>
            <w:r>
              <w:rPr>
                <w:color w:val="auto"/>
                <w:sz w:val="21"/>
                <w:highlight w:val="none"/>
              </w:rPr>
              <w:t>）中相关要求</w:t>
            </w:r>
            <w:r>
              <w:rPr>
                <w:rFonts w:hint="eastAsia"/>
                <w:color w:val="auto"/>
                <w:sz w:val="21"/>
                <w:highlight w:val="none"/>
                <w:lang w:eastAsia="zh-CN"/>
              </w:rPr>
              <w:t>。</w:t>
            </w:r>
          </w:p>
          <w:p w14:paraId="5577F834">
            <w:pPr>
              <w:pStyle w:val="381"/>
              <w:ind w:firstLine="420"/>
              <w:rPr>
                <w:color w:val="auto"/>
                <w:sz w:val="21"/>
                <w:szCs w:val="21"/>
                <w:highlight w:val="none"/>
                <w:lang w:val="en-US"/>
              </w:rPr>
            </w:pPr>
            <w:r>
              <w:rPr>
                <w:rFonts w:hint="eastAsia" w:ascii="宋体" w:hAnsi="宋体"/>
                <w:color w:val="auto"/>
                <w:sz w:val="21"/>
                <w:szCs w:val="18"/>
                <w:highlight w:val="none"/>
              </w:rPr>
              <w:t>（</w:t>
            </w:r>
            <w:r>
              <w:rPr>
                <w:rFonts w:hint="eastAsia" w:ascii="宋体" w:hAnsi="宋体"/>
                <w:color w:val="auto"/>
                <w:sz w:val="21"/>
                <w:szCs w:val="18"/>
                <w:highlight w:val="none"/>
                <w:lang w:val="en-US" w:eastAsia="zh-CN"/>
              </w:rPr>
              <w:t>9</w:t>
            </w:r>
            <w:r>
              <w:rPr>
                <w:rFonts w:hint="eastAsia" w:ascii="宋体" w:hAnsi="宋体"/>
                <w:color w:val="auto"/>
                <w:sz w:val="21"/>
                <w:szCs w:val="18"/>
                <w:highlight w:val="none"/>
              </w:rPr>
              <w:t>）</w:t>
            </w:r>
            <w:r>
              <w:rPr>
                <w:rFonts w:hint="eastAsia"/>
                <w:color w:val="auto"/>
                <w:sz w:val="21"/>
                <w:szCs w:val="21"/>
                <w:highlight w:val="none"/>
                <w:lang w:val="en-US"/>
              </w:rPr>
              <w:t>与《山东省环境保护条例》符合性分析</w:t>
            </w:r>
          </w:p>
          <w:p w14:paraId="1F7C6CD6">
            <w:pPr>
              <w:spacing w:line="360" w:lineRule="auto"/>
              <w:ind w:left="420"/>
              <w:contextualSpacing/>
              <w:jc w:val="center"/>
              <w:rPr>
                <w:b/>
                <w:color w:val="auto"/>
                <w:highlight w:val="none"/>
              </w:rPr>
            </w:pPr>
            <w:r>
              <w:rPr>
                <w:rFonts w:hint="eastAsia"/>
                <w:b/>
                <w:color w:val="auto"/>
                <w:highlight w:val="none"/>
              </w:rPr>
              <w:t>表1-</w:t>
            </w:r>
            <w:r>
              <w:rPr>
                <w:rFonts w:hint="eastAsia"/>
                <w:b/>
                <w:color w:val="auto"/>
                <w:highlight w:val="none"/>
                <w:lang w:val="en-US" w:eastAsia="zh-CN"/>
              </w:rPr>
              <w:t>11</w:t>
            </w:r>
            <w:r>
              <w:rPr>
                <w:b/>
                <w:color w:val="auto"/>
                <w:highlight w:val="none"/>
              </w:rPr>
              <w:t xml:space="preserve"> 项目与《山东省环境保护条例》相关要求符合性</w:t>
            </w:r>
          </w:p>
          <w:tbl>
            <w:tblPr>
              <w:tblStyle w:val="83"/>
              <w:tblW w:w="499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02"/>
              <w:gridCol w:w="5509"/>
              <w:gridCol w:w="1395"/>
              <w:gridCol w:w="638"/>
            </w:tblGrid>
            <w:tr w14:paraId="44A4E6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 w:hRule="atLeast"/>
                <w:jc w:val="center"/>
              </w:trPr>
              <w:tc>
                <w:tcPr>
                  <w:tcW w:w="548" w:type="dxa"/>
                  <w:noWrap w:val="0"/>
                  <w:vAlign w:val="center"/>
                </w:tcPr>
                <w:p w14:paraId="5A350A4A">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分类</w:t>
                  </w:r>
                </w:p>
              </w:tc>
              <w:tc>
                <w:tcPr>
                  <w:tcW w:w="5014" w:type="dxa"/>
                  <w:noWrap w:val="0"/>
                  <w:vAlign w:val="center"/>
                </w:tcPr>
                <w:p w14:paraId="136503C0">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文件要求</w:t>
                  </w:r>
                </w:p>
              </w:tc>
              <w:tc>
                <w:tcPr>
                  <w:tcW w:w="1270" w:type="dxa"/>
                  <w:noWrap w:val="0"/>
                  <w:vAlign w:val="center"/>
                </w:tcPr>
                <w:p w14:paraId="011A6BD3">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项目情况</w:t>
                  </w:r>
                </w:p>
              </w:tc>
              <w:tc>
                <w:tcPr>
                  <w:tcW w:w="580" w:type="dxa"/>
                  <w:noWrap w:val="0"/>
                  <w:vAlign w:val="center"/>
                </w:tcPr>
                <w:p w14:paraId="6278EC34">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符合性</w:t>
                  </w:r>
                </w:p>
              </w:tc>
            </w:tr>
            <w:tr w14:paraId="41F572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00" w:hRule="atLeast"/>
                <w:jc w:val="center"/>
              </w:trPr>
              <w:tc>
                <w:tcPr>
                  <w:tcW w:w="548" w:type="dxa"/>
                  <w:vMerge w:val="restart"/>
                  <w:noWrap w:val="0"/>
                  <w:vAlign w:val="center"/>
                </w:tcPr>
                <w:p w14:paraId="5D4C4340">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保护和改善环境</w:t>
                  </w:r>
                </w:p>
              </w:tc>
              <w:tc>
                <w:tcPr>
                  <w:tcW w:w="5014" w:type="dxa"/>
                  <w:noWrap w:val="0"/>
                  <w:vAlign w:val="center"/>
                </w:tcPr>
                <w:p w14:paraId="49788C1F">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各级人民政府及其有关部门、园区管理机构应当做好环境基础设施规划，配套建设污水处理设施及配套管网、固体废物的收集处置设施、危险废物集中处置设施以及其他环境基础设施，建立环境基础设施的运行、维护制度，并保障其正常运行。</w:t>
                  </w:r>
                </w:p>
                <w:p w14:paraId="0D297120">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270" w:type="dxa"/>
                  <w:noWrap w:val="0"/>
                  <w:vAlign w:val="center"/>
                </w:tcPr>
                <w:p w14:paraId="534C0438">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项目位于</w:t>
                  </w:r>
                  <w:r>
                    <w:rPr>
                      <w:rFonts w:hint="eastAsia"/>
                      <w:color w:val="auto"/>
                      <w:kern w:val="0"/>
                      <w:position w:val="-1"/>
                      <w:sz w:val="18"/>
                      <w:szCs w:val="21"/>
                      <w:highlight w:val="none"/>
                      <w:lang w:eastAsia="zh-CN"/>
                    </w:rPr>
                    <w:t>龙泉镇新材料产业集聚区</w:t>
                  </w:r>
                  <w:r>
                    <w:rPr>
                      <w:rFonts w:hint="eastAsia"/>
                      <w:color w:val="auto"/>
                      <w:kern w:val="0"/>
                      <w:position w:val="-1"/>
                      <w:sz w:val="18"/>
                      <w:szCs w:val="21"/>
                      <w:highlight w:val="none"/>
                    </w:rPr>
                    <w:t>内</w:t>
                  </w:r>
                  <w:r>
                    <w:rPr>
                      <w:color w:val="auto"/>
                      <w:kern w:val="0"/>
                      <w:position w:val="-1"/>
                      <w:sz w:val="18"/>
                      <w:szCs w:val="21"/>
                      <w:highlight w:val="none"/>
                    </w:rPr>
                    <w:t>，</w:t>
                  </w:r>
                  <w:r>
                    <w:rPr>
                      <w:rFonts w:hint="eastAsia"/>
                      <w:color w:val="auto"/>
                      <w:kern w:val="0"/>
                      <w:position w:val="-1"/>
                      <w:sz w:val="18"/>
                      <w:szCs w:val="21"/>
                      <w:highlight w:val="none"/>
                    </w:rPr>
                    <w:t>该集聚区规划环评已进行环评批复，</w:t>
                  </w:r>
                  <w:r>
                    <w:rPr>
                      <w:color w:val="auto"/>
                      <w:kern w:val="0"/>
                      <w:position w:val="-1"/>
                      <w:sz w:val="18"/>
                      <w:szCs w:val="21"/>
                      <w:highlight w:val="none"/>
                    </w:rPr>
                    <w:t>园区内配套设施完善。</w:t>
                  </w:r>
                </w:p>
              </w:tc>
              <w:tc>
                <w:tcPr>
                  <w:tcW w:w="580" w:type="dxa"/>
                  <w:noWrap w:val="0"/>
                  <w:vAlign w:val="center"/>
                </w:tcPr>
                <w:p w14:paraId="101CB96B">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符合</w:t>
                  </w:r>
                </w:p>
              </w:tc>
            </w:tr>
            <w:tr w14:paraId="68D7F9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 w:hRule="atLeast"/>
                <w:jc w:val="center"/>
              </w:trPr>
              <w:tc>
                <w:tcPr>
                  <w:tcW w:w="548" w:type="dxa"/>
                  <w:vMerge w:val="continue"/>
                  <w:noWrap w:val="0"/>
                  <w:vAlign w:val="center"/>
                </w:tcPr>
                <w:p w14:paraId="5CDD4060">
                  <w:pPr>
                    <w:autoSpaceDE w:val="0"/>
                    <w:autoSpaceDN w:val="0"/>
                    <w:contextualSpacing/>
                    <w:jc w:val="center"/>
                    <w:rPr>
                      <w:color w:val="auto"/>
                      <w:kern w:val="0"/>
                      <w:position w:val="-1"/>
                      <w:sz w:val="18"/>
                      <w:szCs w:val="21"/>
                      <w:highlight w:val="none"/>
                    </w:rPr>
                  </w:pPr>
                </w:p>
              </w:tc>
              <w:tc>
                <w:tcPr>
                  <w:tcW w:w="5014" w:type="dxa"/>
                  <w:noWrap w:val="0"/>
                  <w:vAlign w:val="center"/>
                </w:tcPr>
                <w:p w14:paraId="64B5B725">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排污单位应当采取措施，防治在生产建设或者其他活动中产生的废气、废水、废渣、医疗废物、粉尘、恶臭气体、放射性物质以及噪声、振动、光辐射、电磁辐射等对环境的污染和危害，其污染排放不得超过排放标准和重点污染物排放总量控制指标。实行排污许可管理的排污单位，应当按照排污许可证规定的污染物种类、浓度、排放去向和许可排放量等要求排放污染物。</w:t>
                  </w:r>
                </w:p>
              </w:tc>
              <w:tc>
                <w:tcPr>
                  <w:tcW w:w="1270" w:type="dxa"/>
                  <w:noWrap w:val="0"/>
                  <w:vAlign w:val="center"/>
                </w:tcPr>
                <w:p w14:paraId="0D7D7EDF">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项目各污染物均采取相应的处理措施，经预测后可以做到达标排放。项目排放总量满足总量控制指标</w:t>
                  </w:r>
                </w:p>
              </w:tc>
              <w:tc>
                <w:tcPr>
                  <w:tcW w:w="580" w:type="dxa"/>
                  <w:noWrap w:val="0"/>
                  <w:vAlign w:val="center"/>
                </w:tcPr>
                <w:p w14:paraId="4F368F3F">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符合</w:t>
                  </w:r>
                </w:p>
              </w:tc>
            </w:tr>
            <w:tr w14:paraId="7B2E5D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 w:hRule="atLeast"/>
                <w:jc w:val="center"/>
              </w:trPr>
              <w:tc>
                <w:tcPr>
                  <w:tcW w:w="548" w:type="dxa"/>
                  <w:vMerge w:val="continue"/>
                  <w:noWrap w:val="0"/>
                  <w:vAlign w:val="center"/>
                </w:tcPr>
                <w:p w14:paraId="1BBB089D">
                  <w:pPr>
                    <w:autoSpaceDE w:val="0"/>
                    <w:autoSpaceDN w:val="0"/>
                    <w:contextualSpacing/>
                    <w:jc w:val="center"/>
                    <w:rPr>
                      <w:color w:val="auto"/>
                      <w:kern w:val="0"/>
                      <w:position w:val="-1"/>
                      <w:sz w:val="18"/>
                      <w:szCs w:val="21"/>
                      <w:highlight w:val="none"/>
                    </w:rPr>
                  </w:pPr>
                </w:p>
              </w:tc>
              <w:tc>
                <w:tcPr>
                  <w:tcW w:w="5014" w:type="dxa"/>
                  <w:noWrap w:val="0"/>
                  <w:vAlign w:val="center"/>
                </w:tcPr>
                <w:p w14:paraId="59FDB7D2">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新建、改建、扩建建设项目，应当根据环境影响评价文件以及生态环境主管部门审批决定的要求建设环境保护设施、落实环境保护措施。环境保护设施应当与主体工程同时设计、同时施工、同时投产使用</w:t>
                  </w:r>
                </w:p>
              </w:tc>
              <w:tc>
                <w:tcPr>
                  <w:tcW w:w="1270" w:type="dxa"/>
                  <w:noWrap w:val="0"/>
                  <w:vAlign w:val="center"/>
                </w:tcPr>
                <w:p w14:paraId="340A04DB">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项目将严格落实“三同时”制度，确保各污染治理设施运行正常</w:t>
                  </w:r>
                </w:p>
              </w:tc>
              <w:tc>
                <w:tcPr>
                  <w:tcW w:w="580" w:type="dxa"/>
                  <w:noWrap w:val="0"/>
                  <w:vAlign w:val="center"/>
                </w:tcPr>
                <w:p w14:paraId="33752CE9">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符合</w:t>
                  </w:r>
                </w:p>
              </w:tc>
            </w:tr>
            <w:tr w14:paraId="3A50DB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 w:hRule="atLeast"/>
                <w:jc w:val="center"/>
              </w:trPr>
              <w:tc>
                <w:tcPr>
                  <w:tcW w:w="548" w:type="dxa"/>
                  <w:vMerge w:val="continue"/>
                  <w:noWrap w:val="0"/>
                  <w:vAlign w:val="center"/>
                </w:tcPr>
                <w:p w14:paraId="0288D9BF">
                  <w:pPr>
                    <w:autoSpaceDE w:val="0"/>
                    <w:autoSpaceDN w:val="0"/>
                    <w:contextualSpacing/>
                    <w:jc w:val="center"/>
                    <w:rPr>
                      <w:color w:val="auto"/>
                      <w:kern w:val="0"/>
                      <w:position w:val="-1"/>
                      <w:sz w:val="18"/>
                      <w:szCs w:val="21"/>
                      <w:highlight w:val="none"/>
                    </w:rPr>
                  </w:pPr>
                </w:p>
              </w:tc>
              <w:tc>
                <w:tcPr>
                  <w:tcW w:w="5014" w:type="dxa"/>
                  <w:noWrap w:val="0"/>
                  <w:vAlign w:val="center"/>
                </w:tcPr>
                <w:p w14:paraId="1B2BC7A3">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排污单位可以委托具有相应能力的第三方机构运营其环境保护设施或者实施污染治理。委托运营不免除排污单位的责任。重点排污单位应当按照规定安装污染物排放自动监测设备，并保障其正常运行，不得擅自拆除、停用、改变或者损毁。自动监测设备应当与生态环境主管部门的监控设备联网。重点排污单位由设区的市生态环境主管部门确定，并向社会公布。对未实行自动监测的污染物，排污单位应当按照国家和省的规定进行人工监测，并保存原始监测记录。自动监测数据以及生态环境主管部门委托的具有相应资质的环境监测机构的监测数据，可以作为环境执法和管理的依据</w:t>
                  </w:r>
                  <w:r>
                    <w:rPr>
                      <w:rFonts w:hint="eastAsia"/>
                      <w:color w:val="auto"/>
                      <w:kern w:val="0"/>
                      <w:position w:val="-1"/>
                      <w:sz w:val="18"/>
                      <w:szCs w:val="21"/>
                      <w:highlight w:val="none"/>
                    </w:rPr>
                    <w:t>。</w:t>
                  </w:r>
                  <w:r>
                    <w:rPr>
                      <w:color w:val="auto"/>
                      <w:kern w:val="0"/>
                      <w:position w:val="-1"/>
                      <w:sz w:val="18"/>
                      <w:szCs w:val="21"/>
                      <w:highlight w:val="none"/>
                    </w:rPr>
                    <w:t>排污单位应当按照国家和省有关规定建立环境管理台账，记录污染治理设施运行管理、危险废物产生与处置情况、监测记录以及其他环境管理等信息，并对台账的真实性和完整性负责。台账的保存期限不得少于三年，法律、法规另有规定的除外</w:t>
                  </w:r>
                </w:p>
              </w:tc>
              <w:tc>
                <w:tcPr>
                  <w:tcW w:w="1270" w:type="dxa"/>
                  <w:noWrap w:val="0"/>
                  <w:vAlign w:val="center"/>
                </w:tcPr>
                <w:p w14:paraId="5BB2BCC1">
                  <w:pPr>
                    <w:autoSpaceDE w:val="0"/>
                    <w:autoSpaceDN w:val="0"/>
                    <w:contextualSpacing/>
                    <w:jc w:val="center"/>
                    <w:rPr>
                      <w:color w:val="auto"/>
                      <w:kern w:val="0"/>
                      <w:position w:val="-1"/>
                      <w:sz w:val="18"/>
                      <w:szCs w:val="21"/>
                      <w:highlight w:val="none"/>
                    </w:rPr>
                  </w:pPr>
                  <w:r>
                    <w:rPr>
                      <w:rFonts w:hint="eastAsia"/>
                      <w:color w:val="auto"/>
                      <w:kern w:val="0"/>
                      <w:position w:val="-1"/>
                      <w:sz w:val="18"/>
                      <w:szCs w:val="21"/>
                      <w:highlight w:val="none"/>
                    </w:rPr>
                    <w:t>拟建项目</w:t>
                  </w:r>
                  <w:r>
                    <w:rPr>
                      <w:color w:val="auto"/>
                      <w:kern w:val="0"/>
                      <w:position w:val="-1"/>
                      <w:sz w:val="18"/>
                      <w:szCs w:val="21"/>
                      <w:highlight w:val="none"/>
                    </w:rPr>
                    <w:t>排气筒及废水、噪声等均委托第三方按要求进行，项目进出固废均按要求建设管理台账</w:t>
                  </w:r>
                </w:p>
              </w:tc>
              <w:tc>
                <w:tcPr>
                  <w:tcW w:w="580" w:type="dxa"/>
                  <w:noWrap w:val="0"/>
                  <w:vAlign w:val="center"/>
                </w:tcPr>
                <w:p w14:paraId="76EA3EC0">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符合</w:t>
                  </w:r>
                </w:p>
              </w:tc>
            </w:tr>
            <w:tr w14:paraId="201FE3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 w:hRule="atLeast"/>
                <w:jc w:val="center"/>
              </w:trPr>
              <w:tc>
                <w:tcPr>
                  <w:tcW w:w="548" w:type="dxa"/>
                  <w:vMerge w:val="continue"/>
                  <w:noWrap w:val="0"/>
                  <w:vAlign w:val="center"/>
                </w:tcPr>
                <w:p w14:paraId="0BE344F9">
                  <w:pPr>
                    <w:autoSpaceDE w:val="0"/>
                    <w:autoSpaceDN w:val="0"/>
                    <w:contextualSpacing/>
                    <w:jc w:val="center"/>
                    <w:rPr>
                      <w:color w:val="auto"/>
                      <w:kern w:val="0"/>
                      <w:position w:val="-1"/>
                      <w:sz w:val="18"/>
                      <w:szCs w:val="21"/>
                      <w:highlight w:val="none"/>
                    </w:rPr>
                  </w:pPr>
                </w:p>
              </w:tc>
              <w:tc>
                <w:tcPr>
                  <w:tcW w:w="5014" w:type="dxa"/>
                  <w:noWrap w:val="0"/>
                  <w:vAlign w:val="center"/>
                </w:tcPr>
                <w:p w14:paraId="388E610C">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各级人民政府及其有关部门应当加强重金属污染防治，确定重点防控的重金属污染地区、行业和企业，加强对涉铅、镉、汞、铬和类金属砷等加工企业的环境监管，推进涉重金属企业的技术改造和集中治理，实现重金属深度处理和循环利用，减少污染排放。禁止在重点防控区域内新建、改建、扩建增加重金属污染物排放总量的建设项目</w:t>
                  </w:r>
                </w:p>
              </w:tc>
              <w:tc>
                <w:tcPr>
                  <w:tcW w:w="1270" w:type="dxa"/>
                  <w:noWrap w:val="0"/>
                  <w:vAlign w:val="center"/>
                </w:tcPr>
                <w:p w14:paraId="436657E5">
                  <w:pPr>
                    <w:autoSpaceDE w:val="0"/>
                    <w:autoSpaceDN w:val="0"/>
                    <w:contextualSpacing/>
                    <w:jc w:val="center"/>
                    <w:rPr>
                      <w:rFonts w:hint="eastAsia"/>
                      <w:color w:val="auto"/>
                      <w:kern w:val="0"/>
                      <w:position w:val="-1"/>
                      <w:sz w:val="18"/>
                      <w:szCs w:val="21"/>
                      <w:highlight w:val="none"/>
                    </w:rPr>
                  </w:pPr>
                  <w:r>
                    <w:rPr>
                      <w:rFonts w:hint="eastAsia"/>
                      <w:color w:val="auto"/>
                      <w:kern w:val="0"/>
                      <w:position w:val="-1"/>
                      <w:sz w:val="18"/>
                      <w:szCs w:val="21"/>
                      <w:highlight w:val="none"/>
                    </w:rPr>
                    <w:t>拟建项目位于</w:t>
                  </w:r>
                  <w:r>
                    <w:rPr>
                      <w:rFonts w:hint="eastAsia"/>
                      <w:color w:val="auto"/>
                      <w:kern w:val="0"/>
                      <w:position w:val="-1"/>
                      <w:sz w:val="18"/>
                      <w:szCs w:val="21"/>
                      <w:highlight w:val="none"/>
                      <w:lang w:eastAsia="zh-CN"/>
                    </w:rPr>
                    <w:t>龙泉镇新材料产业集聚区</w:t>
                  </w:r>
                  <w:r>
                    <w:rPr>
                      <w:rFonts w:hint="eastAsia"/>
                      <w:color w:val="auto"/>
                      <w:kern w:val="0"/>
                      <w:position w:val="-1"/>
                      <w:sz w:val="18"/>
                      <w:szCs w:val="21"/>
                      <w:highlight w:val="none"/>
                    </w:rPr>
                    <w:t>内</w:t>
                  </w:r>
                  <w:r>
                    <w:rPr>
                      <w:color w:val="auto"/>
                      <w:kern w:val="0"/>
                      <w:position w:val="-1"/>
                      <w:sz w:val="18"/>
                      <w:szCs w:val="21"/>
                      <w:highlight w:val="none"/>
                    </w:rPr>
                    <w:t>，</w:t>
                  </w:r>
                  <w:r>
                    <w:rPr>
                      <w:rFonts w:hint="eastAsia"/>
                      <w:color w:val="auto"/>
                      <w:kern w:val="0"/>
                      <w:position w:val="-1"/>
                      <w:sz w:val="18"/>
                      <w:szCs w:val="21"/>
                      <w:highlight w:val="none"/>
                    </w:rPr>
                    <w:t>不属于重金属重点行业和重点控制区</w:t>
                  </w:r>
                </w:p>
              </w:tc>
              <w:tc>
                <w:tcPr>
                  <w:tcW w:w="580" w:type="dxa"/>
                  <w:noWrap w:val="0"/>
                  <w:vAlign w:val="center"/>
                </w:tcPr>
                <w:p w14:paraId="06BC11D0">
                  <w:pPr>
                    <w:autoSpaceDE w:val="0"/>
                    <w:autoSpaceDN w:val="0"/>
                    <w:contextualSpacing/>
                    <w:jc w:val="center"/>
                    <w:rPr>
                      <w:color w:val="auto"/>
                      <w:kern w:val="0"/>
                      <w:position w:val="-1"/>
                      <w:sz w:val="18"/>
                      <w:szCs w:val="21"/>
                      <w:highlight w:val="none"/>
                    </w:rPr>
                  </w:pPr>
                  <w:r>
                    <w:rPr>
                      <w:color w:val="auto"/>
                      <w:kern w:val="0"/>
                      <w:position w:val="-1"/>
                      <w:sz w:val="18"/>
                      <w:szCs w:val="21"/>
                      <w:highlight w:val="none"/>
                    </w:rPr>
                    <w:t>符合</w:t>
                  </w:r>
                </w:p>
              </w:tc>
            </w:tr>
          </w:tbl>
          <w:p w14:paraId="34CD3339">
            <w:pPr>
              <w:pStyle w:val="381"/>
              <w:ind w:firstLine="420"/>
              <w:rPr>
                <w:rFonts w:ascii="宋体" w:hAnsi="宋体"/>
                <w:color w:val="auto"/>
                <w:sz w:val="21"/>
                <w:szCs w:val="18"/>
                <w:highlight w:val="none"/>
              </w:rPr>
            </w:pPr>
            <w:r>
              <w:rPr>
                <w:rFonts w:hint="eastAsia"/>
                <w:color w:val="auto"/>
                <w:sz w:val="21"/>
                <w:szCs w:val="21"/>
                <w:highlight w:val="none"/>
                <w:lang w:val="en-US"/>
              </w:rPr>
              <w:t>综上，本项目的利用满足《山东省环境保护条例》</w:t>
            </w:r>
            <w:r>
              <w:rPr>
                <w:rFonts w:ascii="宋体" w:hAnsi="宋体"/>
                <w:color w:val="auto"/>
                <w:sz w:val="21"/>
                <w:szCs w:val="18"/>
                <w:highlight w:val="none"/>
              </w:rPr>
              <w:t>的相关</w:t>
            </w:r>
            <w:r>
              <w:rPr>
                <w:rFonts w:hint="eastAsia" w:ascii="宋体" w:hAnsi="宋体"/>
                <w:color w:val="auto"/>
                <w:sz w:val="21"/>
                <w:szCs w:val="18"/>
                <w:highlight w:val="none"/>
              </w:rPr>
              <w:t>要求。</w:t>
            </w:r>
          </w:p>
          <w:p w14:paraId="11252711">
            <w:pPr>
              <w:rPr>
                <w:rFonts w:hint="eastAsia"/>
                <w:color w:val="FF0000"/>
                <w:lang w:eastAsia="zh-CN"/>
              </w:rPr>
            </w:pPr>
          </w:p>
          <w:p w14:paraId="49C5FD3B">
            <w:pPr>
              <w:rPr>
                <w:rFonts w:hint="eastAsia"/>
                <w:color w:val="FF0000"/>
                <w:lang w:eastAsia="zh-CN"/>
              </w:rPr>
            </w:pPr>
          </w:p>
          <w:p w14:paraId="3117D7C0">
            <w:pPr>
              <w:rPr>
                <w:rFonts w:hint="eastAsia"/>
                <w:color w:val="FF0000"/>
                <w:lang w:eastAsia="zh-CN"/>
              </w:rPr>
            </w:pPr>
          </w:p>
          <w:p w14:paraId="7EB93935">
            <w:pPr>
              <w:rPr>
                <w:rFonts w:hint="eastAsia"/>
                <w:color w:val="FF0000"/>
                <w:lang w:eastAsia="zh-CN"/>
              </w:rPr>
            </w:pPr>
          </w:p>
          <w:p w14:paraId="794C6B6D">
            <w:pPr>
              <w:rPr>
                <w:rFonts w:hint="eastAsia"/>
                <w:color w:val="FF0000"/>
                <w:lang w:eastAsia="zh-CN"/>
              </w:rPr>
            </w:pPr>
          </w:p>
          <w:p w14:paraId="2B122BE4">
            <w:pPr>
              <w:rPr>
                <w:rFonts w:hint="eastAsia"/>
                <w:color w:val="FF0000"/>
                <w:lang w:eastAsia="zh-CN"/>
              </w:rPr>
            </w:pPr>
          </w:p>
          <w:p w14:paraId="40894FE5">
            <w:pPr>
              <w:rPr>
                <w:rFonts w:hint="eastAsia"/>
                <w:color w:val="FF0000"/>
                <w:lang w:eastAsia="zh-CN"/>
              </w:rPr>
            </w:pPr>
          </w:p>
          <w:p w14:paraId="52B2B055">
            <w:pPr>
              <w:rPr>
                <w:rFonts w:hint="eastAsia"/>
                <w:color w:val="FF0000"/>
                <w:lang w:eastAsia="zh-CN"/>
              </w:rPr>
            </w:pPr>
          </w:p>
          <w:p w14:paraId="7A4D9426">
            <w:pPr>
              <w:rPr>
                <w:rFonts w:hint="eastAsia"/>
                <w:color w:val="FF0000"/>
                <w:lang w:eastAsia="zh-CN"/>
              </w:rPr>
            </w:pPr>
          </w:p>
          <w:p w14:paraId="2056DC20">
            <w:pPr>
              <w:rPr>
                <w:rFonts w:hint="eastAsia"/>
                <w:color w:val="FF0000"/>
                <w:lang w:eastAsia="zh-CN"/>
              </w:rPr>
            </w:pPr>
          </w:p>
          <w:p w14:paraId="0AFA9453">
            <w:pPr>
              <w:rPr>
                <w:rFonts w:hint="eastAsia"/>
                <w:color w:val="FF0000"/>
                <w:lang w:eastAsia="zh-CN"/>
              </w:rPr>
            </w:pPr>
          </w:p>
          <w:p w14:paraId="7D524FC5">
            <w:pPr>
              <w:rPr>
                <w:rFonts w:hint="eastAsia"/>
                <w:color w:val="FF0000"/>
                <w:lang w:eastAsia="zh-CN"/>
              </w:rPr>
            </w:pPr>
          </w:p>
          <w:p w14:paraId="7EE73C95">
            <w:pPr>
              <w:rPr>
                <w:rFonts w:hint="eastAsia"/>
                <w:color w:val="FF0000"/>
                <w:lang w:eastAsia="zh-CN"/>
              </w:rPr>
            </w:pPr>
          </w:p>
          <w:p w14:paraId="53A93C13">
            <w:pPr>
              <w:rPr>
                <w:rFonts w:hint="eastAsia"/>
                <w:color w:val="FF0000"/>
                <w:lang w:eastAsia="zh-CN"/>
              </w:rPr>
            </w:pPr>
          </w:p>
          <w:p w14:paraId="2F8C089B">
            <w:pPr>
              <w:rPr>
                <w:rFonts w:hint="eastAsia"/>
                <w:color w:val="FF0000"/>
                <w:lang w:eastAsia="zh-CN"/>
              </w:rPr>
            </w:pPr>
          </w:p>
          <w:p w14:paraId="46A3F139">
            <w:pPr>
              <w:rPr>
                <w:rFonts w:hint="eastAsia"/>
                <w:color w:val="FF0000"/>
                <w:lang w:eastAsia="zh-CN"/>
              </w:rPr>
            </w:pPr>
          </w:p>
          <w:p w14:paraId="3B79205B">
            <w:pPr>
              <w:rPr>
                <w:rFonts w:hint="eastAsia"/>
                <w:color w:val="FF0000"/>
                <w:lang w:eastAsia="zh-CN"/>
              </w:rPr>
            </w:pPr>
          </w:p>
          <w:p w14:paraId="71A82AE7">
            <w:pPr>
              <w:rPr>
                <w:rFonts w:hint="eastAsia"/>
                <w:color w:val="FF0000"/>
                <w:lang w:eastAsia="zh-CN"/>
              </w:rPr>
            </w:pPr>
          </w:p>
          <w:p w14:paraId="3693FC22">
            <w:pPr>
              <w:rPr>
                <w:rFonts w:hint="eastAsia"/>
                <w:color w:val="FF0000"/>
                <w:lang w:eastAsia="zh-CN"/>
              </w:rPr>
            </w:pPr>
          </w:p>
          <w:p w14:paraId="00EA06F0">
            <w:pPr>
              <w:rPr>
                <w:rFonts w:hint="eastAsia"/>
                <w:color w:val="FF0000"/>
                <w:lang w:eastAsia="zh-CN"/>
              </w:rPr>
            </w:pPr>
          </w:p>
          <w:p w14:paraId="3D47FC74">
            <w:pPr>
              <w:rPr>
                <w:rFonts w:hint="eastAsia"/>
                <w:color w:val="FF0000"/>
                <w:lang w:eastAsia="zh-CN"/>
              </w:rPr>
            </w:pPr>
          </w:p>
          <w:p w14:paraId="5AEF169F">
            <w:pPr>
              <w:rPr>
                <w:rFonts w:hint="eastAsia"/>
                <w:color w:val="FF0000"/>
                <w:lang w:eastAsia="zh-CN"/>
              </w:rPr>
            </w:pPr>
          </w:p>
          <w:p w14:paraId="786A4FC4">
            <w:pPr>
              <w:rPr>
                <w:rFonts w:hint="eastAsia"/>
                <w:color w:val="FF0000"/>
                <w:lang w:eastAsia="zh-CN"/>
              </w:rPr>
            </w:pPr>
          </w:p>
          <w:p w14:paraId="06CA17B5">
            <w:pPr>
              <w:rPr>
                <w:rFonts w:hint="eastAsia"/>
                <w:color w:val="FF0000"/>
                <w:lang w:eastAsia="zh-CN"/>
              </w:rPr>
            </w:pPr>
          </w:p>
          <w:p w14:paraId="61F2E43E">
            <w:pPr>
              <w:rPr>
                <w:rFonts w:hint="eastAsia"/>
                <w:color w:val="FF0000"/>
                <w:lang w:eastAsia="zh-CN"/>
              </w:rPr>
            </w:pPr>
          </w:p>
          <w:p w14:paraId="0903CD54">
            <w:pPr>
              <w:rPr>
                <w:rFonts w:hint="eastAsia"/>
                <w:color w:val="FF0000"/>
                <w:lang w:eastAsia="zh-CN"/>
              </w:rPr>
            </w:pPr>
          </w:p>
          <w:p w14:paraId="355C7F94">
            <w:pPr>
              <w:rPr>
                <w:rFonts w:hint="eastAsia"/>
                <w:color w:val="FF0000"/>
                <w:lang w:eastAsia="zh-CN"/>
              </w:rPr>
            </w:pPr>
          </w:p>
          <w:p w14:paraId="64CF75EC">
            <w:pPr>
              <w:rPr>
                <w:rFonts w:hint="eastAsia"/>
                <w:color w:val="FF0000"/>
                <w:lang w:eastAsia="zh-CN"/>
              </w:rPr>
            </w:pPr>
          </w:p>
          <w:p w14:paraId="21CDFF12">
            <w:pPr>
              <w:rPr>
                <w:rFonts w:hint="eastAsia"/>
                <w:color w:val="FF0000"/>
                <w:lang w:eastAsia="zh-CN"/>
              </w:rPr>
            </w:pPr>
          </w:p>
          <w:p w14:paraId="336BD2DC">
            <w:pPr>
              <w:rPr>
                <w:rFonts w:hint="eastAsia"/>
                <w:color w:val="FF0000"/>
                <w:lang w:eastAsia="zh-CN"/>
              </w:rPr>
            </w:pPr>
          </w:p>
          <w:p w14:paraId="14B67D73">
            <w:pPr>
              <w:rPr>
                <w:rFonts w:hint="eastAsia"/>
                <w:color w:val="FF0000"/>
                <w:lang w:eastAsia="zh-CN"/>
              </w:rPr>
            </w:pPr>
          </w:p>
          <w:p w14:paraId="4D05B6C2">
            <w:pPr>
              <w:rPr>
                <w:rFonts w:hint="eastAsia"/>
                <w:color w:val="FF0000"/>
                <w:lang w:eastAsia="zh-CN"/>
              </w:rPr>
            </w:pPr>
          </w:p>
          <w:p w14:paraId="1AD81D1A">
            <w:pPr>
              <w:rPr>
                <w:rFonts w:hint="eastAsia"/>
                <w:color w:val="FF0000"/>
                <w:lang w:eastAsia="zh-CN"/>
              </w:rPr>
            </w:pPr>
          </w:p>
          <w:p w14:paraId="190CAB5B">
            <w:pPr>
              <w:rPr>
                <w:rFonts w:hint="eastAsia"/>
                <w:color w:val="FF0000"/>
                <w:lang w:eastAsia="zh-CN"/>
              </w:rPr>
            </w:pPr>
          </w:p>
          <w:p w14:paraId="6402345C">
            <w:pPr>
              <w:rPr>
                <w:rFonts w:hint="eastAsia"/>
                <w:color w:val="FF0000"/>
                <w:lang w:eastAsia="zh-CN"/>
              </w:rPr>
            </w:pPr>
          </w:p>
          <w:p w14:paraId="1E78CA0E">
            <w:pPr>
              <w:rPr>
                <w:rFonts w:hint="eastAsia" w:eastAsia="宋体"/>
                <w:color w:val="FF0000"/>
                <w:lang w:eastAsia="zh-CN"/>
              </w:rPr>
            </w:pPr>
          </w:p>
        </w:tc>
      </w:tr>
    </w:tbl>
    <w:p w14:paraId="0354B271">
      <w:pPr>
        <w:spacing w:line="420" w:lineRule="exact"/>
        <w:outlineLvl w:val="0"/>
        <w:rPr>
          <w:rFonts w:eastAsia="黑体"/>
          <w:color w:val="FF0000"/>
          <w:sz w:val="30"/>
        </w:rPr>
        <w:sectPr>
          <w:footerReference r:id="rId3" w:type="default"/>
          <w:footerReference r:id="rId4" w:type="even"/>
          <w:pgSz w:w="11906" w:h="16838"/>
          <w:pgMar w:top="1701" w:right="1531" w:bottom="1701" w:left="1531" w:header="851" w:footer="1304" w:gutter="0"/>
          <w:pgNumType w:start="1"/>
          <w:cols w:space="720" w:num="1"/>
          <w:docGrid w:linePitch="312" w:charSpace="0"/>
        </w:sectPr>
      </w:pPr>
    </w:p>
    <w:p w14:paraId="411723EB">
      <w:pPr>
        <w:pStyle w:val="77"/>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二、建设项目工程分析</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33"/>
        <w:gridCol w:w="8427"/>
      </w:tblGrid>
      <w:tr w14:paraId="63ACF6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633" w:type="dxa"/>
            <w:vAlign w:val="center"/>
          </w:tcPr>
          <w:p w14:paraId="0CE275BA">
            <w:pPr>
              <w:pStyle w:val="77"/>
              <w:adjustRightInd w:val="0"/>
              <w:snapToGrid w:val="0"/>
              <w:spacing w:before="0" w:beforeAutospacing="0" w:after="0" w:afterAutospacing="0" w:line="420" w:lineRule="exact"/>
              <w:jc w:val="center"/>
              <w:rPr>
                <w:rFonts w:ascii="Times New Roman" w:hAnsi="Times New Roman"/>
                <w:color w:val="FF0000"/>
                <w:sz w:val="21"/>
                <w:szCs w:val="21"/>
              </w:rPr>
            </w:pPr>
            <w:r>
              <w:rPr>
                <w:rFonts w:ascii="Times New Roman" w:hAnsi="Times New Roman"/>
                <w:color w:val="auto"/>
                <w:sz w:val="21"/>
                <w:szCs w:val="21"/>
              </w:rPr>
              <w:t>建设内容</w:t>
            </w:r>
          </w:p>
        </w:tc>
        <w:tc>
          <w:tcPr>
            <w:tcW w:w="8427" w:type="dxa"/>
          </w:tcPr>
          <w:p w14:paraId="6ED06C80">
            <w:pPr>
              <w:numPr>
                <w:ilvl w:val="0"/>
                <w:numId w:val="17"/>
              </w:numPr>
              <w:spacing w:line="360" w:lineRule="auto"/>
              <w:ind w:firstLine="422" w:firstLineChars="200"/>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项目由来</w:t>
            </w:r>
          </w:p>
          <w:p w14:paraId="5733A8CF">
            <w:pPr>
              <w:pStyle w:val="43"/>
              <w:snapToGrid w:val="0"/>
              <w:spacing w:line="360" w:lineRule="auto"/>
              <w:ind w:firstLine="420" w:firstLineChars="200"/>
              <w:rPr>
                <w:rFonts w:hint="default" w:ascii="Times New Roman" w:hAnsi="Times New Roman" w:cs="Times New Roman" w:eastAsiaTheme="minorEastAsia"/>
                <w:color w:val="auto"/>
                <w:highlight w:val="none"/>
                <w:lang w:val="en-US"/>
              </w:rPr>
            </w:pPr>
            <w:r>
              <w:rPr>
                <w:rFonts w:hint="eastAsia"/>
                <w:color w:val="auto"/>
                <w:highlight w:val="none"/>
                <w:lang w:eastAsia="zh-CN"/>
              </w:rPr>
              <w:t>淄博奥腾达新材料有限公司</w:t>
            </w:r>
            <w:r>
              <w:rPr>
                <w:rFonts w:hint="default" w:ascii="Times New Roman" w:hAnsi="Times New Roman" w:cs="Times New Roman" w:eastAsiaTheme="minorEastAsia"/>
                <w:color w:val="auto"/>
                <w:highlight w:val="none"/>
              </w:rPr>
              <w:t>成立于2024年1月23日，注册地址</w:t>
            </w:r>
            <w:r>
              <w:rPr>
                <w:rFonts w:hint="default" w:ascii="Times New Roman" w:hAnsi="Times New Roman" w:cs="Times New Roman" w:eastAsiaTheme="minorEastAsia"/>
                <w:color w:val="auto"/>
                <w:highlight w:val="none"/>
                <w:lang w:val="en-US" w:eastAsia="zh-CN"/>
              </w:rPr>
              <w:t>位于淄博市淄川区龙泉镇和庄村</w:t>
            </w:r>
            <w:r>
              <w:rPr>
                <w:rFonts w:hint="default" w:ascii="Times New Roman" w:hAnsi="Times New Roman" w:cs="Times New Roman" w:eastAsiaTheme="minorEastAsia"/>
                <w:color w:val="auto"/>
                <w:highlight w:val="none"/>
              </w:rPr>
              <w:t>，</w:t>
            </w:r>
            <w:r>
              <w:rPr>
                <w:rFonts w:hint="default" w:ascii="Times New Roman" w:hAnsi="Times New Roman" w:cs="Times New Roman" w:eastAsiaTheme="minorEastAsia"/>
                <w:color w:val="auto"/>
                <w:highlight w:val="none"/>
                <w:lang w:val="en-US" w:eastAsia="zh-CN"/>
              </w:rPr>
              <w:t>经营范围包括</w:t>
            </w:r>
            <w:r>
              <w:rPr>
                <w:highlight w:val="none"/>
              </w:rPr>
              <w:t>金属矿物制品制造；合成材料制造；有色金属合金制造等</w:t>
            </w:r>
            <w:r>
              <w:rPr>
                <w:rFonts w:hint="default" w:ascii="Times New Roman" w:hAnsi="Times New Roman" w:cs="Times New Roman" w:eastAsiaTheme="minorEastAsia"/>
                <w:color w:val="auto"/>
                <w:highlight w:val="none"/>
                <w:lang w:val="en-US" w:eastAsia="zh-CN"/>
              </w:rPr>
              <w:t>。</w:t>
            </w:r>
          </w:p>
          <w:p w14:paraId="638BAAA3">
            <w:pPr>
              <w:pStyle w:val="43"/>
              <w:snapToGrid w:val="0"/>
              <w:spacing w:line="360" w:lineRule="auto"/>
              <w:ind w:firstLine="420" w:firstLineChars="200"/>
              <w:rPr>
                <w:rFonts w:hint="default" w:ascii="Times New Roman" w:hAnsi="Times New Roman" w:cs="Times New Roman" w:eastAsiaTheme="minorEastAsia"/>
                <w:color w:val="auto"/>
                <w:highlight w:val="none"/>
                <w:lang w:val="en-US"/>
              </w:rPr>
            </w:pPr>
            <w:r>
              <w:rPr>
                <w:rFonts w:hint="default" w:ascii="Times New Roman" w:hAnsi="Times New Roman" w:cs="Times New Roman"/>
                <w:color w:val="auto"/>
                <w:highlight w:val="none"/>
                <w:lang w:eastAsia="zh-CN"/>
              </w:rPr>
              <w:t>为满足市场需求，</w:t>
            </w:r>
            <w:r>
              <w:rPr>
                <w:rFonts w:hint="eastAsia" w:ascii="Times New Roman" w:hAnsi="Times New Roman" w:cs="Times New Roman"/>
                <w:color w:val="auto"/>
                <w:highlight w:val="none"/>
                <w:lang w:eastAsia="zh-CN"/>
              </w:rPr>
              <w:t>淄博奥腾达新材料有限公司</w:t>
            </w:r>
            <w:r>
              <w:rPr>
                <w:rFonts w:hint="default" w:ascii="Times New Roman" w:hAnsi="Times New Roman" w:cs="Times New Roman"/>
                <w:color w:val="auto"/>
                <w:highlight w:val="none"/>
                <w:lang w:eastAsia="zh-CN"/>
              </w:rPr>
              <w:t>拟投资</w:t>
            </w:r>
            <w:r>
              <w:rPr>
                <w:rFonts w:hint="eastAsia" w:ascii="Times New Roman" w:hAnsi="Times New Roman" w:cs="Times New Roman"/>
                <w:color w:val="auto"/>
                <w:highlight w:val="none"/>
                <w:lang w:val="en-US" w:eastAsia="zh-CN"/>
              </w:rPr>
              <w:t>500</w:t>
            </w:r>
            <w:r>
              <w:rPr>
                <w:rFonts w:hint="default" w:ascii="Times New Roman" w:hAnsi="Times New Roman" w:cs="Times New Roman"/>
                <w:color w:val="auto"/>
                <w:highlight w:val="none"/>
                <w:lang w:eastAsia="zh-CN"/>
              </w:rPr>
              <w:t>万元在</w:t>
            </w:r>
            <w:r>
              <w:rPr>
                <w:rFonts w:hint="eastAsia" w:eastAsia="宋体"/>
                <w:color w:val="auto"/>
                <w:highlight w:val="none"/>
                <w:lang w:eastAsia="zh-CN"/>
              </w:rPr>
              <w:t>淄博市淄川区龙泉镇和庄村北450m</w:t>
            </w:r>
            <w:r>
              <w:rPr>
                <w:rFonts w:hint="default" w:ascii="Times New Roman" w:hAnsi="Times New Roman" w:cs="Times New Roman"/>
                <w:color w:val="auto"/>
                <w:highlight w:val="none"/>
                <w:lang w:eastAsia="zh-CN"/>
              </w:rPr>
              <w:t>建设“超硬材料</w:t>
            </w:r>
            <w:r>
              <w:rPr>
                <w:rFonts w:hint="eastAsia" w:ascii="Times New Roman" w:hAnsi="Times New Roman" w:cs="Times New Roman"/>
                <w:color w:val="auto"/>
                <w:highlight w:val="none"/>
                <w:lang w:eastAsia="zh-CN"/>
              </w:rPr>
              <w:t>磨具</w:t>
            </w:r>
            <w:r>
              <w:rPr>
                <w:rFonts w:hint="default" w:ascii="Times New Roman" w:hAnsi="Times New Roman" w:cs="Times New Roman"/>
                <w:color w:val="auto"/>
                <w:highlight w:val="none"/>
                <w:lang w:eastAsia="zh-CN"/>
              </w:rPr>
              <w:t>项目”，该项目</w:t>
            </w:r>
            <w:r>
              <w:rPr>
                <w:rFonts w:hint="default" w:ascii="Times New Roman" w:hAnsi="Times New Roman" w:cs="Times New Roman"/>
                <w:color w:val="auto"/>
                <w:highlight w:val="none"/>
                <w:lang w:val="en-US" w:eastAsia="zh-CN"/>
              </w:rPr>
              <w:t>占地面积</w:t>
            </w:r>
            <w:r>
              <w:rPr>
                <w:rFonts w:hint="eastAsia" w:ascii="Times New Roman" w:hAnsi="Times New Roman" w:cs="Times New Roman"/>
                <w:color w:val="auto"/>
                <w:highlight w:val="none"/>
                <w:lang w:val="en-US" w:eastAsia="zh-CN"/>
              </w:rPr>
              <w:t>2000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以</w:t>
            </w:r>
            <w:r>
              <w:rPr>
                <w:rFonts w:hint="eastAsia" w:ascii="Times New Roman" w:hAnsi="Times New Roman" w:cs="Times New Roman"/>
                <w:color w:val="auto"/>
                <w:highlight w:val="none"/>
                <w:lang w:val="en-US" w:eastAsia="zh-CN"/>
              </w:rPr>
              <w:t>金刚石粉末、铁粉、合金粉、白刚玉、酚醛树脂等</w:t>
            </w:r>
            <w:r>
              <w:rPr>
                <w:rFonts w:hint="default" w:ascii="Times New Roman" w:hAnsi="Times New Roman" w:cs="Times New Roman"/>
                <w:color w:val="auto"/>
                <w:highlight w:val="none"/>
                <w:lang w:val="en-US" w:eastAsia="zh-CN"/>
              </w:rPr>
              <w:t>为</w:t>
            </w:r>
            <w:r>
              <w:rPr>
                <w:rFonts w:hint="default" w:ascii="Times New Roman" w:hAnsi="Times New Roman" w:cs="Times New Roman"/>
                <w:color w:val="auto"/>
                <w:highlight w:val="none"/>
                <w:lang w:eastAsia="zh-CN"/>
              </w:rPr>
              <w:t>原材料，购置</w:t>
            </w:r>
            <w:r>
              <w:rPr>
                <w:rFonts w:hint="eastAsia" w:ascii="Times New Roman" w:hAnsi="Times New Roman" w:cs="Times New Roman"/>
                <w:color w:val="auto"/>
                <w:highlight w:val="none"/>
                <w:lang w:val="en-US" w:eastAsia="zh-CN"/>
              </w:rPr>
              <w:t>振动筛、混料机、冷压机、热压机、高频焊机</w:t>
            </w:r>
            <w:r>
              <w:rPr>
                <w:rFonts w:hint="default" w:ascii="Times New Roman" w:hAnsi="Times New Roman" w:cs="Times New Roman"/>
                <w:color w:val="auto"/>
                <w:highlight w:val="none"/>
                <w:lang w:eastAsia="zh-CN"/>
              </w:rPr>
              <w:t>等生产设备及其他部分配套公用设施</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经过</w:t>
            </w:r>
            <w:r>
              <w:rPr>
                <w:rFonts w:hint="eastAsia" w:ascii="Times New Roman" w:hAnsi="Times New Roman" w:cs="Times New Roman"/>
                <w:color w:val="auto"/>
                <w:highlight w:val="none"/>
                <w:lang w:val="en-US" w:eastAsia="zh-CN"/>
              </w:rPr>
              <w:t>混料、冷压、热压</w:t>
            </w:r>
            <w:r>
              <w:rPr>
                <w:rFonts w:hint="default" w:ascii="Times New Roman" w:hAnsi="Times New Roman" w:cs="Times New Roman"/>
                <w:color w:val="auto"/>
                <w:highlight w:val="none"/>
                <w:lang w:val="en-US" w:eastAsia="zh-CN"/>
              </w:rPr>
              <w:t>等工艺</w:t>
            </w:r>
            <w:r>
              <w:rPr>
                <w:rFonts w:hint="eastAsia" w:ascii="Times New Roman" w:hAnsi="Times New Roman" w:cs="Times New Roman"/>
                <w:color w:val="auto"/>
                <w:highlight w:val="none"/>
                <w:lang w:val="en-US" w:eastAsia="zh-CN"/>
              </w:rPr>
              <w:t>得到所需的产品</w:t>
            </w:r>
            <w:r>
              <w:rPr>
                <w:rFonts w:hint="default" w:ascii="Times New Roman" w:hAnsi="Times New Roman" w:cs="Times New Roman"/>
                <w:color w:val="auto"/>
                <w:highlight w:val="none"/>
                <w:lang w:val="en-US" w:eastAsia="zh-CN"/>
              </w:rPr>
              <w:t>。本项目建成后可</w:t>
            </w:r>
            <w:r>
              <w:rPr>
                <w:rFonts w:hint="eastAsia" w:ascii="Times New Roman" w:hAnsi="Times New Roman" w:cs="Times New Roman"/>
                <w:color w:val="auto"/>
                <w:highlight w:val="none"/>
                <w:lang w:eastAsia="zh-CN"/>
              </w:rPr>
              <w:t>年产</w:t>
            </w:r>
            <w:r>
              <w:rPr>
                <w:rFonts w:hint="eastAsia" w:ascii="Times New Roman" w:hAnsi="Times New Roman" w:cs="Times New Roman"/>
                <w:color w:val="auto"/>
                <w:highlight w:val="none"/>
                <w:lang w:val="en-US" w:eastAsia="zh-CN"/>
              </w:rPr>
              <w:t>30000件超硬材料磨具</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eastAsia="zh-CN"/>
              </w:rPr>
              <w:t>该项目提供一定的劳动就业岗位，促进地方经济发展，具有良好的经济效益和社会效益。</w:t>
            </w:r>
            <w:r>
              <w:rPr>
                <w:rFonts w:hint="default" w:ascii="Times New Roman" w:hAnsi="Times New Roman" w:cs="Times New Roman"/>
                <w:color w:val="auto"/>
                <w:highlight w:val="none"/>
                <w:lang w:val="de-DE" w:eastAsia="zh-CN"/>
              </w:rPr>
              <w:t>本项目已取得备案证明，项目代码：</w:t>
            </w:r>
            <w:r>
              <w:rPr>
                <w:rFonts w:hint="eastAsia" w:ascii="Times New Roman" w:hAnsi="Times New Roman" w:cs="Times New Roman"/>
                <w:color w:val="auto"/>
                <w:highlight w:val="none"/>
                <w:lang w:val="de-DE" w:eastAsia="zh-CN"/>
              </w:rPr>
              <w:t>22601-370302-89-01-821346</w:t>
            </w:r>
            <w:r>
              <w:rPr>
                <w:rFonts w:hint="default" w:ascii="Times New Roman" w:hAnsi="Times New Roman" w:cs="Times New Roman" w:eastAsiaTheme="minorEastAsia"/>
                <w:color w:val="auto"/>
                <w:highlight w:val="none"/>
                <w:lang w:val="en-US" w:eastAsia="zh-CN"/>
              </w:rPr>
              <w:t>。</w:t>
            </w:r>
          </w:p>
          <w:p w14:paraId="37BFDC01">
            <w:pPr>
              <w:pStyle w:val="43"/>
              <w:numPr>
                <w:ilvl w:val="0"/>
                <w:numId w:val="17"/>
              </w:numPr>
              <w:snapToGrid w:val="0"/>
              <w:spacing w:line="360" w:lineRule="auto"/>
              <w:ind w:firstLine="420"/>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highlight w:val="none"/>
              </w:rPr>
              <w:t>建设性质：</w:t>
            </w:r>
            <w:r>
              <w:rPr>
                <w:rFonts w:hint="default" w:ascii="Times New Roman" w:hAnsi="Times New Roman" w:eastAsia="宋体" w:cs="Times New Roman"/>
                <w:b/>
                <w:bCs/>
                <w:color w:val="auto"/>
                <w:kern w:val="0"/>
                <w:highlight w:val="none"/>
                <w:lang w:val="en-US" w:eastAsia="zh-CN"/>
              </w:rPr>
              <w:t>新建</w:t>
            </w:r>
          </w:p>
          <w:p w14:paraId="1EFF5F65">
            <w:pPr>
              <w:spacing w:line="360" w:lineRule="auto"/>
              <w:ind w:firstLine="422" w:firstLineChars="200"/>
              <w:rPr>
                <w:rFonts w:hint="default" w:ascii="Times New Roman" w:hAnsi="Times New Roman" w:cs="Times New Roman" w:eastAsiaTheme="minorEastAsia"/>
                <w:color w:val="auto"/>
                <w:spacing w:val="10"/>
                <w:szCs w:val="21"/>
                <w:highlight w:val="none"/>
                <w:lang w:val="de-DE"/>
              </w:rPr>
            </w:pPr>
            <w:r>
              <w:rPr>
                <w:rFonts w:hint="default" w:ascii="Times New Roman" w:hAnsi="Times New Roman" w:eastAsia="黑体" w:cs="Times New Roman"/>
                <w:b/>
                <w:bCs/>
                <w:color w:val="auto"/>
                <w:szCs w:val="21"/>
                <w:highlight w:val="none"/>
              </w:rPr>
              <w:t>3</w:t>
            </w:r>
            <w:r>
              <w:rPr>
                <w:rFonts w:hint="default" w:ascii="Times New Roman" w:hAnsi="Times New Roman" w:eastAsia="宋体" w:cs="Times New Roman"/>
                <w:b/>
                <w:bCs/>
                <w:color w:val="auto"/>
                <w:szCs w:val="21"/>
                <w:highlight w:val="none"/>
              </w:rPr>
              <w:t>、建设地</w:t>
            </w:r>
            <w:r>
              <w:rPr>
                <w:rFonts w:hint="default" w:ascii="Times New Roman" w:hAnsi="Times New Roman" w:eastAsia="宋体" w:cs="Times New Roman"/>
                <w:b/>
                <w:bCs/>
                <w:color w:val="auto"/>
                <w:szCs w:val="21"/>
                <w:highlight w:val="none"/>
                <w:u w:val="none"/>
              </w:rPr>
              <w:t>点及周边关系：</w:t>
            </w:r>
            <w:r>
              <w:rPr>
                <w:rFonts w:hint="default" w:ascii="Times New Roman" w:hAnsi="Times New Roman" w:cs="Times New Roman" w:eastAsiaTheme="minorEastAsia"/>
                <w:color w:val="auto"/>
                <w:highlight w:val="none"/>
                <w:u w:val="none"/>
              </w:rPr>
              <w:t>项目位于</w:t>
            </w:r>
            <w:r>
              <w:rPr>
                <w:rFonts w:hint="default" w:ascii="Times New Roman" w:hAnsi="Times New Roman" w:cs="Times New Roman" w:eastAsiaTheme="minorEastAsia"/>
                <w:color w:val="auto"/>
                <w:highlight w:val="none"/>
                <w:u w:val="none"/>
                <w:lang w:eastAsia="zh-CN"/>
              </w:rPr>
              <w:t>淄博市淄川区龙泉镇和庄村北450m</w:t>
            </w:r>
            <w:r>
              <w:rPr>
                <w:rFonts w:hint="default" w:ascii="Times New Roman" w:hAnsi="Times New Roman" w:cs="Times New Roman" w:eastAsiaTheme="minorEastAsia"/>
                <w:color w:val="auto"/>
                <w:szCs w:val="21"/>
                <w:highlight w:val="none"/>
                <w:u w:val="none"/>
              </w:rPr>
              <w:t>，中心坐标（</w:t>
            </w:r>
            <w:r>
              <w:rPr>
                <w:rFonts w:hint="default" w:ascii="Times New Roman" w:hAnsi="Times New Roman" w:cs="Times New Roman" w:eastAsiaTheme="minorEastAsia"/>
                <w:color w:val="auto"/>
                <w:szCs w:val="21"/>
                <w:highlight w:val="none"/>
                <w:u w:val="none"/>
                <w:lang w:val="en-US" w:eastAsia="zh-CN"/>
              </w:rPr>
              <w:t>北纬</w:t>
            </w:r>
            <w:r>
              <w:rPr>
                <w:rFonts w:hint="default" w:ascii="Times New Roman" w:hAnsi="Times New Roman" w:cs="Times New Roman" w:eastAsiaTheme="minorEastAsia"/>
                <w:color w:val="auto"/>
                <w:szCs w:val="21"/>
                <w:highlight w:val="none"/>
                <w:u w:val="none"/>
              </w:rPr>
              <w:t>36度3</w:t>
            </w:r>
            <w:r>
              <w:rPr>
                <w:rFonts w:hint="default" w:ascii="Times New Roman" w:hAnsi="Times New Roman" w:cs="Times New Roman" w:eastAsiaTheme="minorEastAsia"/>
                <w:color w:val="auto"/>
                <w:szCs w:val="21"/>
                <w:highlight w:val="none"/>
                <w:u w:val="none"/>
                <w:lang w:val="en-US" w:eastAsia="zh-CN"/>
              </w:rPr>
              <w:t>5</w:t>
            </w:r>
            <w:r>
              <w:rPr>
                <w:rFonts w:hint="default" w:ascii="Times New Roman" w:hAnsi="Times New Roman" w:cs="Times New Roman" w:eastAsiaTheme="minorEastAsia"/>
                <w:color w:val="auto"/>
                <w:szCs w:val="21"/>
                <w:highlight w:val="none"/>
                <w:u w:val="none"/>
              </w:rPr>
              <w:t>分</w:t>
            </w:r>
            <w:r>
              <w:rPr>
                <w:rFonts w:hint="default" w:ascii="Times New Roman" w:hAnsi="Times New Roman" w:cs="Times New Roman" w:eastAsiaTheme="minorEastAsia"/>
                <w:color w:val="auto"/>
                <w:szCs w:val="21"/>
                <w:highlight w:val="none"/>
                <w:u w:val="none"/>
                <w:lang w:val="en-US" w:eastAsia="zh-CN"/>
              </w:rPr>
              <w:t>39.752</w:t>
            </w:r>
            <w:r>
              <w:rPr>
                <w:rFonts w:hint="default" w:ascii="Times New Roman" w:hAnsi="Times New Roman" w:cs="Times New Roman" w:eastAsiaTheme="minorEastAsia"/>
                <w:color w:val="auto"/>
                <w:szCs w:val="21"/>
                <w:highlight w:val="none"/>
                <w:u w:val="none"/>
              </w:rPr>
              <w:t>秒，</w:t>
            </w:r>
            <w:r>
              <w:rPr>
                <w:rFonts w:hint="default" w:ascii="Times New Roman" w:hAnsi="Times New Roman" w:cs="Times New Roman" w:eastAsiaTheme="minorEastAsia"/>
                <w:color w:val="auto"/>
                <w:szCs w:val="21"/>
                <w:highlight w:val="none"/>
                <w:u w:val="none"/>
                <w:lang w:val="en-US" w:eastAsia="zh-CN"/>
              </w:rPr>
              <w:t>东经</w:t>
            </w:r>
            <w:r>
              <w:rPr>
                <w:rFonts w:hint="default" w:ascii="Times New Roman" w:hAnsi="Times New Roman" w:cs="Times New Roman" w:eastAsiaTheme="minorEastAsia"/>
                <w:color w:val="auto"/>
                <w:szCs w:val="21"/>
                <w:highlight w:val="none"/>
                <w:u w:val="none"/>
              </w:rPr>
              <w:t>117度5</w:t>
            </w:r>
            <w:r>
              <w:rPr>
                <w:rFonts w:hint="default" w:ascii="Times New Roman" w:hAnsi="Times New Roman" w:cs="Times New Roman" w:eastAsiaTheme="minorEastAsia"/>
                <w:color w:val="auto"/>
                <w:szCs w:val="21"/>
                <w:highlight w:val="none"/>
                <w:u w:val="none"/>
                <w:lang w:val="en-US" w:eastAsia="zh-CN"/>
              </w:rPr>
              <w:t>7</w:t>
            </w:r>
            <w:r>
              <w:rPr>
                <w:rFonts w:hint="default" w:ascii="Times New Roman" w:hAnsi="Times New Roman" w:cs="Times New Roman" w:eastAsiaTheme="minorEastAsia"/>
                <w:color w:val="auto"/>
                <w:szCs w:val="21"/>
                <w:highlight w:val="none"/>
                <w:u w:val="none"/>
              </w:rPr>
              <w:t>分</w:t>
            </w:r>
            <w:r>
              <w:rPr>
                <w:rFonts w:hint="default" w:ascii="Times New Roman" w:hAnsi="Times New Roman" w:cs="Times New Roman" w:eastAsiaTheme="minorEastAsia"/>
                <w:color w:val="auto"/>
                <w:szCs w:val="21"/>
                <w:highlight w:val="none"/>
                <w:u w:val="none"/>
                <w:lang w:val="en-US" w:eastAsia="zh-CN"/>
              </w:rPr>
              <w:t>43.572</w:t>
            </w:r>
            <w:r>
              <w:rPr>
                <w:rFonts w:hint="default" w:ascii="Times New Roman" w:hAnsi="Times New Roman" w:cs="Times New Roman" w:eastAsiaTheme="minorEastAsia"/>
                <w:color w:val="auto"/>
                <w:szCs w:val="21"/>
                <w:highlight w:val="none"/>
                <w:u w:val="none"/>
              </w:rPr>
              <w:t>秒）</w:t>
            </w:r>
            <w:r>
              <w:rPr>
                <w:rFonts w:hint="default" w:ascii="Times New Roman" w:hAnsi="Times New Roman" w:cs="Times New Roman" w:eastAsiaTheme="minorEastAsia"/>
                <w:color w:val="auto"/>
                <w:szCs w:val="21"/>
                <w:highlight w:val="none"/>
              </w:rPr>
              <w:t>。地理位置图详见附图1。</w:t>
            </w:r>
            <w:r>
              <w:rPr>
                <w:rFonts w:hint="default" w:ascii="Times New Roman" w:hAnsi="Times New Roman" w:cs="Times New Roman" w:eastAsiaTheme="minorEastAsia"/>
                <w:color w:val="auto"/>
                <w:spacing w:val="10"/>
                <w:szCs w:val="21"/>
                <w:highlight w:val="none"/>
                <w:lang w:val="de-DE"/>
              </w:rPr>
              <w:t>本项目</w:t>
            </w:r>
            <w:r>
              <w:rPr>
                <w:rFonts w:hint="eastAsia" w:ascii="Times New Roman" w:hAnsi="Times New Roman" w:cs="Times New Roman" w:eastAsiaTheme="minorEastAsia"/>
                <w:color w:val="auto"/>
                <w:spacing w:val="10"/>
                <w:szCs w:val="21"/>
                <w:highlight w:val="none"/>
                <w:lang w:val="en-US" w:eastAsia="zh-CN"/>
              </w:rPr>
              <w:t>占地范围外</w:t>
            </w:r>
            <w:r>
              <w:rPr>
                <w:rFonts w:hint="eastAsia" w:cs="Times New Roman" w:eastAsiaTheme="minorEastAsia"/>
                <w:color w:val="auto"/>
                <w:spacing w:val="10"/>
                <w:szCs w:val="21"/>
                <w:highlight w:val="none"/>
                <w:lang w:val="en-US" w:eastAsia="zh-CN"/>
              </w:rPr>
              <w:t>北侧和西侧为山东硕博环保设备有限公司，东侧为淄博美龙电子有限公司，南侧为树林</w:t>
            </w:r>
            <w:r>
              <w:rPr>
                <w:rFonts w:hint="default" w:ascii="Times New Roman" w:hAnsi="Times New Roman" w:cs="Times New Roman" w:eastAsiaTheme="minorEastAsia"/>
                <w:color w:val="auto"/>
                <w:spacing w:val="10"/>
                <w:szCs w:val="21"/>
                <w:highlight w:val="none"/>
                <w:lang w:val="de-DE"/>
              </w:rPr>
              <w:t>。项目</w:t>
            </w:r>
            <w:r>
              <w:rPr>
                <w:rFonts w:hint="default" w:ascii="Times New Roman" w:hAnsi="Times New Roman" w:cs="Times New Roman" w:eastAsiaTheme="minorEastAsia"/>
                <w:color w:val="auto"/>
                <w:spacing w:val="10"/>
                <w:szCs w:val="21"/>
                <w:highlight w:val="none"/>
                <w:lang w:val="en-US" w:eastAsia="zh-CN"/>
              </w:rPr>
              <w:t>500m范围内</w:t>
            </w:r>
            <w:r>
              <w:rPr>
                <w:rFonts w:hint="eastAsia" w:cs="Times New Roman" w:eastAsiaTheme="minorEastAsia"/>
                <w:color w:val="auto"/>
                <w:spacing w:val="10"/>
                <w:szCs w:val="21"/>
                <w:highlight w:val="none"/>
                <w:lang w:val="en-US" w:eastAsia="zh-CN"/>
              </w:rPr>
              <w:t>有1处</w:t>
            </w:r>
            <w:r>
              <w:rPr>
                <w:rFonts w:hint="default" w:ascii="Times New Roman" w:hAnsi="Times New Roman" w:cs="Times New Roman" w:eastAsiaTheme="minorEastAsia"/>
                <w:color w:val="auto"/>
                <w:spacing w:val="10"/>
                <w:szCs w:val="21"/>
                <w:highlight w:val="none"/>
                <w:lang w:val="en-US" w:eastAsia="zh-CN"/>
              </w:rPr>
              <w:t>敏感目标</w:t>
            </w:r>
            <w:r>
              <w:rPr>
                <w:rFonts w:hint="eastAsia" w:cs="Times New Roman" w:eastAsiaTheme="minorEastAsia"/>
                <w:color w:val="auto"/>
                <w:spacing w:val="10"/>
                <w:szCs w:val="21"/>
                <w:highlight w:val="none"/>
                <w:lang w:val="en-US" w:eastAsia="zh-CN"/>
              </w:rPr>
              <w:t>，为东南侧450m的和庄村</w:t>
            </w:r>
            <w:r>
              <w:rPr>
                <w:rFonts w:hint="default" w:ascii="Times New Roman" w:hAnsi="Times New Roman" w:cs="Times New Roman" w:eastAsiaTheme="minorEastAsia"/>
                <w:color w:val="auto"/>
                <w:spacing w:val="10"/>
                <w:szCs w:val="21"/>
                <w:highlight w:val="none"/>
                <w:lang w:val="de-DE"/>
              </w:rPr>
              <w:t>。</w:t>
            </w:r>
            <w:r>
              <w:rPr>
                <w:rFonts w:hint="default" w:ascii="Times New Roman" w:hAnsi="Times New Roman" w:cs="Times New Roman" w:eastAsiaTheme="minorEastAsia"/>
                <w:color w:val="auto"/>
                <w:spacing w:val="10"/>
                <w:szCs w:val="21"/>
                <w:highlight w:val="none"/>
                <w:lang w:val="de-DE" w:eastAsia="zh-CN"/>
              </w:rPr>
              <w:t>本项目</w:t>
            </w:r>
            <w:r>
              <w:rPr>
                <w:rFonts w:hint="default" w:ascii="Times New Roman" w:hAnsi="Times New Roman" w:cs="Times New Roman" w:eastAsiaTheme="minorEastAsia"/>
                <w:color w:val="auto"/>
                <w:spacing w:val="10"/>
                <w:szCs w:val="21"/>
                <w:highlight w:val="none"/>
                <w:lang w:val="de-DE"/>
              </w:rPr>
              <w:t>地理位置优越，交通运输便利。周边关系图详见图2。</w:t>
            </w:r>
          </w:p>
          <w:p w14:paraId="7633317C">
            <w:pPr>
              <w:pStyle w:val="82"/>
              <w:spacing w:after="0"/>
              <w:ind w:left="0" w:leftChars="0"/>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4、产品方案</w:t>
            </w:r>
          </w:p>
          <w:p w14:paraId="797EE59A">
            <w:pPr>
              <w:pStyle w:val="82"/>
              <w:spacing w:after="0"/>
              <w:ind w:left="0" w:leftChars="0"/>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表2-</w:t>
            </w:r>
            <w:r>
              <w:rPr>
                <w:rFonts w:hint="default" w:ascii="Times New Roman" w:hAnsi="Times New Roman" w:eastAsia="宋体" w:cs="Times New Roman"/>
                <w:b/>
                <w:bCs/>
                <w:color w:val="auto"/>
                <w:sz w:val="21"/>
                <w:szCs w:val="18"/>
                <w:highlight w:val="none"/>
                <w:lang w:val="en-US" w:eastAsia="zh-CN"/>
              </w:rPr>
              <w:t>1</w:t>
            </w:r>
            <w:r>
              <w:rPr>
                <w:rFonts w:hint="default" w:ascii="Times New Roman" w:hAnsi="Times New Roman" w:eastAsia="宋体" w:cs="Times New Roman"/>
                <w:b/>
                <w:bCs/>
                <w:color w:val="auto"/>
                <w:sz w:val="21"/>
                <w:szCs w:val="18"/>
                <w:highlight w:val="none"/>
              </w:rPr>
              <w:t>项目产品方案一览表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2"/>
              <w:gridCol w:w="1981"/>
              <w:gridCol w:w="2611"/>
              <w:gridCol w:w="2614"/>
            </w:tblGrid>
            <w:tr w14:paraId="333C4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05" w:type="pct"/>
                  <w:noWrap w:val="0"/>
                  <w:vAlign w:val="center"/>
                </w:tcPr>
                <w:p w14:paraId="786DAFAE">
                  <w:pPr>
                    <w:pStyle w:val="43"/>
                    <w:adjustRightInd w:val="0"/>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序号</w:t>
                  </w:r>
                </w:p>
              </w:tc>
              <w:tc>
                <w:tcPr>
                  <w:tcW w:w="1208" w:type="pct"/>
                  <w:noWrap w:val="0"/>
                  <w:vAlign w:val="center"/>
                </w:tcPr>
                <w:p w14:paraId="3526C43F">
                  <w:pPr>
                    <w:pStyle w:val="43"/>
                    <w:adjustRightInd w:val="0"/>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名称</w:t>
                  </w:r>
                </w:p>
              </w:tc>
              <w:tc>
                <w:tcPr>
                  <w:tcW w:w="1592" w:type="pct"/>
                  <w:noWrap w:val="0"/>
                  <w:vAlign w:val="center"/>
                </w:tcPr>
                <w:p w14:paraId="20838DAC">
                  <w:pPr>
                    <w:pStyle w:val="43"/>
                    <w:adjustRightInd w:val="0"/>
                    <w:snapToGrid w:val="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生产规模</w:t>
                  </w:r>
                </w:p>
              </w:tc>
              <w:tc>
                <w:tcPr>
                  <w:tcW w:w="1593" w:type="pct"/>
                  <w:noWrap w:val="0"/>
                  <w:vAlign w:val="center"/>
                </w:tcPr>
                <w:p w14:paraId="5A853931">
                  <w:pPr>
                    <w:pStyle w:val="43"/>
                    <w:adjustRightInd w:val="0"/>
                    <w:snapToGrid w:val="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规格</w:t>
                  </w:r>
                </w:p>
              </w:tc>
            </w:tr>
            <w:tr w14:paraId="3EA8C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605" w:type="pct"/>
                  <w:noWrap w:val="0"/>
                  <w:vAlign w:val="center"/>
                </w:tcPr>
                <w:p w14:paraId="55840D0F">
                  <w:pPr>
                    <w:pStyle w:val="43"/>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1208" w:type="pct"/>
                  <w:noWrap w:val="0"/>
                  <w:vAlign w:val="center"/>
                </w:tcPr>
                <w:p w14:paraId="0DE7D91B">
                  <w:pPr>
                    <w:pStyle w:val="43"/>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超硬材料磨具</w:t>
                  </w:r>
                </w:p>
              </w:tc>
              <w:tc>
                <w:tcPr>
                  <w:tcW w:w="1592" w:type="pct"/>
                  <w:noWrap w:val="0"/>
                  <w:vAlign w:val="center"/>
                </w:tcPr>
                <w:p w14:paraId="20AA22E0">
                  <w:pPr>
                    <w:pStyle w:val="43"/>
                    <w:adjustRightInd w:val="0"/>
                    <w:snapToGrid w:val="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lang w:val="en-US" w:eastAsia="zh-CN"/>
                    </w:rPr>
                    <w:t>30000件</w:t>
                  </w:r>
                  <w:r>
                    <w:rPr>
                      <w:rFonts w:hint="default" w:ascii="Times New Roman" w:hAnsi="Times New Roman" w:cs="Times New Roman"/>
                      <w:color w:val="auto"/>
                      <w:sz w:val="18"/>
                      <w:szCs w:val="18"/>
                      <w:highlight w:val="none"/>
                      <w:lang w:val="en-US" w:eastAsia="zh-CN"/>
                    </w:rPr>
                    <w:t>/a</w:t>
                  </w:r>
                </w:p>
              </w:tc>
              <w:tc>
                <w:tcPr>
                  <w:tcW w:w="1593" w:type="pct"/>
                  <w:noWrap w:val="0"/>
                  <w:vAlign w:val="center"/>
                </w:tcPr>
                <w:p w14:paraId="413BADC5">
                  <w:pPr>
                    <w:pStyle w:val="43"/>
                    <w:adjustRightInd w:val="0"/>
                    <w:snapToGrid w:val="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w:t>
                  </w:r>
                </w:p>
              </w:tc>
            </w:tr>
            <w:tr w14:paraId="5F71D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605" w:type="pct"/>
                  <w:noWrap w:val="0"/>
                  <w:vAlign w:val="center"/>
                </w:tcPr>
                <w:p w14:paraId="1491B540">
                  <w:pPr>
                    <w:pStyle w:val="43"/>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1.1</w:t>
                  </w:r>
                </w:p>
              </w:tc>
              <w:tc>
                <w:tcPr>
                  <w:tcW w:w="1208" w:type="pct"/>
                  <w:noWrap w:val="0"/>
                  <w:vAlign w:val="center"/>
                </w:tcPr>
                <w:p w14:paraId="0D423048">
                  <w:pPr>
                    <w:pStyle w:val="43"/>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磨边轮</w:t>
                  </w:r>
                </w:p>
              </w:tc>
              <w:tc>
                <w:tcPr>
                  <w:tcW w:w="1592" w:type="pct"/>
                  <w:noWrap w:val="0"/>
                  <w:vAlign w:val="center"/>
                </w:tcPr>
                <w:p w14:paraId="4F6AA725">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6000件</w:t>
                  </w:r>
                  <w:r>
                    <w:rPr>
                      <w:rFonts w:hint="default" w:ascii="Times New Roman" w:hAnsi="Times New Roman" w:cs="Times New Roman"/>
                      <w:color w:val="auto"/>
                      <w:sz w:val="18"/>
                      <w:szCs w:val="18"/>
                      <w:highlight w:val="none"/>
                      <w:lang w:val="en-US" w:eastAsia="zh-CN"/>
                    </w:rPr>
                    <w:t>/a</w:t>
                  </w:r>
                </w:p>
              </w:tc>
              <w:tc>
                <w:tcPr>
                  <w:tcW w:w="1593" w:type="pct"/>
                  <w:noWrap w:val="0"/>
                  <w:vAlign w:val="center"/>
                </w:tcPr>
                <w:p w14:paraId="12F23300">
                  <w:pPr>
                    <w:adjustRightInd w:val="0"/>
                    <w:snapToGrid w:val="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w:t>
                  </w:r>
                </w:p>
              </w:tc>
            </w:tr>
            <w:tr w14:paraId="63660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605" w:type="pct"/>
                  <w:noWrap w:val="0"/>
                  <w:vAlign w:val="center"/>
                </w:tcPr>
                <w:p w14:paraId="68CBA011">
                  <w:pPr>
                    <w:pStyle w:val="43"/>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1.2</w:t>
                  </w:r>
                </w:p>
              </w:tc>
              <w:tc>
                <w:tcPr>
                  <w:tcW w:w="1208" w:type="pct"/>
                  <w:noWrap w:val="0"/>
                  <w:vAlign w:val="center"/>
                </w:tcPr>
                <w:p w14:paraId="099D3F9D">
                  <w:pPr>
                    <w:pStyle w:val="43"/>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弹性磨块</w:t>
                  </w:r>
                  <w:r>
                    <w:rPr>
                      <w:rFonts w:hint="default" w:ascii="Times New Roman" w:hAnsi="Times New Roman" w:eastAsia="宋体" w:cs="Times New Roman"/>
                      <w:color w:val="auto"/>
                      <w:sz w:val="18"/>
                      <w:szCs w:val="18"/>
                      <w:highlight w:val="none"/>
                      <w:lang w:val="en-US" w:eastAsia="zh-CN"/>
                    </w:rPr>
                    <w:t xml:space="preserve"> </w:t>
                  </w:r>
                </w:p>
              </w:tc>
              <w:tc>
                <w:tcPr>
                  <w:tcW w:w="1592" w:type="pct"/>
                  <w:noWrap w:val="0"/>
                  <w:vAlign w:val="center"/>
                </w:tcPr>
                <w:p w14:paraId="638B2DFC">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24000件</w:t>
                  </w:r>
                  <w:r>
                    <w:rPr>
                      <w:rFonts w:hint="default" w:ascii="Times New Roman" w:hAnsi="Times New Roman" w:cs="Times New Roman"/>
                      <w:color w:val="auto"/>
                      <w:sz w:val="18"/>
                      <w:szCs w:val="18"/>
                      <w:highlight w:val="none"/>
                      <w:lang w:val="en-US" w:eastAsia="zh-CN"/>
                    </w:rPr>
                    <w:t>/a</w:t>
                  </w:r>
                </w:p>
              </w:tc>
              <w:tc>
                <w:tcPr>
                  <w:tcW w:w="1593" w:type="pct"/>
                  <w:noWrap w:val="0"/>
                  <w:vAlign w:val="center"/>
                </w:tcPr>
                <w:p w14:paraId="60FCF635">
                  <w:pPr>
                    <w:adjustRightInd w:val="0"/>
                    <w:snapToGrid w:val="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w:t>
                  </w:r>
                </w:p>
              </w:tc>
            </w:tr>
          </w:tbl>
          <w:p w14:paraId="5C681816">
            <w:pPr>
              <w:snapToGrid w:val="0"/>
              <w:spacing w:line="360" w:lineRule="auto"/>
              <w:ind w:firstLine="422" w:firstLineChars="200"/>
              <w:rPr>
                <w:rFonts w:hint="default" w:ascii="Times New Roman" w:hAnsi="Times New Roman" w:cs="Times New Roman"/>
                <w:color w:val="auto"/>
                <w:szCs w:val="21"/>
                <w:highlight w:val="none"/>
              </w:rPr>
            </w:pPr>
            <w:r>
              <w:rPr>
                <w:rFonts w:hint="default" w:ascii="Times New Roman" w:hAnsi="Times New Roman" w:eastAsia="宋体" w:cs="Times New Roman"/>
                <w:b/>
                <w:bCs/>
                <w:color w:val="auto"/>
                <w:kern w:val="0"/>
                <w:sz w:val="21"/>
                <w:szCs w:val="18"/>
                <w:highlight w:val="none"/>
                <w:lang w:val="en-US" w:eastAsia="zh-CN" w:bidi="ar-SA"/>
              </w:rPr>
              <w:t>5、工程内容</w:t>
            </w:r>
            <w:r>
              <w:rPr>
                <w:rFonts w:hint="default" w:ascii="Times New Roman" w:hAnsi="Times New Roman" w:eastAsia="黑体" w:cs="Times New Roman"/>
                <w:color w:val="auto"/>
                <w:szCs w:val="21"/>
                <w:highlight w:val="none"/>
              </w:rPr>
              <w:t>：</w:t>
            </w:r>
            <w:r>
              <w:rPr>
                <w:rFonts w:hint="default" w:ascii="Times New Roman" w:hAnsi="Times New Roman" w:cs="Times New Roman"/>
                <w:color w:val="auto"/>
                <w:kern w:val="0"/>
                <w:szCs w:val="21"/>
                <w:highlight w:val="none"/>
                <w:lang w:eastAsia="zh-CN"/>
              </w:rPr>
              <w:t>本项目</w:t>
            </w:r>
            <w:r>
              <w:rPr>
                <w:rFonts w:hint="default" w:ascii="Times New Roman" w:hAnsi="Times New Roman" w:cs="Times New Roman"/>
                <w:color w:val="auto"/>
                <w:kern w:val="0"/>
                <w:szCs w:val="21"/>
                <w:highlight w:val="none"/>
              </w:rPr>
              <w:t>工程内容</w:t>
            </w:r>
            <w:r>
              <w:rPr>
                <w:rFonts w:hint="default" w:ascii="Times New Roman" w:hAnsi="Times New Roman" w:cs="Times New Roman"/>
                <w:snapToGrid w:val="0"/>
                <w:color w:val="auto"/>
                <w:kern w:val="0"/>
                <w:szCs w:val="21"/>
                <w:highlight w:val="none"/>
              </w:rPr>
              <w:t>具体见表2-</w:t>
            </w:r>
            <w:r>
              <w:rPr>
                <w:rFonts w:hint="default" w:ascii="Times New Roman" w:hAnsi="Times New Roman" w:cs="Times New Roman"/>
                <w:snapToGrid w:val="0"/>
                <w:color w:val="auto"/>
                <w:kern w:val="0"/>
                <w:szCs w:val="21"/>
                <w:highlight w:val="none"/>
                <w:lang w:val="en-US" w:eastAsia="zh-CN"/>
              </w:rPr>
              <w:t>2</w:t>
            </w:r>
            <w:r>
              <w:rPr>
                <w:rFonts w:hint="default" w:ascii="Times New Roman" w:hAnsi="Times New Roman" w:cs="Times New Roman"/>
                <w:snapToGrid w:val="0"/>
                <w:color w:val="auto"/>
                <w:kern w:val="0"/>
                <w:szCs w:val="21"/>
                <w:highlight w:val="none"/>
              </w:rPr>
              <w:t>。</w:t>
            </w:r>
          </w:p>
          <w:p w14:paraId="0541D485">
            <w:pPr>
              <w:pStyle w:val="82"/>
              <w:spacing w:after="0"/>
              <w:ind w:left="0" w:leftChars="0"/>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表2-</w:t>
            </w:r>
            <w:r>
              <w:rPr>
                <w:rFonts w:hint="default" w:ascii="Times New Roman" w:hAnsi="Times New Roman" w:eastAsia="宋体" w:cs="Times New Roman"/>
                <w:b/>
                <w:bCs/>
                <w:color w:val="auto"/>
                <w:sz w:val="21"/>
                <w:szCs w:val="18"/>
                <w:highlight w:val="none"/>
                <w:lang w:val="en-US" w:eastAsia="zh-CN"/>
              </w:rPr>
              <w:t>2</w:t>
            </w:r>
            <w:r>
              <w:rPr>
                <w:rFonts w:hint="default" w:ascii="Times New Roman" w:hAnsi="Times New Roman" w:eastAsia="宋体" w:cs="Times New Roman"/>
                <w:b/>
                <w:bCs/>
                <w:color w:val="auto"/>
                <w:sz w:val="21"/>
                <w:szCs w:val="18"/>
                <w:highlight w:val="none"/>
              </w:rPr>
              <w:t>项目主要工程内容</w:t>
            </w:r>
          </w:p>
          <w:tbl>
            <w:tblPr>
              <w:tblStyle w:val="83"/>
              <w:tblW w:w="4985"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51" w:type="dxa"/>
                <w:bottom w:w="0" w:type="dxa"/>
                <w:right w:w="51" w:type="dxa"/>
              </w:tblCellMar>
            </w:tblPr>
            <w:tblGrid>
              <w:gridCol w:w="1551"/>
              <w:gridCol w:w="1898"/>
              <w:gridCol w:w="2852"/>
              <w:gridCol w:w="1870"/>
            </w:tblGrid>
            <w:tr w14:paraId="46DA60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tcBorders>
                    <w:top w:val="single" w:color="auto" w:sz="6" w:space="0"/>
                  </w:tcBorders>
                  <w:vAlign w:val="center"/>
                </w:tcPr>
                <w:p w14:paraId="4783F201">
                  <w:pPr>
                    <w:pStyle w:val="33"/>
                    <w:keepNext w:val="0"/>
                    <w:keepLines w:val="0"/>
                    <w:pageBreakBefore w:val="0"/>
                    <w:widowControl w:val="0"/>
                    <w:kinsoku/>
                    <w:wordWrap/>
                    <w:overflowPunct/>
                    <w:topLinePunct w:val="0"/>
                    <w:autoSpaceDE/>
                    <w:autoSpaceDN/>
                    <w:bidi w:val="0"/>
                    <w:adjustRightInd w:val="0"/>
                    <w:snapToGrid w:val="0"/>
                    <w:spacing w:after="0"/>
                    <w:ind w:left="60" w:leftChars="0" w:hanging="60" w:hangingChars="33"/>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工程名称</w:t>
                  </w:r>
                </w:p>
              </w:tc>
              <w:tc>
                <w:tcPr>
                  <w:tcW w:w="1161" w:type="pct"/>
                  <w:tcBorders>
                    <w:top w:val="single" w:color="auto" w:sz="6" w:space="0"/>
                  </w:tcBorders>
                  <w:vAlign w:val="center"/>
                </w:tcPr>
                <w:p w14:paraId="1FE909E7">
                  <w:pPr>
                    <w:pStyle w:val="33"/>
                    <w:keepNext w:val="0"/>
                    <w:keepLines w:val="0"/>
                    <w:pageBreakBefore w:val="0"/>
                    <w:widowControl w:val="0"/>
                    <w:kinsoku/>
                    <w:wordWrap/>
                    <w:overflowPunct/>
                    <w:topLinePunct w:val="0"/>
                    <w:autoSpaceDE/>
                    <w:autoSpaceDN/>
                    <w:bidi w:val="0"/>
                    <w:adjustRightInd w:val="0"/>
                    <w:snapToGrid w:val="0"/>
                    <w:spacing w:after="0"/>
                    <w:ind w:left="0" w:leftChars="0" w:firstLine="422"/>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工程内容</w:t>
                  </w:r>
                </w:p>
              </w:tc>
              <w:tc>
                <w:tcPr>
                  <w:tcW w:w="1745" w:type="pct"/>
                  <w:tcBorders>
                    <w:top w:val="single" w:color="auto" w:sz="6" w:space="0"/>
                    <w:right w:val="single" w:color="auto" w:sz="4" w:space="0"/>
                  </w:tcBorders>
                  <w:vAlign w:val="center"/>
                </w:tcPr>
                <w:p w14:paraId="6E82D398">
                  <w:pPr>
                    <w:pStyle w:val="33"/>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color w:val="auto"/>
                      <w:sz w:val="18"/>
                      <w:szCs w:val="18"/>
                      <w:highlight w:val="none"/>
                    </w:rPr>
                    <w:t>建设内容及规模</w:t>
                  </w:r>
                </w:p>
              </w:tc>
              <w:tc>
                <w:tcPr>
                  <w:tcW w:w="1144" w:type="pct"/>
                  <w:tcBorders>
                    <w:top w:val="single" w:color="auto" w:sz="6" w:space="0"/>
                    <w:right w:val="single" w:color="auto" w:sz="4" w:space="0"/>
                  </w:tcBorders>
                  <w:vAlign w:val="center"/>
                </w:tcPr>
                <w:p w14:paraId="5C1A6318">
                  <w:pPr>
                    <w:pStyle w:val="33"/>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备注</w:t>
                  </w:r>
                </w:p>
              </w:tc>
            </w:tr>
            <w:tr w14:paraId="60A41A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vMerge w:val="restart"/>
                  <w:vAlign w:val="center"/>
                </w:tcPr>
                <w:p w14:paraId="25F51861">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主体工程</w:t>
                  </w:r>
                </w:p>
              </w:tc>
              <w:tc>
                <w:tcPr>
                  <w:tcW w:w="1161" w:type="pct"/>
                  <w:vAlign w:val="center"/>
                </w:tcPr>
                <w:p w14:paraId="7DF6AA1C">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val="en-US" w:eastAsia="zh-CN"/>
                    </w:rPr>
                    <w:t>生产车间</w:t>
                  </w:r>
                </w:p>
              </w:tc>
              <w:tc>
                <w:tcPr>
                  <w:tcW w:w="1745" w:type="pct"/>
                  <w:tcBorders>
                    <w:right w:val="single" w:color="auto" w:sz="4" w:space="0"/>
                  </w:tcBorders>
                  <w:vAlign w:val="center"/>
                </w:tcPr>
                <w:p w14:paraId="377F57C2">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1座，</w:t>
                  </w:r>
                  <w:r>
                    <w:rPr>
                      <w:rFonts w:hint="default" w:ascii="Times New Roman" w:hAnsi="Times New Roman" w:cs="Times New Roman"/>
                      <w:color w:val="auto"/>
                      <w:sz w:val="18"/>
                      <w:szCs w:val="18"/>
                      <w:highlight w:val="none"/>
                      <w:lang w:val="en-US" w:eastAsia="zh-CN"/>
                    </w:rPr>
                    <w:t>占地面</w:t>
                  </w:r>
                  <w:r>
                    <w:rPr>
                      <w:rFonts w:hint="default" w:ascii="Times New Roman" w:hAnsi="Times New Roman" w:eastAsia="宋体" w:cs="Times New Roman"/>
                      <w:color w:val="auto"/>
                      <w:sz w:val="18"/>
                      <w:szCs w:val="18"/>
                      <w:highlight w:val="none"/>
                      <w:lang w:val="en-US" w:eastAsia="zh-CN"/>
                    </w:rPr>
                    <w:t>积</w:t>
                  </w:r>
                  <w:r>
                    <w:rPr>
                      <w:rFonts w:hint="eastAsia" w:ascii="Times New Roman" w:hAnsi="Times New Roman" w:cs="Times New Roman"/>
                      <w:color w:val="auto"/>
                      <w:sz w:val="18"/>
                      <w:szCs w:val="18"/>
                      <w:highlight w:val="none"/>
                      <w:lang w:val="en-US" w:eastAsia="zh-CN"/>
                    </w:rPr>
                    <w:t>880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主要包括</w:t>
                  </w:r>
                  <w:r>
                    <w:rPr>
                      <w:rFonts w:hint="eastAsia" w:ascii="Times New Roman" w:hAnsi="Times New Roman" w:cs="Times New Roman"/>
                      <w:color w:val="auto"/>
                      <w:sz w:val="18"/>
                      <w:szCs w:val="18"/>
                      <w:highlight w:val="none"/>
                      <w:lang w:val="en-US" w:eastAsia="zh-CN"/>
                    </w:rPr>
                    <w:t>4台砂轮机、2台车床、4台台钻、2台开刃机、1台空压机、1台平衡机、1台筛选机、2台振动筛、4台混料机、4台冷压机、2台高频焊机、1台喷砂机、1台移动式小型切割机、1台移动式小型电焊机</w:t>
                  </w:r>
                </w:p>
              </w:tc>
              <w:tc>
                <w:tcPr>
                  <w:tcW w:w="1144" w:type="pct"/>
                  <w:tcBorders>
                    <w:right w:val="single" w:color="auto" w:sz="4" w:space="0"/>
                  </w:tcBorders>
                  <w:vAlign w:val="center"/>
                </w:tcPr>
                <w:p w14:paraId="1252165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租赁现有</w:t>
                  </w:r>
                </w:p>
              </w:tc>
            </w:tr>
            <w:tr w14:paraId="5D62474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vMerge w:val="continue"/>
                  <w:vAlign w:val="center"/>
                </w:tcPr>
                <w:p w14:paraId="37E4045D">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p>
              </w:tc>
              <w:tc>
                <w:tcPr>
                  <w:tcW w:w="1161" w:type="pct"/>
                  <w:vAlign w:val="center"/>
                </w:tcPr>
                <w:p w14:paraId="25A28001">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生产车间</w:t>
                  </w:r>
                </w:p>
              </w:tc>
              <w:tc>
                <w:tcPr>
                  <w:tcW w:w="1745" w:type="pct"/>
                  <w:tcBorders>
                    <w:right w:val="single" w:color="auto" w:sz="4" w:space="0"/>
                  </w:tcBorders>
                  <w:vAlign w:val="center"/>
                </w:tcPr>
                <w:p w14:paraId="148C8C9F">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color w:val="auto"/>
                      <w:sz w:val="18"/>
                      <w:szCs w:val="18"/>
                      <w:highlight w:val="none"/>
                      <w:lang w:val="en-US" w:eastAsia="zh-CN"/>
                    </w:rPr>
                  </w:pPr>
                  <w:r>
                    <w:rPr>
                      <w:rFonts w:hint="default" w:ascii="Times New Roman" w:hAnsi="Times New Roman" w:cs="Times New Roman"/>
                      <w:color w:val="auto"/>
                      <w:sz w:val="18"/>
                      <w:szCs w:val="18"/>
                      <w:highlight w:val="none"/>
                    </w:rPr>
                    <w:t>1座，</w:t>
                  </w:r>
                  <w:r>
                    <w:rPr>
                      <w:rFonts w:hint="default" w:ascii="Times New Roman" w:hAnsi="Times New Roman" w:cs="Times New Roman"/>
                      <w:color w:val="auto"/>
                      <w:sz w:val="18"/>
                      <w:szCs w:val="18"/>
                      <w:highlight w:val="none"/>
                      <w:lang w:val="en-US" w:eastAsia="zh-CN"/>
                    </w:rPr>
                    <w:t>占地面</w:t>
                  </w:r>
                  <w:r>
                    <w:rPr>
                      <w:rFonts w:hint="default" w:ascii="Times New Roman" w:hAnsi="Times New Roman" w:eastAsia="宋体" w:cs="Times New Roman"/>
                      <w:color w:val="auto"/>
                      <w:sz w:val="18"/>
                      <w:szCs w:val="18"/>
                      <w:highlight w:val="none"/>
                      <w:lang w:val="en-US" w:eastAsia="zh-CN"/>
                    </w:rPr>
                    <w:t>积</w:t>
                  </w:r>
                  <w:r>
                    <w:rPr>
                      <w:rFonts w:hint="eastAsia" w:ascii="Times New Roman" w:hAnsi="Times New Roman" w:cs="Times New Roman"/>
                      <w:color w:val="auto"/>
                      <w:sz w:val="18"/>
                      <w:szCs w:val="18"/>
                      <w:highlight w:val="none"/>
                      <w:lang w:val="en-US" w:eastAsia="zh-CN"/>
                    </w:rPr>
                    <w:t>720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主要包括</w:t>
                  </w:r>
                  <w:r>
                    <w:rPr>
                      <w:rFonts w:hint="eastAsia" w:ascii="Times New Roman" w:hAnsi="Times New Roman" w:cs="Times New Roman"/>
                      <w:color w:val="auto"/>
                      <w:sz w:val="18"/>
                      <w:szCs w:val="18"/>
                      <w:highlight w:val="none"/>
                      <w:lang w:val="en-US" w:eastAsia="zh-CN"/>
                    </w:rPr>
                    <w:t>15台热压机、1台空压机、4台烘箱、</w:t>
                  </w:r>
                  <w:r>
                    <w:rPr>
                      <w:rFonts w:hint="eastAsia" w:cs="Times New Roman"/>
                      <w:color w:val="auto"/>
                      <w:sz w:val="18"/>
                      <w:szCs w:val="18"/>
                      <w:highlight w:val="none"/>
                      <w:lang w:val="en-US" w:eastAsia="zh-CN"/>
                    </w:rPr>
                    <w:t>2</w:t>
                  </w:r>
                  <w:r>
                    <w:rPr>
                      <w:rFonts w:hint="eastAsia" w:ascii="Times New Roman" w:hAnsi="Times New Roman" w:cs="Times New Roman"/>
                      <w:color w:val="auto"/>
                      <w:sz w:val="18"/>
                      <w:szCs w:val="18"/>
                      <w:highlight w:val="none"/>
                      <w:lang w:val="en-US" w:eastAsia="zh-CN"/>
                    </w:rPr>
                    <w:t>台脱模机</w:t>
                  </w:r>
                </w:p>
              </w:tc>
              <w:tc>
                <w:tcPr>
                  <w:tcW w:w="1144" w:type="pct"/>
                  <w:tcBorders>
                    <w:right w:val="single" w:color="auto" w:sz="4" w:space="0"/>
                  </w:tcBorders>
                  <w:vAlign w:val="center"/>
                </w:tcPr>
                <w:p w14:paraId="518F1292">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租赁现有</w:t>
                  </w:r>
                </w:p>
              </w:tc>
            </w:tr>
            <w:tr w14:paraId="490357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vMerge w:val="continue"/>
                  <w:vAlign w:val="center"/>
                </w:tcPr>
                <w:p w14:paraId="52EFE18F">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p>
              </w:tc>
              <w:tc>
                <w:tcPr>
                  <w:tcW w:w="1161" w:type="pct"/>
                  <w:vAlign w:val="center"/>
                </w:tcPr>
                <w:p w14:paraId="13F87EF7">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val="en-US" w:eastAsia="zh-CN"/>
                    </w:rPr>
                    <w:t>生产车间</w:t>
                  </w:r>
                </w:p>
              </w:tc>
              <w:tc>
                <w:tcPr>
                  <w:tcW w:w="1745" w:type="pct"/>
                  <w:tcBorders>
                    <w:right w:val="single" w:color="auto" w:sz="4" w:space="0"/>
                  </w:tcBorders>
                  <w:vAlign w:val="center"/>
                </w:tcPr>
                <w:p w14:paraId="6CEE71FB">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color w:val="auto"/>
                      <w:sz w:val="18"/>
                      <w:szCs w:val="18"/>
                      <w:highlight w:val="none"/>
                      <w:lang w:val="en-US" w:eastAsia="zh-CN"/>
                    </w:rPr>
                  </w:pPr>
                  <w:r>
                    <w:rPr>
                      <w:rFonts w:hint="default" w:ascii="Times New Roman" w:hAnsi="Times New Roman" w:cs="Times New Roman"/>
                      <w:color w:val="auto"/>
                      <w:sz w:val="18"/>
                      <w:szCs w:val="18"/>
                      <w:highlight w:val="none"/>
                    </w:rPr>
                    <w:t>1座，</w:t>
                  </w:r>
                  <w:r>
                    <w:rPr>
                      <w:rFonts w:hint="default" w:ascii="Times New Roman" w:hAnsi="Times New Roman" w:cs="Times New Roman"/>
                      <w:color w:val="auto"/>
                      <w:sz w:val="18"/>
                      <w:szCs w:val="18"/>
                      <w:highlight w:val="none"/>
                      <w:lang w:val="en-US" w:eastAsia="zh-CN"/>
                    </w:rPr>
                    <w:t>占地面</w:t>
                  </w:r>
                  <w:r>
                    <w:rPr>
                      <w:rFonts w:hint="default" w:ascii="Times New Roman" w:hAnsi="Times New Roman" w:eastAsia="宋体" w:cs="Times New Roman"/>
                      <w:color w:val="auto"/>
                      <w:sz w:val="18"/>
                      <w:szCs w:val="18"/>
                      <w:highlight w:val="none"/>
                      <w:lang w:val="en-US" w:eastAsia="zh-CN"/>
                    </w:rPr>
                    <w:t>积</w:t>
                  </w:r>
                  <w:r>
                    <w:rPr>
                      <w:rFonts w:hint="eastAsia" w:cs="Times New Roman"/>
                      <w:color w:val="auto"/>
                      <w:sz w:val="18"/>
                      <w:szCs w:val="18"/>
                      <w:highlight w:val="none"/>
                      <w:lang w:val="en-US" w:eastAsia="zh-CN"/>
                    </w:rPr>
                    <w:t>120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主要包括</w:t>
                  </w:r>
                  <w:r>
                    <w:rPr>
                      <w:rFonts w:hint="eastAsia" w:ascii="Times New Roman" w:hAnsi="Times New Roman" w:cs="Times New Roman"/>
                      <w:color w:val="auto"/>
                      <w:sz w:val="18"/>
                      <w:szCs w:val="18"/>
                      <w:highlight w:val="none"/>
                      <w:lang w:val="en-US" w:eastAsia="zh-CN"/>
                    </w:rPr>
                    <w:t>4台粘结台、6台混料机、1间配料室（3台振动筛）</w:t>
                  </w:r>
                </w:p>
              </w:tc>
              <w:tc>
                <w:tcPr>
                  <w:tcW w:w="1144" w:type="pct"/>
                  <w:tcBorders>
                    <w:right w:val="single" w:color="auto" w:sz="4" w:space="0"/>
                  </w:tcBorders>
                  <w:vAlign w:val="center"/>
                </w:tcPr>
                <w:p w14:paraId="59C2A97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租赁现有</w:t>
                  </w:r>
                </w:p>
              </w:tc>
            </w:tr>
            <w:tr w14:paraId="434A36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vAlign w:val="center"/>
                </w:tcPr>
                <w:p w14:paraId="49AE8A55">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辅助工程</w:t>
                  </w:r>
                </w:p>
              </w:tc>
              <w:tc>
                <w:tcPr>
                  <w:tcW w:w="1161" w:type="pct"/>
                  <w:vAlign w:val="center"/>
                </w:tcPr>
                <w:p w14:paraId="6A7F3000">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办公室</w:t>
                  </w:r>
                </w:p>
              </w:tc>
              <w:tc>
                <w:tcPr>
                  <w:tcW w:w="1745" w:type="pct"/>
                  <w:tcBorders>
                    <w:right w:val="single" w:color="auto" w:sz="4" w:space="0"/>
                  </w:tcBorders>
                  <w:vAlign w:val="center"/>
                </w:tcPr>
                <w:p w14:paraId="320E201D">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座，</w:t>
                  </w:r>
                  <w:r>
                    <w:rPr>
                      <w:rFonts w:hint="default" w:ascii="Times New Roman" w:hAnsi="Times New Roman" w:cs="Times New Roman"/>
                      <w:color w:val="auto"/>
                      <w:sz w:val="18"/>
                      <w:szCs w:val="18"/>
                      <w:highlight w:val="none"/>
                      <w:lang w:val="en-US" w:eastAsia="zh-CN"/>
                    </w:rPr>
                    <w:t>占地面积为</w:t>
                  </w:r>
                  <w:r>
                    <w:rPr>
                      <w:rFonts w:hint="eastAsia" w:cs="Times New Roman"/>
                      <w:color w:val="auto"/>
                      <w:kern w:val="0"/>
                      <w:sz w:val="18"/>
                      <w:szCs w:val="18"/>
                      <w:highlight w:val="none"/>
                      <w:lang w:val="en-US" w:eastAsia="zh-CN"/>
                    </w:rPr>
                    <w:t>280</w:t>
                  </w:r>
                  <w:r>
                    <w:rPr>
                      <w:rFonts w:hint="default" w:ascii="Times New Roman" w:hAnsi="Times New Roman" w:cs="Times New Roman"/>
                      <w:color w:val="auto"/>
                      <w:sz w:val="18"/>
                      <w:szCs w:val="18"/>
                      <w:highlight w:val="none"/>
                    </w:rPr>
                    <w:t xml:space="preserve"> 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主要用于办公</w:t>
                  </w:r>
                </w:p>
              </w:tc>
              <w:tc>
                <w:tcPr>
                  <w:tcW w:w="1144" w:type="pct"/>
                  <w:tcBorders>
                    <w:right w:val="single" w:color="auto" w:sz="4" w:space="0"/>
                  </w:tcBorders>
                  <w:vAlign w:val="center"/>
                </w:tcPr>
                <w:p w14:paraId="4F66353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租赁现有</w:t>
                  </w:r>
                </w:p>
              </w:tc>
            </w:tr>
            <w:tr w14:paraId="12EA53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vMerge w:val="restart"/>
                  <w:vAlign w:val="center"/>
                </w:tcPr>
                <w:p w14:paraId="7060494D">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公用工程</w:t>
                  </w:r>
                </w:p>
              </w:tc>
              <w:tc>
                <w:tcPr>
                  <w:tcW w:w="1161" w:type="pct"/>
                  <w:vAlign w:val="center"/>
                </w:tcPr>
                <w:p w14:paraId="74F71FC1">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供水系统</w:t>
                  </w:r>
                </w:p>
              </w:tc>
              <w:tc>
                <w:tcPr>
                  <w:tcW w:w="1745" w:type="pct"/>
                  <w:tcBorders>
                    <w:right w:val="single" w:color="auto" w:sz="4" w:space="0"/>
                  </w:tcBorders>
                  <w:vAlign w:val="center"/>
                </w:tcPr>
                <w:p w14:paraId="70092ABF">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淄川区</w:t>
                  </w:r>
                  <w:r>
                    <w:rPr>
                      <w:rFonts w:hint="eastAsia" w:cs="Times New Roman"/>
                      <w:color w:val="auto"/>
                      <w:sz w:val="18"/>
                      <w:szCs w:val="18"/>
                      <w:highlight w:val="none"/>
                      <w:lang w:eastAsia="zh-CN"/>
                    </w:rPr>
                    <w:t>龙泉镇</w:t>
                  </w:r>
                  <w:r>
                    <w:rPr>
                      <w:rFonts w:hint="default" w:ascii="Times New Roman" w:hAnsi="Times New Roman" w:cs="Times New Roman"/>
                      <w:color w:val="auto"/>
                      <w:sz w:val="18"/>
                      <w:szCs w:val="18"/>
                      <w:highlight w:val="none"/>
                      <w:lang w:eastAsia="zh-CN"/>
                    </w:rPr>
                    <w:t>供水管网，</w:t>
                  </w:r>
                  <w:r>
                    <w:rPr>
                      <w:rFonts w:hint="default" w:ascii="Times New Roman" w:hAnsi="Times New Roman" w:cs="Times New Roman"/>
                      <w:color w:val="auto"/>
                      <w:sz w:val="18"/>
                      <w:szCs w:val="18"/>
                      <w:highlight w:val="none"/>
                      <w:lang w:val="en-US" w:eastAsia="zh-CN"/>
                    </w:rPr>
                    <w:t>用水量</w:t>
                  </w:r>
                  <w:r>
                    <w:rPr>
                      <w:rFonts w:hint="eastAsia" w:cs="Times New Roman"/>
                      <w:color w:val="auto"/>
                      <w:sz w:val="18"/>
                      <w:szCs w:val="18"/>
                      <w:highlight w:val="none"/>
                      <w:lang w:val="en-US" w:eastAsia="zh-CN"/>
                    </w:rPr>
                    <w:t>281.1</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/a</w:t>
                  </w:r>
                </w:p>
              </w:tc>
              <w:tc>
                <w:tcPr>
                  <w:tcW w:w="1144" w:type="pct"/>
                  <w:tcBorders>
                    <w:right w:val="single" w:color="auto" w:sz="4" w:space="0"/>
                  </w:tcBorders>
                  <w:vAlign w:val="center"/>
                </w:tcPr>
                <w:p w14:paraId="773E5C3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3453733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vMerge w:val="continue"/>
                  <w:vAlign w:val="center"/>
                </w:tcPr>
                <w:p w14:paraId="5BA2F6F4">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yellow"/>
                    </w:rPr>
                  </w:pPr>
                </w:p>
              </w:tc>
              <w:tc>
                <w:tcPr>
                  <w:tcW w:w="1161" w:type="pct"/>
                  <w:vAlign w:val="center"/>
                </w:tcPr>
                <w:p w14:paraId="26C5235E">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供电系统</w:t>
                  </w:r>
                </w:p>
              </w:tc>
              <w:tc>
                <w:tcPr>
                  <w:tcW w:w="1745" w:type="pct"/>
                  <w:tcBorders>
                    <w:right w:val="single" w:color="auto" w:sz="4" w:space="0"/>
                  </w:tcBorders>
                  <w:vAlign w:val="center"/>
                </w:tcPr>
                <w:p w14:paraId="029DB578">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龙泉镇</w:t>
                  </w:r>
                  <w:r>
                    <w:rPr>
                      <w:rFonts w:hint="default" w:ascii="Times New Roman" w:hAnsi="Times New Roman" w:cs="Times New Roman"/>
                      <w:color w:val="auto"/>
                      <w:sz w:val="18"/>
                      <w:szCs w:val="18"/>
                      <w:highlight w:val="none"/>
                      <w:lang w:eastAsia="zh-CN"/>
                    </w:rPr>
                    <w:t>供电所，</w:t>
                  </w:r>
                  <w:r>
                    <w:rPr>
                      <w:rFonts w:hint="default" w:ascii="Times New Roman" w:hAnsi="Times New Roman" w:cs="Times New Roman"/>
                      <w:bCs/>
                      <w:color w:val="auto"/>
                      <w:sz w:val="18"/>
                      <w:szCs w:val="18"/>
                      <w:highlight w:val="none"/>
                    </w:rPr>
                    <w:t>新增</w:t>
                  </w:r>
                  <w:r>
                    <w:rPr>
                      <w:rFonts w:hint="default" w:ascii="Times New Roman" w:hAnsi="Times New Roman" w:cs="Times New Roman"/>
                      <w:bCs/>
                      <w:color w:val="auto"/>
                      <w:sz w:val="18"/>
                      <w:szCs w:val="18"/>
                      <w:highlight w:val="none"/>
                      <w:lang w:val="en-US" w:eastAsia="zh-CN"/>
                    </w:rPr>
                    <w:t>用电量</w:t>
                  </w:r>
                  <w:r>
                    <w:rPr>
                      <w:rFonts w:hint="eastAsia" w:cs="Times New Roman"/>
                      <w:bCs/>
                      <w:color w:val="auto"/>
                      <w:sz w:val="18"/>
                      <w:szCs w:val="18"/>
                      <w:highlight w:val="none"/>
                      <w:lang w:val="en-US" w:eastAsia="zh-CN"/>
                    </w:rPr>
                    <w:t>10</w:t>
                  </w:r>
                  <w:r>
                    <w:rPr>
                      <w:rFonts w:hint="default" w:ascii="Times New Roman" w:hAnsi="Times New Roman" w:cs="Times New Roman"/>
                      <w:bCs/>
                      <w:color w:val="auto"/>
                      <w:sz w:val="18"/>
                      <w:szCs w:val="18"/>
                      <w:highlight w:val="none"/>
                    </w:rPr>
                    <w:t>万kWh/a</w:t>
                  </w:r>
                </w:p>
              </w:tc>
              <w:tc>
                <w:tcPr>
                  <w:tcW w:w="1144" w:type="pct"/>
                  <w:tcBorders>
                    <w:right w:val="single" w:color="auto" w:sz="4" w:space="0"/>
                  </w:tcBorders>
                  <w:vAlign w:val="center"/>
                </w:tcPr>
                <w:p w14:paraId="5E7AA65F">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3494FC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vMerge w:val="restart"/>
                  <w:vAlign w:val="center"/>
                </w:tcPr>
                <w:p w14:paraId="1DCB4D75">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环保工程</w:t>
                  </w:r>
                </w:p>
              </w:tc>
              <w:tc>
                <w:tcPr>
                  <w:tcW w:w="1161" w:type="pct"/>
                  <w:vAlign w:val="center"/>
                </w:tcPr>
                <w:p w14:paraId="125A6850">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噪声处理控制</w:t>
                  </w:r>
                </w:p>
              </w:tc>
              <w:tc>
                <w:tcPr>
                  <w:tcW w:w="1745" w:type="pct"/>
                  <w:tcBorders>
                    <w:right w:val="single" w:color="auto" w:sz="4" w:space="0"/>
                  </w:tcBorders>
                  <w:vAlign w:val="center"/>
                </w:tcPr>
                <w:p w14:paraId="04640F34">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减振、隔声</w:t>
                  </w:r>
                </w:p>
              </w:tc>
              <w:tc>
                <w:tcPr>
                  <w:tcW w:w="1144" w:type="pct"/>
                  <w:tcBorders>
                    <w:right w:val="single" w:color="auto" w:sz="4" w:space="0"/>
                  </w:tcBorders>
                  <w:vAlign w:val="center"/>
                </w:tcPr>
                <w:p w14:paraId="59C368D9">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0DA0ED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vMerge w:val="continue"/>
                  <w:vAlign w:val="center"/>
                </w:tcPr>
                <w:p w14:paraId="418FAEBA">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p>
              </w:tc>
              <w:tc>
                <w:tcPr>
                  <w:tcW w:w="1161" w:type="pct"/>
                  <w:vAlign w:val="center"/>
                </w:tcPr>
                <w:p w14:paraId="4C28D325">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废水处理控制</w:t>
                  </w:r>
                </w:p>
              </w:tc>
              <w:tc>
                <w:tcPr>
                  <w:tcW w:w="1745" w:type="pct"/>
                  <w:tcBorders>
                    <w:right w:val="single" w:color="auto" w:sz="4" w:space="0"/>
                  </w:tcBorders>
                  <w:vAlign w:val="center"/>
                </w:tcPr>
                <w:p w14:paraId="330E2FD8">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车间洒水降尘用水最终全部蒸发损耗，</w:t>
                  </w:r>
                  <w:r>
                    <w:rPr>
                      <w:rFonts w:hint="default" w:ascii="Times New Roman" w:hAnsi="Times New Roman" w:cs="Times New Roman"/>
                      <w:color w:val="auto"/>
                      <w:sz w:val="18"/>
                      <w:szCs w:val="18"/>
                      <w:highlight w:val="none"/>
                      <w:lang w:eastAsia="zh-CN"/>
                    </w:rPr>
                    <w:t>生活污水</w:t>
                  </w:r>
                  <w:r>
                    <w:rPr>
                      <w:rFonts w:hint="eastAsia" w:cs="Times New Roman"/>
                      <w:color w:val="auto"/>
                      <w:sz w:val="18"/>
                      <w:szCs w:val="18"/>
                      <w:highlight w:val="none"/>
                      <w:lang w:eastAsia="zh-CN"/>
                    </w:rPr>
                    <w:t>经化粪池暂存后由环卫部门定期清运</w:t>
                  </w:r>
                </w:p>
              </w:tc>
              <w:tc>
                <w:tcPr>
                  <w:tcW w:w="1144" w:type="pct"/>
                  <w:tcBorders>
                    <w:right w:val="single" w:color="auto" w:sz="4" w:space="0"/>
                  </w:tcBorders>
                  <w:vAlign w:val="center"/>
                </w:tcPr>
                <w:p w14:paraId="63FAE7E5">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66DFA6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vMerge w:val="continue"/>
                  <w:vAlign w:val="center"/>
                </w:tcPr>
                <w:p w14:paraId="155E1917">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p>
              </w:tc>
              <w:tc>
                <w:tcPr>
                  <w:tcW w:w="1161" w:type="pct"/>
                  <w:vAlign w:val="center"/>
                </w:tcPr>
                <w:p w14:paraId="701CE3D3">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固废处理控制</w:t>
                  </w:r>
                </w:p>
              </w:tc>
              <w:tc>
                <w:tcPr>
                  <w:tcW w:w="1745" w:type="pct"/>
                  <w:tcBorders>
                    <w:right w:val="single" w:color="auto" w:sz="4" w:space="0"/>
                  </w:tcBorders>
                  <w:vAlign w:val="center"/>
                </w:tcPr>
                <w:p w14:paraId="7D76E1CA">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分类收集、妥善储存、防渗的固废堆场</w:t>
                  </w:r>
                </w:p>
              </w:tc>
              <w:tc>
                <w:tcPr>
                  <w:tcW w:w="1144" w:type="pct"/>
                  <w:tcBorders>
                    <w:right w:val="single" w:color="auto" w:sz="4" w:space="0"/>
                  </w:tcBorders>
                  <w:vAlign w:val="center"/>
                </w:tcPr>
                <w:p w14:paraId="49E12680">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33B0EB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9" w:type="pct"/>
                  <w:vMerge w:val="continue"/>
                  <w:vAlign w:val="center"/>
                </w:tcPr>
                <w:p w14:paraId="4B8DA270">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p>
              </w:tc>
              <w:tc>
                <w:tcPr>
                  <w:tcW w:w="1161" w:type="pct"/>
                  <w:vAlign w:val="center"/>
                </w:tcPr>
                <w:p w14:paraId="007DD0D9">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废气处理控制</w:t>
                  </w:r>
                </w:p>
              </w:tc>
              <w:tc>
                <w:tcPr>
                  <w:tcW w:w="1745" w:type="pct"/>
                  <w:tcBorders>
                    <w:right w:val="single" w:color="auto" w:sz="4" w:space="0"/>
                  </w:tcBorders>
                  <w:vAlign w:val="center"/>
                </w:tcPr>
                <w:p w14:paraId="11278971">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磨边轮生产线配料、筛分、混料过程产生的粉尘经集气罩收集，1#布袋除尘器处理后由15m高排气筒（DA001）有组织排放；喷砂过程产生的粉尘经自带布袋除尘器处理后由15m高排气筒（DA001）有组织排放</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弹性磨块</w:t>
                  </w:r>
                  <w:r>
                    <w:rPr>
                      <w:rFonts w:hint="default" w:ascii="Times New Roman" w:hAnsi="Times New Roman" w:cs="Times New Roman"/>
                      <w:color w:val="auto"/>
                      <w:sz w:val="18"/>
                      <w:szCs w:val="18"/>
                      <w:highlight w:val="none"/>
                      <w:lang w:val="en-US" w:eastAsia="zh-CN"/>
                    </w:rPr>
                    <w:t>生产线配料、筛分、混料过程产生的粉尘经集气罩收集，2#布袋除尘器处理后由15m高排气筒（DA002）有组织排放；热压、烘干、粘结过程产生的VOCs、甲醛、苯酚经集气罩收集，二级活性炭吸附装置处理后由15m高排气筒（DA003）有组织排放</w:t>
                  </w:r>
                  <w:r>
                    <w:rPr>
                      <w:rFonts w:hint="eastAsia" w:cs="Times New Roman"/>
                      <w:color w:val="auto"/>
                      <w:sz w:val="18"/>
                      <w:szCs w:val="18"/>
                      <w:highlight w:val="none"/>
                      <w:lang w:val="en-US" w:eastAsia="zh-CN"/>
                    </w:rPr>
                    <w:t>；车削、打磨、维修切割过程产生的粉尘无组织排放；焊接（含维修焊接）过程产生的烟尘经移动式焊接烟尘净化器处理后无组织排放</w:t>
                  </w:r>
                  <w:r>
                    <w:rPr>
                      <w:rFonts w:hint="default" w:ascii="Times New Roman" w:hAnsi="Times New Roman" w:cs="Times New Roman"/>
                      <w:color w:val="auto"/>
                      <w:sz w:val="18"/>
                      <w:szCs w:val="18"/>
                      <w:highlight w:val="none"/>
                    </w:rPr>
                    <w:t>。</w:t>
                  </w:r>
                </w:p>
              </w:tc>
              <w:tc>
                <w:tcPr>
                  <w:tcW w:w="1144" w:type="pct"/>
                  <w:tcBorders>
                    <w:right w:val="single" w:color="auto" w:sz="4" w:space="0"/>
                  </w:tcBorders>
                  <w:vAlign w:val="center"/>
                </w:tcPr>
                <w:p w14:paraId="37B460A9">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新增</w:t>
                  </w:r>
                </w:p>
              </w:tc>
            </w:tr>
          </w:tbl>
          <w:p w14:paraId="17A5746C">
            <w:pPr>
              <w:spacing w:line="360" w:lineRule="auto"/>
              <w:ind w:firstLine="422" w:firstLineChars="200"/>
              <w:rPr>
                <w:rFonts w:hint="default" w:ascii="Times New Roman" w:hAnsi="Times New Roman" w:cs="Times New Roman"/>
                <w:color w:val="auto"/>
                <w:szCs w:val="21"/>
                <w:highlight w:val="none"/>
              </w:rPr>
            </w:pPr>
            <w:r>
              <w:rPr>
                <w:rFonts w:hint="default" w:ascii="Times New Roman" w:hAnsi="Times New Roman" w:eastAsia="宋体" w:cs="Times New Roman"/>
                <w:b/>
                <w:bCs/>
                <w:color w:val="auto"/>
                <w:szCs w:val="21"/>
                <w:highlight w:val="none"/>
              </w:rPr>
              <w:t>6、工程总投资及环保投资：</w:t>
            </w:r>
            <w:r>
              <w:rPr>
                <w:rFonts w:hint="default" w:ascii="Times New Roman" w:hAnsi="Times New Roman" w:eastAsia="宋体" w:cs="Times New Roman"/>
                <w:color w:val="auto"/>
                <w:szCs w:val="21"/>
                <w:highlight w:val="none"/>
                <w:lang w:val="en-US" w:eastAsia="zh-CN"/>
              </w:rPr>
              <w:t>本</w:t>
            </w:r>
            <w:r>
              <w:rPr>
                <w:rFonts w:hint="default" w:ascii="Times New Roman" w:hAnsi="Times New Roman" w:eastAsia="宋体" w:cs="Times New Roman"/>
                <w:color w:val="auto"/>
                <w:szCs w:val="21"/>
                <w:highlight w:val="none"/>
              </w:rPr>
              <w:t>项</w:t>
            </w:r>
            <w:r>
              <w:rPr>
                <w:rFonts w:hint="default" w:ascii="Times New Roman" w:hAnsi="Times New Roman" w:cs="Times New Roman"/>
                <w:color w:val="auto"/>
                <w:szCs w:val="21"/>
                <w:highlight w:val="none"/>
              </w:rPr>
              <w:t>目投资</w:t>
            </w:r>
            <w:r>
              <w:rPr>
                <w:rFonts w:hint="eastAsia" w:cs="Times New Roman"/>
                <w:color w:val="auto"/>
                <w:szCs w:val="21"/>
                <w:highlight w:val="none"/>
                <w:lang w:val="en-US" w:eastAsia="zh-CN"/>
              </w:rPr>
              <w:t>500</w:t>
            </w:r>
            <w:r>
              <w:rPr>
                <w:rFonts w:hint="default" w:ascii="Times New Roman" w:hAnsi="Times New Roman" w:cs="Times New Roman"/>
                <w:color w:val="auto"/>
                <w:szCs w:val="21"/>
                <w:highlight w:val="none"/>
              </w:rPr>
              <w:t>万元，其中环保投资</w:t>
            </w:r>
            <w:r>
              <w:rPr>
                <w:rFonts w:hint="default" w:ascii="Times New Roman" w:hAnsi="Times New Roman" w:cs="Times New Roman"/>
                <w:color w:val="auto"/>
                <w:szCs w:val="21"/>
                <w:highlight w:val="none"/>
                <w:lang w:val="en-US" w:eastAsia="zh-CN"/>
              </w:rPr>
              <w:t>5</w:t>
            </w:r>
            <w:r>
              <w:rPr>
                <w:rFonts w:hint="eastAsia" w:cs="Times New Roman"/>
                <w:color w:val="auto"/>
                <w:szCs w:val="21"/>
                <w:highlight w:val="none"/>
                <w:lang w:val="en-US" w:eastAsia="zh-CN"/>
              </w:rPr>
              <w:t>0</w:t>
            </w:r>
            <w:r>
              <w:rPr>
                <w:rFonts w:hint="default" w:ascii="Times New Roman" w:hAnsi="Times New Roman" w:cs="Times New Roman"/>
                <w:color w:val="auto"/>
                <w:szCs w:val="21"/>
                <w:highlight w:val="none"/>
              </w:rPr>
              <w:t>万元，占总投资的</w:t>
            </w:r>
            <w:r>
              <w:rPr>
                <w:rFonts w:hint="eastAsia" w:cs="Times New Roman"/>
                <w:color w:val="auto"/>
                <w:szCs w:val="21"/>
                <w:highlight w:val="none"/>
                <w:lang w:val="en-US" w:eastAsia="zh-CN"/>
              </w:rPr>
              <w:t>10</w:t>
            </w:r>
            <w:r>
              <w:rPr>
                <w:rFonts w:hint="default" w:ascii="Times New Roman" w:hAnsi="Times New Roman" w:cs="Times New Roman"/>
                <w:color w:val="auto"/>
                <w:szCs w:val="21"/>
                <w:highlight w:val="none"/>
              </w:rPr>
              <w:t>%。</w:t>
            </w:r>
          </w:p>
          <w:p w14:paraId="2B0AB38C">
            <w:pPr>
              <w:spacing w:line="360" w:lineRule="auto"/>
              <w:ind w:firstLine="422" w:firstLineChars="200"/>
              <w:rPr>
                <w:rFonts w:hint="default" w:ascii="Times New Roman" w:hAnsi="Times New Roman" w:cs="Times New Roman"/>
                <w:color w:val="auto"/>
                <w:kern w:val="0"/>
                <w:szCs w:val="21"/>
                <w:highlight w:val="none"/>
              </w:rPr>
            </w:pPr>
            <w:r>
              <w:rPr>
                <w:rFonts w:hint="default" w:ascii="Times New Roman" w:hAnsi="Times New Roman" w:eastAsia="宋体" w:cs="Times New Roman"/>
                <w:b/>
                <w:bCs/>
                <w:color w:val="auto"/>
                <w:szCs w:val="21"/>
                <w:highlight w:val="none"/>
              </w:rPr>
              <w:t>7、劳动制度及定员：</w:t>
            </w:r>
            <w:r>
              <w:rPr>
                <w:rFonts w:hint="default" w:ascii="Times New Roman" w:hAnsi="Times New Roman" w:eastAsia="宋体" w:cs="Times New Roman"/>
                <w:color w:val="auto"/>
                <w:kern w:val="0"/>
                <w:szCs w:val="21"/>
                <w:highlight w:val="none"/>
                <w:lang w:eastAsia="zh-CN"/>
              </w:rPr>
              <w:t>本项目</w:t>
            </w:r>
            <w:r>
              <w:rPr>
                <w:rFonts w:hint="default" w:ascii="Times New Roman" w:hAnsi="Times New Roman" w:eastAsia="宋体" w:cs="Times New Roman"/>
                <w:color w:val="auto"/>
                <w:kern w:val="0"/>
                <w:szCs w:val="21"/>
                <w:highlight w:val="none"/>
              </w:rPr>
              <w:t>劳</w:t>
            </w:r>
            <w:r>
              <w:rPr>
                <w:rFonts w:hint="default" w:ascii="Times New Roman" w:hAnsi="Times New Roman" w:cs="Times New Roman"/>
                <w:color w:val="auto"/>
                <w:kern w:val="0"/>
                <w:szCs w:val="21"/>
                <w:highlight w:val="none"/>
              </w:rPr>
              <w:t>动定员为</w:t>
            </w:r>
            <w:r>
              <w:rPr>
                <w:rFonts w:hint="eastAsia" w:cs="Times New Roman"/>
                <w:color w:val="auto"/>
                <w:kern w:val="0"/>
                <w:szCs w:val="21"/>
                <w:highlight w:val="none"/>
                <w:lang w:val="en-US" w:eastAsia="zh-CN"/>
              </w:rPr>
              <w:t>15</w:t>
            </w:r>
            <w:r>
              <w:rPr>
                <w:rFonts w:hint="default" w:ascii="Times New Roman" w:hAnsi="Times New Roman" w:cs="Times New Roman"/>
                <w:color w:val="auto"/>
                <w:kern w:val="0"/>
                <w:szCs w:val="21"/>
                <w:highlight w:val="none"/>
              </w:rPr>
              <w:t>人，项目年运行</w:t>
            </w:r>
            <w:r>
              <w:rPr>
                <w:rFonts w:hint="default" w:ascii="Times New Roman" w:hAnsi="Times New Roman" w:cs="Times New Roman"/>
                <w:color w:val="auto"/>
                <w:kern w:val="0"/>
                <w:szCs w:val="21"/>
                <w:highlight w:val="none"/>
                <w:lang w:val="en-US" w:eastAsia="zh-CN"/>
              </w:rPr>
              <w:t>300</w:t>
            </w:r>
            <w:r>
              <w:rPr>
                <w:rFonts w:hint="default" w:ascii="Times New Roman" w:hAnsi="Times New Roman" w:cs="Times New Roman"/>
                <w:color w:val="auto"/>
                <w:kern w:val="0"/>
                <w:szCs w:val="21"/>
                <w:highlight w:val="none"/>
              </w:rPr>
              <w:t>天，白班一班8小时工作制。</w:t>
            </w:r>
          </w:p>
          <w:p w14:paraId="26002A9E">
            <w:pPr>
              <w:spacing w:line="360" w:lineRule="auto"/>
              <w:ind w:firstLine="422" w:firstLineChars="200"/>
              <w:jc w:val="left"/>
              <w:rPr>
                <w:rFonts w:hint="default" w:ascii="Times New Roman" w:hAnsi="Times New Roman" w:cs="Times New Roman"/>
                <w:color w:val="auto"/>
                <w:szCs w:val="21"/>
                <w:highlight w:val="none"/>
              </w:rPr>
            </w:pPr>
            <w:r>
              <w:rPr>
                <w:rFonts w:hint="default" w:ascii="Times New Roman" w:hAnsi="Times New Roman" w:eastAsia="宋体" w:cs="Times New Roman"/>
                <w:b/>
                <w:bCs/>
                <w:color w:val="auto"/>
                <w:szCs w:val="21"/>
                <w:highlight w:val="none"/>
              </w:rPr>
              <w:t>8、生产日期：</w:t>
            </w:r>
            <w:r>
              <w:rPr>
                <w:rFonts w:hint="default" w:ascii="Times New Roman" w:hAnsi="Times New Roman" w:cs="Times New Roman"/>
                <w:color w:val="auto"/>
                <w:kern w:val="0"/>
                <w:szCs w:val="21"/>
                <w:highlight w:val="none"/>
              </w:rPr>
              <w:t>本项目拟于202</w:t>
            </w:r>
            <w:r>
              <w:rPr>
                <w:rFonts w:hint="eastAsia" w:cs="Times New Roman"/>
                <w:color w:val="auto"/>
                <w:kern w:val="0"/>
                <w:szCs w:val="21"/>
                <w:highlight w:val="none"/>
                <w:lang w:val="en-US" w:eastAsia="zh-CN"/>
              </w:rPr>
              <w:t>6</w:t>
            </w:r>
            <w:r>
              <w:rPr>
                <w:rFonts w:hint="default" w:ascii="Times New Roman" w:hAnsi="Times New Roman" w:cs="Times New Roman"/>
                <w:color w:val="auto"/>
                <w:kern w:val="0"/>
                <w:szCs w:val="21"/>
                <w:highlight w:val="none"/>
              </w:rPr>
              <w:t>年</w:t>
            </w:r>
            <w:r>
              <w:rPr>
                <w:rFonts w:hint="eastAsia" w:ascii="Times New Roman" w:hAnsi="Times New Roman" w:cs="Times New Roman"/>
                <w:color w:val="auto"/>
                <w:kern w:val="0"/>
                <w:szCs w:val="21"/>
                <w:highlight w:val="none"/>
                <w:lang w:val="en-US" w:eastAsia="zh-CN"/>
              </w:rPr>
              <w:t>5</w:t>
            </w:r>
            <w:r>
              <w:rPr>
                <w:rFonts w:hint="default" w:ascii="Times New Roman" w:hAnsi="Times New Roman" w:cs="Times New Roman"/>
                <w:color w:val="auto"/>
                <w:kern w:val="0"/>
                <w:szCs w:val="21"/>
                <w:highlight w:val="none"/>
              </w:rPr>
              <w:t>月投产。</w:t>
            </w:r>
          </w:p>
          <w:p w14:paraId="083F7E8D">
            <w:pPr>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9、原辅材料及能源消耗</w:t>
            </w:r>
          </w:p>
          <w:p w14:paraId="14BC937D">
            <w:pPr>
              <w:pStyle w:val="82"/>
              <w:ind w:left="0" w:leftChars="0"/>
              <w:rPr>
                <w:rFonts w:hint="default" w:ascii="Times New Roman" w:hAnsi="Times New Roman" w:cs="Times New Roman"/>
                <w:color w:val="auto"/>
                <w:highlight w:val="none"/>
              </w:rPr>
            </w:pPr>
            <w:r>
              <w:rPr>
                <w:rFonts w:hint="default" w:ascii="Times New Roman" w:hAnsi="Times New Roman" w:cs="Times New Roman"/>
                <w:color w:val="auto"/>
                <w:highlight w:val="none"/>
              </w:rPr>
              <w:t>（1）主要原辅材料及能源消耗用量</w:t>
            </w:r>
          </w:p>
          <w:p w14:paraId="6AC3465F">
            <w:pPr>
              <w:spacing w:line="360" w:lineRule="auto"/>
              <w:ind w:firstLine="420" w:firstLineChars="20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本项目主要原辅材料及能源消耗，具体情况见表2-</w:t>
            </w:r>
            <w:r>
              <w:rPr>
                <w:rFonts w:hint="default" w:ascii="Times New Roman" w:hAnsi="Times New Roman" w:cs="Times New Roman"/>
                <w:snapToGrid w:val="0"/>
                <w:color w:val="auto"/>
                <w:kern w:val="0"/>
                <w:szCs w:val="21"/>
                <w:highlight w:val="none"/>
                <w:lang w:val="en-US" w:eastAsia="zh-CN"/>
              </w:rPr>
              <w:t>3</w:t>
            </w:r>
            <w:r>
              <w:rPr>
                <w:rFonts w:hint="default" w:ascii="Times New Roman" w:hAnsi="Times New Roman" w:cs="Times New Roman"/>
                <w:snapToGrid w:val="0"/>
                <w:color w:val="auto"/>
                <w:kern w:val="0"/>
                <w:szCs w:val="21"/>
                <w:highlight w:val="none"/>
              </w:rPr>
              <w:t>。</w:t>
            </w:r>
          </w:p>
          <w:p w14:paraId="5D7B7FD3">
            <w:pPr>
              <w:pStyle w:val="82"/>
              <w:spacing w:after="0"/>
              <w:ind w:left="0" w:lef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default" w:ascii="Times New Roman" w:hAnsi="Times New Roman" w:eastAsia="宋体"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rPr>
              <w:t>主要原辅料及能源消耗</w:t>
            </w:r>
          </w:p>
          <w:tbl>
            <w:tblPr>
              <w:tblStyle w:val="83"/>
              <w:tblW w:w="4991"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836"/>
              <w:gridCol w:w="1227"/>
              <w:gridCol w:w="1263"/>
              <w:gridCol w:w="3209"/>
            </w:tblGrid>
            <w:tr w14:paraId="2A1F3F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395" w:type="pct"/>
                  <w:noWrap w:val="0"/>
                  <w:vAlign w:val="center"/>
                </w:tcPr>
                <w:p w14:paraId="43689C84">
                  <w:pPr>
                    <w:adjustRightInd w:val="0"/>
                    <w:snapToGrid w:val="0"/>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序号</w:t>
                  </w:r>
                </w:p>
              </w:tc>
              <w:tc>
                <w:tcPr>
                  <w:tcW w:w="1122" w:type="pct"/>
                  <w:noWrap w:val="0"/>
                  <w:vAlign w:val="center"/>
                </w:tcPr>
                <w:p w14:paraId="5E8E7091">
                  <w:pPr>
                    <w:adjustRightInd w:val="0"/>
                    <w:snapToGrid w:val="0"/>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名称</w:t>
                  </w:r>
                </w:p>
              </w:tc>
              <w:tc>
                <w:tcPr>
                  <w:tcW w:w="750" w:type="pct"/>
                  <w:noWrap w:val="0"/>
                  <w:vAlign w:val="center"/>
                </w:tcPr>
                <w:p w14:paraId="122D8C41">
                  <w:pPr>
                    <w:adjustRightInd w:val="0"/>
                    <w:snapToGrid w:val="0"/>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单位</w:t>
                  </w:r>
                </w:p>
              </w:tc>
              <w:tc>
                <w:tcPr>
                  <w:tcW w:w="772" w:type="pct"/>
                  <w:noWrap w:val="0"/>
                  <w:vAlign w:val="center"/>
                </w:tcPr>
                <w:p w14:paraId="5C1A76C5">
                  <w:pPr>
                    <w:adjustRightInd w:val="0"/>
                    <w:snapToGrid w:val="0"/>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项目用量</w:t>
                  </w:r>
                </w:p>
              </w:tc>
              <w:tc>
                <w:tcPr>
                  <w:tcW w:w="1959" w:type="pct"/>
                  <w:noWrap w:val="0"/>
                  <w:vAlign w:val="center"/>
                </w:tcPr>
                <w:p w14:paraId="20D8B826">
                  <w:pPr>
                    <w:adjustRightInd w:val="0"/>
                    <w:snapToGrid w:val="0"/>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备注</w:t>
                  </w:r>
                </w:p>
              </w:tc>
            </w:tr>
            <w:tr w14:paraId="70E00D2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noWrap w:val="0"/>
                  <w:vAlign w:val="center"/>
                </w:tcPr>
                <w:p w14:paraId="3FB5D446">
                  <w:pPr>
                    <w:pStyle w:val="43"/>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
                      <w:bCs w:val="0"/>
                      <w:color w:val="auto"/>
                      <w:sz w:val="18"/>
                      <w:szCs w:val="18"/>
                      <w:highlight w:val="none"/>
                      <w:lang w:val="en-US" w:eastAsia="zh-CN"/>
                    </w:rPr>
                    <w:t>磨边轮</w:t>
                  </w:r>
                  <w:r>
                    <w:rPr>
                      <w:rFonts w:hint="default" w:ascii="Times New Roman" w:hAnsi="Times New Roman" w:eastAsiaTheme="minorEastAsia"/>
                      <w:bCs/>
                      <w:color w:val="auto"/>
                      <w:sz w:val="18"/>
                      <w:szCs w:val="18"/>
                      <w:highlight w:val="none"/>
                      <w:lang w:val="en-US" w:eastAsia="zh-CN"/>
                    </w:rPr>
                    <w:t xml:space="preserve"> </w:t>
                  </w:r>
                </w:p>
              </w:tc>
            </w:tr>
            <w:tr w14:paraId="29A4373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noWrap w:val="0"/>
                  <w:vAlign w:val="center"/>
                </w:tcPr>
                <w:p w14:paraId="4B8483DA">
                  <w:pPr>
                    <w:pStyle w:val="43"/>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color w:val="auto"/>
                      <w:sz w:val="18"/>
                      <w:szCs w:val="18"/>
                      <w:highlight w:val="none"/>
                    </w:rPr>
                    <w:t>1</w:t>
                  </w:r>
                </w:p>
              </w:tc>
              <w:tc>
                <w:tcPr>
                  <w:tcW w:w="1122" w:type="pct"/>
                  <w:shd w:val="clear" w:color="auto" w:fill="auto"/>
                  <w:noWrap w:val="0"/>
                  <w:vAlign w:val="center"/>
                </w:tcPr>
                <w:p w14:paraId="66F14956">
                  <w:pPr>
                    <w:jc w:val="center"/>
                    <w:rPr>
                      <w:rFonts w:hint="default" w:ascii="Times New Roman" w:hAnsi="Times New Roman" w:eastAsia="宋体" w:cs="Times New Roman"/>
                      <w:color w:val="auto"/>
                      <w:kern w:val="2"/>
                      <w:sz w:val="18"/>
                      <w:szCs w:val="21"/>
                      <w:highlight w:val="none"/>
                      <w:lang w:val="en-US" w:eastAsia="zh-CN" w:bidi="ar-SA"/>
                    </w:rPr>
                  </w:pPr>
                  <w:r>
                    <w:rPr>
                      <w:rFonts w:hint="eastAsia" w:ascii="Times New Roman" w:hAnsi="Times New Roman" w:eastAsia="宋体" w:cs="Times New Roman"/>
                      <w:color w:val="auto"/>
                      <w:sz w:val="18"/>
                      <w:szCs w:val="21"/>
                      <w:highlight w:val="none"/>
                    </w:rPr>
                    <w:t>金刚石粉末</w:t>
                  </w:r>
                </w:p>
              </w:tc>
              <w:tc>
                <w:tcPr>
                  <w:tcW w:w="750" w:type="pct"/>
                  <w:noWrap w:val="0"/>
                  <w:vAlign w:val="center"/>
                </w:tcPr>
                <w:p w14:paraId="0241C92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46DBCCB8">
                  <w:pPr>
                    <w:pStyle w:val="950"/>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0.52</w:t>
                  </w:r>
                </w:p>
              </w:tc>
              <w:tc>
                <w:tcPr>
                  <w:tcW w:w="1959" w:type="pct"/>
                  <w:shd w:val="clear" w:color="auto" w:fill="auto"/>
                  <w:noWrap w:val="0"/>
                  <w:vAlign w:val="center"/>
                </w:tcPr>
                <w:p w14:paraId="3A01A7FC">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Theme="minorEastAsia"/>
                      <w:bCs/>
                      <w:color w:val="auto"/>
                      <w:sz w:val="18"/>
                      <w:szCs w:val="18"/>
                      <w:highlight w:val="none"/>
                      <w:lang w:val="en-US" w:eastAsia="zh-CN"/>
                    </w:rPr>
                    <w:t>外购，</w:t>
                  </w:r>
                  <w:r>
                    <w:rPr>
                      <w:rFonts w:hint="eastAsia" w:ascii="Times New Roman" w:hAnsi="Times New Roman" w:eastAsiaTheme="minorEastAsia"/>
                      <w:bCs/>
                      <w:color w:val="auto"/>
                      <w:sz w:val="18"/>
                      <w:szCs w:val="18"/>
                      <w:highlight w:val="none"/>
                      <w:lang w:val="en-US" w:eastAsia="zh-CN"/>
                    </w:rPr>
                    <w:t>5kg/袋</w:t>
                  </w:r>
                  <w:r>
                    <w:rPr>
                      <w:rFonts w:hint="eastAsia" w:ascii="Times New Roman" w:hAnsi="Times New Roman" w:cs="Times New Roman"/>
                      <w:bCs/>
                      <w:color w:val="auto"/>
                      <w:sz w:val="18"/>
                      <w:szCs w:val="18"/>
                      <w:highlight w:val="none"/>
                      <w:lang w:val="en-US" w:eastAsia="zh-CN"/>
                    </w:rPr>
                    <w:t>，粉状</w:t>
                  </w:r>
                </w:p>
              </w:tc>
            </w:tr>
            <w:tr w14:paraId="47CE7A4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noWrap w:val="0"/>
                  <w:vAlign w:val="center"/>
                </w:tcPr>
                <w:p w14:paraId="35EE4ED1">
                  <w:pPr>
                    <w:adjustRightInd w:val="0"/>
                    <w:snapToGrid w:val="0"/>
                    <w:contextualSpacing/>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1122" w:type="pct"/>
                  <w:shd w:val="clear" w:color="auto" w:fill="auto"/>
                  <w:noWrap w:val="0"/>
                  <w:vAlign w:val="center"/>
                </w:tcPr>
                <w:p w14:paraId="51036D0E">
                  <w:pPr>
                    <w:jc w:val="center"/>
                    <w:rPr>
                      <w:rFonts w:hint="default" w:ascii="Times New Roman" w:hAnsi="Times New Roman" w:eastAsia="宋体" w:cs="Times New Roman"/>
                      <w:color w:val="auto"/>
                      <w:kern w:val="2"/>
                      <w:sz w:val="18"/>
                      <w:szCs w:val="21"/>
                      <w:highlight w:val="none"/>
                      <w:lang w:val="en-US" w:eastAsia="zh-CN" w:bidi="ar-SA"/>
                    </w:rPr>
                  </w:pPr>
                  <w:r>
                    <w:rPr>
                      <w:rFonts w:hint="eastAsia" w:ascii="Times New Roman" w:hAnsi="Times New Roman" w:eastAsia="宋体" w:cs="Times New Roman"/>
                      <w:color w:val="auto"/>
                      <w:sz w:val="18"/>
                      <w:szCs w:val="21"/>
                      <w:highlight w:val="none"/>
                    </w:rPr>
                    <w:t>合金粉</w:t>
                  </w:r>
                </w:p>
              </w:tc>
              <w:tc>
                <w:tcPr>
                  <w:tcW w:w="750" w:type="pct"/>
                  <w:noWrap w:val="0"/>
                  <w:vAlign w:val="center"/>
                </w:tcPr>
                <w:p w14:paraId="24E09DD6">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7F0CB416">
                  <w:pPr>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2.02</w:t>
                  </w:r>
                </w:p>
              </w:tc>
              <w:tc>
                <w:tcPr>
                  <w:tcW w:w="1959" w:type="pct"/>
                  <w:shd w:val="clear" w:color="auto" w:fill="auto"/>
                  <w:noWrap w:val="0"/>
                  <w:vAlign w:val="center"/>
                </w:tcPr>
                <w:p w14:paraId="00710969">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2</w:t>
                  </w:r>
                  <w:r>
                    <w:rPr>
                      <w:rFonts w:hint="eastAsia" w:ascii="Times New Roman" w:hAnsi="Times New Roman" w:eastAsiaTheme="minorEastAsia"/>
                      <w:bCs/>
                      <w:color w:val="auto"/>
                      <w:sz w:val="18"/>
                      <w:szCs w:val="18"/>
                      <w:highlight w:val="none"/>
                      <w:lang w:val="en-US" w:eastAsia="zh-CN"/>
                    </w:rPr>
                    <w:t>5kg/</w:t>
                  </w:r>
                  <w:r>
                    <w:rPr>
                      <w:rFonts w:hint="eastAsia" w:eastAsiaTheme="minorEastAsia"/>
                      <w:bCs/>
                      <w:color w:val="auto"/>
                      <w:sz w:val="18"/>
                      <w:szCs w:val="18"/>
                      <w:highlight w:val="none"/>
                      <w:lang w:val="en-US" w:eastAsia="zh-CN"/>
                    </w:rPr>
                    <w:t>桶</w:t>
                  </w:r>
                  <w:r>
                    <w:rPr>
                      <w:rFonts w:hint="eastAsia" w:ascii="Times New Roman" w:hAnsi="Times New Roman" w:cs="Times New Roman"/>
                      <w:bCs/>
                      <w:color w:val="auto"/>
                      <w:sz w:val="18"/>
                      <w:szCs w:val="18"/>
                      <w:highlight w:val="none"/>
                      <w:lang w:val="en-US" w:eastAsia="zh-CN"/>
                    </w:rPr>
                    <w:t>，粉状</w:t>
                  </w:r>
                </w:p>
              </w:tc>
            </w:tr>
            <w:tr w14:paraId="52F829D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noWrap w:val="0"/>
                  <w:vAlign w:val="center"/>
                </w:tcPr>
                <w:p w14:paraId="78D1EFAE">
                  <w:pPr>
                    <w:adjustRightInd w:val="0"/>
                    <w:snapToGrid w:val="0"/>
                    <w:contextualSpacing/>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w:t>
                  </w:r>
                </w:p>
              </w:tc>
              <w:tc>
                <w:tcPr>
                  <w:tcW w:w="1122" w:type="pct"/>
                  <w:shd w:val="clear" w:color="auto" w:fill="auto"/>
                  <w:noWrap w:val="0"/>
                  <w:vAlign w:val="center"/>
                </w:tcPr>
                <w:p w14:paraId="5428EABB">
                  <w:pPr>
                    <w:jc w:val="center"/>
                    <w:rPr>
                      <w:rFonts w:hint="default" w:ascii="Times New Roman" w:hAnsi="Times New Roman" w:eastAsia="宋体" w:cs="Times New Roman"/>
                      <w:color w:val="auto"/>
                      <w:kern w:val="2"/>
                      <w:sz w:val="18"/>
                      <w:szCs w:val="21"/>
                      <w:highlight w:val="none"/>
                      <w:lang w:val="en-US" w:eastAsia="zh-CN" w:bidi="ar-SA"/>
                    </w:rPr>
                  </w:pPr>
                  <w:r>
                    <w:rPr>
                      <w:rFonts w:hint="eastAsia" w:ascii="Times New Roman" w:hAnsi="Times New Roman" w:eastAsia="宋体" w:cs="Times New Roman"/>
                      <w:color w:val="auto"/>
                      <w:sz w:val="18"/>
                      <w:szCs w:val="21"/>
                      <w:highlight w:val="none"/>
                    </w:rPr>
                    <w:t>铁粉</w:t>
                  </w:r>
                </w:p>
              </w:tc>
              <w:tc>
                <w:tcPr>
                  <w:tcW w:w="750" w:type="pct"/>
                  <w:noWrap w:val="0"/>
                  <w:vAlign w:val="center"/>
                </w:tcPr>
                <w:p w14:paraId="32B5E04E">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431B0A08">
                  <w:pPr>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2.02</w:t>
                  </w:r>
                </w:p>
              </w:tc>
              <w:tc>
                <w:tcPr>
                  <w:tcW w:w="1959" w:type="pct"/>
                  <w:shd w:val="clear" w:color="auto" w:fill="auto"/>
                  <w:noWrap w:val="0"/>
                  <w:vAlign w:val="center"/>
                </w:tcPr>
                <w:p w14:paraId="13D6AF42">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30</w:t>
                  </w:r>
                  <w:r>
                    <w:rPr>
                      <w:rFonts w:hint="eastAsia" w:ascii="Times New Roman" w:hAnsi="Times New Roman" w:eastAsiaTheme="minorEastAsia"/>
                      <w:bCs/>
                      <w:color w:val="auto"/>
                      <w:sz w:val="18"/>
                      <w:szCs w:val="18"/>
                      <w:highlight w:val="none"/>
                      <w:lang w:val="en-US" w:eastAsia="zh-CN"/>
                    </w:rPr>
                    <w:t>kg/</w:t>
                  </w:r>
                  <w:r>
                    <w:rPr>
                      <w:rFonts w:hint="eastAsia" w:eastAsiaTheme="minorEastAsia"/>
                      <w:bCs/>
                      <w:color w:val="auto"/>
                      <w:sz w:val="18"/>
                      <w:szCs w:val="18"/>
                      <w:highlight w:val="none"/>
                      <w:lang w:val="en-US" w:eastAsia="zh-CN"/>
                    </w:rPr>
                    <w:t>箱</w:t>
                  </w:r>
                  <w:r>
                    <w:rPr>
                      <w:rFonts w:hint="eastAsia" w:ascii="Times New Roman" w:hAnsi="Times New Roman" w:cs="Times New Roman"/>
                      <w:bCs/>
                      <w:color w:val="auto"/>
                      <w:sz w:val="18"/>
                      <w:szCs w:val="18"/>
                      <w:highlight w:val="none"/>
                      <w:lang w:val="en-US" w:eastAsia="zh-CN"/>
                    </w:rPr>
                    <w:t>，粉状</w:t>
                  </w:r>
                </w:p>
              </w:tc>
            </w:tr>
            <w:tr w14:paraId="21D418D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noWrap w:val="0"/>
                  <w:vAlign w:val="center"/>
                </w:tcPr>
                <w:p w14:paraId="61E9CB3A">
                  <w:pPr>
                    <w:adjustRightInd w:val="0"/>
                    <w:snapToGrid w:val="0"/>
                    <w:contextualSpacing/>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1122" w:type="pct"/>
                  <w:shd w:val="clear" w:color="auto" w:fill="auto"/>
                  <w:noWrap w:val="0"/>
                  <w:vAlign w:val="center"/>
                </w:tcPr>
                <w:p w14:paraId="33AE191E">
                  <w:pPr>
                    <w:pStyle w:val="200"/>
                    <w:spacing w:beforeLines="0" w:afterLines="0" w:line="240" w:lineRule="auto"/>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sz w:val="18"/>
                      <w:szCs w:val="18"/>
                      <w:highlight w:val="none"/>
                    </w:rPr>
                    <w:t>锡粉</w:t>
                  </w:r>
                </w:p>
              </w:tc>
              <w:tc>
                <w:tcPr>
                  <w:tcW w:w="750" w:type="pct"/>
                  <w:noWrap w:val="0"/>
                  <w:vAlign w:val="center"/>
                </w:tcPr>
                <w:p w14:paraId="22DCAA5D">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41A4BBC5">
                  <w:pPr>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0.52</w:t>
                  </w:r>
                </w:p>
              </w:tc>
              <w:tc>
                <w:tcPr>
                  <w:tcW w:w="1959" w:type="pct"/>
                  <w:shd w:val="clear" w:color="auto" w:fill="auto"/>
                  <w:noWrap w:val="0"/>
                  <w:vAlign w:val="center"/>
                </w:tcPr>
                <w:p w14:paraId="6CC88ACD">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2</w:t>
                  </w:r>
                  <w:r>
                    <w:rPr>
                      <w:rFonts w:hint="eastAsia" w:ascii="Times New Roman" w:hAnsi="Times New Roman" w:eastAsiaTheme="minorEastAsia"/>
                      <w:bCs/>
                      <w:color w:val="auto"/>
                      <w:sz w:val="18"/>
                      <w:szCs w:val="18"/>
                      <w:highlight w:val="none"/>
                      <w:lang w:val="en-US" w:eastAsia="zh-CN"/>
                    </w:rPr>
                    <w:t>5kg/</w:t>
                  </w:r>
                  <w:r>
                    <w:rPr>
                      <w:rFonts w:hint="eastAsia" w:eastAsiaTheme="minorEastAsia"/>
                      <w:bCs/>
                      <w:color w:val="auto"/>
                      <w:sz w:val="18"/>
                      <w:szCs w:val="18"/>
                      <w:highlight w:val="none"/>
                      <w:lang w:val="en-US" w:eastAsia="zh-CN"/>
                    </w:rPr>
                    <w:t>桶</w:t>
                  </w:r>
                  <w:r>
                    <w:rPr>
                      <w:rFonts w:hint="eastAsia" w:ascii="Times New Roman" w:hAnsi="Times New Roman" w:cs="Times New Roman"/>
                      <w:bCs/>
                      <w:color w:val="auto"/>
                      <w:sz w:val="18"/>
                      <w:szCs w:val="18"/>
                      <w:highlight w:val="none"/>
                      <w:lang w:val="en-US" w:eastAsia="zh-CN"/>
                    </w:rPr>
                    <w:t>，粉状</w:t>
                  </w:r>
                </w:p>
              </w:tc>
            </w:tr>
            <w:tr w14:paraId="749B5E6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95" w:type="pct"/>
                  <w:shd w:val="clear" w:color="auto" w:fill="auto"/>
                  <w:noWrap w:val="0"/>
                  <w:vAlign w:val="center"/>
                </w:tcPr>
                <w:p w14:paraId="76D31171">
                  <w:pPr>
                    <w:adjustRightInd w:val="0"/>
                    <w:snapToGrid w:val="0"/>
                    <w:contextualSpacing/>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5</w:t>
                  </w:r>
                </w:p>
              </w:tc>
              <w:tc>
                <w:tcPr>
                  <w:tcW w:w="1122" w:type="pct"/>
                  <w:shd w:val="clear" w:color="auto" w:fill="auto"/>
                  <w:noWrap w:val="0"/>
                  <w:vAlign w:val="center"/>
                </w:tcPr>
                <w:p w14:paraId="33D93D70">
                  <w:pPr>
                    <w:tabs>
                      <w:tab w:val="left" w:pos="1680"/>
                    </w:tabs>
                    <w:jc w:val="center"/>
                    <w:rPr>
                      <w:rFonts w:hint="eastAsia" w:ascii="Times New Roman" w:hAnsi="Times New Roman" w:cs="Times New Roman" w:eastAsiaTheme="minorEastAsia"/>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rPr>
                    <w:t>锌粉</w:t>
                  </w:r>
                </w:p>
              </w:tc>
              <w:tc>
                <w:tcPr>
                  <w:tcW w:w="750" w:type="pct"/>
                  <w:shd w:val="clear" w:color="auto" w:fill="auto"/>
                  <w:noWrap w:val="0"/>
                  <w:vAlign w:val="center"/>
                </w:tcPr>
                <w:p w14:paraId="7E814607">
                  <w:pPr>
                    <w:pStyle w:val="950"/>
                    <w:spacing w:after="0"/>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50C20168">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0.52</w:t>
                  </w:r>
                </w:p>
              </w:tc>
              <w:tc>
                <w:tcPr>
                  <w:tcW w:w="1959" w:type="pct"/>
                  <w:shd w:val="clear" w:color="auto" w:fill="auto"/>
                  <w:noWrap w:val="0"/>
                  <w:vAlign w:val="center"/>
                </w:tcPr>
                <w:p w14:paraId="5D1D9C35">
                  <w:pPr>
                    <w:adjustRightInd w:val="0"/>
                    <w:snapToGrid w:val="0"/>
                    <w:jc w:val="center"/>
                    <w:rPr>
                      <w:rFonts w:hint="default" w:ascii="Times New Roman" w:hAnsi="Times New Roman" w:cs="Times New Roman"/>
                      <w:color w:val="auto"/>
                      <w:spacing w:val="-2"/>
                      <w:kern w:val="0"/>
                      <w:sz w:val="18"/>
                      <w:szCs w:val="18"/>
                      <w:highlight w:val="none"/>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2</w:t>
                  </w:r>
                  <w:r>
                    <w:rPr>
                      <w:rFonts w:hint="eastAsia" w:ascii="Times New Roman" w:hAnsi="Times New Roman" w:eastAsiaTheme="minorEastAsia"/>
                      <w:bCs/>
                      <w:color w:val="auto"/>
                      <w:sz w:val="18"/>
                      <w:szCs w:val="18"/>
                      <w:highlight w:val="none"/>
                      <w:lang w:val="en-US" w:eastAsia="zh-CN"/>
                    </w:rPr>
                    <w:t>5kg/</w:t>
                  </w:r>
                  <w:r>
                    <w:rPr>
                      <w:rFonts w:hint="eastAsia" w:eastAsiaTheme="minorEastAsia"/>
                      <w:bCs/>
                      <w:color w:val="auto"/>
                      <w:sz w:val="18"/>
                      <w:szCs w:val="18"/>
                      <w:highlight w:val="none"/>
                      <w:lang w:val="en-US" w:eastAsia="zh-CN"/>
                    </w:rPr>
                    <w:t>桶</w:t>
                  </w:r>
                  <w:r>
                    <w:rPr>
                      <w:rFonts w:hint="eastAsia" w:ascii="Times New Roman" w:hAnsi="Times New Roman" w:cs="Times New Roman"/>
                      <w:bCs/>
                      <w:color w:val="auto"/>
                      <w:sz w:val="18"/>
                      <w:szCs w:val="18"/>
                      <w:highlight w:val="none"/>
                      <w:lang w:val="en-US" w:eastAsia="zh-CN"/>
                    </w:rPr>
                    <w:t>，粉状</w:t>
                  </w:r>
                </w:p>
              </w:tc>
            </w:tr>
            <w:tr w14:paraId="43B3809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95" w:type="pct"/>
                  <w:shd w:val="clear" w:color="auto" w:fill="auto"/>
                  <w:noWrap w:val="0"/>
                  <w:vAlign w:val="center"/>
                </w:tcPr>
                <w:p w14:paraId="338E3116">
                  <w:pPr>
                    <w:adjustRightInd w:val="0"/>
                    <w:snapToGrid w:val="0"/>
                    <w:contextualSpacing/>
                    <w:jc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6</w:t>
                  </w:r>
                </w:p>
              </w:tc>
              <w:tc>
                <w:tcPr>
                  <w:tcW w:w="1122" w:type="pct"/>
                  <w:shd w:val="clear" w:color="auto" w:fill="auto"/>
                  <w:noWrap w:val="0"/>
                  <w:vAlign w:val="center"/>
                </w:tcPr>
                <w:p w14:paraId="03DC1214">
                  <w:pPr>
                    <w:tabs>
                      <w:tab w:val="left" w:pos="1680"/>
                    </w:tabs>
                    <w:jc w:val="center"/>
                    <w:rPr>
                      <w:rFonts w:hint="eastAsia" w:ascii="Times New Roman" w:hAnsi="Times New Roman" w:cs="Times New Roman" w:eastAsiaTheme="minorEastAsia"/>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rPr>
                    <w:t>钢板</w:t>
                  </w:r>
                </w:p>
              </w:tc>
              <w:tc>
                <w:tcPr>
                  <w:tcW w:w="750" w:type="pct"/>
                  <w:shd w:val="clear" w:color="auto" w:fill="auto"/>
                  <w:noWrap w:val="0"/>
                  <w:vAlign w:val="center"/>
                </w:tcPr>
                <w:p w14:paraId="3A091571">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2094A71C">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16.5</w:t>
                  </w:r>
                </w:p>
              </w:tc>
              <w:tc>
                <w:tcPr>
                  <w:tcW w:w="1959" w:type="pct"/>
                  <w:shd w:val="clear" w:color="auto" w:fill="auto"/>
                  <w:noWrap w:val="0"/>
                  <w:vAlign w:val="center"/>
                </w:tcPr>
                <w:p w14:paraId="6CA3078A">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eastAsia" w:eastAsiaTheme="minorEastAsia"/>
                      <w:bCs/>
                      <w:color w:val="auto"/>
                      <w:sz w:val="18"/>
                      <w:szCs w:val="18"/>
                      <w:highlight w:val="none"/>
                      <w:lang w:val="en-US" w:eastAsia="zh-CN"/>
                    </w:rPr>
                    <w:t>外购</w:t>
                  </w:r>
                </w:p>
              </w:tc>
            </w:tr>
            <w:tr w14:paraId="1511043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395" w:type="pct"/>
                  <w:shd w:val="clear" w:color="auto" w:fill="auto"/>
                  <w:noWrap w:val="0"/>
                  <w:vAlign w:val="center"/>
                </w:tcPr>
                <w:p w14:paraId="4D9652FD">
                  <w:pPr>
                    <w:adjustRightInd w:val="0"/>
                    <w:snapToGrid w:val="0"/>
                    <w:contextualSpacing/>
                    <w:jc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w:t>
                  </w:r>
                </w:p>
              </w:tc>
              <w:tc>
                <w:tcPr>
                  <w:tcW w:w="1122" w:type="pct"/>
                  <w:shd w:val="clear" w:color="auto" w:fill="auto"/>
                  <w:noWrap w:val="0"/>
                  <w:vAlign w:val="center"/>
                </w:tcPr>
                <w:p w14:paraId="10E532ED">
                  <w:pPr>
                    <w:tabs>
                      <w:tab w:val="left" w:pos="1680"/>
                    </w:tabs>
                    <w:jc w:val="center"/>
                    <w:rPr>
                      <w:rFonts w:hint="eastAsia" w:ascii="Times New Roman" w:hAnsi="Times New Roman" w:cs="Times New Roman" w:eastAsiaTheme="minorEastAsia"/>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焊条</w:t>
                  </w:r>
                </w:p>
              </w:tc>
              <w:tc>
                <w:tcPr>
                  <w:tcW w:w="750" w:type="pct"/>
                  <w:shd w:val="clear" w:color="auto" w:fill="auto"/>
                  <w:noWrap w:val="0"/>
                  <w:vAlign w:val="center"/>
                </w:tcPr>
                <w:p w14:paraId="41435B8D">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109327B6">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0.5</w:t>
                  </w:r>
                </w:p>
              </w:tc>
              <w:tc>
                <w:tcPr>
                  <w:tcW w:w="1959" w:type="pct"/>
                  <w:shd w:val="clear" w:color="auto" w:fill="auto"/>
                  <w:noWrap w:val="0"/>
                  <w:vAlign w:val="center"/>
                </w:tcPr>
                <w:p w14:paraId="744EEBE6">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1</w:t>
                  </w:r>
                  <w:r>
                    <w:rPr>
                      <w:rFonts w:hint="eastAsia" w:ascii="Times New Roman" w:hAnsi="Times New Roman" w:eastAsiaTheme="minorEastAsia"/>
                      <w:bCs/>
                      <w:color w:val="auto"/>
                      <w:sz w:val="18"/>
                      <w:szCs w:val="18"/>
                      <w:highlight w:val="none"/>
                      <w:lang w:val="en-US" w:eastAsia="zh-CN"/>
                    </w:rPr>
                    <w:t>kg/袋</w:t>
                  </w:r>
                </w:p>
              </w:tc>
            </w:tr>
            <w:tr w14:paraId="0953A26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395" w:type="pct"/>
                  <w:shd w:val="clear" w:color="auto" w:fill="auto"/>
                  <w:noWrap w:val="0"/>
                  <w:vAlign w:val="center"/>
                </w:tcPr>
                <w:p w14:paraId="3673BCDA">
                  <w:pPr>
                    <w:adjustRightInd w:val="0"/>
                    <w:snapToGrid w:val="0"/>
                    <w:contextualSpacing/>
                    <w:jc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w:t>
                  </w:r>
                </w:p>
              </w:tc>
              <w:tc>
                <w:tcPr>
                  <w:tcW w:w="1122" w:type="pct"/>
                  <w:shd w:val="clear" w:color="auto" w:fill="auto"/>
                  <w:noWrap w:val="0"/>
                  <w:vAlign w:val="center"/>
                </w:tcPr>
                <w:p w14:paraId="165A128F">
                  <w:pPr>
                    <w:tabs>
                      <w:tab w:val="left" w:pos="1680"/>
                    </w:tabs>
                    <w:jc w:val="center"/>
                    <w:rPr>
                      <w:rFonts w:hint="eastAsia" w:ascii="Times New Roman" w:hAnsi="Times New Roman" w:cs="Times New Roman" w:eastAsiaTheme="minorEastAsia"/>
                      <w:bCs/>
                      <w:color w:val="auto"/>
                      <w:kern w:val="2"/>
                      <w:sz w:val="18"/>
                      <w:szCs w:val="18"/>
                      <w:highlight w:val="none"/>
                      <w:lang w:val="en-US" w:eastAsia="zh-CN" w:bidi="ar-SA"/>
                    </w:rPr>
                  </w:pPr>
                  <w:r>
                    <w:rPr>
                      <w:rFonts w:ascii="Times New Roman" w:hAnsi="Times New Roman" w:cs="Times New Roman"/>
                      <w:bCs/>
                      <w:color w:val="auto"/>
                      <w:sz w:val="18"/>
                      <w:szCs w:val="18"/>
                      <w:highlight w:val="none"/>
                    </w:rPr>
                    <w:t>砂轮</w:t>
                  </w:r>
                </w:p>
              </w:tc>
              <w:tc>
                <w:tcPr>
                  <w:tcW w:w="750" w:type="pct"/>
                  <w:shd w:val="clear" w:color="auto" w:fill="auto"/>
                  <w:noWrap w:val="0"/>
                  <w:vAlign w:val="center"/>
                </w:tcPr>
                <w:p w14:paraId="4834C3B8">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514F7503">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0.5</w:t>
                  </w:r>
                </w:p>
              </w:tc>
              <w:tc>
                <w:tcPr>
                  <w:tcW w:w="1959" w:type="pct"/>
                  <w:shd w:val="clear" w:color="auto" w:fill="auto"/>
                  <w:noWrap w:val="0"/>
                  <w:vAlign w:val="center"/>
                </w:tcPr>
                <w:p w14:paraId="5DA13891">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eastAsia" w:eastAsiaTheme="minorEastAsia"/>
                      <w:bCs/>
                      <w:color w:val="auto"/>
                      <w:sz w:val="18"/>
                      <w:szCs w:val="18"/>
                      <w:highlight w:val="none"/>
                      <w:lang w:val="en-US" w:eastAsia="zh-CN"/>
                    </w:rPr>
                    <w:t>外购</w:t>
                  </w:r>
                </w:p>
              </w:tc>
            </w:tr>
            <w:tr w14:paraId="26C1BB5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395" w:type="pct"/>
                  <w:shd w:val="clear" w:color="auto" w:fill="auto"/>
                  <w:noWrap w:val="0"/>
                  <w:vAlign w:val="center"/>
                </w:tcPr>
                <w:p w14:paraId="33472DB0">
                  <w:pPr>
                    <w:adjustRightInd w:val="0"/>
                    <w:snapToGrid w:val="0"/>
                    <w:contextualSpacing/>
                    <w:jc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w:t>
                  </w:r>
                </w:p>
              </w:tc>
              <w:tc>
                <w:tcPr>
                  <w:tcW w:w="1122" w:type="pct"/>
                  <w:shd w:val="clear" w:color="auto" w:fill="auto"/>
                  <w:noWrap w:val="0"/>
                  <w:vAlign w:val="center"/>
                </w:tcPr>
                <w:p w14:paraId="260BBEF8">
                  <w:pPr>
                    <w:tabs>
                      <w:tab w:val="left" w:pos="1680"/>
                    </w:tabs>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钢砂</w:t>
                  </w:r>
                </w:p>
              </w:tc>
              <w:tc>
                <w:tcPr>
                  <w:tcW w:w="750" w:type="pct"/>
                  <w:shd w:val="clear" w:color="auto" w:fill="auto"/>
                  <w:noWrap w:val="0"/>
                  <w:vAlign w:val="center"/>
                </w:tcPr>
                <w:p w14:paraId="2CBF584C">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28F803C1">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1</w:t>
                  </w:r>
                </w:p>
              </w:tc>
              <w:tc>
                <w:tcPr>
                  <w:tcW w:w="1959" w:type="pct"/>
                  <w:shd w:val="clear" w:color="auto" w:fill="auto"/>
                  <w:noWrap w:val="0"/>
                  <w:vAlign w:val="center"/>
                </w:tcPr>
                <w:p w14:paraId="56D0D02D">
                  <w:pPr>
                    <w:adjustRightInd w:val="0"/>
                    <w:snapToGrid w:val="0"/>
                    <w:jc w:val="center"/>
                    <w:rPr>
                      <w:rFonts w:hint="eastAsia" w:eastAsiaTheme="minorEastAsia"/>
                      <w:bCs/>
                      <w:color w:val="auto"/>
                      <w:sz w:val="18"/>
                      <w:szCs w:val="18"/>
                      <w:highlight w:val="none"/>
                      <w:lang w:val="en-US" w:eastAsia="zh-CN"/>
                    </w:rPr>
                  </w:pPr>
                  <w:r>
                    <w:rPr>
                      <w:rFonts w:hint="eastAsia" w:eastAsiaTheme="minorEastAsia"/>
                      <w:bCs/>
                      <w:color w:val="auto"/>
                      <w:sz w:val="18"/>
                      <w:szCs w:val="18"/>
                      <w:highlight w:val="none"/>
                      <w:lang w:val="en-US" w:eastAsia="zh-CN"/>
                    </w:rPr>
                    <w:t>外购</w:t>
                  </w:r>
                </w:p>
              </w:tc>
            </w:tr>
            <w:tr w14:paraId="575E9A8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395" w:type="pct"/>
                  <w:shd w:val="clear" w:color="auto" w:fill="auto"/>
                  <w:noWrap w:val="0"/>
                  <w:vAlign w:val="center"/>
                </w:tcPr>
                <w:p w14:paraId="486118A7">
                  <w:pPr>
                    <w:adjustRightInd w:val="0"/>
                    <w:snapToGrid w:val="0"/>
                    <w:contextualSpacing/>
                    <w:jc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w:t>
                  </w:r>
                </w:p>
              </w:tc>
              <w:tc>
                <w:tcPr>
                  <w:tcW w:w="1122" w:type="pct"/>
                  <w:shd w:val="clear" w:color="auto" w:fill="auto"/>
                  <w:noWrap w:val="0"/>
                  <w:vAlign w:val="center"/>
                </w:tcPr>
                <w:p w14:paraId="2001EC3C">
                  <w:pPr>
                    <w:tabs>
                      <w:tab w:val="left" w:pos="1680"/>
                    </w:tabs>
                    <w:jc w:val="center"/>
                    <w:rPr>
                      <w:rFonts w:hint="eastAsia"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包装箱</w:t>
                  </w:r>
                </w:p>
              </w:tc>
              <w:tc>
                <w:tcPr>
                  <w:tcW w:w="750" w:type="pct"/>
                  <w:shd w:val="clear" w:color="auto" w:fill="auto"/>
                  <w:noWrap w:val="0"/>
                  <w:vAlign w:val="center"/>
                </w:tcPr>
                <w:p w14:paraId="17B9B149">
                  <w:pPr>
                    <w:spacing w:after="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24EAB794">
                  <w:pPr>
                    <w:pStyle w:val="950"/>
                    <w:spacing w:after="0"/>
                    <w:jc w:val="center"/>
                    <w:rPr>
                      <w:rFonts w:hint="eastAsia" w:ascii="Times New Roman" w:hAnsi="Times New Roman" w:eastAsia="宋体" w:cs="Times New Roman"/>
                      <w:bCs/>
                      <w:color w:val="auto"/>
                      <w:kern w:val="0"/>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0.5</w:t>
                  </w:r>
                </w:p>
              </w:tc>
              <w:tc>
                <w:tcPr>
                  <w:tcW w:w="1959" w:type="pct"/>
                  <w:shd w:val="clear" w:color="auto" w:fill="auto"/>
                  <w:noWrap w:val="0"/>
                  <w:vAlign w:val="center"/>
                </w:tcPr>
                <w:p w14:paraId="5E081983">
                  <w:pPr>
                    <w:adjustRightInd w:val="0"/>
                    <w:snapToGrid w:val="0"/>
                    <w:jc w:val="center"/>
                    <w:rPr>
                      <w:rFonts w:hint="eastAsia" w:ascii="Times New Roman" w:hAnsi="Times New Roman" w:cs="Times New Roman" w:eastAsiaTheme="minorEastAsia"/>
                      <w:bCs/>
                      <w:color w:val="auto"/>
                      <w:kern w:val="2"/>
                      <w:sz w:val="18"/>
                      <w:szCs w:val="18"/>
                      <w:highlight w:val="none"/>
                      <w:lang w:val="en-US" w:eastAsia="zh-CN" w:bidi="ar-SA"/>
                    </w:rPr>
                  </w:pPr>
                  <w:r>
                    <w:rPr>
                      <w:rFonts w:hint="eastAsia" w:eastAsiaTheme="minorEastAsia"/>
                      <w:bCs/>
                      <w:color w:val="auto"/>
                      <w:sz w:val="18"/>
                      <w:szCs w:val="18"/>
                      <w:highlight w:val="none"/>
                      <w:lang w:val="en-US" w:eastAsia="zh-CN"/>
                    </w:rPr>
                    <w:t>外购</w:t>
                  </w:r>
                </w:p>
              </w:tc>
            </w:tr>
            <w:tr w14:paraId="565AEA5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5000" w:type="pct"/>
                  <w:gridSpan w:val="5"/>
                  <w:shd w:val="clear" w:color="auto" w:fill="auto"/>
                  <w:noWrap w:val="0"/>
                  <w:vAlign w:val="center"/>
                </w:tcPr>
                <w:p w14:paraId="23CFEE8E">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eastAsia" w:eastAsiaTheme="minorEastAsia"/>
                      <w:b/>
                      <w:bCs w:val="0"/>
                      <w:color w:val="auto"/>
                      <w:sz w:val="18"/>
                      <w:szCs w:val="18"/>
                      <w:highlight w:val="none"/>
                      <w:lang w:val="en-US" w:eastAsia="zh-CN"/>
                    </w:rPr>
                    <w:t>弹性磨块</w:t>
                  </w:r>
                </w:p>
              </w:tc>
            </w:tr>
            <w:tr w14:paraId="11DB673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5" w:type="pct"/>
                  <w:shd w:val="clear" w:color="auto" w:fill="auto"/>
                  <w:noWrap w:val="0"/>
                  <w:vAlign w:val="center"/>
                </w:tcPr>
                <w:p w14:paraId="3E6595B7">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11</w:t>
                  </w:r>
                </w:p>
              </w:tc>
              <w:tc>
                <w:tcPr>
                  <w:tcW w:w="1122" w:type="pct"/>
                  <w:shd w:val="clear" w:color="auto" w:fill="auto"/>
                  <w:noWrap w:val="0"/>
                  <w:vAlign w:val="center"/>
                </w:tcPr>
                <w:p w14:paraId="1623FEEF">
                  <w:pPr>
                    <w:spacing w:after="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rPr>
                    <w:t>金刚石粉末</w:t>
                  </w:r>
                </w:p>
              </w:tc>
              <w:tc>
                <w:tcPr>
                  <w:tcW w:w="750" w:type="pct"/>
                  <w:shd w:val="clear" w:color="auto" w:fill="auto"/>
                  <w:noWrap w:val="0"/>
                  <w:vAlign w:val="center"/>
                </w:tcPr>
                <w:p w14:paraId="67529A05">
                  <w:pPr>
                    <w:pStyle w:val="950"/>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6477D343">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0.52</w:t>
                  </w:r>
                </w:p>
              </w:tc>
              <w:tc>
                <w:tcPr>
                  <w:tcW w:w="1959" w:type="pct"/>
                  <w:shd w:val="clear" w:color="auto" w:fill="auto"/>
                  <w:noWrap w:val="0"/>
                  <w:vAlign w:val="center"/>
                </w:tcPr>
                <w:p w14:paraId="79274E43">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ascii="Times New Roman" w:hAnsi="Times New Roman" w:eastAsiaTheme="minorEastAsia"/>
                      <w:bCs/>
                      <w:color w:val="auto"/>
                      <w:sz w:val="18"/>
                      <w:szCs w:val="18"/>
                      <w:highlight w:val="none"/>
                      <w:lang w:val="en-US" w:eastAsia="zh-CN"/>
                    </w:rPr>
                    <w:t>5kg/袋</w:t>
                  </w:r>
                  <w:r>
                    <w:rPr>
                      <w:rFonts w:hint="eastAsia" w:ascii="Times New Roman" w:hAnsi="Times New Roman" w:cs="Times New Roman"/>
                      <w:bCs/>
                      <w:color w:val="auto"/>
                      <w:sz w:val="18"/>
                      <w:szCs w:val="18"/>
                      <w:highlight w:val="none"/>
                      <w:lang w:val="en-US" w:eastAsia="zh-CN"/>
                    </w:rPr>
                    <w:t>，粉状</w:t>
                  </w:r>
                </w:p>
              </w:tc>
            </w:tr>
            <w:tr w14:paraId="642BF2C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95" w:type="pct"/>
                  <w:shd w:val="clear" w:color="auto" w:fill="auto"/>
                  <w:noWrap w:val="0"/>
                  <w:vAlign w:val="center"/>
                </w:tcPr>
                <w:p w14:paraId="08C31638">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12</w:t>
                  </w:r>
                </w:p>
              </w:tc>
              <w:tc>
                <w:tcPr>
                  <w:tcW w:w="1122" w:type="pct"/>
                  <w:shd w:val="clear" w:color="auto" w:fill="auto"/>
                  <w:noWrap w:val="0"/>
                  <w:vAlign w:val="center"/>
                </w:tcPr>
                <w:p w14:paraId="4C0415B7">
                  <w:pPr>
                    <w:spacing w:after="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rPr>
                    <w:t>白刚玉</w:t>
                  </w:r>
                </w:p>
              </w:tc>
              <w:tc>
                <w:tcPr>
                  <w:tcW w:w="750" w:type="pct"/>
                  <w:shd w:val="clear" w:color="auto" w:fill="auto"/>
                  <w:noWrap w:val="0"/>
                  <w:vAlign w:val="center"/>
                </w:tcPr>
                <w:p w14:paraId="2E5043E0">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740E2AC1">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1.03</w:t>
                  </w:r>
                </w:p>
              </w:tc>
              <w:tc>
                <w:tcPr>
                  <w:tcW w:w="1959" w:type="pct"/>
                  <w:shd w:val="clear" w:color="auto" w:fill="auto"/>
                  <w:noWrap w:val="0"/>
                  <w:vAlign w:val="center"/>
                </w:tcPr>
                <w:p w14:paraId="655F0111">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2</w:t>
                  </w:r>
                  <w:r>
                    <w:rPr>
                      <w:rFonts w:hint="eastAsia" w:ascii="Times New Roman" w:hAnsi="Times New Roman" w:eastAsiaTheme="minorEastAsia"/>
                      <w:bCs/>
                      <w:color w:val="auto"/>
                      <w:sz w:val="18"/>
                      <w:szCs w:val="18"/>
                      <w:highlight w:val="none"/>
                      <w:lang w:val="en-US" w:eastAsia="zh-CN"/>
                    </w:rPr>
                    <w:t>5kg/袋</w:t>
                  </w:r>
                  <w:r>
                    <w:rPr>
                      <w:rFonts w:hint="eastAsia" w:ascii="Times New Roman" w:hAnsi="Times New Roman" w:cs="Times New Roman"/>
                      <w:bCs/>
                      <w:color w:val="auto"/>
                      <w:sz w:val="18"/>
                      <w:szCs w:val="18"/>
                      <w:highlight w:val="none"/>
                      <w:lang w:val="en-US" w:eastAsia="zh-CN"/>
                    </w:rPr>
                    <w:t>，粉状</w:t>
                  </w:r>
                </w:p>
              </w:tc>
            </w:tr>
            <w:tr w14:paraId="29685D0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395" w:type="pct"/>
                  <w:shd w:val="clear" w:color="auto" w:fill="auto"/>
                  <w:noWrap w:val="0"/>
                  <w:vAlign w:val="center"/>
                </w:tcPr>
                <w:p w14:paraId="779E7700">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13</w:t>
                  </w:r>
                </w:p>
              </w:tc>
              <w:tc>
                <w:tcPr>
                  <w:tcW w:w="1122" w:type="pct"/>
                  <w:shd w:val="clear" w:color="auto" w:fill="auto"/>
                  <w:noWrap w:val="0"/>
                  <w:vAlign w:val="center"/>
                </w:tcPr>
                <w:p w14:paraId="05A667FF">
                  <w:pPr>
                    <w:spacing w:after="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rPr>
                    <w:t>碳化硅</w:t>
                  </w:r>
                </w:p>
              </w:tc>
              <w:tc>
                <w:tcPr>
                  <w:tcW w:w="750" w:type="pct"/>
                  <w:shd w:val="clear" w:color="auto" w:fill="auto"/>
                  <w:noWrap w:val="0"/>
                  <w:vAlign w:val="center"/>
                </w:tcPr>
                <w:p w14:paraId="17F9FDB1">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6FA7E632">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3.05</w:t>
                  </w:r>
                </w:p>
              </w:tc>
              <w:tc>
                <w:tcPr>
                  <w:tcW w:w="1959" w:type="pct"/>
                  <w:shd w:val="clear" w:color="auto" w:fill="auto"/>
                  <w:noWrap w:val="0"/>
                  <w:vAlign w:val="center"/>
                </w:tcPr>
                <w:p w14:paraId="598EC9C0">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2</w:t>
                  </w:r>
                  <w:r>
                    <w:rPr>
                      <w:rFonts w:hint="eastAsia" w:ascii="Times New Roman" w:hAnsi="Times New Roman" w:eastAsiaTheme="minorEastAsia"/>
                      <w:bCs/>
                      <w:color w:val="auto"/>
                      <w:sz w:val="18"/>
                      <w:szCs w:val="18"/>
                      <w:highlight w:val="none"/>
                      <w:lang w:val="en-US" w:eastAsia="zh-CN"/>
                    </w:rPr>
                    <w:t>5kg/袋</w:t>
                  </w:r>
                  <w:r>
                    <w:rPr>
                      <w:rFonts w:hint="eastAsia" w:ascii="Times New Roman" w:hAnsi="Times New Roman" w:cs="Times New Roman"/>
                      <w:bCs/>
                      <w:color w:val="auto"/>
                      <w:sz w:val="18"/>
                      <w:szCs w:val="18"/>
                      <w:highlight w:val="none"/>
                      <w:lang w:val="en-US" w:eastAsia="zh-CN"/>
                    </w:rPr>
                    <w:t>，粉状</w:t>
                  </w:r>
                </w:p>
              </w:tc>
            </w:tr>
            <w:tr w14:paraId="654613D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395" w:type="pct"/>
                  <w:shd w:val="clear" w:color="auto" w:fill="auto"/>
                  <w:noWrap w:val="0"/>
                  <w:vAlign w:val="center"/>
                </w:tcPr>
                <w:p w14:paraId="387515D6">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14</w:t>
                  </w:r>
                </w:p>
              </w:tc>
              <w:tc>
                <w:tcPr>
                  <w:tcW w:w="1122" w:type="pct"/>
                  <w:shd w:val="clear" w:color="auto" w:fill="auto"/>
                  <w:noWrap w:val="0"/>
                  <w:vAlign w:val="center"/>
                </w:tcPr>
                <w:p w14:paraId="04C2490B">
                  <w:pPr>
                    <w:spacing w:after="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rPr>
                    <w:t>塑料卡板</w:t>
                  </w:r>
                </w:p>
              </w:tc>
              <w:tc>
                <w:tcPr>
                  <w:tcW w:w="750" w:type="pct"/>
                  <w:shd w:val="clear" w:color="auto" w:fill="auto"/>
                  <w:noWrap w:val="0"/>
                  <w:vAlign w:val="center"/>
                </w:tcPr>
                <w:p w14:paraId="6687EC7D">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37459818">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2</w:t>
                  </w:r>
                </w:p>
              </w:tc>
              <w:tc>
                <w:tcPr>
                  <w:tcW w:w="1959" w:type="pct"/>
                  <w:shd w:val="clear" w:color="auto" w:fill="auto"/>
                  <w:noWrap w:val="0"/>
                  <w:vAlign w:val="center"/>
                </w:tcPr>
                <w:p w14:paraId="3B0763C1">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1</w:t>
                  </w:r>
                  <w:r>
                    <w:rPr>
                      <w:rFonts w:hint="eastAsia" w:ascii="Times New Roman" w:hAnsi="Times New Roman" w:eastAsiaTheme="minorEastAsia"/>
                      <w:bCs/>
                      <w:color w:val="auto"/>
                      <w:sz w:val="18"/>
                      <w:szCs w:val="18"/>
                      <w:highlight w:val="none"/>
                      <w:lang w:val="en-US" w:eastAsia="zh-CN"/>
                    </w:rPr>
                    <w:t>5kg/袋</w:t>
                  </w:r>
                </w:p>
              </w:tc>
            </w:tr>
            <w:tr w14:paraId="5AF3D02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95" w:type="pct"/>
                  <w:shd w:val="clear" w:color="auto" w:fill="auto"/>
                  <w:noWrap w:val="0"/>
                  <w:vAlign w:val="center"/>
                </w:tcPr>
                <w:p w14:paraId="4CD8A0F4">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15</w:t>
                  </w:r>
                </w:p>
              </w:tc>
              <w:tc>
                <w:tcPr>
                  <w:tcW w:w="1122" w:type="pct"/>
                  <w:shd w:val="clear" w:color="auto" w:fill="auto"/>
                  <w:noWrap w:val="0"/>
                  <w:vAlign w:val="center"/>
                </w:tcPr>
                <w:p w14:paraId="3087A756">
                  <w:pPr>
                    <w:spacing w:after="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rPr>
                    <w:t>橡胶皮</w:t>
                  </w:r>
                </w:p>
              </w:tc>
              <w:tc>
                <w:tcPr>
                  <w:tcW w:w="750" w:type="pct"/>
                  <w:shd w:val="clear" w:color="auto" w:fill="auto"/>
                  <w:noWrap w:val="0"/>
                  <w:vAlign w:val="center"/>
                </w:tcPr>
                <w:p w14:paraId="40CA05F3">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4C2F9581">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3</w:t>
                  </w:r>
                </w:p>
              </w:tc>
              <w:tc>
                <w:tcPr>
                  <w:tcW w:w="1959" w:type="pct"/>
                  <w:shd w:val="clear" w:color="auto" w:fill="auto"/>
                  <w:noWrap w:val="0"/>
                  <w:vAlign w:val="center"/>
                </w:tcPr>
                <w:p w14:paraId="3C66F44E">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2</w:t>
                  </w:r>
                  <w:r>
                    <w:rPr>
                      <w:rFonts w:hint="eastAsia" w:ascii="Times New Roman" w:hAnsi="Times New Roman" w:eastAsiaTheme="minorEastAsia"/>
                      <w:bCs/>
                      <w:color w:val="auto"/>
                      <w:sz w:val="18"/>
                      <w:szCs w:val="18"/>
                      <w:highlight w:val="none"/>
                      <w:lang w:val="en-US" w:eastAsia="zh-CN"/>
                    </w:rPr>
                    <w:t>5kg/袋</w:t>
                  </w:r>
                </w:p>
              </w:tc>
            </w:tr>
            <w:tr w14:paraId="4D7852C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5" w:type="pct"/>
                  <w:shd w:val="clear" w:color="auto" w:fill="auto"/>
                  <w:noWrap w:val="0"/>
                  <w:vAlign w:val="center"/>
                </w:tcPr>
                <w:p w14:paraId="235A8177">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16</w:t>
                  </w:r>
                </w:p>
              </w:tc>
              <w:tc>
                <w:tcPr>
                  <w:tcW w:w="1122" w:type="pct"/>
                  <w:shd w:val="clear" w:color="auto" w:fill="auto"/>
                  <w:noWrap w:val="0"/>
                  <w:vAlign w:val="center"/>
                </w:tcPr>
                <w:p w14:paraId="69753BD5">
                  <w:pPr>
                    <w:spacing w:after="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rPr>
                    <w:t>胶水</w:t>
                  </w:r>
                </w:p>
              </w:tc>
              <w:tc>
                <w:tcPr>
                  <w:tcW w:w="750" w:type="pct"/>
                  <w:shd w:val="clear" w:color="auto" w:fill="auto"/>
                  <w:noWrap w:val="0"/>
                  <w:vAlign w:val="center"/>
                </w:tcPr>
                <w:p w14:paraId="0F6872F5">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6512FBEC">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0.5</w:t>
                  </w:r>
                </w:p>
              </w:tc>
              <w:tc>
                <w:tcPr>
                  <w:tcW w:w="1959" w:type="pct"/>
                  <w:shd w:val="clear" w:color="auto" w:fill="auto"/>
                  <w:noWrap w:val="0"/>
                  <w:vAlign w:val="center"/>
                </w:tcPr>
                <w:p w14:paraId="1E89E419">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2</w:t>
                  </w:r>
                  <w:r>
                    <w:rPr>
                      <w:rFonts w:hint="eastAsia" w:ascii="Times New Roman" w:hAnsi="Times New Roman" w:eastAsiaTheme="minorEastAsia"/>
                      <w:bCs/>
                      <w:color w:val="auto"/>
                      <w:sz w:val="18"/>
                      <w:szCs w:val="18"/>
                      <w:highlight w:val="none"/>
                      <w:lang w:val="en-US" w:eastAsia="zh-CN"/>
                    </w:rPr>
                    <w:t>5kg/</w:t>
                  </w:r>
                  <w:r>
                    <w:rPr>
                      <w:rFonts w:hint="eastAsia" w:eastAsiaTheme="minorEastAsia"/>
                      <w:bCs/>
                      <w:color w:val="auto"/>
                      <w:sz w:val="18"/>
                      <w:szCs w:val="18"/>
                      <w:highlight w:val="none"/>
                      <w:lang w:val="en-US" w:eastAsia="zh-CN"/>
                    </w:rPr>
                    <w:t>桶</w:t>
                  </w:r>
                </w:p>
              </w:tc>
            </w:tr>
            <w:tr w14:paraId="122B1D3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95" w:type="pct"/>
                  <w:shd w:val="clear" w:color="auto" w:fill="auto"/>
                  <w:noWrap w:val="0"/>
                  <w:vAlign w:val="center"/>
                </w:tcPr>
                <w:p w14:paraId="60DBAFE6">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17</w:t>
                  </w:r>
                </w:p>
              </w:tc>
              <w:tc>
                <w:tcPr>
                  <w:tcW w:w="1122" w:type="pct"/>
                  <w:shd w:val="clear" w:color="auto" w:fill="auto"/>
                  <w:noWrap w:val="0"/>
                  <w:vAlign w:val="center"/>
                </w:tcPr>
                <w:p w14:paraId="08D756B8">
                  <w:pPr>
                    <w:spacing w:after="0"/>
                    <w:jc w:val="center"/>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rPr>
                    <w:t>酚醛树脂</w:t>
                  </w:r>
                </w:p>
              </w:tc>
              <w:tc>
                <w:tcPr>
                  <w:tcW w:w="750" w:type="pct"/>
                  <w:shd w:val="clear" w:color="auto" w:fill="auto"/>
                  <w:noWrap w:val="0"/>
                  <w:vAlign w:val="center"/>
                </w:tcPr>
                <w:p w14:paraId="7BC38B7D">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1B325BF5">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4</w:t>
                  </w:r>
                </w:p>
              </w:tc>
              <w:tc>
                <w:tcPr>
                  <w:tcW w:w="1959" w:type="pct"/>
                  <w:shd w:val="clear" w:color="auto" w:fill="auto"/>
                  <w:noWrap w:val="0"/>
                  <w:vAlign w:val="center"/>
                </w:tcPr>
                <w:p w14:paraId="550A3693">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2</w:t>
                  </w:r>
                  <w:r>
                    <w:rPr>
                      <w:rFonts w:hint="eastAsia" w:ascii="Times New Roman" w:hAnsi="Times New Roman" w:eastAsiaTheme="minorEastAsia"/>
                      <w:bCs/>
                      <w:color w:val="auto"/>
                      <w:sz w:val="18"/>
                      <w:szCs w:val="18"/>
                      <w:highlight w:val="none"/>
                      <w:lang w:val="en-US" w:eastAsia="zh-CN"/>
                    </w:rPr>
                    <w:t>5kg/袋</w:t>
                  </w:r>
                  <w:r>
                    <w:rPr>
                      <w:rFonts w:hint="eastAsia" w:ascii="Times New Roman" w:hAnsi="Times New Roman" w:cs="Times New Roman"/>
                      <w:bCs/>
                      <w:color w:val="auto"/>
                      <w:sz w:val="18"/>
                      <w:szCs w:val="18"/>
                      <w:highlight w:val="none"/>
                      <w:lang w:val="en-US" w:eastAsia="zh-CN"/>
                    </w:rPr>
                    <w:t>，粉状</w:t>
                  </w:r>
                </w:p>
              </w:tc>
            </w:tr>
            <w:tr w14:paraId="202E406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95" w:type="pct"/>
                  <w:shd w:val="clear" w:color="auto" w:fill="auto"/>
                  <w:noWrap w:val="0"/>
                  <w:vAlign w:val="center"/>
                </w:tcPr>
                <w:p w14:paraId="12D43DDE">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18</w:t>
                  </w:r>
                </w:p>
              </w:tc>
              <w:tc>
                <w:tcPr>
                  <w:tcW w:w="1122" w:type="pct"/>
                  <w:shd w:val="clear" w:color="auto" w:fill="auto"/>
                  <w:noWrap w:val="0"/>
                  <w:vAlign w:val="center"/>
                </w:tcPr>
                <w:p w14:paraId="41BF3B8D">
                  <w:pPr>
                    <w:spacing w:after="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密胺树脂</w:t>
                  </w:r>
                </w:p>
              </w:tc>
              <w:tc>
                <w:tcPr>
                  <w:tcW w:w="750" w:type="pct"/>
                  <w:shd w:val="clear" w:color="auto" w:fill="auto"/>
                  <w:noWrap w:val="0"/>
                  <w:vAlign w:val="center"/>
                </w:tcPr>
                <w:p w14:paraId="1EB92E13">
                  <w:pPr>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4D328605">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6</w:t>
                  </w:r>
                </w:p>
              </w:tc>
              <w:tc>
                <w:tcPr>
                  <w:tcW w:w="1959" w:type="pct"/>
                  <w:shd w:val="clear" w:color="auto" w:fill="auto"/>
                  <w:noWrap w:val="0"/>
                  <w:vAlign w:val="center"/>
                </w:tcPr>
                <w:p w14:paraId="78BE4C9B">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2</w:t>
                  </w:r>
                  <w:r>
                    <w:rPr>
                      <w:rFonts w:hint="eastAsia" w:ascii="Times New Roman" w:hAnsi="Times New Roman" w:eastAsiaTheme="minorEastAsia"/>
                      <w:bCs/>
                      <w:color w:val="auto"/>
                      <w:sz w:val="18"/>
                      <w:szCs w:val="18"/>
                      <w:highlight w:val="none"/>
                      <w:lang w:val="en-US" w:eastAsia="zh-CN"/>
                    </w:rPr>
                    <w:t>5kg/袋</w:t>
                  </w:r>
                  <w:r>
                    <w:rPr>
                      <w:rFonts w:hint="eastAsia" w:ascii="Times New Roman" w:hAnsi="Times New Roman" w:cs="Times New Roman"/>
                      <w:bCs/>
                      <w:color w:val="auto"/>
                      <w:sz w:val="18"/>
                      <w:szCs w:val="18"/>
                      <w:highlight w:val="none"/>
                      <w:lang w:val="en-US" w:eastAsia="zh-CN"/>
                    </w:rPr>
                    <w:t>，粉状</w:t>
                  </w:r>
                </w:p>
              </w:tc>
            </w:tr>
            <w:tr w14:paraId="088B61E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95" w:type="pct"/>
                  <w:shd w:val="clear" w:color="auto" w:fill="auto"/>
                  <w:noWrap w:val="0"/>
                  <w:vAlign w:val="center"/>
                </w:tcPr>
                <w:p w14:paraId="18237F1A">
                  <w:pPr>
                    <w:adjustRightInd w:val="0"/>
                    <w:snapToGrid w:val="0"/>
                    <w:contextualSpacing/>
                    <w:jc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19</w:t>
                  </w:r>
                </w:p>
              </w:tc>
              <w:tc>
                <w:tcPr>
                  <w:tcW w:w="1122" w:type="pct"/>
                  <w:shd w:val="clear" w:color="auto" w:fill="auto"/>
                  <w:noWrap w:val="0"/>
                  <w:vAlign w:val="center"/>
                </w:tcPr>
                <w:p w14:paraId="1A898021">
                  <w:pPr>
                    <w:tabs>
                      <w:tab w:val="left" w:pos="1680"/>
                    </w:tabs>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包装箱</w:t>
                  </w:r>
                </w:p>
              </w:tc>
              <w:tc>
                <w:tcPr>
                  <w:tcW w:w="750" w:type="pct"/>
                  <w:shd w:val="clear" w:color="auto" w:fill="auto"/>
                  <w:noWrap w:val="0"/>
                  <w:vAlign w:val="center"/>
                </w:tcPr>
                <w:p w14:paraId="3D8D5A3E">
                  <w:pPr>
                    <w:spacing w:after="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t/a</w:t>
                  </w:r>
                </w:p>
              </w:tc>
              <w:tc>
                <w:tcPr>
                  <w:tcW w:w="772" w:type="pct"/>
                  <w:shd w:val="clear" w:color="auto" w:fill="auto"/>
                  <w:noWrap w:val="0"/>
                  <w:vAlign w:val="center"/>
                </w:tcPr>
                <w:p w14:paraId="24A276BE">
                  <w:pPr>
                    <w:pStyle w:val="950"/>
                    <w:spacing w:after="0"/>
                    <w:jc w:val="center"/>
                    <w:rPr>
                      <w:rFonts w:hint="eastAsia" w:ascii="Times New Roman" w:hAnsi="Times New Roman" w:eastAsia="宋体" w:cs="Times New Roman"/>
                      <w:bCs/>
                      <w:color w:val="auto"/>
                      <w:kern w:val="0"/>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0.5</w:t>
                  </w:r>
                </w:p>
              </w:tc>
              <w:tc>
                <w:tcPr>
                  <w:tcW w:w="1959" w:type="pct"/>
                  <w:shd w:val="clear" w:color="auto" w:fill="auto"/>
                  <w:noWrap w:val="0"/>
                  <w:vAlign w:val="center"/>
                </w:tcPr>
                <w:p w14:paraId="2B18B880">
                  <w:pPr>
                    <w:adjustRightInd w:val="0"/>
                    <w:snapToGrid w:val="0"/>
                    <w:jc w:val="center"/>
                    <w:rPr>
                      <w:rFonts w:hint="default" w:ascii="Times New Roman" w:hAnsi="Times New Roman" w:cs="Times New Roman" w:eastAsiaTheme="minorEastAsia"/>
                      <w:bCs/>
                      <w:color w:val="auto"/>
                      <w:kern w:val="2"/>
                      <w:sz w:val="18"/>
                      <w:szCs w:val="18"/>
                      <w:highlight w:val="none"/>
                      <w:lang w:val="en-US" w:eastAsia="zh-CN" w:bidi="ar-SA"/>
                    </w:rPr>
                  </w:pPr>
                  <w:r>
                    <w:rPr>
                      <w:rFonts w:hint="eastAsia" w:eastAsiaTheme="minorEastAsia"/>
                      <w:bCs/>
                      <w:color w:val="auto"/>
                      <w:sz w:val="18"/>
                      <w:szCs w:val="18"/>
                      <w:highlight w:val="none"/>
                      <w:lang w:val="en-US" w:eastAsia="zh-CN"/>
                    </w:rPr>
                    <w:t>外购</w:t>
                  </w:r>
                </w:p>
              </w:tc>
            </w:tr>
            <w:tr w14:paraId="2EF712E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5000" w:type="pct"/>
                  <w:gridSpan w:val="5"/>
                  <w:shd w:val="clear" w:color="auto" w:fill="auto"/>
                  <w:noWrap w:val="0"/>
                  <w:vAlign w:val="center"/>
                </w:tcPr>
                <w:p w14:paraId="21EE0F0E">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eastAsia" w:eastAsiaTheme="minorEastAsia"/>
                      <w:b/>
                      <w:bCs w:val="0"/>
                      <w:color w:val="auto"/>
                      <w:sz w:val="18"/>
                      <w:szCs w:val="18"/>
                      <w:highlight w:val="none"/>
                      <w:lang w:val="en-US" w:eastAsia="zh-CN"/>
                    </w:rPr>
                    <w:t>能源消耗</w:t>
                  </w:r>
                </w:p>
              </w:tc>
            </w:tr>
            <w:tr w14:paraId="78A6CC6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95" w:type="pct"/>
                  <w:shd w:val="clear" w:color="auto" w:fill="auto"/>
                  <w:noWrap w:val="0"/>
                  <w:vAlign w:val="center"/>
                </w:tcPr>
                <w:p w14:paraId="60E35F41">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20</w:t>
                  </w:r>
                </w:p>
              </w:tc>
              <w:tc>
                <w:tcPr>
                  <w:tcW w:w="1122" w:type="pct"/>
                  <w:shd w:val="clear" w:color="auto" w:fill="auto"/>
                  <w:noWrap w:val="0"/>
                  <w:vAlign w:val="center"/>
                </w:tcPr>
                <w:p w14:paraId="2D9C13B0">
                  <w:pPr>
                    <w:pStyle w:val="950"/>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rPr>
                    <w:t>水</w:t>
                  </w:r>
                </w:p>
              </w:tc>
              <w:tc>
                <w:tcPr>
                  <w:tcW w:w="750" w:type="pct"/>
                  <w:shd w:val="clear" w:color="auto" w:fill="auto"/>
                  <w:noWrap w:val="0"/>
                  <w:vAlign w:val="center"/>
                </w:tcPr>
                <w:p w14:paraId="1B0D0068">
                  <w:pPr>
                    <w:pStyle w:val="950"/>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/a</w:t>
                  </w:r>
                </w:p>
              </w:tc>
              <w:tc>
                <w:tcPr>
                  <w:tcW w:w="772" w:type="pct"/>
                  <w:shd w:val="clear" w:color="auto" w:fill="auto"/>
                  <w:noWrap w:val="0"/>
                  <w:vAlign w:val="center"/>
                </w:tcPr>
                <w:p w14:paraId="42F34139">
                  <w:pPr>
                    <w:pStyle w:val="950"/>
                    <w:spacing w:after="0"/>
                    <w:jc w:val="center"/>
                    <w:rPr>
                      <w:rFonts w:hint="default" w:ascii="Times New Roman" w:hAnsi="Times New Roman" w:eastAsia="宋体" w:cs="Times New Roman"/>
                      <w:bCs/>
                      <w:color w:val="auto"/>
                      <w:kern w:val="0"/>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281.1</w:t>
                  </w:r>
                </w:p>
              </w:tc>
              <w:tc>
                <w:tcPr>
                  <w:tcW w:w="1959" w:type="pct"/>
                  <w:shd w:val="clear" w:color="auto" w:fill="auto"/>
                  <w:noWrap w:val="0"/>
                  <w:vAlign w:val="center"/>
                </w:tcPr>
                <w:p w14:paraId="3ACC2767">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color w:val="auto"/>
                      <w:spacing w:val="-2"/>
                      <w:kern w:val="0"/>
                      <w:sz w:val="18"/>
                      <w:szCs w:val="18"/>
                      <w:highlight w:val="none"/>
                    </w:rPr>
                    <w:t>由</w:t>
                  </w:r>
                  <w:r>
                    <w:rPr>
                      <w:rFonts w:hint="default" w:ascii="Times New Roman" w:hAnsi="Times New Roman" w:cs="Times New Roman"/>
                      <w:color w:val="auto"/>
                      <w:sz w:val="18"/>
                      <w:szCs w:val="18"/>
                      <w:highlight w:val="none"/>
                    </w:rPr>
                    <w:t>淄川区</w:t>
                  </w:r>
                  <w:r>
                    <w:rPr>
                      <w:rFonts w:hint="eastAsia" w:cs="Times New Roman"/>
                      <w:color w:val="auto"/>
                      <w:sz w:val="18"/>
                      <w:szCs w:val="18"/>
                      <w:highlight w:val="none"/>
                      <w:lang w:eastAsia="zh-CN"/>
                    </w:rPr>
                    <w:t>龙泉镇</w:t>
                  </w:r>
                  <w:r>
                    <w:rPr>
                      <w:rFonts w:hint="default" w:ascii="Times New Roman" w:hAnsi="Times New Roman" w:cs="Times New Roman"/>
                      <w:color w:val="auto"/>
                      <w:sz w:val="18"/>
                      <w:szCs w:val="18"/>
                      <w:highlight w:val="none"/>
                      <w:lang w:eastAsia="zh-CN"/>
                    </w:rPr>
                    <w:t>供水管网</w:t>
                  </w:r>
                  <w:r>
                    <w:rPr>
                      <w:rFonts w:hint="default" w:ascii="Times New Roman" w:hAnsi="Times New Roman" w:cs="Times New Roman"/>
                      <w:color w:val="auto"/>
                      <w:spacing w:val="-2"/>
                      <w:kern w:val="0"/>
                      <w:sz w:val="18"/>
                      <w:szCs w:val="18"/>
                      <w:highlight w:val="none"/>
                    </w:rPr>
                    <w:t>供给</w:t>
                  </w:r>
                </w:p>
              </w:tc>
            </w:tr>
            <w:tr w14:paraId="6C33144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5" w:type="pct"/>
                  <w:shd w:val="clear" w:color="auto" w:fill="auto"/>
                  <w:noWrap w:val="0"/>
                  <w:vAlign w:val="center"/>
                </w:tcPr>
                <w:p w14:paraId="1264F3C1">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21</w:t>
                  </w:r>
                </w:p>
              </w:tc>
              <w:tc>
                <w:tcPr>
                  <w:tcW w:w="1122" w:type="pct"/>
                  <w:shd w:val="clear" w:color="auto" w:fill="auto"/>
                  <w:noWrap w:val="0"/>
                  <w:vAlign w:val="center"/>
                </w:tcPr>
                <w:p w14:paraId="03EE592D">
                  <w:pPr>
                    <w:pStyle w:val="950"/>
                    <w:spacing w:after="0"/>
                    <w:jc w:val="center"/>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rPr>
                    <w:t>电</w:t>
                  </w:r>
                </w:p>
              </w:tc>
              <w:tc>
                <w:tcPr>
                  <w:tcW w:w="750" w:type="pct"/>
                  <w:shd w:val="clear" w:color="auto" w:fill="auto"/>
                  <w:noWrap w:val="0"/>
                  <w:vAlign w:val="center"/>
                </w:tcPr>
                <w:p w14:paraId="0B1B00E0">
                  <w:pPr>
                    <w:pStyle w:val="950"/>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Cs/>
                      <w:color w:val="auto"/>
                      <w:sz w:val="18"/>
                      <w:szCs w:val="18"/>
                      <w:highlight w:val="none"/>
                    </w:rPr>
                    <w:t>kW·h/a</w:t>
                  </w:r>
                </w:p>
              </w:tc>
              <w:tc>
                <w:tcPr>
                  <w:tcW w:w="772" w:type="pct"/>
                  <w:shd w:val="clear" w:color="auto" w:fill="auto"/>
                  <w:noWrap w:val="0"/>
                  <w:vAlign w:val="center"/>
                </w:tcPr>
                <w:p w14:paraId="41D4A520">
                  <w:pPr>
                    <w:pStyle w:val="950"/>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10</w:t>
                  </w:r>
                  <w:r>
                    <w:rPr>
                      <w:rFonts w:hint="default" w:ascii="Times New Roman" w:hAnsi="Times New Roman" w:eastAsia="宋体" w:cs="Times New Roman"/>
                      <w:color w:val="auto"/>
                      <w:sz w:val="18"/>
                      <w:szCs w:val="18"/>
                      <w:highlight w:val="none"/>
                    </w:rPr>
                    <w:t>万</w:t>
                  </w:r>
                </w:p>
              </w:tc>
              <w:tc>
                <w:tcPr>
                  <w:tcW w:w="1959" w:type="pct"/>
                  <w:shd w:val="clear" w:color="auto" w:fill="auto"/>
                  <w:noWrap w:val="0"/>
                  <w:vAlign w:val="center"/>
                </w:tcPr>
                <w:p w14:paraId="1064B9A1">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来自</w:t>
                  </w:r>
                  <w:r>
                    <w:rPr>
                      <w:rFonts w:hint="eastAsia" w:cs="Times New Roman"/>
                      <w:color w:val="auto"/>
                      <w:sz w:val="18"/>
                      <w:szCs w:val="18"/>
                      <w:highlight w:val="none"/>
                      <w:lang w:eastAsia="zh-CN"/>
                    </w:rPr>
                    <w:t>龙泉镇</w:t>
                  </w:r>
                  <w:r>
                    <w:rPr>
                      <w:rFonts w:hint="default" w:ascii="Times New Roman" w:hAnsi="Times New Roman" w:cs="Times New Roman"/>
                      <w:color w:val="auto"/>
                      <w:sz w:val="18"/>
                      <w:szCs w:val="18"/>
                      <w:highlight w:val="none"/>
                      <w:lang w:eastAsia="zh-CN"/>
                    </w:rPr>
                    <w:t>供电所</w:t>
                  </w:r>
                </w:p>
              </w:tc>
            </w:tr>
          </w:tbl>
          <w:p w14:paraId="00FFB7E6">
            <w:pPr>
              <w:spacing w:line="360" w:lineRule="auto"/>
              <w:ind w:firstLine="422" w:firstLineChars="200"/>
              <w:rPr>
                <w:rFonts w:hint="default" w:ascii="Times New Roman" w:hAnsi="Times New Roman" w:cs="Times New Roman" w:eastAsiaTheme="minorEastAsia"/>
                <w:b/>
                <w:bCs/>
                <w:color w:val="auto"/>
                <w:kern w:val="0"/>
                <w:szCs w:val="21"/>
                <w:highlight w:val="none"/>
              </w:rPr>
            </w:pPr>
            <w:r>
              <w:rPr>
                <w:rFonts w:hint="default" w:ascii="Times New Roman" w:hAnsi="Times New Roman" w:cs="Times New Roman" w:eastAsiaTheme="minorEastAsia"/>
                <w:b/>
                <w:bCs/>
                <w:color w:val="auto"/>
                <w:kern w:val="0"/>
                <w:szCs w:val="21"/>
                <w:highlight w:val="none"/>
              </w:rPr>
              <w:t>原料介绍：</w:t>
            </w:r>
          </w:p>
          <w:p w14:paraId="13AF0F52">
            <w:pPr>
              <w:spacing w:line="360" w:lineRule="auto"/>
              <w:ind w:firstLine="420" w:firstLineChars="200"/>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①金刚石粉末</w:t>
            </w:r>
            <w:r>
              <w:rPr>
                <w:rFonts w:hint="eastAsia" w:ascii="Times New Roman" w:hAnsi="Times New Roman" w:cs="Times New Roman" w:eastAsiaTheme="minorEastAsia"/>
                <w:color w:val="auto"/>
                <w:kern w:val="0"/>
                <w:szCs w:val="21"/>
                <w:highlight w:val="none"/>
                <w:lang w:eastAsia="zh-CN"/>
              </w:rPr>
              <w:t>：金刚石粉末是由金刚石经破碎、研磨得到的超细微粒</w:t>
            </w:r>
            <w:r>
              <w:rPr>
                <w:rFonts w:hint="eastAsia" w:cs="Times New Roman" w:eastAsiaTheme="minorEastAsia"/>
                <w:color w:val="auto"/>
                <w:kern w:val="0"/>
                <w:szCs w:val="21"/>
                <w:highlight w:val="none"/>
                <w:lang w:eastAsia="zh-CN"/>
              </w:rPr>
              <w:t>。外观呈无色透明或淡黄色的细微颗粒，部分因杂质掺杂呈现棕、黑等色调；莫氏硬度为10，是自然界最硬的物质，即使粉体状态下单颗粒仍保持极高硬度；密度约3.51g/cm³，与块状金刚石一致；具有良好的导热性，热导率可达2000W/(m·K)以上，远超金属材料；光学特性上仍保留金刚石的高折射率（2.42）和强色散性，但粉体因光线散射通常呈现哑光质感。化学稳定性极强，在常温下不与酸、碱、盐发生反应，甚至不溶于王水；高温环境中（空气中约850-1000℃）会缓慢氧化生成二氧化碳；在无氧氛围下，加热至1800-2000℃可转化为石墨；对大多数氧化剂表现出惰性，仅在特定条件下（如高压、高温或强氧化剂配合）才会发生化学反应</w:t>
            </w:r>
            <w:r>
              <w:rPr>
                <w:rFonts w:hint="default" w:ascii="Times New Roman" w:hAnsi="Times New Roman" w:cs="Times New Roman" w:eastAsiaTheme="minorEastAsia"/>
                <w:color w:val="auto"/>
                <w:kern w:val="0"/>
                <w:szCs w:val="21"/>
                <w:highlight w:val="none"/>
              </w:rPr>
              <w:t>。</w:t>
            </w:r>
          </w:p>
          <w:p w14:paraId="1EF5C5E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eastAsiaTheme="minorEastAsia"/>
                <w:color w:val="auto"/>
                <w:kern w:val="0"/>
                <w:szCs w:val="21"/>
                <w:highlight w:val="none"/>
                <w:lang w:eastAsia="zh-CN"/>
              </w:rPr>
            </w:pPr>
            <w:r>
              <w:rPr>
                <w:rFonts w:hint="default" w:ascii="Times New Roman" w:hAnsi="Times New Roman" w:cs="Times New Roman" w:eastAsiaTheme="minorEastAsia"/>
                <w:color w:val="auto"/>
                <w:kern w:val="0"/>
                <w:szCs w:val="21"/>
                <w:highlight w:val="none"/>
              </w:rPr>
              <w:t>②合金粉</w:t>
            </w:r>
            <w:r>
              <w:rPr>
                <w:rFonts w:hint="eastAsia" w:cs="Times New Roman" w:eastAsiaTheme="minorEastAsia"/>
                <w:color w:val="auto"/>
                <w:kern w:val="0"/>
                <w:szCs w:val="21"/>
                <w:highlight w:val="none"/>
                <w:lang w:eastAsia="zh-CN"/>
              </w:rPr>
              <w:t>：由两种或两种以上金属与金属或非金属经一定方法所制成的具有金属特性的混合物粉末。在物理性质方面，其外观色泽多样，通常取决于合金的成分，有银白、金黄等颜色；具有良好的导电性和导热性，但一般比单一金属略低；密度与合金的组成元素及比例相关，差异较大。合金粉的硬度往往比组成它的纯金属更高，耐磨性较好。在化学性质上，其耐腐蚀性因成分不同而各有差异，有些合金粉能在特定的化学环境中保持稳定，不易被氧化或发生化学反应；部分合金粉在常温下可能较为稳定，但在高温下可能会与氧气发生反应；合金粉还可能对某些特定的化学物质具有特殊的反应活性，如在催化反应中发挥作用</w:t>
            </w:r>
            <w:r>
              <w:rPr>
                <w:rFonts w:hint="default" w:ascii="Times New Roman" w:hAnsi="Times New Roman" w:cs="Times New Roman" w:eastAsiaTheme="minorEastAsia"/>
                <w:color w:val="auto"/>
                <w:kern w:val="0"/>
                <w:szCs w:val="21"/>
                <w:highlight w:val="none"/>
                <w:lang w:eastAsia="zh-CN"/>
              </w:rPr>
              <w:t>。</w:t>
            </w:r>
          </w:p>
          <w:p w14:paraId="62871145">
            <w:pPr>
              <w:spacing w:line="360" w:lineRule="auto"/>
              <w:ind w:firstLine="420" w:firstLineChars="200"/>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③铁粉</w:t>
            </w:r>
            <w:r>
              <w:rPr>
                <w:rFonts w:hint="eastAsia" w:cs="Times New Roman" w:eastAsiaTheme="minorEastAsia"/>
                <w:color w:val="auto"/>
                <w:kern w:val="0"/>
                <w:szCs w:val="21"/>
                <w:highlight w:val="none"/>
                <w:lang w:eastAsia="zh-CN"/>
              </w:rPr>
              <w:t>：铁粉末外观多为黑色，是铁单质的粉末形态。物理性质上，它具有良好的导电性，能让电流顺利通过；拥有磁性，可被磁铁吸引；密度约为 7.86 g/cm³，这意味着有一定重量；在常温下为固态。化学性质方面，铁粉末化学性质较为活泼，在空气中易与氧气发生缓慢氧化而生锈，生成铁锈（主要成分是氧化铁）；在加热或高温条件下能在氧气中剧烈燃烧，火星四射，生成四氧化三铁；可与稀盐酸、稀硫酸等酸发生反应，产生氢气并形成相应亚铁盐溶液；还能与硫酸铜等盐溶液发生置换反应，将铜从其盐溶液中置换出来</w:t>
            </w:r>
            <w:r>
              <w:rPr>
                <w:rFonts w:hint="default" w:ascii="Times New Roman" w:hAnsi="Times New Roman" w:cs="Times New Roman" w:eastAsiaTheme="minorEastAsia"/>
                <w:color w:val="auto"/>
                <w:kern w:val="0"/>
                <w:szCs w:val="21"/>
                <w:highlight w:val="none"/>
              </w:rPr>
              <w:t>。</w:t>
            </w:r>
          </w:p>
          <w:p w14:paraId="3D971031">
            <w:pPr>
              <w:spacing w:line="360" w:lineRule="auto"/>
              <w:ind w:firstLine="420" w:firstLineChars="200"/>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④锡粉</w:t>
            </w:r>
            <w:r>
              <w:rPr>
                <w:rFonts w:hint="eastAsia" w:cs="Times New Roman" w:eastAsiaTheme="minorEastAsia"/>
                <w:color w:val="auto"/>
                <w:kern w:val="0"/>
                <w:szCs w:val="21"/>
                <w:highlight w:val="none"/>
                <w:lang w:eastAsia="zh-CN"/>
              </w:rPr>
              <w:t>：锡粉呈银灰色粉末状。物理性质上，它质地较软，密度约为7.28 g/cm³，熔点231.93℃，具有良好的导电性和延展性。化学性质方面，锡粉在常温空气中性质相对稳定，表面会形成一层致密氧化膜阻止其进一步氧化；但加热时会与氧气剧烈反应生成二氧化锡。它能与稀盐酸缓慢反应生成氯化亚锡并释放氢气，和浓硝酸反应则生成β - 锡酸。在碱溶液里，它能和碱反应生成亚锡酸盐并释放氢气。此外，在特定条件下，锡粉能与一些卤素、硫等非金属发生反应。</w:t>
            </w:r>
          </w:p>
          <w:p w14:paraId="58B29D68">
            <w:pPr>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⑤锌粉</w:t>
            </w:r>
            <w:r>
              <w:rPr>
                <w:rFonts w:hint="eastAsia" w:cs="Times New Roman" w:eastAsiaTheme="minorEastAsia"/>
                <w:color w:val="auto"/>
                <w:kern w:val="0"/>
                <w:szCs w:val="21"/>
                <w:highlight w:val="none"/>
                <w:lang w:eastAsia="zh-CN"/>
              </w:rPr>
              <w:t>：锌粉呈深灰色，是一种常见的金属粉末。物理性质方面，它的密度约为 7.14 g/cm³，熔点为 419.53℃，沸点是 907℃，不溶于水，但具有良好的导电性。化学性质上，锌粉较为活泼，在潮湿空气中会生成一层碱式碳酸锌，起到一定的保护作用；它能与酸发生反应生成氢气，反应较为剧烈，例如和稀硫酸反应生成硫酸锌和氢气；也能与强碱溶液反应，生成锌酸盐与氢气；具有较强的还原性，可还原某些金属氧化物，将其转化为金属单质，在冶金、化工等领域应用广泛。</w:t>
            </w:r>
          </w:p>
          <w:p w14:paraId="73E9C2DB">
            <w:pPr>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⑥白刚玉</w:t>
            </w:r>
            <w:r>
              <w:rPr>
                <w:rFonts w:hint="eastAsia" w:cs="Times New Roman" w:eastAsiaTheme="minorEastAsia"/>
                <w:color w:val="auto"/>
                <w:kern w:val="0"/>
                <w:szCs w:val="21"/>
                <w:highlight w:val="none"/>
                <w:lang w:eastAsia="zh-CN"/>
              </w:rPr>
              <w:t>：以优质氧化铝粉为原料，经高温熔炼制成。其物理性质表现为外观呈白色，硬度略高于棕刚玉但韧性稍低，努谱硬度达 3.96kg/cm²，纯度高、自锐性好；密度约为≥3.90，磨削能力强、发热量小，还具有较好的热稳定性和绝缘性，适用于复杂结构，可直接喷涂于钢结构、混凝土等表面。化学性质上较为稳定，氧化铝含量≥98%，能耐酸碱腐蚀，常温下不与常见酸碱发生反应，不过在特定高温、高压及强酸碱环境下会发生化学反应。</w:t>
            </w:r>
          </w:p>
          <w:p w14:paraId="6ABEA200">
            <w:pPr>
              <w:spacing w:line="360" w:lineRule="auto"/>
              <w:ind w:firstLine="420" w:firstLineChars="200"/>
              <w:rPr>
                <w:rFonts w:hint="eastAsia" w:ascii="Times New Roman" w:hAnsi="Times New Roman" w:cs="Times New Roman" w:eastAsiaTheme="minorEastAsia"/>
                <w:color w:val="auto"/>
                <w:kern w:val="0"/>
                <w:szCs w:val="21"/>
                <w:highlight w:val="none"/>
                <w:lang w:eastAsia="zh-CN"/>
              </w:rPr>
            </w:pPr>
            <w:r>
              <w:rPr>
                <w:rFonts w:hint="eastAsia" w:ascii="宋体" w:hAnsi="宋体" w:eastAsia="宋体" w:cs="宋体"/>
                <w:color w:val="auto"/>
                <w:kern w:val="0"/>
                <w:szCs w:val="21"/>
                <w:highlight w:val="none"/>
              </w:rPr>
              <w:t>⑦碳化硅</w:t>
            </w:r>
            <w:r>
              <w:rPr>
                <w:rFonts w:hint="eastAsia" w:cs="Times New Roman" w:eastAsiaTheme="minorEastAsia"/>
                <w:color w:val="auto"/>
                <w:kern w:val="0"/>
                <w:szCs w:val="21"/>
                <w:highlight w:val="none"/>
                <w:lang w:eastAsia="zh-CN"/>
              </w:rPr>
              <w:t xml:space="preserve">：是一种无机物，不同晶形的颗粒密度相近，约为 3.20 </w:t>
            </w:r>
            <w:r>
              <w:rPr>
                <w:rFonts w:hint="eastAsia" w:cs="Times New Roman" w:eastAsiaTheme="minorEastAsia"/>
                <w:color w:val="auto"/>
                <w:kern w:val="0"/>
                <w:szCs w:val="21"/>
                <w:highlight w:val="none"/>
                <w:lang w:val="en-US" w:eastAsia="zh-CN"/>
              </w:rPr>
              <w:t>g</w:t>
            </w:r>
            <w:r>
              <w:rPr>
                <w:rFonts w:hint="eastAsia" w:cs="Times New Roman" w:eastAsiaTheme="minorEastAsia"/>
                <w:color w:val="auto"/>
                <w:kern w:val="0"/>
                <w:szCs w:val="21"/>
                <w:highlight w:val="none"/>
                <w:lang w:eastAsia="zh-CN"/>
              </w:rPr>
              <w:t>/</w:t>
            </w:r>
            <w:r>
              <w:rPr>
                <w:rFonts w:hint="eastAsia" w:cs="Times New Roman" w:eastAsiaTheme="minorEastAsia"/>
                <w:color w:val="auto"/>
                <w:kern w:val="0"/>
                <w:szCs w:val="21"/>
                <w:highlight w:val="none"/>
                <w:lang w:val="en-US" w:eastAsia="zh-CN"/>
              </w:rPr>
              <w:t>mm</w:t>
            </w:r>
            <w:r>
              <w:rPr>
                <w:rFonts w:hint="eastAsia" w:cs="Times New Roman" w:eastAsiaTheme="minorEastAsia"/>
                <w:color w:val="auto"/>
                <w:kern w:val="0"/>
                <w:szCs w:val="21"/>
                <w:highlight w:val="none"/>
                <w:lang w:eastAsia="zh-CN"/>
              </w:rPr>
              <w:t xml:space="preserve">³，磨料自然堆砌密度在 1.2 - 1.6 </w:t>
            </w:r>
            <w:r>
              <w:rPr>
                <w:rFonts w:hint="eastAsia" w:cs="Times New Roman" w:eastAsiaTheme="minorEastAsia"/>
                <w:color w:val="auto"/>
                <w:kern w:val="0"/>
                <w:szCs w:val="21"/>
                <w:highlight w:val="none"/>
                <w:lang w:val="en-US" w:eastAsia="zh-CN"/>
              </w:rPr>
              <w:t>g</w:t>
            </w:r>
            <w:r>
              <w:rPr>
                <w:rFonts w:hint="eastAsia" w:cs="Times New Roman" w:eastAsiaTheme="minorEastAsia"/>
                <w:color w:val="auto"/>
                <w:kern w:val="0"/>
                <w:szCs w:val="21"/>
                <w:highlight w:val="none"/>
                <w:lang w:eastAsia="zh-CN"/>
              </w:rPr>
              <w:t>/</w:t>
            </w:r>
            <w:r>
              <w:rPr>
                <w:rFonts w:hint="eastAsia" w:cs="Times New Roman" w:eastAsiaTheme="minorEastAsia"/>
                <w:color w:val="auto"/>
                <w:kern w:val="0"/>
                <w:szCs w:val="21"/>
                <w:highlight w:val="none"/>
                <w:lang w:val="en-US" w:eastAsia="zh-CN"/>
              </w:rPr>
              <w:t>mm</w:t>
            </w:r>
            <w:r>
              <w:rPr>
                <w:rFonts w:hint="eastAsia" w:cs="Times New Roman" w:eastAsiaTheme="minorEastAsia"/>
                <w:color w:val="auto"/>
                <w:kern w:val="0"/>
                <w:szCs w:val="21"/>
                <w:highlight w:val="none"/>
                <w:lang w:eastAsia="zh-CN"/>
              </w:rPr>
              <w:t>³之间；莫氏硬度为 9.2 - 9.5，仅次于金刚石等；导热率高，热膨胀参数小，抗热震性高；常温下工业碳化硅是半导体，高纯度碳化硅随温度升高电阻率降低，含杂质碳化硅导电性能因杂质而异；纯碳化硅是无色透明晶体，工业碳化硅因杂质呈现浅黄、绿、蓝、黑色等，透明度随纯度变化 。化学性能稳定，常温下不与常见酸碱反应，但在特定高温、高压及强酸碱环境会发生</w:t>
            </w:r>
            <w:r>
              <w:rPr>
                <w:rFonts w:hint="eastAsia" w:ascii="Times New Roman" w:hAnsi="Times New Roman" w:cs="Times New Roman" w:eastAsiaTheme="minorEastAsia"/>
                <w:color w:val="auto"/>
                <w:kern w:val="0"/>
                <w:szCs w:val="21"/>
                <w:highlight w:val="none"/>
                <w:lang w:eastAsia="zh-CN"/>
              </w:rPr>
              <w:t>反应；高温时能抗氧化。</w:t>
            </w:r>
          </w:p>
          <w:p w14:paraId="1673AD28">
            <w:pPr>
              <w:spacing w:line="360" w:lineRule="auto"/>
              <w:ind w:firstLine="420" w:firstLineChars="200"/>
              <w:rPr>
                <w:rFonts w:hint="eastAsia" w:ascii="Times New Roman" w:hAnsi="Times New Roman" w:cs="Times New Roman" w:eastAsiaTheme="minorEastAsia"/>
                <w:color w:val="auto"/>
                <w:kern w:val="0"/>
                <w:szCs w:val="21"/>
                <w:highlight w:val="none"/>
                <w:lang w:eastAsia="zh-CN"/>
              </w:rPr>
            </w:pPr>
            <w:r>
              <w:rPr>
                <w:rFonts w:hint="eastAsia" w:ascii="Times New Roman" w:hAnsi="Times New Roman" w:cs="Times New Roman" w:eastAsiaTheme="minorEastAsia"/>
                <w:color w:val="auto"/>
                <w:kern w:val="0"/>
                <w:szCs w:val="21"/>
                <w:highlight w:val="none"/>
                <w:lang w:eastAsia="zh-CN"/>
              </w:rPr>
              <w:t>⑧胶水：主要成分为</w:t>
            </w:r>
            <w:r>
              <w:rPr>
                <w:rFonts w:hint="eastAsia" w:cs="Times New Roman" w:eastAsiaTheme="minorEastAsia"/>
                <w:color w:val="auto"/>
                <w:kern w:val="0"/>
                <w:szCs w:val="21"/>
                <w:highlight w:val="none"/>
                <w:lang w:val="en-US" w:eastAsia="zh-CN"/>
              </w:rPr>
              <w:t>2-</w:t>
            </w:r>
            <w:r>
              <w:rPr>
                <w:rFonts w:hint="eastAsia" w:ascii="Times New Roman" w:hAnsi="Times New Roman" w:cs="Times New Roman" w:eastAsiaTheme="minorEastAsia"/>
                <w:color w:val="auto"/>
                <w:kern w:val="0"/>
                <w:szCs w:val="21"/>
                <w:highlight w:val="none"/>
                <w:lang w:eastAsia="zh-CN"/>
              </w:rPr>
              <w:t>氰基</w:t>
            </w:r>
            <w:r>
              <w:rPr>
                <w:rFonts w:hint="eastAsia" w:cs="Times New Roman" w:eastAsiaTheme="minorEastAsia"/>
                <w:color w:val="auto"/>
                <w:kern w:val="0"/>
                <w:szCs w:val="21"/>
                <w:highlight w:val="none"/>
                <w:lang w:val="en-US" w:eastAsia="zh-CN"/>
              </w:rPr>
              <w:t>-2-</w:t>
            </w:r>
            <w:r>
              <w:rPr>
                <w:rFonts w:hint="eastAsia" w:ascii="Times New Roman" w:hAnsi="Times New Roman" w:cs="Times New Roman" w:eastAsiaTheme="minorEastAsia"/>
                <w:color w:val="auto"/>
                <w:kern w:val="0"/>
                <w:szCs w:val="21"/>
                <w:highlight w:val="none"/>
                <w:lang w:eastAsia="zh-CN"/>
              </w:rPr>
              <w:t>丙烯酸乙酯</w:t>
            </w:r>
            <w:r>
              <w:rPr>
                <w:rFonts w:hint="eastAsia" w:cs="Times New Roman" w:eastAsiaTheme="minorEastAsia"/>
                <w:color w:val="auto"/>
                <w:kern w:val="0"/>
                <w:szCs w:val="21"/>
                <w:highlight w:val="none"/>
                <w:lang w:val="en-US" w:eastAsia="zh-CN"/>
              </w:rPr>
              <w:t>90-99.5%，聚甲酯丙烯酸甲酯0-9.5%，氢醌0-0.5%</w:t>
            </w:r>
            <w:r>
              <w:rPr>
                <w:rFonts w:hint="eastAsia" w:ascii="Times New Roman" w:hAnsi="Times New Roman" w:cs="Times New Roman" w:eastAsiaTheme="minorEastAsia"/>
                <w:color w:val="auto"/>
                <w:kern w:val="0"/>
                <w:szCs w:val="21"/>
                <w:highlight w:val="none"/>
                <w:lang w:eastAsia="zh-CN"/>
              </w:rPr>
              <w:t>。为无色透明液体，能在室温下聚合，几分钟就固化，主要用作制作瞬间胶粘剂。特性：无色透明、低黏度、不可燃，单一成分、无溶剂，稍有刺激性气味、易挥发、挥发气具有弱催泪性质。遇潮湿水汽即被催化，迅速固化黏着，有瞬间胶黏剂之称。固化后无毒。</w:t>
            </w:r>
          </w:p>
          <w:p w14:paraId="534E1843">
            <w:pPr>
              <w:spacing w:line="360" w:lineRule="auto"/>
              <w:ind w:firstLine="420" w:firstLineChars="200"/>
              <w:jc w:val="both"/>
              <w:rPr>
                <w:rFonts w:hint="eastAsia" w:eastAsia="宋体"/>
                <w:color w:val="auto"/>
                <w:sz w:val="21"/>
                <w:szCs w:val="21"/>
                <w:highlight w:val="none"/>
                <w:lang w:eastAsia="zh-CN"/>
              </w:rPr>
            </w:pPr>
            <w:r>
              <w:rPr>
                <w:rFonts w:hint="eastAsia" w:ascii="宋体" w:hAnsi="宋体" w:eastAsia="宋体" w:cs="宋体"/>
                <w:color w:val="auto"/>
                <w:kern w:val="0"/>
                <w:szCs w:val="21"/>
                <w:highlight w:val="none"/>
              </w:rPr>
              <w:t>⑨酚醛树脂</w:t>
            </w:r>
            <w:r>
              <w:rPr>
                <w:rFonts w:hint="eastAsia" w:cs="Times New Roman" w:eastAsiaTheme="minorEastAsia"/>
                <w:color w:val="auto"/>
                <w:kern w:val="0"/>
                <w:szCs w:val="21"/>
                <w:highlight w:val="none"/>
                <w:lang w:eastAsia="zh-CN"/>
              </w:rPr>
              <w:t>：</w:t>
            </w:r>
            <w:bookmarkStart w:id="2" w:name="_Hlk90379484"/>
            <w:r>
              <w:rPr>
                <w:rFonts w:hint="eastAsia" w:cs="Times New Roman" w:eastAsiaTheme="minorEastAsia"/>
                <w:color w:val="auto"/>
                <w:kern w:val="0"/>
                <w:szCs w:val="21"/>
                <w:highlight w:val="none"/>
                <w:lang w:val="en-US" w:eastAsia="zh-CN"/>
              </w:rPr>
              <w:t>固体</w:t>
            </w:r>
            <w:r>
              <w:rPr>
                <w:rFonts w:hint="eastAsia" w:cs="Times New Roman" w:eastAsiaTheme="minorEastAsia"/>
                <w:color w:val="auto"/>
                <w:kern w:val="0"/>
                <w:szCs w:val="21"/>
                <w:highlight w:val="none"/>
                <w:lang w:eastAsia="zh-CN"/>
              </w:rPr>
              <w:t>，因含有游离酚而呈微红色，易溶于醇，对水、弱酸、弱碱溶液稳定。一般铸造用为热固性酚醛树脂，热分解温度≥300℃以上，具有低烟低毒等特点，危险特性：遇明火、高热可燃，具刺激性。呋喃树脂为深棕色至黑色的粘稠液体或固体，可溶于醇类（如乙醇、甲醇）、酮类（如丙酮）等有机溶剂，不溶于水。热变形温度：通常在 150-200℃之间，热稳定性：在高温下分解，分解温度约为 300℃以上。根据企业提供</w:t>
            </w:r>
            <w:r>
              <w:rPr>
                <w:rFonts w:hint="eastAsia" w:cs="Times New Roman" w:eastAsiaTheme="minorEastAsia"/>
                <w:color w:val="auto"/>
                <w:kern w:val="0"/>
                <w:szCs w:val="21"/>
                <w:highlight w:val="none"/>
                <w:lang w:val="en-US" w:eastAsia="zh-CN"/>
              </w:rPr>
              <w:t>资料，本项目酚醛树脂为固体</w:t>
            </w:r>
            <w:r>
              <w:rPr>
                <w:rFonts w:hint="eastAsia" w:cs="Times New Roman" w:eastAsiaTheme="minorEastAsia"/>
                <w:color w:val="auto"/>
                <w:kern w:val="0"/>
                <w:szCs w:val="21"/>
                <w:highlight w:val="none"/>
                <w:lang w:eastAsia="zh-CN"/>
              </w:rPr>
              <w:t>，主要成分：聚合树脂≥</w:t>
            </w:r>
            <w:r>
              <w:rPr>
                <w:rFonts w:hint="eastAsia" w:cs="Times New Roman" w:eastAsiaTheme="minorEastAsia"/>
                <w:color w:val="auto"/>
                <w:kern w:val="0"/>
                <w:szCs w:val="21"/>
                <w:highlight w:val="none"/>
                <w:lang w:val="en-US" w:eastAsia="zh-CN"/>
              </w:rPr>
              <w:t>98</w:t>
            </w:r>
            <w:r>
              <w:rPr>
                <w:rFonts w:hint="eastAsia" w:cs="Times New Roman" w:eastAsiaTheme="minorEastAsia"/>
                <w:color w:val="auto"/>
                <w:kern w:val="0"/>
                <w:szCs w:val="21"/>
                <w:highlight w:val="none"/>
                <w:lang w:eastAsia="zh-CN"/>
              </w:rPr>
              <w:t>%、游离酚≤0.7%、游离</w:t>
            </w:r>
            <w:r>
              <w:rPr>
                <w:rFonts w:hint="eastAsia" w:cs="Times New Roman" w:eastAsiaTheme="minorEastAsia"/>
                <w:color w:val="auto"/>
                <w:kern w:val="0"/>
                <w:szCs w:val="21"/>
                <w:highlight w:val="none"/>
                <w:lang w:val="en-US" w:eastAsia="zh-CN"/>
              </w:rPr>
              <w:t>甲</w:t>
            </w:r>
            <w:r>
              <w:rPr>
                <w:rFonts w:hint="eastAsia" w:cs="Times New Roman" w:eastAsiaTheme="minorEastAsia"/>
                <w:color w:val="auto"/>
                <w:kern w:val="0"/>
                <w:szCs w:val="21"/>
                <w:highlight w:val="none"/>
                <w:lang w:eastAsia="zh-CN"/>
              </w:rPr>
              <w:t>醛≤0.35%、水分≤</w:t>
            </w:r>
            <w:r>
              <w:rPr>
                <w:rFonts w:hint="eastAsia" w:cs="Times New Roman" w:eastAsiaTheme="minorEastAsia"/>
                <w:color w:val="auto"/>
                <w:kern w:val="0"/>
                <w:szCs w:val="21"/>
                <w:highlight w:val="none"/>
                <w:lang w:val="en-US" w:eastAsia="zh-CN"/>
              </w:rPr>
              <w:t>0.2</w:t>
            </w:r>
            <w:r>
              <w:rPr>
                <w:rFonts w:hint="eastAsia" w:cs="Times New Roman" w:eastAsiaTheme="minorEastAsia"/>
                <w:color w:val="auto"/>
                <w:kern w:val="0"/>
                <w:szCs w:val="21"/>
                <w:highlight w:val="none"/>
                <w:lang w:eastAsia="zh-CN"/>
              </w:rPr>
              <w:t>%</w:t>
            </w:r>
            <w:r>
              <w:rPr>
                <w:rFonts w:hint="eastAsia"/>
                <w:color w:val="auto"/>
                <w:sz w:val="21"/>
                <w:szCs w:val="21"/>
                <w:highlight w:val="none"/>
                <w:lang w:eastAsia="zh-CN"/>
              </w:rPr>
              <w:t>。</w:t>
            </w:r>
          </w:p>
          <w:bookmarkEnd w:id="2"/>
          <w:p w14:paraId="7E650D15">
            <w:pPr>
              <w:spacing w:line="360" w:lineRule="auto"/>
              <w:ind w:firstLine="420" w:firstLineChars="200"/>
              <w:jc w:val="both"/>
              <w:rPr>
                <w:rFonts w:hint="default" w:ascii="Times New Roman" w:hAnsi="Times New Roman" w:cs="Times New Roman" w:eastAsiaTheme="minorEastAsia"/>
                <w:color w:val="auto"/>
                <w:kern w:val="0"/>
                <w:szCs w:val="21"/>
                <w:highlight w:val="none"/>
                <w:lang w:val="en-US" w:eastAsia="zh-CN"/>
              </w:rPr>
            </w:pPr>
            <w:r>
              <w:rPr>
                <w:rFonts w:hint="eastAsia" w:ascii="Times New Roman" w:hAnsi="Times New Roman" w:cs="Times New Roman" w:eastAsiaTheme="minorEastAsia"/>
                <w:color w:val="auto"/>
                <w:kern w:val="0"/>
                <w:szCs w:val="21"/>
                <w:highlight w:val="none"/>
                <w:lang w:eastAsia="zh-CN"/>
              </w:rPr>
              <w:t>⑩</w:t>
            </w:r>
            <w:r>
              <w:rPr>
                <w:rFonts w:hint="eastAsia" w:ascii="Times New Roman" w:hAnsi="Times New Roman" w:cs="Times New Roman" w:eastAsiaTheme="minorEastAsia"/>
                <w:color w:val="auto"/>
                <w:kern w:val="0"/>
                <w:szCs w:val="21"/>
                <w:highlight w:val="none"/>
                <w:lang w:val="en-US" w:eastAsia="zh-CN"/>
              </w:rPr>
              <w:t>密胺树脂</w:t>
            </w:r>
            <w:r>
              <w:rPr>
                <w:rFonts w:hint="eastAsia" w:ascii="Times New Roman" w:hAnsi="Times New Roman" w:cs="Times New Roman" w:eastAsiaTheme="minorEastAsia"/>
                <w:color w:val="auto"/>
                <w:kern w:val="0"/>
                <w:szCs w:val="21"/>
                <w:highlight w:val="none"/>
                <w:lang w:eastAsia="zh-CN"/>
              </w:rPr>
              <w:t>：三聚氰胺共聚树脂（melamine co-polycondensation resin）在三聚氰胺、甲醛聚合体系中加入第三组分共聚合所得的树脂。第三组分如：苯酚、脲、苯并胍胺等。共聚合所得的树脂与三聚氰胺树脂相比，改进了三聚氰胺树脂的耐开裂性和耐污染性，降低了成本，为树脂增硬耐刮填料，</w:t>
            </w:r>
            <w:r>
              <w:rPr>
                <w:rFonts w:hint="eastAsia" w:ascii="Times New Roman" w:hAnsi="Times New Roman" w:cs="Times New Roman" w:eastAsiaTheme="minorEastAsia"/>
                <w:color w:val="auto"/>
                <w:kern w:val="0"/>
                <w:szCs w:val="21"/>
                <w:highlight w:val="none"/>
                <w:lang w:val="en-US" w:eastAsia="zh-CN"/>
              </w:rPr>
              <w:t>查阅相关资料及参照淄博旭峰金刚石制品有限公司密胺树脂成分可知，</w:t>
            </w:r>
            <w:r>
              <w:rPr>
                <w:rFonts w:hint="eastAsia" w:ascii="Times New Roman" w:hAnsi="Times New Roman" w:cs="Times New Roman" w:eastAsiaTheme="minorEastAsia"/>
                <w:color w:val="auto"/>
                <w:kern w:val="0"/>
                <w:szCs w:val="21"/>
                <w:highlight w:val="none"/>
                <w:lang w:eastAsia="zh-CN"/>
              </w:rPr>
              <w:t>游离</w:t>
            </w:r>
            <w:r>
              <w:rPr>
                <w:rFonts w:hint="eastAsia" w:ascii="Times New Roman" w:hAnsi="Times New Roman" w:cs="Times New Roman" w:eastAsiaTheme="minorEastAsia"/>
                <w:color w:val="auto"/>
                <w:kern w:val="0"/>
                <w:szCs w:val="21"/>
                <w:highlight w:val="none"/>
                <w:lang w:val="en-US" w:eastAsia="zh-CN"/>
              </w:rPr>
              <w:t>甲</w:t>
            </w:r>
            <w:r>
              <w:rPr>
                <w:rFonts w:hint="eastAsia" w:ascii="Times New Roman" w:hAnsi="Times New Roman" w:cs="Times New Roman" w:eastAsiaTheme="minorEastAsia"/>
                <w:color w:val="auto"/>
                <w:kern w:val="0"/>
                <w:szCs w:val="21"/>
                <w:highlight w:val="none"/>
                <w:lang w:eastAsia="zh-CN"/>
              </w:rPr>
              <w:t>醛≤0.</w:t>
            </w:r>
            <w:r>
              <w:rPr>
                <w:rFonts w:hint="eastAsia" w:ascii="Times New Roman" w:hAnsi="Times New Roman" w:cs="Times New Roman" w:eastAsiaTheme="minorEastAsia"/>
                <w:color w:val="auto"/>
                <w:kern w:val="0"/>
                <w:szCs w:val="21"/>
                <w:highlight w:val="none"/>
                <w:lang w:val="en-US" w:eastAsia="zh-CN"/>
              </w:rPr>
              <w:t>1</w:t>
            </w:r>
            <w:r>
              <w:rPr>
                <w:rFonts w:hint="eastAsia" w:ascii="Times New Roman" w:hAnsi="Times New Roman" w:cs="Times New Roman" w:eastAsiaTheme="minorEastAsia"/>
                <w:color w:val="auto"/>
                <w:kern w:val="0"/>
                <w:szCs w:val="21"/>
                <w:highlight w:val="none"/>
                <w:lang w:eastAsia="zh-CN"/>
              </w:rPr>
              <w:t>%。</w:t>
            </w:r>
          </w:p>
          <w:p w14:paraId="5AC75255">
            <w:pPr>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10、主要生产设备</w:t>
            </w:r>
          </w:p>
          <w:p w14:paraId="68C94F8C">
            <w:pPr>
              <w:spacing w:line="360" w:lineRule="auto"/>
              <w:ind w:firstLine="420" w:firstLineChars="200"/>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本项目主要生产设备见表2-</w:t>
            </w:r>
            <w:r>
              <w:rPr>
                <w:rFonts w:hint="eastAsia" w:cs="Times New Roman" w:eastAsiaTheme="minorEastAsia"/>
                <w:color w:val="auto"/>
                <w:kern w:val="0"/>
                <w:szCs w:val="21"/>
                <w:highlight w:val="none"/>
                <w:lang w:val="en-US" w:eastAsia="zh-CN"/>
              </w:rPr>
              <w:t>4</w:t>
            </w:r>
            <w:r>
              <w:rPr>
                <w:rFonts w:hint="default" w:ascii="Times New Roman" w:hAnsi="Times New Roman" w:cs="Times New Roman" w:eastAsiaTheme="minorEastAsia"/>
                <w:color w:val="auto"/>
                <w:kern w:val="0"/>
                <w:szCs w:val="21"/>
                <w:highlight w:val="none"/>
              </w:rPr>
              <w:t>。</w:t>
            </w:r>
          </w:p>
          <w:p w14:paraId="0A54BA81">
            <w:pPr>
              <w:pStyle w:val="82"/>
              <w:spacing w:after="0"/>
              <w:ind w:left="0" w:lef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default" w:ascii="Times New Roman" w:hAnsi="Times New Roman" w:eastAsia="宋体"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rPr>
              <w:t xml:space="preserve"> 项目主要生产及环保设备</w:t>
            </w:r>
          </w:p>
          <w:tbl>
            <w:tblPr>
              <w:tblStyle w:val="8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900"/>
              <w:gridCol w:w="1008"/>
              <w:gridCol w:w="1589"/>
              <w:gridCol w:w="1700"/>
              <w:gridCol w:w="1261"/>
              <w:gridCol w:w="1261"/>
            </w:tblGrid>
            <w:tr w14:paraId="2B668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blHeader/>
                <w:jc w:val="center"/>
              </w:trPr>
              <w:tc>
                <w:tcPr>
                  <w:tcW w:w="289" w:type="pct"/>
                  <w:noWrap w:val="0"/>
                  <w:vAlign w:val="center"/>
                </w:tcPr>
                <w:p w14:paraId="6CEF8D65">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序号</w:t>
                  </w:r>
                </w:p>
              </w:tc>
              <w:tc>
                <w:tcPr>
                  <w:tcW w:w="549" w:type="pct"/>
                  <w:noWrap w:val="0"/>
                  <w:vAlign w:val="center"/>
                </w:tcPr>
                <w:p w14:paraId="506FE8FB">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主要生产单元</w:t>
                  </w:r>
                </w:p>
              </w:tc>
              <w:tc>
                <w:tcPr>
                  <w:tcW w:w="615" w:type="pct"/>
                  <w:noWrap w:val="0"/>
                  <w:vAlign w:val="center"/>
                </w:tcPr>
                <w:p w14:paraId="2FAB975C">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主要工艺</w:t>
                  </w:r>
                </w:p>
              </w:tc>
              <w:tc>
                <w:tcPr>
                  <w:tcW w:w="969" w:type="pct"/>
                  <w:noWrap w:val="0"/>
                  <w:vAlign w:val="center"/>
                </w:tcPr>
                <w:p w14:paraId="0520F31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生产设施</w:t>
                  </w:r>
                </w:p>
              </w:tc>
              <w:tc>
                <w:tcPr>
                  <w:tcW w:w="1037" w:type="pct"/>
                  <w:noWrap w:val="0"/>
                  <w:vAlign w:val="center"/>
                </w:tcPr>
                <w:p w14:paraId="13BFBCA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项目数量</w:t>
                  </w:r>
                </w:p>
              </w:tc>
              <w:tc>
                <w:tcPr>
                  <w:tcW w:w="769" w:type="pct"/>
                  <w:noWrap w:val="0"/>
                  <w:vAlign w:val="center"/>
                </w:tcPr>
                <w:p w14:paraId="3A233F8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型号</w:t>
                  </w:r>
                </w:p>
              </w:tc>
              <w:tc>
                <w:tcPr>
                  <w:tcW w:w="769" w:type="pct"/>
                  <w:noWrap w:val="0"/>
                  <w:vAlign w:val="center"/>
                </w:tcPr>
                <w:p w14:paraId="6F5AB369">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cs="Times New Roman"/>
                      <w:b/>
                      <w:color w:val="auto"/>
                      <w:sz w:val="18"/>
                      <w:szCs w:val="18"/>
                      <w:highlight w:val="none"/>
                      <w:lang w:val="en-US" w:eastAsia="zh-CN"/>
                    </w:rPr>
                    <w:t>备注</w:t>
                  </w:r>
                </w:p>
              </w:tc>
            </w:tr>
            <w:tr w14:paraId="74E1D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195B9DB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1</w:t>
                  </w:r>
                </w:p>
              </w:tc>
              <w:tc>
                <w:tcPr>
                  <w:tcW w:w="549" w:type="pct"/>
                  <w:vMerge w:val="restart"/>
                  <w:noWrap w:val="0"/>
                  <w:vAlign w:val="center"/>
                </w:tcPr>
                <w:p w14:paraId="2A47FFC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磨边轮生产单元</w:t>
                  </w:r>
                </w:p>
              </w:tc>
              <w:tc>
                <w:tcPr>
                  <w:tcW w:w="615" w:type="pct"/>
                  <w:shd w:val="clear" w:color="auto" w:fill="auto"/>
                  <w:noWrap w:val="0"/>
                  <w:vAlign w:val="center"/>
                </w:tcPr>
                <w:p w14:paraId="1EEF776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筛分</w:t>
                  </w:r>
                </w:p>
              </w:tc>
              <w:tc>
                <w:tcPr>
                  <w:tcW w:w="969" w:type="pct"/>
                  <w:shd w:val="clear" w:color="auto" w:fill="auto"/>
                  <w:noWrap w:val="0"/>
                  <w:vAlign w:val="center"/>
                </w:tcPr>
                <w:p w14:paraId="6086261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振动筛</w:t>
                  </w:r>
                </w:p>
              </w:tc>
              <w:tc>
                <w:tcPr>
                  <w:tcW w:w="1037" w:type="pct"/>
                  <w:shd w:val="clear" w:color="auto" w:fill="auto"/>
                  <w:noWrap w:val="0"/>
                  <w:vAlign w:val="center"/>
                </w:tcPr>
                <w:p w14:paraId="7C02AFD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2</w:t>
                  </w:r>
                  <w:r>
                    <w:rPr>
                      <w:rFonts w:hint="eastAsia" w:ascii="Times New Roman" w:hAnsi="Times New Roman" w:eastAsia="宋体" w:cs="Times New Roman"/>
                      <w:bCs/>
                      <w:color w:val="auto"/>
                      <w:sz w:val="18"/>
                      <w:szCs w:val="18"/>
                      <w:highlight w:val="none"/>
                    </w:rPr>
                    <w:t>台</w:t>
                  </w:r>
                </w:p>
              </w:tc>
              <w:tc>
                <w:tcPr>
                  <w:tcW w:w="769" w:type="pct"/>
                  <w:noWrap w:val="0"/>
                  <w:vAlign w:val="center"/>
                </w:tcPr>
                <w:p w14:paraId="08FBFE7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w:t>
                  </w:r>
                </w:p>
              </w:tc>
              <w:tc>
                <w:tcPr>
                  <w:tcW w:w="769" w:type="pct"/>
                  <w:noWrap w:val="0"/>
                  <w:vAlign w:val="center"/>
                </w:tcPr>
                <w:p w14:paraId="427F4B3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rPr>
                  </w:pPr>
                  <w:r>
                    <w:rPr>
                      <w:rFonts w:hint="eastAsia" w:ascii="Times New Roman" w:hAnsi="Times New Roman" w:eastAsia="宋体" w:cs="Times New Roman"/>
                      <w:bCs/>
                      <w:color w:val="auto"/>
                      <w:sz w:val="18"/>
                      <w:szCs w:val="18"/>
                      <w:highlight w:val="none"/>
                      <w:lang w:val="en-US" w:eastAsia="zh-CN"/>
                    </w:rPr>
                    <w:t>位于1#生产车间</w:t>
                  </w:r>
                </w:p>
              </w:tc>
            </w:tr>
            <w:tr w14:paraId="6CF90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645D384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2</w:t>
                  </w:r>
                </w:p>
              </w:tc>
              <w:tc>
                <w:tcPr>
                  <w:tcW w:w="549" w:type="pct"/>
                  <w:vMerge w:val="continue"/>
                  <w:noWrap w:val="0"/>
                  <w:vAlign w:val="center"/>
                </w:tcPr>
                <w:p w14:paraId="7EB2DDCE">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336B8F6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筛分</w:t>
                  </w:r>
                </w:p>
              </w:tc>
              <w:tc>
                <w:tcPr>
                  <w:tcW w:w="969" w:type="pct"/>
                  <w:shd w:val="clear" w:color="auto" w:fill="auto"/>
                  <w:noWrap w:val="0"/>
                  <w:vAlign w:val="center"/>
                </w:tcPr>
                <w:p w14:paraId="6BAA9A52">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筛选机</w:t>
                  </w:r>
                </w:p>
              </w:tc>
              <w:tc>
                <w:tcPr>
                  <w:tcW w:w="1037" w:type="pct"/>
                  <w:shd w:val="clear" w:color="auto" w:fill="auto"/>
                  <w:noWrap w:val="0"/>
                  <w:vAlign w:val="center"/>
                </w:tcPr>
                <w:p w14:paraId="40D322B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1台</w:t>
                  </w:r>
                </w:p>
              </w:tc>
              <w:tc>
                <w:tcPr>
                  <w:tcW w:w="769" w:type="pct"/>
                  <w:shd w:val="clear" w:color="auto" w:fill="auto"/>
                  <w:noWrap w:val="0"/>
                  <w:vAlign w:val="center"/>
                </w:tcPr>
                <w:p w14:paraId="0F4E947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6B7F962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位于1#生产车间</w:t>
                  </w:r>
                </w:p>
              </w:tc>
            </w:tr>
            <w:tr w14:paraId="73071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731E898E">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3</w:t>
                  </w:r>
                </w:p>
              </w:tc>
              <w:tc>
                <w:tcPr>
                  <w:tcW w:w="549" w:type="pct"/>
                  <w:vMerge w:val="continue"/>
                  <w:noWrap w:val="0"/>
                  <w:vAlign w:val="center"/>
                </w:tcPr>
                <w:p w14:paraId="63DD95D2">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255DD67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混料</w:t>
                  </w:r>
                </w:p>
              </w:tc>
              <w:tc>
                <w:tcPr>
                  <w:tcW w:w="969" w:type="pct"/>
                  <w:shd w:val="clear" w:color="auto" w:fill="auto"/>
                  <w:noWrap w:val="0"/>
                  <w:vAlign w:val="center"/>
                </w:tcPr>
                <w:p w14:paraId="4F7948B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混料机</w:t>
                  </w:r>
                </w:p>
              </w:tc>
              <w:tc>
                <w:tcPr>
                  <w:tcW w:w="1037" w:type="pct"/>
                  <w:shd w:val="clear" w:color="auto" w:fill="auto"/>
                  <w:noWrap w:val="0"/>
                  <w:vAlign w:val="center"/>
                </w:tcPr>
                <w:p w14:paraId="6D07D6D9">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4</w:t>
                  </w:r>
                  <w:r>
                    <w:rPr>
                      <w:rFonts w:ascii="Times New Roman" w:hAnsi="Times New Roman" w:eastAsia="宋体" w:cs="Times New Roman"/>
                      <w:bCs/>
                      <w:color w:val="auto"/>
                      <w:sz w:val="18"/>
                      <w:szCs w:val="18"/>
                      <w:highlight w:val="none"/>
                    </w:rPr>
                    <w:t>台</w:t>
                  </w:r>
                </w:p>
              </w:tc>
              <w:tc>
                <w:tcPr>
                  <w:tcW w:w="769" w:type="pct"/>
                  <w:shd w:val="clear" w:color="auto" w:fill="auto"/>
                  <w:noWrap w:val="0"/>
                  <w:vAlign w:val="center"/>
                </w:tcPr>
                <w:p w14:paraId="44685E5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2137819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位于1#生产车间</w:t>
                  </w:r>
                </w:p>
              </w:tc>
            </w:tr>
            <w:tr w14:paraId="16ABF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3AD98327">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4</w:t>
                  </w:r>
                </w:p>
              </w:tc>
              <w:tc>
                <w:tcPr>
                  <w:tcW w:w="549" w:type="pct"/>
                  <w:vMerge w:val="continue"/>
                  <w:noWrap w:val="0"/>
                  <w:vAlign w:val="center"/>
                </w:tcPr>
                <w:p w14:paraId="5122CF8C">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71074D1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冷压</w:t>
                  </w:r>
                </w:p>
              </w:tc>
              <w:tc>
                <w:tcPr>
                  <w:tcW w:w="969" w:type="pct"/>
                  <w:shd w:val="clear" w:color="auto" w:fill="auto"/>
                  <w:noWrap w:val="0"/>
                  <w:vAlign w:val="center"/>
                </w:tcPr>
                <w:p w14:paraId="173C395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冷压机</w:t>
                  </w:r>
                </w:p>
              </w:tc>
              <w:tc>
                <w:tcPr>
                  <w:tcW w:w="1037" w:type="pct"/>
                  <w:shd w:val="clear" w:color="auto" w:fill="auto"/>
                  <w:noWrap w:val="0"/>
                  <w:vAlign w:val="center"/>
                </w:tcPr>
                <w:p w14:paraId="7A84FBD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4台</w:t>
                  </w:r>
                </w:p>
              </w:tc>
              <w:tc>
                <w:tcPr>
                  <w:tcW w:w="769" w:type="pct"/>
                  <w:shd w:val="clear" w:color="auto" w:fill="auto"/>
                  <w:noWrap w:val="0"/>
                  <w:vAlign w:val="center"/>
                </w:tcPr>
                <w:p w14:paraId="1A0C8FC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03901D9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位于1#生产车间</w:t>
                  </w:r>
                </w:p>
              </w:tc>
            </w:tr>
            <w:tr w14:paraId="3F0EC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2FC6DE3E">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5</w:t>
                  </w:r>
                </w:p>
              </w:tc>
              <w:tc>
                <w:tcPr>
                  <w:tcW w:w="549" w:type="pct"/>
                  <w:vMerge w:val="continue"/>
                  <w:noWrap w:val="0"/>
                  <w:vAlign w:val="center"/>
                </w:tcPr>
                <w:p w14:paraId="2315223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68D5CEB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切割</w:t>
                  </w:r>
                </w:p>
              </w:tc>
              <w:tc>
                <w:tcPr>
                  <w:tcW w:w="969" w:type="pct"/>
                  <w:shd w:val="clear" w:color="auto" w:fill="auto"/>
                  <w:noWrap w:val="0"/>
                  <w:vAlign w:val="center"/>
                </w:tcPr>
                <w:p w14:paraId="78E4AE2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开刃机</w:t>
                  </w:r>
                </w:p>
              </w:tc>
              <w:tc>
                <w:tcPr>
                  <w:tcW w:w="1037" w:type="pct"/>
                  <w:shd w:val="clear" w:color="auto" w:fill="auto"/>
                  <w:noWrap w:val="0"/>
                  <w:vAlign w:val="center"/>
                </w:tcPr>
                <w:p w14:paraId="1C8B58A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2台</w:t>
                  </w:r>
                </w:p>
              </w:tc>
              <w:tc>
                <w:tcPr>
                  <w:tcW w:w="769" w:type="pct"/>
                  <w:shd w:val="clear" w:color="auto" w:fill="auto"/>
                  <w:noWrap w:val="0"/>
                  <w:vAlign w:val="center"/>
                </w:tcPr>
                <w:p w14:paraId="789E26D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73B416D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位于1#生产车间</w:t>
                  </w:r>
                </w:p>
              </w:tc>
            </w:tr>
            <w:tr w14:paraId="2A8FF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38A15A4C">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6</w:t>
                  </w:r>
                </w:p>
              </w:tc>
              <w:tc>
                <w:tcPr>
                  <w:tcW w:w="549" w:type="pct"/>
                  <w:vMerge w:val="continue"/>
                  <w:noWrap w:val="0"/>
                  <w:vAlign w:val="center"/>
                </w:tcPr>
                <w:p w14:paraId="42A78F3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14CB9FD4">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车削</w:t>
                  </w:r>
                </w:p>
              </w:tc>
              <w:tc>
                <w:tcPr>
                  <w:tcW w:w="969" w:type="pct"/>
                  <w:shd w:val="clear" w:color="auto" w:fill="auto"/>
                  <w:noWrap w:val="0"/>
                  <w:vAlign w:val="center"/>
                </w:tcPr>
                <w:p w14:paraId="4A09B902">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车床</w:t>
                  </w:r>
                </w:p>
              </w:tc>
              <w:tc>
                <w:tcPr>
                  <w:tcW w:w="1037" w:type="pct"/>
                  <w:shd w:val="clear" w:color="auto" w:fill="auto"/>
                  <w:noWrap w:val="0"/>
                  <w:vAlign w:val="center"/>
                </w:tcPr>
                <w:p w14:paraId="1313844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2台</w:t>
                  </w:r>
                </w:p>
              </w:tc>
              <w:tc>
                <w:tcPr>
                  <w:tcW w:w="769" w:type="pct"/>
                  <w:shd w:val="clear" w:color="auto" w:fill="auto"/>
                  <w:noWrap w:val="0"/>
                  <w:vAlign w:val="center"/>
                </w:tcPr>
                <w:p w14:paraId="7544408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7101551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位于1#生产车间</w:t>
                  </w:r>
                </w:p>
              </w:tc>
            </w:tr>
            <w:tr w14:paraId="76075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29DFBC0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7</w:t>
                  </w:r>
                </w:p>
              </w:tc>
              <w:tc>
                <w:tcPr>
                  <w:tcW w:w="549" w:type="pct"/>
                  <w:vMerge w:val="continue"/>
                  <w:noWrap w:val="0"/>
                  <w:vAlign w:val="center"/>
                </w:tcPr>
                <w:p w14:paraId="37E5BDC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4CB8051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焊接</w:t>
                  </w:r>
                </w:p>
              </w:tc>
              <w:tc>
                <w:tcPr>
                  <w:tcW w:w="969" w:type="pct"/>
                  <w:shd w:val="clear" w:color="auto" w:fill="auto"/>
                  <w:noWrap w:val="0"/>
                  <w:vAlign w:val="center"/>
                </w:tcPr>
                <w:p w14:paraId="60FF79E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高频焊机</w:t>
                  </w:r>
                </w:p>
              </w:tc>
              <w:tc>
                <w:tcPr>
                  <w:tcW w:w="1037" w:type="pct"/>
                  <w:shd w:val="clear" w:color="auto" w:fill="auto"/>
                  <w:noWrap w:val="0"/>
                  <w:vAlign w:val="center"/>
                </w:tcPr>
                <w:p w14:paraId="3B4759E7">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2台</w:t>
                  </w:r>
                </w:p>
              </w:tc>
              <w:tc>
                <w:tcPr>
                  <w:tcW w:w="769" w:type="pct"/>
                  <w:shd w:val="clear" w:color="auto" w:fill="auto"/>
                  <w:noWrap w:val="0"/>
                  <w:vAlign w:val="center"/>
                </w:tcPr>
                <w:p w14:paraId="6533CBB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136CA21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位于1#生产车间</w:t>
                  </w:r>
                </w:p>
              </w:tc>
            </w:tr>
            <w:tr w14:paraId="4A14E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7C7B1EA4">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w:t>
                  </w:r>
                </w:p>
              </w:tc>
              <w:tc>
                <w:tcPr>
                  <w:tcW w:w="549" w:type="pct"/>
                  <w:vMerge w:val="continue"/>
                  <w:noWrap w:val="0"/>
                  <w:vAlign w:val="center"/>
                </w:tcPr>
                <w:p w14:paraId="324582B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149D3B95">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钻孔</w:t>
                  </w:r>
                </w:p>
              </w:tc>
              <w:tc>
                <w:tcPr>
                  <w:tcW w:w="969" w:type="pct"/>
                  <w:shd w:val="clear" w:color="auto" w:fill="auto"/>
                  <w:noWrap w:val="0"/>
                  <w:vAlign w:val="center"/>
                </w:tcPr>
                <w:p w14:paraId="751496F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台钻</w:t>
                  </w:r>
                </w:p>
              </w:tc>
              <w:tc>
                <w:tcPr>
                  <w:tcW w:w="1037" w:type="pct"/>
                  <w:shd w:val="clear" w:color="auto" w:fill="auto"/>
                  <w:noWrap w:val="0"/>
                  <w:vAlign w:val="center"/>
                </w:tcPr>
                <w:p w14:paraId="3702863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4台</w:t>
                  </w:r>
                </w:p>
              </w:tc>
              <w:tc>
                <w:tcPr>
                  <w:tcW w:w="769" w:type="pct"/>
                  <w:shd w:val="clear" w:color="auto" w:fill="auto"/>
                  <w:noWrap w:val="0"/>
                  <w:vAlign w:val="center"/>
                </w:tcPr>
                <w:p w14:paraId="2E41D82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580B4A6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位于1#生产车间</w:t>
                  </w:r>
                </w:p>
              </w:tc>
            </w:tr>
            <w:tr w14:paraId="32977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45EC06E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9</w:t>
                  </w:r>
                </w:p>
              </w:tc>
              <w:tc>
                <w:tcPr>
                  <w:tcW w:w="549" w:type="pct"/>
                  <w:vMerge w:val="continue"/>
                  <w:noWrap w:val="0"/>
                  <w:vAlign w:val="center"/>
                </w:tcPr>
                <w:p w14:paraId="447CC3D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791A210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打磨</w:t>
                  </w:r>
                </w:p>
              </w:tc>
              <w:tc>
                <w:tcPr>
                  <w:tcW w:w="969" w:type="pct"/>
                  <w:shd w:val="clear" w:color="auto" w:fill="auto"/>
                  <w:noWrap w:val="0"/>
                  <w:vAlign w:val="center"/>
                </w:tcPr>
                <w:p w14:paraId="7A408C4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砂轮机</w:t>
                  </w:r>
                </w:p>
              </w:tc>
              <w:tc>
                <w:tcPr>
                  <w:tcW w:w="1037" w:type="pct"/>
                  <w:shd w:val="clear" w:color="auto" w:fill="auto"/>
                  <w:noWrap w:val="0"/>
                  <w:vAlign w:val="center"/>
                </w:tcPr>
                <w:p w14:paraId="323D927E">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4台</w:t>
                  </w:r>
                </w:p>
              </w:tc>
              <w:tc>
                <w:tcPr>
                  <w:tcW w:w="769" w:type="pct"/>
                  <w:shd w:val="clear" w:color="auto" w:fill="auto"/>
                  <w:noWrap w:val="0"/>
                  <w:vAlign w:val="center"/>
                </w:tcPr>
                <w:p w14:paraId="3738674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4C7A1AA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位于1#生产车间</w:t>
                  </w:r>
                </w:p>
              </w:tc>
            </w:tr>
            <w:tr w14:paraId="41896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7CE1423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kern w:val="2"/>
                      <w:sz w:val="18"/>
                      <w:szCs w:val="18"/>
                      <w:highlight w:val="none"/>
                      <w:lang w:val="en-US" w:eastAsia="zh-CN" w:bidi="ar-SA"/>
                    </w:rPr>
                    <w:t>10</w:t>
                  </w:r>
                </w:p>
              </w:tc>
              <w:tc>
                <w:tcPr>
                  <w:tcW w:w="549" w:type="pct"/>
                  <w:vMerge w:val="continue"/>
                  <w:noWrap w:val="0"/>
                  <w:vAlign w:val="center"/>
                </w:tcPr>
                <w:p w14:paraId="782F775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7903530C">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平衡检验</w:t>
                  </w:r>
                </w:p>
              </w:tc>
              <w:tc>
                <w:tcPr>
                  <w:tcW w:w="969" w:type="pct"/>
                  <w:shd w:val="clear" w:color="auto" w:fill="auto"/>
                  <w:noWrap w:val="0"/>
                  <w:vAlign w:val="center"/>
                </w:tcPr>
                <w:p w14:paraId="0D002EE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平衡机</w:t>
                  </w:r>
                </w:p>
              </w:tc>
              <w:tc>
                <w:tcPr>
                  <w:tcW w:w="1037" w:type="pct"/>
                  <w:shd w:val="clear" w:color="auto" w:fill="auto"/>
                  <w:noWrap w:val="0"/>
                  <w:vAlign w:val="center"/>
                </w:tcPr>
                <w:p w14:paraId="2D58257C">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1台</w:t>
                  </w:r>
                </w:p>
              </w:tc>
              <w:tc>
                <w:tcPr>
                  <w:tcW w:w="769" w:type="pct"/>
                  <w:shd w:val="clear" w:color="auto" w:fill="auto"/>
                  <w:noWrap w:val="0"/>
                  <w:vAlign w:val="center"/>
                </w:tcPr>
                <w:p w14:paraId="5D05CD2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636724B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位于1#生产车间</w:t>
                  </w:r>
                </w:p>
              </w:tc>
            </w:tr>
            <w:tr w14:paraId="360EC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4516576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11</w:t>
                  </w:r>
                </w:p>
              </w:tc>
              <w:tc>
                <w:tcPr>
                  <w:tcW w:w="549" w:type="pct"/>
                  <w:vMerge w:val="continue"/>
                  <w:noWrap w:val="0"/>
                  <w:vAlign w:val="center"/>
                </w:tcPr>
                <w:p w14:paraId="0617F6F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09BB5BE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喷砂</w:t>
                  </w:r>
                </w:p>
              </w:tc>
              <w:tc>
                <w:tcPr>
                  <w:tcW w:w="969" w:type="pct"/>
                  <w:shd w:val="clear" w:color="auto" w:fill="auto"/>
                  <w:noWrap w:val="0"/>
                  <w:vAlign w:val="center"/>
                </w:tcPr>
                <w:p w14:paraId="02292B5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喷砂机</w:t>
                  </w:r>
                </w:p>
              </w:tc>
              <w:tc>
                <w:tcPr>
                  <w:tcW w:w="1037" w:type="pct"/>
                  <w:shd w:val="clear" w:color="auto" w:fill="auto"/>
                  <w:noWrap w:val="0"/>
                  <w:vAlign w:val="center"/>
                </w:tcPr>
                <w:p w14:paraId="1087BE57">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1台</w:t>
                  </w:r>
                </w:p>
              </w:tc>
              <w:tc>
                <w:tcPr>
                  <w:tcW w:w="769" w:type="pct"/>
                  <w:shd w:val="clear" w:color="auto" w:fill="auto"/>
                  <w:noWrap w:val="0"/>
                  <w:vAlign w:val="center"/>
                </w:tcPr>
                <w:p w14:paraId="5D1E897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0E5254D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位于1#生产车间</w:t>
                  </w:r>
                </w:p>
              </w:tc>
            </w:tr>
            <w:tr w14:paraId="6DAB4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89" w:type="pct"/>
                  <w:shd w:val="clear" w:color="auto" w:fill="auto"/>
                  <w:noWrap w:val="0"/>
                  <w:vAlign w:val="center"/>
                </w:tcPr>
                <w:p w14:paraId="33A20E0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12</w:t>
                  </w:r>
                </w:p>
              </w:tc>
              <w:tc>
                <w:tcPr>
                  <w:tcW w:w="549" w:type="pct"/>
                  <w:vMerge w:val="restart"/>
                  <w:noWrap w:val="0"/>
                  <w:vAlign w:val="center"/>
                </w:tcPr>
                <w:p w14:paraId="0689C67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弹性磨块生产单元</w:t>
                  </w:r>
                </w:p>
              </w:tc>
              <w:tc>
                <w:tcPr>
                  <w:tcW w:w="615" w:type="pct"/>
                  <w:noWrap w:val="0"/>
                  <w:vAlign w:val="center"/>
                </w:tcPr>
                <w:p w14:paraId="3F986347">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筛分</w:t>
                  </w:r>
                </w:p>
              </w:tc>
              <w:tc>
                <w:tcPr>
                  <w:tcW w:w="969" w:type="pct"/>
                  <w:shd w:val="clear" w:color="auto" w:fill="auto"/>
                  <w:noWrap w:val="0"/>
                  <w:vAlign w:val="center"/>
                </w:tcPr>
                <w:p w14:paraId="3341DE7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振动筛</w:t>
                  </w:r>
                </w:p>
              </w:tc>
              <w:tc>
                <w:tcPr>
                  <w:tcW w:w="1037" w:type="pct"/>
                  <w:shd w:val="clear" w:color="auto" w:fill="auto"/>
                  <w:noWrap w:val="0"/>
                  <w:vAlign w:val="center"/>
                </w:tcPr>
                <w:p w14:paraId="560C712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3</w:t>
                  </w:r>
                  <w:r>
                    <w:rPr>
                      <w:rFonts w:hint="eastAsia" w:ascii="Times New Roman" w:hAnsi="Times New Roman" w:eastAsia="宋体" w:cs="Times New Roman"/>
                      <w:bCs/>
                      <w:color w:val="auto"/>
                      <w:sz w:val="18"/>
                      <w:szCs w:val="18"/>
                      <w:highlight w:val="none"/>
                    </w:rPr>
                    <w:t>台</w:t>
                  </w:r>
                </w:p>
              </w:tc>
              <w:tc>
                <w:tcPr>
                  <w:tcW w:w="769" w:type="pct"/>
                  <w:noWrap w:val="0"/>
                  <w:vAlign w:val="center"/>
                </w:tcPr>
                <w:p w14:paraId="265E09E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rPr>
                    <w:t>/</w:t>
                  </w:r>
                </w:p>
              </w:tc>
              <w:tc>
                <w:tcPr>
                  <w:tcW w:w="769" w:type="pct"/>
                  <w:noWrap w:val="0"/>
                  <w:vAlign w:val="center"/>
                </w:tcPr>
                <w:p w14:paraId="4870B87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yellow"/>
                      <w:lang w:val="en-US" w:eastAsia="zh-CN"/>
                    </w:rPr>
                  </w:pPr>
                  <w:r>
                    <w:rPr>
                      <w:rFonts w:hint="eastAsia" w:ascii="Times New Roman" w:hAnsi="Times New Roman" w:eastAsia="宋体" w:cs="Times New Roman"/>
                      <w:bCs/>
                      <w:color w:val="auto"/>
                      <w:sz w:val="18"/>
                      <w:szCs w:val="18"/>
                      <w:highlight w:val="none"/>
                      <w:lang w:val="en-US" w:eastAsia="zh-CN"/>
                    </w:rPr>
                    <w:t>位于3#生产车间</w:t>
                  </w:r>
                </w:p>
              </w:tc>
            </w:tr>
            <w:tr w14:paraId="3F853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blHeader/>
                <w:jc w:val="center"/>
              </w:trPr>
              <w:tc>
                <w:tcPr>
                  <w:tcW w:w="289" w:type="pct"/>
                  <w:shd w:val="clear" w:color="auto" w:fill="auto"/>
                  <w:noWrap w:val="0"/>
                  <w:vAlign w:val="center"/>
                </w:tcPr>
                <w:p w14:paraId="4AFF772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13</w:t>
                  </w:r>
                </w:p>
              </w:tc>
              <w:tc>
                <w:tcPr>
                  <w:tcW w:w="549" w:type="pct"/>
                  <w:vMerge w:val="continue"/>
                  <w:noWrap w:val="0"/>
                  <w:vAlign w:val="center"/>
                </w:tcPr>
                <w:p w14:paraId="778F39B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rPr>
                  </w:pPr>
                </w:p>
              </w:tc>
              <w:tc>
                <w:tcPr>
                  <w:tcW w:w="615" w:type="pct"/>
                  <w:noWrap w:val="0"/>
                  <w:vAlign w:val="center"/>
                </w:tcPr>
                <w:p w14:paraId="6A108B0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混料</w:t>
                  </w:r>
                </w:p>
              </w:tc>
              <w:tc>
                <w:tcPr>
                  <w:tcW w:w="969" w:type="pct"/>
                  <w:shd w:val="clear" w:color="auto" w:fill="auto"/>
                  <w:noWrap w:val="0"/>
                  <w:vAlign w:val="center"/>
                </w:tcPr>
                <w:p w14:paraId="75A0FEC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混料机</w:t>
                  </w:r>
                </w:p>
              </w:tc>
              <w:tc>
                <w:tcPr>
                  <w:tcW w:w="1037" w:type="pct"/>
                  <w:shd w:val="clear" w:color="auto" w:fill="auto"/>
                  <w:noWrap w:val="0"/>
                  <w:vAlign w:val="center"/>
                </w:tcPr>
                <w:p w14:paraId="28BBDD5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6</w:t>
                  </w:r>
                  <w:r>
                    <w:rPr>
                      <w:rFonts w:ascii="Times New Roman" w:hAnsi="Times New Roman" w:eastAsia="宋体" w:cs="Times New Roman"/>
                      <w:bCs/>
                      <w:color w:val="auto"/>
                      <w:sz w:val="18"/>
                      <w:szCs w:val="18"/>
                      <w:highlight w:val="none"/>
                    </w:rPr>
                    <w:t>台</w:t>
                  </w:r>
                </w:p>
              </w:tc>
              <w:tc>
                <w:tcPr>
                  <w:tcW w:w="769" w:type="pct"/>
                  <w:noWrap w:val="0"/>
                  <w:vAlign w:val="center"/>
                </w:tcPr>
                <w:p w14:paraId="1DD79D5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rPr>
                    <w:t>/</w:t>
                  </w:r>
                </w:p>
              </w:tc>
              <w:tc>
                <w:tcPr>
                  <w:tcW w:w="769" w:type="pct"/>
                  <w:noWrap w:val="0"/>
                  <w:vAlign w:val="center"/>
                </w:tcPr>
                <w:p w14:paraId="516E360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yellow"/>
                      <w:lang w:val="en-US" w:eastAsia="zh-CN"/>
                    </w:rPr>
                  </w:pPr>
                  <w:r>
                    <w:rPr>
                      <w:rFonts w:hint="eastAsia" w:ascii="Times New Roman" w:hAnsi="Times New Roman" w:eastAsia="宋体" w:cs="Times New Roman"/>
                      <w:bCs/>
                      <w:color w:val="auto"/>
                      <w:sz w:val="18"/>
                      <w:szCs w:val="18"/>
                      <w:highlight w:val="none"/>
                      <w:lang w:val="en-US" w:eastAsia="zh-CN"/>
                    </w:rPr>
                    <w:t>位于3#生产车间</w:t>
                  </w:r>
                </w:p>
              </w:tc>
            </w:tr>
            <w:tr w14:paraId="5EF0B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67BC2CA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14</w:t>
                  </w:r>
                </w:p>
              </w:tc>
              <w:tc>
                <w:tcPr>
                  <w:tcW w:w="549" w:type="pct"/>
                  <w:vMerge w:val="continue"/>
                  <w:noWrap w:val="0"/>
                  <w:vAlign w:val="center"/>
                </w:tcPr>
                <w:p w14:paraId="62984145">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p>
              </w:tc>
              <w:tc>
                <w:tcPr>
                  <w:tcW w:w="615" w:type="pct"/>
                  <w:shd w:val="clear" w:color="auto" w:fill="auto"/>
                  <w:noWrap w:val="0"/>
                  <w:vAlign w:val="center"/>
                </w:tcPr>
                <w:p w14:paraId="3BC5C05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热压</w:t>
                  </w:r>
                </w:p>
              </w:tc>
              <w:tc>
                <w:tcPr>
                  <w:tcW w:w="969" w:type="pct"/>
                  <w:shd w:val="clear" w:color="auto" w:fill="auto"/>
                  <w:noWrap w:val="0"/>
                  <w:vAlign w:val="center"/>
                </w:tcPr>
                <w:p w14:paraId="5659BC4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热压机</w:t>
                  </w:r>
                </w:p>
              </w:tc>
              <w:tc>
                <w:tcPr>
                  <w:tcW w:w="1037" w:type="pct"/>
                  <w:shd w:val="clear" w:color="auto" w:fill="auto"/>
                  <w:noWrap w:val="0"/>
                  <w:vAlign w:val="center"/>
                </w:tcPr>
                <w:p w14:paraId="26D3BEB5">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1</w:t>
                  </w:r>
                  <w:r>
                    <w:rPr>
                      <w:rFonts w:ascii="Times New Roman" w:hAnsi="Times New Roman" w:eastAsia="宋体" w:cs="Times New Roman"/>
                      <w:bCs/>
                      <w:color w:val="auto"/>
                      <w:sz w:val="18"/>
                      <w:szCs w:val="18"/>
                      <w:highlight w:val="none"/>
                    </w:rPr>
                    <w:t>5台</w:t>
                  </w:r>
                </w:p>
              </w:tc>
              <w:tc>
                <w:tcPr>
                  <w:tcW w:w="769" w:type="pct"/>
                  <w:noWrap w:val="0"/>
                  <w:vAlign w:val="center"/>
                </w:tcPr>
                <w:p w14:paraId="07F9C6E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rPr>
                    <w:t>/</w:t>
                  </w:r>
                </w:p>
              </w:tc>
              <w:tc>
                <w:tcPr>
                  <w:tcW w:w="769" w:type="pct"/>
                  <w:noWrap w:val="0"/>
                  <w:vAlign w:val="center"/>
                </w:tcPr>
                <w:p w14:paraId="2D27544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yellow"/>
                      <w:lang w:val="en-US" w:eastAsia="zh-CN"/>
                    </w:rPr>
                  </w:pPr>
                  <w:r>
                    <w:rPr>
                      <w:rFonts w:hint="eastAsia" w:ascii="Times New Roman" w:hAnsi="Times New Roman" w:eastAsia="宋体" w:cs="Times New Roman"/>
                      <w:bCs/>
                      <w:color w:val="auto"/>
                      <w:sz w:val="18"/>
                      <w:szCs w:val="18"/>
                      <w:highlight w:val="none"/>
                      <w:lang w:val="en-US" w:eastAsia="zh-CN"/>
                    </w:rPr>
                    <w:t>位于2#生产车间</w:t>
                  </w:r>
                </w:p>
              </w:tc>
            </w:tr>
            <w:tr w14:paraId="57ACE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313E208B">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15</w:t>
                  </w:r>
                </w:p>
              </w:tc>
              <w:tc>
                <w:tcPr>
                  <w:tcW w:w="549" w:type="pct"/>
                  <w:vMerge w:val="continue"/>
                  <w:noWrap w:val="0"/>
                  <w:vAlign w:val="center"/>
                </w:tcPr>
                <w:p w14:paraId="77EB8DE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lang w:val="en-US"/>
                    </w:rPr>
                  </w:pPr>
                </w:p>
              </w:tc>
              <w:tc>
                <w:tcPr>
                  <w:tcW w:w="615" w:type="pct"/>
                  <w:shd w:val="clear" w:color="auto" w:fill="auto"/>
                  <w:noWrap w:val="0"/>
                  <w:vAlign w:val="center"/>
                </w:tcPr>
                <w:p w14:paraId="241E7E1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脱模</w:t>
                  </w:r>
                </w:p>
              </w:tc>
              <w:tc>
                <w:tcPr>
                  <w:tcW w:w="969" w:type="pct"/>
                  <w:shd w:val="clear" w:color="auto" w:fill="auto"/>
                  <w:noWrap w:val="0"/>
                  <w:vAlign w:val="center"/>
                </w:tcPr>
                <w:p w14:paraId="19CC6972">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脱模机</w:t>
                  </w:r>
                </w:p>
              </w:tc>
              <w:tc>
                <w:tcPr>
                  <w:tcW w:w="1037" w:type="pct"/>
                  <w:shd w:val="clear" w:color="auto" w:fill="auto"/>
                  <w:noWrap w:val="0"/>
                  <w:vAlign w:val="center"/>
                </w:tcPr>
                <w:p w14:paraId="45A2829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2</w:t>
                  </w:r>
                  <w:r>
                    <w:rPr>
                      <w:rFonts w:hint="eastAsia" w:ascii="Times New Roman" w:hAnsi="Times New Roman" w:eastAsia="宋体" w:cs="Times New Roman"/>
                      <w:bCs/>
                      <w:color w:val="auto"/>
                      <w:sz w:val="18"/>
                      <w:szCs w:val="18"/>
                      <w:highlight w:val="none"/>
                      <w:lang w:val="en-US" w:eastAsia="zh-CN"/>
                    </w:rPr>
                    <w:t>台</w:t>
                  </w:r>
                </w:p>
              </w:tc>
              <w:tc>
                <w:tcPr>
                  <w:tcW w:w="769" w:type="pct"/>
                  <w:shd w:val="clear" w:color="auto" w:fill="auto"/>
                  <w:noWrap w:val="0"/>
                  <w:vAlign w:val="center"/>
                </w:tcPr>
                <w:p w14:paraId="0F646EC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2D9673D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位于2#生产车间</w:t>
                  </w:r>
                </w:p>
              </w:tc>
            </w:tr>
            <w:tr w14:paraId="1717F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3B4B1E0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16</w:t>
                  </w:r>
                </w:p>
              </w:tc>
              <w:tc>
                <w:tcPr>
                  <w:tcW w:w="549" w:type="pct"/>
                  <w:vMerge w:val="continue"/>
                  <w:noWrap w:val="0"/>
                  <w:vAlign w:val="center"/>
                </w:tcPr>
                <w:p w14:paraId="1F2EA48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lang w:val="en-US"/>
                    </w:rPr>
                  </w:pPr>
                </w:p>
              </w:tc>
              <w:tc>
                <w:tcPr>
                  <w:tcW w:w="615" w:type="pct"/>
                  <w:shd w:val="clear" w:color="auto" w:fill="auto"/>
                  <w:noWrap w:val="0"/>
                  <w:vAlign w:val="center"/>
                </w:tcPr>
                <w:p w14:paraId="5DBB600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热压</w:t>
                  </w:r>
                </w:p>
              </w:tc>
              <w:tc>
                <w:tcPr>
                  <w:tcW w:w="969" w:type="pct"/>
                  <w:shd w:val="clear" w:color="auto" w:fill="auto"/>
                  <w:noWrap w:val="0"/>
                  <w:vAlign w:val="center"/>
                </w:tcPr>
                <w:p w14:paraId="280D8CF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粘结台</w:t>
                  </w:r>
                </w:p>
              </w:tc>
              <w:tc>
                <w:tcPr>
                  <w:tcW w:w="1037" w:type="pct"/>
                  <w:shd w:val="clear" w:color="auto" w:fill="auto"/>
                  <w:noWrap w:val="0"/>
                  <w:vAlign w:val="center"/>
                </w:tcPr>
                <w:p w14:paraId="51B91F77">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4台</w:t>
                  </w:r>
                </w:p>
              </w:tc>
              <w:tc>
                <w:tcPr>
                  <w:tcW w:w="769" w:type="pct"/>
                  <w:noWrap w:val="0"/>
                  <w:vAlign w:val="center"/>
                </w:tcPr>
                <w:p w14:paraId="1AF0507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rPr>
                    <w:t>/</w:t>
                  </w:r>
                </w:p>
              </w:tc>
              <w:tc>
                <w:tcPr>
                  <w:tcW w:w="769" w:type="pct"/>
                  <w:noWrap w:val="0"/>
                  <w:vAlign w:val="center"/>
                </w:tcPr>
                <w:p w14:paraId="7F90734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yellow"/>
                      <w:lang w:val="en-US" w:eastAsia="zh-CN"/>
                    </w:rPr>
                  </w:pPr>
                  <w:r>
                    <w:rPr>
                      <w:rFonts w:hint="eastAsia" w:ascii="Times New Roman" w:hAnsi="Times New Roman" w:eastAsia="宋体" w:cs="Times New Roman"/>
                      <w:bCs/>
                      <w:color w:val="auto"/>
                      <w:sz w:val="18"/>
                      <w:szCs w:val="18"/>
                      <w:highlight w:val="none"/>
                      <w:lang w:val="en-US" w:eastAsia="zh-CN"/>
                    </w:rPr>
                    <w:t>位于3#生产车间</w:t>
                  </w:r>
                </w:p>
              </w:tc>
            </w:tr>
            <w:tr w14:paraId="77047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3F8E1ED7">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17</w:t>
                  </w:r>
                </w:p>
              </w:tc>
              <w:tc>
                <w:tcPr>
                  <w:tcW w:w="549" w:type="pct"/>
                  <w:vMerge w:val="continue"/>
                  <w:noWrap w:val="0"/>
                  <w:vAlign w:val="center"/>
                </w:tcPr>
                <w:p w14:paraId="4FEF8C1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575D94E9">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烘干</w:t>
                  </w:r>
                </w:p>
              </w:tc>
              <w:tc>
                <w:tcPr>
                  <w:tcW w:w="969" w:type="pct"/>
                  <w:shd w:val="clear" w:color="auto" w:fill="auto"/>
                  <w:noWrap w:val="0"/>
                  <w:vAlign w:val="center"/>
                </w:tcPr>
                <w:p w14:paraId="57CF44F7">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烘箱</w:t>
                  </w:r>
                </w:p>
              </w:tc>
              <w:tc>
                <w:tcPr>
                  <w:tcW w:w="1037" w:type="pct"/>
                  <w:shd w:val="clear" w:color="auto" w:fill="auto"/>
                  <w:noWrap w:val="0"/>
                  <w:vAlign w:val="center"/>
                </w:tcPr>
                <w:p w14:paraId="2E082EF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4台</w:t>
                  </w:r>
                </w:p>
              </w:tc>
              <w:tc>
                <w:tcPr>
                  <w:tcW w:w="769" w:type="pct"/>
                  <w:shd w:val="clear" w:color="auto" w:fill="auto"/>
                  <w:noWrap w:val="0"/>
                  <w:vAlign w:val="center"/>
                </w:tcPr>
                <w:p w14:paraId="2BCE786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1366FAA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yellow"/>
                      <w:lang w:val="en-US" w:eastAsia="zh-CN" w:bidi="ar-SA"/>
                    </w:rPr>
                  </w:pPr>
                  <w:r>
                    <w:rPr>
                      <w:rFonts w:hint="eastAsia" w:ascii="Times New Roman" w:hAnsi="Times New Roman" w:eastAsia="宋体" w:cs="Times New Roman"/>
                      <w:bCs/>
                      <w:color w:val="auto"/>
                      <w:sz w:val="18"/>
                      <w:szCs w:val="18"/>
                      <w:highlight w:val="none"/>
                      <w:lang w:val="en-US" w:eastAsia="zh-CN"/>
                    </w:rPr>
                    <w:t>位于2#生产车间</w:t>
                  </w:r>
                </w:p>
              </w:tc>
            </w:tr>
            <w:tr w14:paraId="23A7E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2F8A875E">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18</w:t>
                  </w:r>
                </w:p>
              </w:tc>
              <w:tc>
                <w:tcPr>
                  <w:tcW w:w="549" w:type="pct"/>
                  <w:noWrap w:val="0"/>
                  <w:vAlign w:val="center"/>
                </w:tcPr>
                <w:p w14:paraId="6AB304E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维修设备</w:t>
                  </w:r>
                </w:p>
              </w:tc>
              <w:tc>
                <w:tcPr>
                  <w:tcW w:w="615" w:type="pct"/>
                  <w:noWrap w:val="0"/>
                  <w:vAlign w:val="center"/>
                </w:tcPr>
                <w:p w14:paraId="6F600B4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切割</w:t>
                  </w:r>
                </w:p>
              </w:tc>
              <w:tc>
                <w:tcPr>
                  <w:tcW w:w="969" w:type="pct"/>
                  <w:shd w:val="clear" w:color="auto" w:fill="auto"/>
                  <w:noWrap w:val="0"/>
                  <w:vAlign w:val="center"/>
                </w:tcPr>
                <w:p w14:paraId="48F518C8">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移动式小型切割机</w:t>
                  </w:r>
                </w:p>
              </w:tc>
              <w:tc>
                <w:tcPr>
                  <w:tcW w:w="1037" w:type="pct"/>
                  <w:shd w:val="clear" w:color="auto" w:fill="auto"/>
                  <w:noWrap w:val="0"/>
                  <w:vAlign w:val="center"/>
                </w:tcPr>
                <w:p w14:paraId="5B1050A7">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sz w:val="18"/>
                      <w:szCs w:val="18"/>
                      <w:highlight w:val="none"/>
                    </w:rPr>
                  </w:pPr>
                  <w:r>
                    <w:rPr>
                      <w:rFonts w:hint="eastAsia" w:ascii="Times New Roman" w:hAnsi="Times New Roman" w:eastAsia="宋体" w:cs="Times New Roman"/>
                      <w:bCs/>
                      <w:color w:val="auto"/>
                      <w:sz w:val="18"/>
                      <w:szCs w:val="18"/>
                      <w:highlight w:val="none"/>
                      <w:lang w:val="en-US" w:eastAsia="zh-CN"/>
                    </w:rPr>
                    <w:t>1台</w:t>
                  </w:r>
                </w:p>
              </w:tc>
              <w:tc>
                <w:tcPr>
                  <w:tcW w:w="769" w:type="pct"/>
                  <w:noWrap w:val="0"/>
                  <w:vAlign w:val="center"/>
                </w:tcPr>
                <w:p w14:paraId="1858C50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w:t>
                  </w:r>
                </w:p>
              </w:tc>
              <w:tc>
                <w:tcPr>
                  <w:tcW w:w="769" w:type="pct"/>
                  <w:noWrap w:val="0"/>
                  <w:vAlign w:val="center"/>
                </w:tcPr>
                <w:p w14:paraId="1E5B60B3">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位于1#生产车间</w:t>
                  </w:r>
                </w:p>
              </w:tc>
            </w:tr>
            <w:tr w14:paraId="11A53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392304C2">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19</w:t>
                  </w:r>
                </w:p>
              </w:tc>
              <w:tc>
                <w:tcPr>
                  <w:tcW w:w="549" w:type="pct"/>
                  <w:noWrap w:val="0"/>
                  <w:vAlign w:val="center"/>
                </w:tcPr>
                <w:p w14:paraId="68510DE7">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维修设备</w:t>
                  </w:r>
                </w:p>
              </w:tc>
              <w:tc>
                <w:tcPr>
                  <w:tcW w:w="615" w:type="pct"/>
                  <w:noWrap w:val="0"/>
                  <w:vAlign w:val="center"/>
                </w:tcPr>
                <w:p w14:paraId="7BCD3EA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焊接</w:t>
                  </w:r>
                </w:p>
              </w:tc>
              <w:tc>
                <w:tcPr>
                  <w:tcW w:w="969" w:type="pct"/>
                  <w:shd w:val="clear" w:color="auto" w:fill="auto"/>
                  <w:noWrap w:val="0"/>
                  <w:vAlign w:val="center"/>
                </w:tcPr>
                <w:p w14:paraId="1189384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移动式小型电焊机</w:t>
                  </w:r>
                </w:p>
              </w:tc>
              <w:tc>
                <w:tcPr>
                  <w:tcW w:w="1037" w:type="pct"/>
                  <w:shd w:val="clear" w:color="auto" w:fill="auto"/>
                  <w:noWrap w:val="0"/>
                  <w:vAlign w:val="center"/>
                </w:tcPr>
                <w:p w14:paraId="52C752B5">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1台</w:t>
                  </w:r>
                </w:p>
              </w:tc>
              <w:tc>
                <w:tcPr>
                  <w:tcW w:w="769" w:type="pct"/>
                  <w:shd w:val="clear" w:color="auto" w:fill="auto"/>
                  <w:noWrap w:val="0"/>
                  <w:vAlign w:val="center"/>
                </w:tcPr>
                <w:p w14:paraId="6A15E9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769" w:type="pct"/>
                  <w:noWrap w:val="0"/>
                  <w:vAlign w:val="center"/>
                </w:tcPr>
                <w:p w14:paraId="5752DD4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位于1#生产车间</w:t>
                  </w:r>
                </w:p>
              </w:tc>
            </w:tr>
            <w:tr w14:paraId="48180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01D5D1B4">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20</w:t>
                  </w:r>
                </w:p>
              </w:tc>
              <w:tc>
                <w:tcPr>
                  <w:tcW w:w="549" w:type="pct"/>
                  <w:noWrap w:val="0"/>
                  <w:vAlign w:val="center"/>
                </w:tcPr>
                <w:p w14:paraId="01118AD9">
                  <w:pPr>
                    <w:keepNext w:val="0"/>
                    <w:keepLines w:val="0"/>
                    <w:pageBreakBefore w:val="0"/>
                    <w:widowControl w:val="0"/>
                    <w:kinsoku/>
                    <w:wordWrap/>
                    <w:overflowPunct/>
                    <w:topLinePunct w:val="0"/>
                    <w:autoSpaceDE/>
                    <w:autoSpaceDN/>
                    <w:bidi w:val="0"/>
                    <w:adjustRightInd w:val="0"/>
                    <w:snapToGrid w:val="0"/>
                    <w:jc w:val="center"/>
                    <w:textAlignment w:val="auto"/>
                    <w:rPr>
                      <w:color w:val="auto"/>
                      <w:highlight w:val="none"/>
                    </w:rPr>
                  </w:pPr>
                  <w:r>
                    <w:rPr>
                      <w:rFonts w:hint="eastAsia" w:cs="Times New Roman"/>
                      <w:bCs/>
                      <w:color w:val="auto"/>
                      <w:sz w:val="18"/>
                      <w:szCs w:val="18"/>
                      <w:highlight w:val="none"/>
                      <w:lang w:val="en-US" w:eastAsia="zh-CN"/>
                    </w:rPr>
                    <w:t>辅助</w:t>
                  </w:r>
                </w:p>
              </w:tc>
              <w:tc>
                <w:tcPr>
                  <w:tcW w:w="615" w:type="pct"/>
                  <w:noWrap w:val="0"/>
                  <w:vAlign w:val="center"/>
                </w:tcPr>
                <w:p w14:paraId="3976780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供气</w:t>
                  </w:r>
                </w:p>
              </w:tc>
              <w:tc>
                <w:tcPr>
                  <w:tcW w:w="969" w:type="pct"/>
                  <w:shd w:val="clear" w:color="auto" w:fill="auto"/>
                  <w:noWrap w:val="0"/>
                  <w:vAlign w:val="center"/>
                </w:tcPr>
                <w:p w14:paraId="382F55C9">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螺杆空压机</w:t>
                  </w:r>
                </w:p>
              </w:tc>
              <w:tc>
                <w:tcPr>
                  <w:tcW w:w="1037" w:type="pct"/>
                  <w:shd w:val="clear" w:color="auto" w:fill="auto"/>
                  <w:noWrap w:val="0"/>
                  <w:vAlign w:val="center"/>
                </w:tcPr>
                <w:p w14:paraId="7F47BF6B">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2台</w:t>
                  </w:r>
                </w:p>
              </w:tc>
              <w:tc>
                <w:tcPr>
                  <w:tcW w:w="769" w:type="pct"/>
                  <w:noWrap w:val="0"/>
                  <w:vAlign w:val="center"/>
                </w:tcPr>
                <w:p w14:paraId="68410F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w:t>
                  </w:r>
                </w:p>
              </w:tc>
              <w:tc>
                <w:tcPr>
                  <w:tcW w:w="769" w:type="pct"/>
                  <w:noWrap w:val="0"/>
                  <w:vAlign w:val="center"/>
                </w:tcPr>
                <w:p w14:paraId="49E8B43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1台位于1#生产车间，1台位于2#生产车间</w:t>
                  </w:r>
                </w:p>
              </w:tc>
            </w:tr>
            <w:tr w14:paraId="493EA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302B3AB4">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21</w:t>
                  </w:r>
                </w:p>
              </w:tc>
              <w:tc>
                <w:tcPr>
                  <w:tcW w:w="549" w:type="pct"/>
                  <w:shd w:val="clear" w:color="auto" w:fill="auto"/>
                  <w:noWrap w:val="0"/>
                  <w:vAlign w:val="center"/>
                </w:tcPr>
                <w:p w14:paraId="5BAAA3E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lang w:val="en-US" w:eastAsia="zh-CN"/>
                    </w:rPr>
                    <w:t>废气治理</w:t>
                  </w:r>
                </w:p>
              </w:tc>
              <w:tc>
                <w:tcPr>
                  <w:tcW w:w="615" w:type="pct"/>
                  <w:shd w:val="clear" w:color="auto" w:fill="auto"/>
                  <w:noWrap w:val="0"/>
                  <w:vAlign w:val="center"/>
                </w:tcPr>
                <w:p w14:paraId="287DD1D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处理</w:t>
                  </w:r>
                  <w:r>
                    <w:rPr>
                      <w:rFonts w:hint="eastAsia" w:ascii="Times New Roman" w:hAnsi="Times New Roman" w:eastAsia="宋体" w:cs="Times New Roman"/>
                      <w:bCs/>
                      <w:color w:val="auto"/>
                      <w:sz w:val="18"/>
                      <w:szCs w:val="18"/>
                      <w:highlight w:val="none"/>
                      <w:lang w:val="en-US" w:eastAsia="zh-CN"/>
                    </w:rPr>
                    <w:t>烟尘</w:t>
                  </w:r>
                </w:p>
              </w:tc>
              <w:tc>
                <w:tcPr>
                  <w:tcW w:w="969" w:type="pct"/>
                  <w:shd w:val="clear" w:color="auto" w:fill="auto"/>
                  <w:noWrap w:val="0"/>
                  <w:vAlign w:val="center"/>
                </w:tcPr>
                <w:p w14:paraId="387B352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移动式焊接烟尘净化器</w:t>
                  </w:r>
                </w:p>
              </w:tc>
              <w:tc>
                <w:tcPr>
                  <w:tcW w:w="1037" w:type="pct"/>
                  <w:shd w:val="clear" w:color="auto" w:fill="auto"/>
                  <w:noWrap w:val="0"/>
                  <w:vAlign w:val="center"/>
                </w:tcPr>
                <w:p w14:paraId="48D6A9B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2台</w:t>
                  </w:r>
                </w:p>
              </w:tc>
              <w:tc>
                <w:tcPr>
                  <w:tcW w:w="769" w:type="pct"/>
                  <w:noWrap w:val="0"/>
                  <w:vAlign w:val="center"/>
                </w:tcPr>
                <w:p w14:paraId="1E35743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highlight w:val="none"/>
                      <w:lang w:val="en-US" w:eastAsia="zh-CN"/>
                    </w:rPr>
                  </w:pPr>
                  <w:r>
                    <w:rPr>
                      <w:rFonts w:hint="default" w:ascii="Times New Roman" w:hAnsi="Times New Roman" w:cs="Times New Roman"/>
                      <w:bCs/>
                      <w:color w:val="auto"/>
                      <w:sz w:val="18"/>
                      <w:szCs w:val="18"/>
                      <w:highlight w:val="none"/>
                    </w:rPr>
                    <w:t>/</w:t>
                  </w:r>
                </w:p>
              </w:tc>
              <w:tc>
                <w:tcPr>
                  <w:tcW w:w="769" w:type="pct"/>
                  <w:noWrap w:val="0"/>
                  <w:vAlign w:val="center"/>
                </w:tcPr>
                <w:p w14:paraId="488DBD9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sz w:val="18"/>
                      <w:szCs w:val="18"/>
                      <w:highlight w:val="none"/>
                      <w:lang w:eastAsia="zh-CN"/>
                    </w:rPr>
                  </w:pPr>
                  <w:r>
                    <w:rPr>
                      <w:rFonts w:hint="eastAsia" w:ascii="Times New Roman" w:hAnsi="Times New Roman" w:cs="Times New Roman"/>
                      <w:bCs/>
                      <w:color w:val="auto"/>
                      <w:sz w:val="18"/>
                      <w:szCs w:val="18"/>
                      <w:highlight w:val="none"/>
                      <w:lang w:val="en-US" w:eastAsia="zh-CN"/>
                    </w:rPr>
                    <w:t>位于</w:t>
                  </w:r>
                  <w:r>
                    <w:rPr>
                      <w:rFonts w:hint="eastAsia" w:ascii="Times New Roman" w:hAnsi="Times New Roman" w:eastAsia="宋体" w:cs="Times New Roman"/>
                      <w:bCs/>
                      <w:color w:val="auto"/>
                      <w:sz w:val="18"/>
                      <w:szCs w:val="18"/>
                      <w:highlight w:val="none"/>
                      <w:lang w:val="en-US" w:eastAsia="zh-CN"/>
                    </w:rPr>
                    <w:t>1#生产车间</w:t>
                  </w:r>
                </w:p>
              </w:tc>
            </w:tr>
            <w:tr w14:paraId="6EB70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0" w:type="auto"/>
                  <w:shd w:val="clear" w:color="auto" w:fill="auto"/>
                  <w:vAlign w:val="center"/>
                </w:tcPr>
                <w:p w14:paraId="181A409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22</w:t>
                  </w:r>
                </w:p>
              </w:tc>
              <w:tc>
                <w:tcPr>
                  <w:tcW w:w="549" w:type="pct"/>
                  <w:shd w:val="clear" w:color="auto" w:fill="auto"/>
                  <w:vAlign w:val="center"/>
                </w:tcPr>
                <w:p w14:paraId="4AB6527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18"/>
                      <w:szCs w:val="18"/>
                      <w:highlight w:val="none"/>
                      <w:lang w:val="en-US" w:eastAsia="zh-CN"/>
                    </w:rPr>
                    <w:t>废气治理</w:t>
                  </w:r>
                </w:p>
              </w:tc>
              <w:tc>
                <w:tcPr>
                  <w:tcW w:w="615" w:type="pct"/>
                  <w:shd w:val="clear" w:color="auto" w:fill="auto"/>
                  <w:vAlign w:val="center"/>
                </w:tcPr>
                <w:p w14:paraId="52E4AC2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处理</w:t>
                  </w:r>
                  <w:r>
                    <w:rPr>
                      <w:rFonts w:hint="default" w:ascii="Times New Roman" w:hAnsi="Times New Roman" w:eastAsia="宋体" w:cs="Times New Roman"/>
                      <w:bCs/>
                      <w:color w:val="auto"/>
                      <w:sz w:val="18"/>
                      <w:szCs w:val="18"/>
                      <w:highlight w:val="none"/>
                      <w:lang w:val="en-US" w:eastAsia="zh-CN"/>
                    </w:rPr>
                    <w:t>粉尘</w:t>
                  </w:r>
                </w:p>
              </w:tc>
              <w:tc>
                <w:tcPr>
                  <w:tcW w:w="969" w:type="pct"/>
                  <w:shd w:val="clear" w:color="auto" w:fill="auto"/>
                  <w:vAlign w:val="center"/>
                </w:tcPr>
                <w:p w14:paraId="49B664B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布袋除尘器</w:t>
                  </w:r>
                </w:p>
              </w:tc>
              <w:tc>
                <w:tcPr>
                  <w:tcW w:w="1037" w:type="pct"/>
                  <w:shd w:val="clear" w:color="auto" w:fill="auto"/>
                  <w:vAlign w:val="center"/>
                </w:tcPr>
                <w:p w14:paraId="27DA249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2</w:t>
                  </w:r>
                  <w:r>
                    <w:rPr>
                      <w:rFonts w:hint="eastAsia" w:ascii="Times New Roman" w:hAnsi="Times New Roman" w:eastAsia="宋体" w:cs="Times New Roman"/>
                      <w:bCs/>
                      <w:color w:val="auto"/>
                      <w:sz w:val="18"/>
                      <w:szCs w:val="18"/>
                      <w:highlight w:val="none"/>
                    </w:rPr>
                    <w:t>台</w:t>
                  </w:r>
                </w:p>
              </w:tc>
              <w:tc>
                <w:tcPr>
                  <w:tcW w:w="0" w:type="auto"/>
                  <w:vAlign w:val="center"/>
                </w:tcPr>
                <w:p w14:paraId="26FEB74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highlight w:val="none"/>
                      <w:lang w:val="en-US" w:eastAsia="zh-CN"/>
                    </w:rPr>
                  </w:pPr>
                  <w:r>
                    <w:rPr>
                      <w:rFonts w:hint="default" w:ascii="Times New Roman" w:hAnsi="Times New Roman" w:cs="Times New Roman"/>
                      <w:bCs/>
                      <w:color w:val="auto"/>
                      <w:sz w:val="18"/>
                      <w:szCs w:val="18"/>
                      <w:highlight w:val="none"/>
                    </w:rPr>
                    <w:t>/</w:t>
                  </w:r>
                </w:p>
              </w:tc>
              <w:tc>
                <w:tcPr>
                  <w:tcW w:w="0" w:type="auto"/>
                  <w:vAlign w:val="center"/>
                </w:tcPr>
                <w:p w14:paraId="735283C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rPr>
                  </w:pPr>
                  <w:r>
                    <w:rPr>
                      <w:rFonts w:hint="eastAsia" w:ascii="Times New Roman" w:hAnsi="Times New Roman" w:cs="Times New Roman"/>
                      <w:bCs/>
                      <w:color w:val="auto"/>
                      <w:sz w:val="18"/>
                      <w:szCs w:val="18"/>
                      <w:highlight w:val="none"/>
                      <w:lang w:val="en-US" w:eastAsia="zh-CN"/>
                    </w:rPr>
                    <w:t>1台位于1#生产车间，1台位于3#生产车间</w:t>
                  </w:r>
                </w:p>
              </w:tc>
            </w:tr>
            <w:tr w14:paraId="34DFF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0" w:type="auto"/>
                  <w:shd w:val="clear" w:color="auto" w:fill="auto"/>
                  <w:vAlign w:val="center"/>
                </w:tcPr>
                <w:p w14:paraId="1B28CC5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23</w:t>
                  </w:r>
                </w:p>
              </w:tc>
              <w:tc>
                <w:tcPr>
                  <w:tcW w:w="549" w:type="pct"/>
                  <w:shd w:val="clear" w:color="auto" w:fill="auto"/>
                  <w:vAlign w:val="center"/>
                </w:tcPr>
                <w:p w14:paraId="24932C74">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lang w:val="en-US" w:eastAsia="zh-CN"/>
                    </w:rPr>
                    <w:t>废气治理</w:t>
                  </w:r>
                </w:p>
              </w:tc>
              <w:tc>
                <w:tcPr>
                  <w:tcW w:w="615" w:type="pct"/>
                  <w:shd w:val="clear" w:color="auto" w:fill="auto"/>
                  <w:vAlign w:val="center"/>
                </w:tcPr>
                <w:p w14:paraId="4CAA7EF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处理</w:t>
                  </w:r>
                  <w:r>
                    <w:rPr>
                      <w:rFonts w:hint="eastAsia" w:ascii="Times New Roman" w:hAnsi="Times New Roman" w:eastAsia="宋体" w:cs="Times New Roman"/>
                      <w:bCs/>
                      <w:color w:val="auto"/>
                      <w:sz w:val="18"/>
                      <w:szCs w:val="18"/>
                      <w:highlight w:val="none"/>
                      <w:lang w:val="en-US" w:eastAsia="zh-CN"/>
                    </w:rPr>
                    <w:t>VOCs</w:t>
                  </w:r>
                </w:p>
              </w:tc>
              <w:tc>
                <w:tcPr>
                  <w:tcW w:w="969" w:type="pct"/>
                  <w:shd w:val="clear" w:color="auto" w:fill="auto"/>
                  <w:vAlign w:val="center"/>
                </w:tcPr>
                <w:p w14:paraId="1776DFE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rPr>
                    <w:t>二级活性炭吸附装置</w:t>
                  </w:r>
                </w:p>
              </w:tc>
              <w:tc>
                <w:tcPr>
                  <w:tcW w:w="1037" w:type="pct"/>
                  <w:shd w:val="clear" w:color="auto" w:fill="auto"/>
                  <w:vAlign w:val="center"/>
                </w:tcPr>
                <w:p w14:paraId="35C61E4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1</w:t>
                  </w:r>
                  <w:r>
                    <w:rPr>
                      <w:rFonts w:hint="eastAsia" w:ascii="Times New Roman" w:hAnsi="Times New Roman" w:eastAsia="宋体" w:cs="Times New Roman"/>
                      <w:bCs/>
                      <w:color w:val="auto"/>
                      <w:sz w:val="18"/>
                      <w:szCs w:val="18"/>
                      <w:highlight w:val="none"/>
                    </w:rPr>
                    <w:t>台</w:t>
                  </w:r>
                </w:p>
              </w:tc>
              <w:tc>
                <w:tcPr>
                  <w:tcW w:w="0" w:type="auto"/>
                  <w:vAlign w:val="center"/>
                </w:tcPr>
                <w:p w14:paraId="1C05B55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highlight w:val="none"/>
                      <w:lang w:val="en-US" w:eastAsia="zh-CN"/>
                    </w:rPr>
                  </w:pPr>
                  <w:r>
                    <w:rPr>
                      <w:rFonts w:hint="default" w:ascii="Times New Roman" w:hAnsi="Times New Roman" w:cs="Times New Roman"/>
                      <w:bCs/>
                      <w:color w:val="auto"/>
                      <w:sz w:val="18"/>
                      <w:szCs w:val="18"/>
                      <w:highlight w:val="none"/>
                    </w:rPr>
                    <w:t>/</w:t>
                  </w:r>
                </w:p>
              </w:tc>
              <w:tc>
                <w:tcPr>
                  <w:tcW w:w="0" w:type="auto"/>
                  <w:vAlign w:val="center"/>
                </w:tcPr>
                <w:p w14:paraId="30440EC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rPr>
                  </w:pPr>
                  <w:r>
                    <w:rPr>
                      <w:rFonts w:hint="eastAsia" w:ascii="Times New Roman" w:hAnsi="Times New Roman" w:cs="Times New Roman"/>
                      <w:bCs/>
                      <w:color w:val="auto"/>
                      <w:sz w:val="18"/>
                      <w:szCs w:val="18"/>
                      <w:highlight w:val="none"/>
                      <w:lang w:val="en-US" w:eastAsia="zh-CN"/>
                    </w:rPr>
                    <w:t>位于2#生产车间</w:t>
                  </w:r>
                </w:p>
              </w:tc>
            </w:tr>
          </w:tbl>
          <w:p w14:paraId="1CB8C2ED">
            <w:pPr>
              <w:spacing w:line="360" w:lineRule="auto"/>
              <w:ind w:firstLine="360" w:firstLineChars="200"/>
              <w:rPr>
                <w:rFonts w:hint="default" w:ascii="Times New Roman" w:hAnsi="Times New Roman" w:cs="Times New Roman" w:eastAsiaTheme="minorEastAsia"/>
                <w:bCs/>
                <w:color w:val="auto"/>
                <w:szCs w:val="21"/>
                <w:highlight w:val="none"/>
              </w:rPr>
            </w:pPr>
            <w:r>
              <w:rPr>
                <w:rFonts w:hint="default" w:ascii="Times New Roman" w:hAnsi="Times New Roman" w:cs="Times New Roman" w:eastAsiaTheme="minorEastAsia"/>
                <w:bCs/>
                <w:color w:val="auto"/>
                <w:sz w:val="18"/>
                <w:szCs w:val="18"/>
                <w:highlight w:val="none"/>
              </w:rPr>
              <w:t>以上设备均不属于</w:t>
            </w:r>
            <w:r>
              <w:rPr>
                <w:rFonts w:hint="default" w:ascii="Times New Roman" w:hAnsi="Times New Roman" w:cs="Times New Roman" w:eastAsiaTheme="minorEastAsia"/>
                <w:bCs/>
                <w:color w:val="auto"/>
                <w:kern w:val="0"/>
                <w:sz w:val="18"/>
                <w:szCs w:val="18"/>
                <w:highlight w:val="none"/>
                <w:lang w:eastAsia="zh-CN"/>
              </w:rPr>
              <w:t>《产业结构调整指导目录（2024年本）》</w:t>
            </w:r>
            <w:r>
              <w:rPr>
                <w:rFonts w:hint="default" w:ascii="Times New Roman" w:hAnsi="Times New Roman" w:cs="Times New Roman" w:eastAsiaTheme="minorEastAsia"/>
                <w:bCs/>
                <w:color w:val="auto"/>
                <w:kern w:val="0"/>
                <w:sz w:val="18"/>
                <w:szCs w:val="18"/>
                <w:highlight w:val="none"/>
              </w:rPr>
              <w:t>中规定淘汰类、限制类设备。</w:t>
            </w:r>
          </w:p>
          <w:p w14:paraId="7C825D8C">
            <w:pPr>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11、给排水、供电及供热：</w:t>
            </w:r>
          </w:p>
          <w:p w14:paraId="6BA7B34B">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eastAsiaTheme="minorEastAsia"/>
                <w:color w:val="auto"/>
                <w:kern w:val="24"/>
                <w:sz w:val="21"/>
                <w:szCs w:val="21"/>
                <w:highlight w:val="none"/>
                <w:lang w:val="zh-CN"/>
              </w:rPr>
            </w:pPr>
            <w:r>
              <w:rPr>
                <w:rFonts w:hint="default" w:ascii="Times New Roman" w:hAnsi="Times New Roman" w:cs="Times New Roman" w:eastAsiaTheme="minorEastAsia"/>
                <w:color w:val="auto"/>
                <w:kern w:val="24"/>
                <w:sz w:val="21"/>
                <w:szCs w:val="21"/>
                <w:highlight w:val="none"/>
              </w:rPr>
              <w:t>给水：项目用水主要为生活用水</w:t>
            </w:r>
            <w:r>
              <w:rPr>
                <w:rFonts w:hint="default" w:ascii="Times New Roman" w:hAnsi="Times New Roman" w:cs="Times New Roman"/>
                <w:color w:val="auto"/>
                <w:spacing w:val="-2"/>
                <w:kern w:val="0"/>
                <w:highlight w:val="none"/>
                <w:lang w:val="en-US" w:eastAsia="zh-CN"/>
              </w:rPr>
              <w:t>、车间洒水降尘用水，总用水量为</w:t>
            </w:r>
            <w:r>
              <w:rPr>
                <w:rFonts w:hint="eastAsia" w:cs="Times New Roman"/>
                <w:color w:val="auto"/>
                <w:spacing w:val="-2"/>
                <w:kern w:val="0"/>
                <w:highlight w:val="none"/>
                <w:lang w:val="en-US" w:eastAsia="zh-CN"/>
              </w:rPr>
              <w:t>281.1</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default" w:ascii="Times New Roman" w:hAnsi="Times New Roman" w:cs="Times New Roman"/>
                <w:color w:val="auto"/>
                <w:kern w:val="24"/>
                <w:sz w:val="21"/>
                <w:szCs w:val="21"/>
                <w:highlight w:val="none"/>
                <w:lang w:eastAsia="zh-CN"/>
              </w:rPr>
              <w:t>，由淄川区</w:t>
            </w:r>
            <w:r>
              <w:rPr>
                <w:rFonts w:hint="eastAsia" w:cs="Times New Roman"/>
                <w:color w:val="auto"/>
                <w:kern w:val="24"/>
                <w:sz w:val="21"/>
                <w:szCs w:val="21"/>
                <w:highlight w:val="none"/>
                <w:lang w:eastAsia="zh-CN"/>
              </w:rPr>
              <w:t>龙泉镇</w:t>
            </w:r>
            <w:r>
              <w:rPr>
                <w:rFonts w:hint="default" w:ascii="Times New Roman" w:hAnsi="Times New Roman" w:cs="Times New Roman"/>
                <w:color w:val="auto"/>
                <w:kern w:val="24"/>
                <w:sz w:val="21"/>
                <w:szCs w:val="21"/>
                <w:highlight w:val="none"/>
                <w:lang w:eastAsia="zh-CN"/>
              </w:rPr>
              <w:t>供水管网提供</w:t>
            </w:r>
            <w:r>
              <w:rPr>
                <w:rFonts w:hint="default" w:ascii="Times New Roman" w:hAnsi="Times New Roman" w:cs="Times New Roman" w:eastAsiaTheme="minorEastAsia"/>
                <w:color w:val="auto"/>
                <w:kern w:val="24"/>
                <w:sz w:val="21"/>
                <w:szCs w:val="21"/>
                <w:highlight w:val="none"/>
              </w:rPr>
              <w:t>。</w:t>
            </w:r>
          </w:p>
          <w:p w14:paraId="302DF8C4">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24"/>
                <w:sz w:val="21"/>
                <w:szCs w:val="21"/>
                <w:highlight w:val="none"/>
              </w:rPr>
              <w:t>①生活用水：项目</w:t>
            </w:r>
            <w:r>
              <w:rPr>
                <w:rFonts w:hint="default" w:ascii="Times New Roman" w:hAnsi="Times New Roman" w:cs="Times New Roman"/>
                <w:color w:val="auto"/>
                <w:kern w:val="24"/>
                <w:sz w:val="21"/>
                <w:szCs w:val="21"/>
                <w:highlight w:val="none"/>
                <w:lang w:val="en-US" w:eastAsia="zh-CN"/>
              </w:rPr>
              <w:t>劳动定员</w:t>
            </w:r>
            <w:r>
              <w:rPr>
                <w:rFonts w:hint="eastAsia" w:cs="Times New Roman"/>
                <w:color w:val="auto"/>
                <w:kern w:val="24"/>
                <w:sz w:val="21"/>
                <w:szCs w:val="21"/>
                <w:highlight w:val="none"/>
                <w:lang w:val="en-US" w:eastAsia="zh-CN"/>
              </w:rPr>
              <w:t>15</w:t>
            </w:r>
            <w:r>
              <w:rPr>
                <w:rFonts w:hint="default" w:ascii="Times New Roman" w:hAnsi="Times New Roman" w:cs="Times New Roman"/>
                <w:color w:val="auto"/>
                <w:kern w:val="24"/>
                <w:sz w:val="21"/>
                <w:szCs w:val="21"/>
                <w:highlight w:val="none"/>
              </w:rPr>
              <w:t>人，全年工作</w:t>
            </w:r>
            <w:r>
              <w:rPr>
                <w:rFonts w:hint="default" w:ascii="Times New Roman" w:hAnsi="Times New Roman" w:cs="Times New Roman"/>
                <w:color w:val="auto"/>
                <w:kern w:val="24"/>
                <w:sz w:val="21"/>
                <w:szCs w:val="21"/>
                <w:highlight w:val="none"/>
                <w:lang w:val="en-US" w:eastAsia="zh-CN"/>
              </w:rPr>
              <w:t>300</w:t>
            </w:r>
            <w:r>
              <w:rPr>
                <w:rFonts w:hint="default" w:ascii="Times New Roman" w:hAnsi="Times New Roman" w:cs="Times New Roman"/>
                <w:color w:val="auto"/>
                <w:kern w:val="24"/>
                <w:sz w:val="21"/>
                <w:szCs w:val="21"/>
                <w:highlight w:val="none"/>
              </w:rPr>
              <w:t>天，</w:t>
            </w:r>
            <w:r>
              <w:rPr>
                <w:rFonts w:hint="default" w:ascii="Times New Roman" w:hAnsi="Times New Roman" w:cs="Times New Roman"/>
                <w:bCs/>
                <w:color w:val="auto"/>
                <w:highlight w:val="none"/>
                <w:lang w:val="de-DE"/>
              </w:rPr>
              <w:t>根据《建筑给水排水设计标准》（GB50015-2019）中</w:t>
            </w:r>
            <w:r>
              <w:rPr>
                <w:rFonts w:hint="default" w:ascii="Times New Roman" w:hAnsi="Times New Roman" w:cs="Times New Roman"/>
                <w:bCs/>
                <w:color w:val="auto"/>
                <w:highlight w:val="none"/>
                <w:lang w:val="en-US" w:eastAsia="zh-CN"/>
              </w:rPr>
              <w:t>非住宿员工</w:t>
            </w:r>
            <w:r>
              <w:rPr>
                <w:rFonts w:hint="default" w:ascii="Times New Roman" w:hAnsi="Times New Roman" w:cs="Times New Roman"/>
                <w:bCs/>
                <w:color w:val="auto"/>
                <w:highlight w:val="none"/>
                <w:lang w:val="de-DE"/>
              </w:rPr>
              <w:t>生活用水量按照</w:t>
            </w:r>
            <w:r>
              <w:rPr>
                <w:rFonts w:hint="default" w:ascii="Times New Roman" w:hAnsi="Times New Roman" w:cs="Times New Roman"/>
                <w:bCs/>
                <w:color w:val="auto"/>
                <w:highlight w:val="none"/>
              </w:rPr>
              <w:t>4</w:t>
            </w:r>
            <w:r>
              <w:rPr>
                <w:rFonts w:hint="default" w:ascii="Times New Roman" w:hAnsi="Times New Roman" w:cs="Times New Roman"/>
                <w:bCs/>
                <w:color w:val="auto"/>
                <w:highlight w:val="none"/>
                <w:lang w:val="de-DE"/>
              </w:rPr>
              <w:t>0L/人·班计，</w:t>
            </w:r>
            <w:r>
              <w:rPr>
                <w:rFonts w:hint="default" w:ascii="Times New Roman" w:hAnsi="Times New Roman" w:cs="Times New Roman"/>
                <w:color w:val="auto"/>
                <w:kern w:val="24"/>
                <w:sz w:val="21"/>
                <w:szCs w:val="21"/>
                <w:highlight w:val="none"/>
              </w:rPr>
              <w:t>则职工生活用水量为</w:t>
            </w:r>
            <w:r>
              <w:rPr>
                <w:rFonts w:hint="eastAsia" w:cs="Times New Roman"/>
                <w:color w:val="auto"/>
                <w:kern w:val="24"/>
                <w:sz w:val="21"/>
                <w:szCs w:val="21"/>
                <w:highlight w:val="none"/>
                <w:lang w:val="en-US" w:eastAsia="zh-CN"/>
              </w:rPr>
              <w:t>180</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default" w:ascii="Times New Roman" w:hAnsi="Times New Roman" w:cs="Times New Roman"/>
                <w:color w:val="auto"/>
                <w:sz w:val="21"/>
                <w:szCs w:val="21"/>
                <w:highlight w:val="none"/>
              </w:rPr>
              <w:t>。</w:t>
            </w:r>
          </w:p>
          <w:p w14:paraId="0E0CA681">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②</w:t>
            </w:r>
            <w:r>
              <w:rPr>
                <w:rFonts w:hint="default" w:ascii="Times New Roman" w:hAnsi="Times New Roman" w:eastAsia="宋体" w:cs="Times New Roman"/>
                <w:color w:val="auto"/>
                <w:highlight w:val="none"/>
                <w:lang w:val="en-US" w:eastAsia="zh-CN"/>
              </w:rPr>
              <w:t>车</w:t>
            </w:r>
            <w:r>
              <w:rPr>
                <w:rFonts w:hint="default" w:ascii="Times New Roman" w:hAnsi="Times New Roman" w:cs="Times New Roman"/>
                <w:color w:val="auto"/>
                <w:spacing w:val="-2"/>
                <w:kern w:val="0"/>
                <w:highlight w:val="none"/>
                <w:lang w:val="en-US" w:eastAsia="zh-CN"/>
              </w:rPr>
              <w:t>间地面洒水降尘用水：</w:t>
            </w:r>
            <w:r>
              <w:rPr>
                <w:rFonts w:hint="default" w:ascii="Times New Roman" w:hAnsi="Times New Roman" w:cs="Times New Roman"/>
                <w:color w:val="auto"/>
                <w:highlight w:val="none"/>
              </w:rPr>
              <w:t>车间地面需</w:t>
            </w:r>
            <w:r>
              <w:rPr>
                <w:rFonts w:hint="default" w:ascii="Times New Roman" w:hAnsi="Times New Roman" w:cs="Times New Roman"/>
                <w:color w:val="auto"/>
                <w:highlight w:val="none"/>
                <w:lang w:eastAsia="zh-CN"/>
              </w:rPr>
              <w:t>每天洒水降尘，</w:t>
            </w:r>
            <w:r>
              <w:rPr>
                <w:rFonts w:hint="default" w:ascii="Times New Roman" w:hAnsi="Times New Roman" w:cs="Times New Roman"/>
                <w:color w:val="auto"/>
                <w:highlight w:val="none"/>
              </w:rPr>
              <w:t>年洒水天数为</w:t>
            </w:r>
            <w:r>
              <w:rPr>
                <w:rFonts w:hint="default" w:ascii="Times New Roman" w:hAnsi="Times New Roman" w:cs="Times New Roman"/>
                <w:color w:val="auto"/>
                <w:highlight w:val="none"/>
                <w:lang w:val="en-US" w:eastAsia="zh-CN"/>
              </w:rPr>
              <w:t>300</w:t>
            </w:r>
            <w:r>
              <w:rPr>
                <w:rFonts w:hint="default" w:ascii="Times New Roman" w:hAnsi="Times New Roman" w:cs="Times New Roman"/>
                <w:color w:val="auto"/>
                <w:highlight w:val="none"/>
              </w:rPr>
              <w:t>天，用水量取0.2L/m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·d计，</w:t>
            </w:r>
            <w:r>
              <w:rPr>
                <w:rFonts w:hint="eastAsia" w:cs="Times New Roman"/>
                <w:color w:val="auto"/>
                <w:highlight w:val="none"/>
                <w:lang w:val="en-US" w:eastAsia="zh-CN"/>
              </w:rPr>
              <w:t>本项目车间总占地面积为1685</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eastAsia" w:cs="Times New Roman"/>
                <w:color w:val="auto"/>
                <w:highlight w:val="none"/>
                <w:lang w:val="en-US" w:eastAsia="zh-CN"/>
              </w:rPr>
              <w:t>，</w:t>
            </w:r>
            <w:r>
              <w:rPr>
                <w:rFonts w:hint="default" w:ascii="Times New Roman" w:hAnsi="Times New Roman" w:cs="Times New Roman"/>
                <w:color w:val="auto"/>
                <w:highlight w:val="none"/>
              </w:rPr>
              <w:t>则</w:t>
            </w:r>
            <w:r>
              <w:rPr>
                <w:rFonts w:hint="default" w:ascii="Times New Roman" w:hAnsi="Times New Roman" w:cs="Times New Roman"/>
                <w:color w:val="auto"/>
                <w:spacing w:val="-2"/>
                <w:kern w:val="0"/>
                <w:highlight w:val="none"/>
                <w:lang w:val="en-US" w:eastAsia="zh-CN"/>
              </w:rPr>
              <w:t>车间洒水降尘用水</w:t>
            </w:r>
            <w:r>
              <w:rPr>
                <w:rFonts w:hint="default" w:ascii="Times New Roman" w:hAnsi="Times New Roman" w:cs="Times New Roman"/>
                <w:color w:val="auto"/>
                <w:highlight w:val="none"/>
              </w:rPr>
              <w:t>量为</w:t>
            </w:r>
            <w:r>
              <w:rPr>
                <w:rFonts w:hint="eastAsia" w:cs="Times New Roman"/>
                <w:color w:val="auto"/>
                <w:highlight w:val="none"/>
                <w:lang w:val="en-US" w:eastAsia="zh-CN"/>
              </w:rPr>
              <w:t>101.1</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/a</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主要为新鲜水</w:t>
            </w:r>
            <w:r>
              <w:rPr>
                <w:rFonts w:hint="default" w:ascii="Times New Roman" w:hAnsi="Times New Roman" w:cs="Times New Roman"/>
                <w:bCs/>
                <w:color w:val="auto"/>
                <w:highlight w:val="none"/>
                <w:lang w:eastAsia="zh-CN"/>
              </w:rPr>
              <w:t>。</w:t>
            </w:r>
          </w:p>
          <w:p w14:paraId="33D05F3B">
            <w:pPr>
              <w:pStyle w:val="8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排水：该项目车间洒水降尘用水</w:t>
            </w:r>
            <w:r>
              <w:rPr>
                <w:rFonts w:hint="eastAsia" w:ascii="Times New Roman" w:hAnsi="Times New Roman" w:eastAsia="宋体" w:cs="Times New Roman"/>
                <w:color w:val="auto"/>
                <w:kern w:val="2"/>
                <w:sz w:val="21"/>
                <w:szCs w:val="24"/>
                <w:highlight w:val="none"/>
                <w:lang w:val="en-US" w:eastAsia="zh-CN" w:bidi="ar-SA"/>
              </w:rPr>
              <w:t>全部蒸发损耗，不外排</w:t>
            </w:r>
            <w:r>
              <w:rPr>
                <w:rFonts w:hint="default" w:ascii="Times New Roman" w:hAnsi="Times New Roman" w:eastAsia="宋体" w:cs="Times New Roman"/>
                <w:color w:val="auto"/>
                <w:kern w:val="2"/>
                <w:sz w:val="21"/>
                <w:szCs w:val="24"/>
                <w:highlight w:val="none"/>
                <w:lang w:val="en-US" w:eastAsia="zh-CN" w:bidi="ar-SA"/>
              </w:rPr>
              <w:t>。生活污水产生量按用水量80%计算，污水总量为</w:t>
            </w:r>
            <w:r>
              <w:rPr>
                <w:rFonts w:hint="eastAsia" w:cs="Times New Roman"/>
                <w:color w:val="auto"/>
                <w:kern w:val="2"/>
                <w:sz w:val="21"/>
                <w:szCs w:val="24"/>
                <w:highlight w:val="none"/>
                <w:lang w:val="en-US" w:eastAsia="zh-CN" w:bidi="ar-SA"/>
              </w:rPr>
              <w:t>144</w:t>
            </w:r>
            <w:r>
              <w:rPr>
                <w:rFonts w:hint="default" w:ascii="Times New Roman" w:hAnsi="Times New Roman" w:eastAsia="宋体" w:cs="Times New Roman"/>
                <w:color w:val="auto"/>
                <w:kern w:val="2"/>
                <w:sz w:val="21"/>
                <w:szCs w:val="24"/>
                <w:highlight w:val="none"/>
                <w:lang w:val="en-US" w:eastAsia="zh-CN" w:bidi="ar-SA"/>
              </w:rPr>
              <w:t>m</w:t>
            </w:r>
            <w:r>
              <w:rPr>
                <w:rFonts w:hint="default" w:ascii="Times New Roman" w:hAnsi="Times New Roman" w:eastAsia="宋体" w:cs="Times New Roman"/>
                <w:color w:val="auto"/>
                <w:kern w:val="2"/>
                <w:sz w:val="21"/>
                <w:szCs w:val="24"/>
                <w:highlight w:val="none"/>
                <w:vertAlign w:val="superscript"/>
                <w:lang w:val="en-US" w:eastAsia="zh-CN" w:bidi="ar-SA"/>
              </w:rPr>
              <w:t>3</w:t>
            </w:r>
            <w:r>
              <w:rPr>
                <w:rFonts w:hint="default" w:ascii="Times New Roman" w:hAnsi="Times New Roman" w:eastAsia="宋体" w:cs="Times New Roman"/>
                <w:color w:val="auto"/>
                <w:kern w:val="2"/>
                <w:sz w:val="21"/>
                <w:szCs w:val="24"/>
                <w:highlight w:val="none"/>
                <w:lang w:val="en-US" w:eastAsia="zh-CN" w:bidi="ar-SA"/>
              </w:rPr>
              <w:t>/a，</w:t>
            </w:r>
            <w:r>
              <w:rPr>
                <w:rFonts w:hint="eastAsia" w:ascii="Times New Roman" w:hAnsi="Times New Roman" w:eastAsia="宋体" w:cs="Times New Roman"/>
                <w:color w:val="auto"/>
                <w:kern w:val="2"/>
                <w:sz w:val="21"/>
                <w:szCs w:val="24"/>
                <w:highlight w:val="none"/>
                <w:lang w:val="en-US" w:eastAsia="zh-CN" w:bidi="ar-SA"/>
              </w:rPr>
              <w:t>经化粪池暂存后由环卫部门定期清运</w:t>
            </w:r>
            <w:r>
              <w:rPr>
                <w:rFonts w:hint="default" w:ascii="Times New Roman" w:hAnsi="Times New Roman" w:eastAsia="宋体" w:cs="Times New Roman"/>
                <w:color w:val="auto"/>
                <w:kern w:val="2"/>
                <w:sz w:val="21"/>
                <w:szCs w:val="24"/>
                <w:highlight w:val="none"/>
                <w:lang w:val="en-US" w:eastAsia="zh-CN" w:bidi="ar-SA"/>
              </w:rPr>
              <w:t>。项目水平衡图见图2-1。</w:t>
            </w:r>
          </w:p>
          <w:p w14:paraId="68278AAE">
            <w:pPr>
              <w:pStyle w:val="82"/>
              <w:ind w:left="0" w:leftChars="0" w:firstLine="0" w:firstLineChars="0"/>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object>
                <v:shape id="_x0000_i1025" o:spt="75" type="#_x0000_t75" style="height:85.2pt;width:307.15pt;" o:ole="t" filled="f" o:preferrelative="t" stroked="f" coordsize="21600,21600">
                  <v:path/>
                  <v:fill on="f" focussize="0,0"/>
                  <v:stroke on="f"/>
                  <v:imagedata r:id="rId13" o:title=""/>
                  <o:lock v:ext="edit" aspectratio="f"/>
                  <w10:wrap type="none"/>
                  <w10:anchorlock/>
                </v:shape>
                <o:OLEObject Type="Embed" ProgID="Visio.Drawing.15" ShapeID="_x0000_i1025" DrawAspect="Content" ObjectID="_1468075725" r:id="rId12">
                  <o:LockedField>false</o:LockedField>
                </o:OLEObject>
              </w:object>
            </w:r>
          </w:p>
          <w:p w14:paraId="3F1587C1">
            <w:pPr>
              <w:pStyle w:val="82"/>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图2-1</w:t>
            </w:r>
            <w:r>
              <w:rPr>
                <w:rFonts w:hint="default" w:ascii="Times New Roman" w:hAnsi="Times New Roman" w:eastAsia="宋体" w:cs="Times New Roman"/>
                <w:b/>
                <w:bCs/>
                <w:color w:val="auto"/>
                <w:sz w:val="21"/>
                <w:szCs w:val="21"/>
                <w:highlight w:val="none"/>
                <w:lang w:val="en-US" w:eastAsia="zh-CN"/>
              </w:rPr>
              <w:t>本项目</w:t>
            </w:r>
            <w:r>
              <w:rPr>
                <w:rFonts w:hint="default" w:ascii="Times New Roman" w:hAnsi="Times New Roman" w:eastAsia="宋体" w:cs="Times New Roman"/>
                <w:b/>
                <w:bCs/>
                <w:color w:val="auto"/>
                <w:sz w:val="21"/>
                <w:szCs w:val="21"/>
                <w:highlight w:val="none"/>
              </w:rPr>
              <w:t>用水水平衡图 单位m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/a</w:t>
            </w:r>
          </w:p>
          <w:p w14:paraId="4D80B5D6">
            <w:pPr>
              <w:tabs>
                <w:tab w:val="left" w:pos="1800"/>
              </w:tabs>
              <w:adjustRightInd w:val="0"/>
              <w:snapToGrid w:val="0"/>
              <w:spacing w:line="360" w:lineRule="auto"/>
              <w:ind w:firstLine="460" w:firstLineChars="200"/>
              <w:rPr>
                <w:rFonts w:hint="default" w:ascii="Times New Roman" w:hAnsi="Times New Roman" w:cs="Times New Roman"/>
                <w:color w:val="auto"/>
                <w:spacing w:val="10"/>
                <w:szCs w:val="21"/>
                <w:highlight w:val="none"/>
              </w:rPr>
            </w:pPr>
            <w:r>
              <w:rPr>
                <w:rFonts w:hint="default" w:ascii="Times New Roman" w:hAnsi="Times New Roman" w:cs="Times New Roman"/>
                <w:color w:val="auto"/>
                <w:spacing w:val="10"/>
                <w:szCs w:val="21"/>
                <w:highlight w:val="none"/>
              </w:rPr>
              <w:t>（3）供电：本项目用电</w:t>
            </w:r>
            <w:r>
              <w:rPr>
                <w:rFonts w:hint="default" w:ascii="Times New Roman" w:hAnsi="Times New Roman" w:cs="Times New Roman"/>
                <w:color w:val="auto"/>
                <w:spacing w:val="10"/>
                <w:szCs w:val="21"/>
                <w:highlight w:val="none"/>
                <w:lang w:eastAsia="zh-CN"/>
              </w:rPr>
              <w:t>由</w:t>
            </w:r>
            <w:r>
              <w:rPr>
                <w:rFonts w:hint="eastAsia" w:cs="Times New Roman"/>
                <w:color w:val="auto"/>
                <w:spacing w:val="10"/>
                <w:szCs w:val="21"/>
                <w:highlight w:val="none"/>
                <w:lang w:eastAsia="zh-CN"/>
              </w:rPr>
              <w:t>龙泉镇</w:t>
            </w:r>
            <w:r>
              <w:rPr>
                <w:rFonts w:hint="default" w:ascii="Times New Roman" w:hAnsi="Times New Roman" w:cs="Times New Roman"/>
                <w:color w:val="auto"/>
                <w:spacing w:val="10"/>
                <w:szCs w:val="21"/>
                <w:highlight w:val="none"/>
                <w:lang w:eastAsia="zh-CN"/>
              </w:rPr>
              <w:t>供电所</w:t>
            </w:r>
            <w:r>
              <w:rPr>
                <w:rFonts w:hint="default" w:ascii="Times New Roman" w:hAnsi="Times New Roman" w:cs="Times New Roman"/>
                <w:color w:val="auto"/>
                <w:spacing w:val="10"/>
                <w:szCs w:val="21"/>
                <w:highlight w:val="none"/>
              </w:rPr>
              <w:t>线路接入供给，</w:t>
            </w:r>
            <w:r>
              <w:rPr>
                <w:rFonts w:hint="default" w:ascii="Times New Roman" w:hAnsi="Times New Roman" w:cs="Times New Roman"/>
                <w:color w:val="auto"/>
                <w:spacing w:val="10"/>
                <w:szCs w:val="21"/>
                <w:highlight w:val="none"/>
                <w:lang w:val="en-US" w:eastAsia="zh-CN"/>
              </w:rPr>
              <w:t>新增</w:t>
            </w:r>
            <w:r>
              <w:rPr>
                <w:rFonts w:hint="default" w:ascii="Times New Roman" w:hAnsi="Times New Roman" w:cs="Times New Roman"/>
                <w:color w:val="auto"/>
                <w:spacing w:val="10"/>
                <w:szCs w:val="21"/>
                <w:highlight w:val="none"/>
              </w:rPr>
              <w:t>用电量约为</w:t>
            </w:r>
            <w:r>
              <w:rPr>
                <w:rFonts w:hint="eastAsia" w:cs="Times New Roman"/>
                <w:color w:val="auto"/>
                <w:spacing w:val="10"/>
                <w:szCs w:val="21"/>
                <w:highlight w:val="none"/>
                <w:lang w:val="en-US" w:eastAsia="zh-CN"/>
              </w:rPr>
              <w:t>10</w:t>
            </w:r>
            <w:r>
              <w:rPr>
                <w:rFonts w:hint="default" w:ascii="Times New Roman" w:hAnsi="Times New Roman" w:cs="Times New Roman"/>
                <w:color w:val="auto"/>
                <w:spacing w:val="10"/>
                <w:szCs w:val="21"/>
                <w:highlight w:val="none"/>
              </w:rPr>
              <w:t>万kWh/a。</w:t>
            </w:r>
          </w:p>
          <w:p w14:paraId="291BB3C6">
            <w:pPr>
              <w:tabs>
                <w:tab w:val="left" w:pos="1800"/>
              </w:tabs>
              <w:adjustRightInd w:val="0"/>
              <w:snapToGrid w:val="0"/>
              <w:spacing w:line="360" w:lineRule="auto"/>
              <w:ind w:firstLine="460" w:firstLineChars="200"/>
              <w:rPr>
                <w:rFonts w:hint="default" w:ascii="Times New Roman" w:hAnsi="Times New Roman" w:cs="Times New Roman"/>
                <w:color w:val="auto"/>
                <w:spacing w:val="10"/>
                <w:szCs w:val="21"/>
                <w:highlight w:val="none"/>
              </w:rPr>
            </w:pPr>
            <w:r>
              <w:rPr>
                <w:rFonts w:hint="default" w:ascii="Times New Roman" w:hAnsi="Times New Roman" w:cs="Times New Roman"/>
                <w:color w:val="auto"/>
                <w:spacing w:val="10"/>
                <w:szCs w:val="21"/>
                <w:highlight w:val="none"/>
              </w:rPr>
              <w:t>（4）供热：该项目厂区内不设燃煤锅炉，办公室冬季取暖使用空调。</w:t>
            </w:r>
          </w:p>
          <w:p w14:paraId="273E8EB7">
            <w:pPr>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12、总平面布置</w:t>
            </w:r>
          </w:p>
          <w:p w14:paraId="0BDD0962">
            <w:pPr>
              <w:pStyle w:val="1389"/>
              <w:ind w:firstLine="440"/>
              <w:rPr>
                <w:color w:val="FF0000"/>
              </w:rPr>
            </w:pPr>
            <w:r>
              <w:rPr>
                <w:rFonts w:hint="default" w:ascii="Times New Roman" w:hAnsi="Times New Roman" w:cs="Times New Roman" w:eastAsiaTheme="minorEastAsia"/>
                <w:color w:val="auto"/>
                <w:highlight w:val="none"/>
              </w:rPr>
              <w:t>本项目</w:t>
            </w:r>
            <w:r>
              <w:rPr>
                <w:rFonts w:hint="default" w:ascii="Times New Roman" w:hAnsi="Times New Roman" w:cs="Times New Roman" w:eastAsiaTheme="minorEastAsia"/>
                <w:color w:val="auto"/>
                <w:highlight w:val="none"/>
                <w:lang w:val="en-US" w:eastAsia="zh-CN"/>
              </w:rPr>
              <w:t>主要包括办公室、</w:t>
            </w:r>
            <w:r>
              <w:rPr>
                <w:rFonts w:hint="eastAsia" w:cs="Times New Roman" w:eastAsiaTheme="minorEastAsia"/>
                <w:color w:val="auto"/>
                <w:highlight w:val="none"/>
                <w:lang w:val="en-US" w:eastAsia="zh-CN"/>
              </w:rPr>
              <w:t>3个生产车间、仓库</w:t>
            </w:r>
            <w:r>
              <w:rPr>
                <w:rFonts w:hint="default" w:ascii="Times New Roman" w:hAnsi="Times New Roman" w:cs="Times New Roman" w:eastAsiaTheme="minorEastAsia"/>
                <w:color w:val="auto"/>
                <w:highlight w:val="none"/>
                <w:lang w:val="en-US" w:eastAsia="zh-CN"/>
              </w:rPr>
              <w:t>，其中办公室位于</w:t>
            </w:r>
            <w:r>
              <w:rPr>
                <w:rFonts w:hint="eastAsia" w:cs="Times New Roman" w:eastAsiaTheme="minorEastAsia"/>
                <w:color w:val="auto"/>
                <w:highlight w:val="none"/>
                <w:lang w:val="en-US" w:eastAsia="zh-CN"/>
              </w:rPr>
              <w:t>生产车间</w:t>
            </w:r>
            <w:r>
              <w:rPr>
                <w:rFonts w:hint="default" w:ascii="Times New Roman" w:hAnsi="Times New Roman" w:cs="Times New Roman" w:eastAsiaTheme="minorEastAsia"/>
                <w:color w:val="auto"/>
                <w:highlight w:val="none"/>
                <w:lang w:val="en-US" w:eastAsia="zh-CN"/>
              </w:rPr>
              <w:t>的</w:t>
            </w:r>
            <w:r>
              <w:rPr>
                <w:rFonts w:hint="eastAsia" w:cs="Times New Roman" w:eastAsiaTheme="minorEastAsia"/>
                <w:color w:val="auto"/>
                <w:highlight w:val="none"/>
                <w:lang w:val="en-US" w:eastAsia="zh-CN"/>
              </w:rPr>
              <w:t>西</w:t>
            </w:r>
            <w:r>
              <w:rPr>
                <w:rFonts w:hint="default" w:ascii="Times New Roman" w:hAnsi="Times New Roman" w:cs="Times New Roman" w:eastAsiaTheme="minorEastAsia"/>
                <w:color w:val="auto"/>
                <w:highlight w:val="none"/>
                <w:lang w:val="en-US" w:eastAsia="zh-CN"/>
              </w:rPr>
              <w:t>侧，</w:t>
            </w:r>
            <w:r>
              <w:rPr>
                <w:rFonts w:hint="eastAsia" w:cs="Times New Roman" w:eastAsiaTheme="minorEastAsia"/>
                <w:color w:val="auto"/>
                <w:highlight w:val="none"/>
                <w:lang w:val="en-US" w:eastAsia="zh-CN"/>
              </w:rPr>
              <w:t>1#生产车间位于厂区北侧，主要用于生产磨边轮；2#生产车间和3#生产车间位于厂区南侧，主要用于生产弹性木块，仓库位于1#生产车间西侧</w:t>
            </w:r>
            <w:r>
              <w:rPr>
                <w:rFonts w:hint="default" w:ascii="Times New Roman" w:hAnsi="Times New Roman" w:cs="Times New Roman" w:eastAsiaTheme="minorEastAsia"/>
                <w:color w:val="auto"/>
                <w:highlight w:val="none"/>
              </w:rPr>
              <w:t>，在保证各项废气治理措施的情况下，生产区大气污染物对办公区域的影响较小。项目生产总平面布置较好的满足了工艺流程的顺畅性，体现了物料输送的便捷性，使物料的输送简单化，方便了生产，厂区平面布置基本合理。厂区平面布置图详见附图5。</w:t>
            </w:r>
          </w:p>
        </w:tc>
      </w:tr>
      <w:tr w14:paraId="52AA70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633" w:type="dxa"/>
            <w:vAlign w:val="center"/>
          </w:tcPr>
          <w:p w14:paraId="7B221CDF">
            <w:pPr>
              <w:pStyle w:val="77"/>
              <w:adjustRightInd w:val="0"/>
              <w:snapToGrid w:val="0"/>
              <w:spacing w:before="0" w:beforeAutospacing="0" w:after="0" w:afterAutospacing="0" w:line="420" w:lineRule="exact"/>
              <w:jc w:val="center"/>
              <w:rPr>
                <w:rFonts w:ascii="Times New Roman" w:hAnsi="Times New Roman"/>
                <w:color w:val="FF0000"/>
                <w:sz w:val="21"/>
                <w:szCs w:val="21"/>
              </w:rPr>
            </w:pPr>
            <w:r>
              <w:rPr>
                <w:rFonts w:ascii="Times New Roman" w:hAnsi="Times New Roman"/>
                <w:color w:val="auto"/>
                <w:sz w:val="21"/>
                <w:szCs w:val="21"/>
              </w:rPr>
              <w:t>工艺流程和产排污环节</w:t>
            </w:r>
          </w:p>
        </w:tc>
        <w:tc>
          <w:tcPr>
            <w:tcW w:w="8427" w:type="dxa"/>
          </w:tcPr>
          <w:p w14:paraId="3DBCA00C">
            <w:pPr>
              <w:pStyle w:val="1042"/>
              <w:adjustRightInd w:val="0"/>
              <w:snapToGrid w:val="0"/>
              <w:spacing w:line="360" w:lineRule="auto"/>
              <w:rPr>
                <w:rFonts w:hint="default" w:ascii="Times New Roman" w:hAnsi="Times New Roman" w:eastAsia="宋体" w:cs="Times New Roman"/>
                <w:b/>
                <w:bCs/>
                <w:color w:val="auto"/>
                <w:szCs w:val="21"/>
                <w:lang w:val="de-DE"/>
              </w:rPr>
            </w:pPr>
            <w:r>
              <w:rPr>
                <w:rFonts w:hint="default" w:ascii="Times New Roman" w:hAnsi="Times New Roman" w:eastAsia="宋体" w:cs="Times New Roman"/>
                <w:b/>
                <w:bCs/>
                <w:color w:val="auto"/>
                <w:szCs w:val="21"/>
                <w:lang w:val="de-DE"/>
              </w:rPr>
              <w:t>一、工艺流程</w:t>
            </w:r>
          </w:p>
          <w:p w14:paraId="29D2E0C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r>
              <w:rPr>
                <w:rFonts w:hint="eastAsia" w:ascii="Times New Roman" w:hAnsi="Times New Roman" w:cs="Times New Roman"/>
                <w:color w:val="auto"/>
                <w:szCs w:val="21"/>
                <w:highlight w:val="none"/>
                <w:lang w:eastAsia="zh-CN"/>
              </w:rPr>
              <w:t>工艺流程</w:t>
            </w:r>
            <w:r>
              <w:rPr>
                <w:rFonts w:hint="default" w:ascii="Times New Roman" w:hAnsi="Times New Roman" w:cs="Times New Roman"/>
                <w:color w:val="auto"/>
                <w:szCs w:val="21"/>
                <w:highlight w:val="none"/>
              </w:rPr>
              <w:t>主要分为施工期和营运期。</w:t>
            </w:r>
          </w:p>
          <w:p w14:paraId="6E3C9F39">
            <w:pPr>
              <w:pStyle w:val="1042"/>
              <w:adjustRightInd w:val="0"/>
              <w:snapToGrid w:val="0"/>
              <w:spacing w:line="360" w:lineRule="auto"/>
              <w:rPr>
                <w:rFonts w:hint="default" w:ascii="Times New Roman" w:hAnsi="Times New Roman" w:eastAsia="宋体" w:cs="Times New Roman"/>
                <w:b/>
                <w:bCs/>
                <w:color w:val="auto"/>
                <w:szCs w:val="21"/>
                <w:highlight w:val="none"/>
                <w:lang w:val="de-DE"/>
              </w:rPr>
            </w:pPr>
            <w:r>
              <w:rPr>
                <w:rFonts w:hint="default" w:ascii="Times New Roman" w:hAnsi="Times New Roman" w:eastAsia="宋体" w:cs="Times New Roman"/>
                <w:b/>
                <w:bCs/>
                <w:color w:val="auto"/>
                <w:szCs w:val="21"/>
                <w:highlight w:val="none"/>
                <w:lang w:val="de-DE"/>
              </w:rPr>
              <w:t>1、施工期</w:t>
            </w:r>
          </w:p>
          <w:p w14:paraId="6CB35BB2">
            <w:pPr>
              <w:pStyle w:val="139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Cs w:val="0"/>
                <w:color w:val="auto"/>
                <w:sz w:val="21"/>
                <w:highlight w:val="none"/>
              </w:rPr>
            </w:pPr>
            <w:r>
              <w:rPr>
                <w:rFonts w:hint="default" w:ascii="Times New Roman" w:hAnsi="Times New Roman" w:cs="Times New Roman"/>
                <w:bCs w:val="0"/>
                <w:color w:val="auto"/>
                <w:sz w:val="21"/>
              </w:rPr>
              <w:t>本项目</w:t>
            </w:r>
            <w:r>
              <w:rPr>
                <w:rFonts w:hint="default" w:ascii="Times New Roman" w:hAnsi="Times New Roman" w:cs="Times New Roman"/>
                <w:bCs w:val="0"/>
                <w:color w:val="auto"/>
                <w:sz w:val="21"/>
                <w:lang w:val="en-US" w:eastAsia="zh-CN"/>
              </w:rPr>
              <w:t>租赁现有</w:t>
            </w:r>
            <w:r>
              <w:rPr>
                <w:rFonts w:hint="default" w:ascii="Times New Roman" w:hAnsi="Times New Roman" w:cs="Times New Roman"/>
                <w:bCs w:val="0"/>
                <w:color w:val="auto"/>
                <w:sz w:val="21"/>
              </w:rPr>
              <w:t>厂房进行建设，施工期主要为设备安装及调试，故施工期的主要影响因素是设备调试运行时产生的机械噪声和设备安装时产生的少量固废，对周围环境影响较小，本</w:t>
            </w:r>
            <w:r>
              <w:rPr>
                <w:rFonts w:hint="default" w:ascii="Times New Roman" w:hAnsi="Times New Roman" w:cs="Times New Roman"/>
                <w:bCs w:val="0"/>
                <w:color w:val="auto"/>
                <w:sz w:val="21"/>
                <w:highlight w:val="none"/>
              </w:rPr>
              <w:t>环评不再对施工期进行环境影响分析。</w:t>
            </w:r>
          </w:p>
          <w:p w14:paraId="5A948BFA">
            <w:pPr>
              <w:pStyle w:val="1042"/>
              <w:adjustRightInd w:val="0"/>
              <w:snapToGrid w:val="0"/>
              <w:spacing w:line="360" w:lineRule="auto"/>
              <w:rPr>
                <w:rFonts w:hint="default" w:ascii="Times New Roman" w:hAnsi="Times New Roman" w:eastAsia="宋体" w:cs="Times New Roman"/>
                <w:b/>
                <w:bCs/>
                <w:color w:val="auto"/>
                <w:szCs w:val="21"/>
                <w:highlight w:val="none"/>
                <w:lang w:val="de-DE"/>
              </w:rPr>
            </w:pPr>
            <w:r>
              <w:rPr>
                <w:rFonts w:hint="default" w:ascii="Times New Roman" w:hAnsi="Times New Roman" w:eastAsia="宋体" w:cs="Times New Roman"/>
                <w:b/>
                <w:bCs/>
                <w:color w:val="auto"/>
                <w:szCs w:val="21"/>
                <w:highlight w:val="none"/>
                <w:lang w:val="de-DE"/>
              </w:rPr>
              <w:t xml:space="preserve"> 2、运营期</w:t>
            </w:r>
          </w:p>
          <w:p w14:paraId="4B30E0DB">
            <w:pPr>
              <w:pStyle w:val="1042"/>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（1）主要生产工艺</w:t>
            </w:r>
          </w:p>
          <w:p w14:paraId="4AF8F2C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highlight w:val="none"/>
                <w:lang w:val="de-DE"/>
              </w:rPr>
            </w:pPr>
            <w:r>
              <w:rPr>
                <w:rFonts w:hint="default" w:ascii="Times New Roman" w:hAnsi="Times New Roman" w:cs="Times New Roman"/>
                <w:color w:val="auto"/>
                <w:szCs w:val="21"/>
                <w:highlight w:val="none"/>
                <w:lang w:val="en-US" w:eastAsia="zh-CN"/>
              </w:rPr>
              <w:t>本项目</w:t>
            </w:r>
            <w:r>
              <w:rPr>
                <w:rFonts w:hint="default" w:ascii="Times New Roman" w:hAnsi="Times New Roman" w:cs="Times New Roman"/>
                <w:color w:val="auto"/>
                <w:szCs w:val="21"/>
                <w:highlight w:val="none"/>
              </w:rPr>
              <w:t>主要生产</w:t>
            </w:r>
            <w:r>
              <w:rPr>
                <w:rFonts w:hint="default" w:ascii="Times New Roman" w:hAnsi="Times New Roman" w:cs="Times New Roman"/>
                <w:color w:val="auto"/>
                <w:szCs w:val="21"/>
                <w:highlight w:val="none"/>
                <w:lang w:val="de-DE"/>
              </w:rPr>
              <w:t>工艺流程见图2-</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lang w:val="de-DE"/>
              </w:rPr>
              <w:t>。</w:t>
            </w:r>
          </w:p>
          <w:p w14:paraId="1576204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highlight w:val="none"/>
                <w:lang w:val="de-DE"/>
              </w:rPr>
            </w:pPr>
          </w:p>
          <w:p w14:paraId="6C8E2ED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highlight w:val="none"/>
                <w:lang w:val="de-DE"/>
              </w:rPr>
            </w:pPr>
          </w:p>
          <w:p w14:paraId="623031B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highlight w:val="none"/>
                <w:lang w:val="de-DE"/>
              </w:rPr>
            </w:pPr>
          </w:p>
          <w:p w14:paraId="2A3F4AF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highlight w:val="none"/>
                <w:lang w:val="de-DE"/>
              </w:rPr>
            </w:pPr>
          </w:p>
          <w:p w14:paraId="408BBF9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highlight w:val="none"/>
                <w:lang w:val="de-DE"/>
              </w:rPr>
            </w:pPr>
          </w:p>
          <w:p w14:paraId="6FC887F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Times New Roman" w:hAnsi="Times New Roman" w:eastAsia="宋体" w:cs="Times New Roman"/>
                <w:color w:val="auto"/>
                <w:szCs w:val="21"/>
                <w:highlight w:val="none"/>
                <w:lang w:val="de-DE" w:eastAsia="zh-CN"/>
              </w:rPr>
            </w:pPr>
          </w:p>
          <w:p w14:paraId="14C4D3D4">
            <w:pPr>
              <w:spacing w:line="360" w:lineRule="auto"/>
              <w:jc w:val="center"/>
              <w:rPr>
                <w:rFonts w:hint="default" w:ascii="Times New Roman" w:hAnsi="Times New Roman" w:eastAsia="黑体" w:cs="Times New Roman"/>
                <w:color w:val="FF0000"/>
                <w:highlight w:val="none"/>
                <w:lang w:val="de-DE"/>
              </w:rPr>
            </w:pPr>
            <w:r>
              <w:rPr>
                <w:rFonts w:hint="default" w:ascii="Times New Roman" w:hAnsi="Times New Roman" w:eastAsia="黑体" w:cs="Times New Roman"/>
                <w:color w:val="FF0000"/>
                <w:highlight w:val="none"/>
                <w:lang w:val="de-DE"/>
              </w:rPr>
              <w:object>
                <v:shape id="_x0000_i1026" o:spt="75" type="#_x0000_t75" style="height:205.65pt;width:349.9pt;" o:ole="t" filled="f" o:preferrelative="t" stroked="f" coordsize="21600,21600">
                  <v:path/>
                  <v:fill on="f" focussize="0,0"/>
                  <v:stroke on="f"/>
                  <v:imagedata r:id="rId15" o:title=""/>
                  <o:lock v:ext="edit" aspectratio="f"/>
                  <w10:wrap type="none"/>
                  <w10:anchorlock/>
                </v:shape>
                <o:OLEObject Type="Embed" ProgID="Visio.Drawing.15" ShapeID="_x0000_i1026" DrawAspect="Content" ObjectID="_1468075726" r:id="rId14">
                  <o:LockedField>false</o:LockedField>
                </o:OLEObject>
              </w:object>
            </w:r>
          </w:p>
          <w:p w14:paraId="2510F350">
            <w:pPr>
              <w:spacing w:line="360" w:lineRule="auto"/>
              <w:jc w:val="center"/>
              <w:rPr>
                <w:rFonts w:hint="default" w:ascii="Times New Roman" w:hAnsi="Times New Roman" w:eastAsia="宋体" w:cs="Times New Roman"/>
                <w:b/>
                <w:bCs/>
                <w:color w:val="auto"/>
                <w:highlight w:val="none"/>
                <w:lang w:val="de-DE"/>
              </w:rPr>
            </w:pPr>
            <w:r>
              <w:rPr>
                <w:rFonts w:hint="default" w:ascii="Times New Roman" w:hAnsi="Times New Roman" w:eastAsia="宋体" w:cs="Times New Roman"/>
                <w:b/>
                <w:bCs/>
                <w:color w:val="auto"/>
                <w:highlight w:val="none"/>
                <w:lang w:val="de-DE"/>
              </w:rPr>
              <w:t>图2-</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val="de-DE"/>
              </w:rPr>
              <w:t>项目</w:t>
            </w:r>
            <w:r>
              <w:rPr>
                <w:rFonts w:hint="default" w:ascii="Times New Roman" w:hAnsi="Times New Roman" w:eastAsia="宋体" w:cs="Times New Roman"/>
                <w:b/>
                <w:bCs/>
                <w:color w:val="auto"/>
                <w:highlight w:val="none"/>
                <w:lang w:val="en-US" w:eastAsia="zh-CN"/>
              </w:rPr>
              <w:t>磨边轮</w:t>
            </w:r>
            <w:r>
              <w:rPr>
                <w:rFonts w:hint="default" w:ascii="Times New Roman" w:hAnsi="Times New Roman" w:eastAsia="宋体" w:cs="Times New Roman"/>
                <w:b/>
                <w:bCs/>
                <w:color w:val="auto"/>
                <w:highlight w:val="none"/>
                <w:lang w:val="de-DE"/>
              </w:rPr>
              <w:t>主要工艺流程及产污环节图</w:t>
            </w:r>
          </w:p>
          <w:p w14:paraId="0B1B7089">
            <w:pPr>
              <w:pStyle w:val="1042"/>
              <w:spacing w:line="360" w:lineRule="auto"/>
              <w:rPr>
                <w:rFonts w:hint="default" w:ascii="Times New Roman" w:hAnsi="Times New Roman" w:eastAsia="黑体" w:cs="Times New Roman"/>
                <w:bCs/>
                <w:color w:val="auto"/>
                <w:szCs w:val="21"/>
                <w:highlight w:val="none"/>
              </w:rPr>
            </w:pPr>
            <w:r>
              <w:rPr>
                <w:rFonts w:hint="default" w:ascii="Times New Roman" w:hAnsi="Times New Roman" w:eastAsia="黑体" w:cs="Times New Roman"/>
                <w:bCs/>
                <w:color w:val="auto"/>
                <w:szCs w:val="21"/>
                <w:highlight w:val="none"/>
              </w:rPr>
              <w:t>工艺简述：</w:t>
            </w:r>
          </w:p>
          <w:p w14:paraId="0CFBF034">
            <w:pPr>
              <w:pStyle w:val="1394"/>
              <w:adjustRightInd w:val="0"/>
              <w:snapToGrid w:val="0"/>
              <w:spacing w:before="0" w:beforeAutospacing="0" w:after="0"/>
              <w:ind w:left="0" w:leftChars="0" w:firstLine="420" w:firstLineChars="200"/>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配料、筛分、混料：根据产品</w:t>
            </w:r>
            <w:r>
              <w:rPr>
                <w:rFonts w:hint="default" w:ascii="Times New Roman" w:hAnsi="Times New Roman" w:cs="Times New Roman" w:eastAsiaTheme="minorEastAsia"/>
                <w:color w:val="auto"/>
                <w:sz w:val="21"/>
                <w:szCs w:val="21"/>
                <w:highlight w:val="none"/>
                <w:lang w:val="en-US" w:eastAsia="zh-CN"/>
              </w:rPr>
              <w:t>要求将不同的</w:t>
            </w:r>
            <w:r>
              <w:rPr>
                <w:rFonts w:hint="eastAsia" w:ascii="Times New Roman" w:hAnsi="Times New Roman" w:cs="Times New Roman" w:eastAsiaTheme="minorEastAsia"/>
                <w:color w:val="auto"/>
                <w:sz w:val="21"/>
                <w:szCs w:val="21"/>
                <w:highlight w:val="none"/>
                <w:lang w:val="en-US" w:eastAsia="zh-CN"/>
              </w:rPr>
              <w:t>原料（金刚石粉末、合金粉、铁粉、锡粉、锌粉）</w:t>
            </w:r>
            <w:r>
              <w:rPr>
                <w:rFonts w:hint="default" w:ascii="Times New Roman" w:hAnsi="Times New Roman" w:cs="Times New Roman" w:eastAsiaTheme="minorEastAsia"/>
                <w:color w:val="auto"/>
                <w:sz w:val="21"/>
                <w:szCs w:val="21"/>
                <w:highlight w:val="none"/>
                <w:lang w:val="en-US" w:eastAsia="zh-CN"/>
              </w:rPr>
              <w:t>按比例进行</w:t>
            </w:r>
            <w:r>
              <w:rPr>
                <w:rFonts w:hint="eastAsia" w:ascii="Times New Roman" w:hAnsi="Times New Roman" w:cs="Times New Roman" w:eastAsiaTheme="minorEastAsia"/>
                <w:color w:val="auto"/>
                <w:sz w:val="21"/>
                <w:szCs w:val="21"/>
                <w:highlight w:val="none"/>
                <w:lang w:val="en-US" w:eastAsia="zh-CN"/>
              </w:rPr>
              <w:t>人工配料</w:t>
            </w:r>
            <w:r>
              <w:rPr>
                <w:rFonts w:hint="default" w:ascii="Times New Roman" w:hAnsi="Times New Roman" w:cs="Times New Roman" w:eastAsiaTheme="minorEastAsia"/>
                <w:color w:val="auto"/>
                <w:sz w:val="21"/>
                <w:szCs w:val="21"/>
                <w:highlight w:val="none"/>
                <w:lang w:val="en-US" w:eastAsia="zh-CN"/>
              </w:rPr>
              <w:t>，</w:t>
            </w:r>
            <w:r>
              <w:rPr>
                <w:rFonts w:hint="eastAsia" w:ascii="Times New Roman" w:hAnsi="Times New Roman" w:cs="Times New Roman" w:eastAsiaTheme="minorEastAsia"/>
                <w:color w:val="auto"/>
                <w:sz w:val="21"/>
                <w:szCs w:val="21"/>
                <w:highlight w:val="none"/>
                <w:lang w:val="en-US" w:eastAsia="zh-CN"/>
              </w:rPr>
              <w:t>经振动筛\筛选机</w:t>
            </w:r>
            <w:r>
              <w:rPr>
                <w:rFonts w:hint="default" w:ascii="Times New Roman" w:hAnsi="Times New Roman" w:cs="Times New Roman" w:eastAsiaTheme="minorEastAsia"/>
                <w:color w:val="auto"/>
                <w:sz w:val="21"/>
                <w:szCs w:val="21"/>
                <w:highlight w:val="none"/>
                <w:lang w:val="en-US" w:eastAsia="zh-CN"/>
              </w:rPr>
              <w:t>筛</w:t>
            </w:r>
            <w:r>
              <w:rPr>
                <w:rFonts w:hint="eastAsia" w:ascii="Times New Roman" w:hAnsi="Times New Roman" w:cs="Times New Roman" w:eastAsiaTheme="minorEastAsia"/>
                <w:color w:val="auto"/>
                <w:sz w:val="21"/>
                <w:szCs w:val="21"/>
                <w:highlight w:val="none"/>
                <w:lang w:val="en-US" w:eastAsia="zh-CN"/>
              </w:rPr>
              <w:t>料</w:t>
            </w:r>
            <w:r>
              <w:rPr>
                <w:rFonts w:hint="default" w:ascii="Times New Roman" w:hAnsi="Times New Roman" w:cs="Times New Roman" w:eastAsiaTheme="minorEastAsia"/>
                <w:color w:val="auto"/>
                <w:sz w:val="21"/>
                <w:szCs w:val="21"/>
                <w:highlight w:val="none"/>
                <w:lang w:val="en-US" w:eastAsia="zh-CN"/>
              </w:rPr>
              <w:t>后</w:t>
            </w:r>
            <w:r>
              <w:rPr>
                <w:rFonts w:hint="eastAsia" w:ascii="Times New Roman" w:hAnsi="Times New Roman" w:cs="Times New Roman" w:eastAsiaTheme="minorEastAsia"/>
                <w:color w:val="auto"/>
                <w:sz w:val="21"/>
                <w:szCs w:val="21"/>
                <w:highlight w:val="none"/>
                <w:lang w:val="en-US" w:eastAsia="zh-CN"/>
              </w:rPr>
              <w:t>用混料机进混料。</w:t>
            </w:r>
          </w:p>
          <w:p w14:paraId="695CD61C">
            <w:pPr>
              <w:pStyle w:val="1394"/>
              <w:adjustRightInd w:val="0"/>
              <w:snapToGrid w:val="0"/>
              <w:spacing w:before="0" w:beforeAutospacing="0" w:after="0"/>
              <w:ind w:left="0" w:leftChars="0"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冷压：将混合后的原料均匀倒入冷压机的</w:t>
            </w:r>
            <w:r>
              <w:rPr>
                <w:rFonts w:hint="eastAsia" w:cs="Times New Roman" w:eastAsiaTheme="minorEastAsia"/>
                <w:color w:val="auto"/>
                <w:sz w:val="21"/>
                <w:szCs w:val="21"/>
                <w:highlight w:val="none"/>
                <w:lang w:val="en-US" w:eastAsia="zh-CN"/>
              </w:rPr>
              <w:t>模具</w:t>
            </w:r>
            <w:r>
              <w:rPr>
                <w:rFonts w:hint="eastAsia" w:ascii="Times New Roman" w:hAnsi="Times New Roman" w:cs="Times New Roman" w:eastAsiaTheme="minorEastAsia"/>
                <w:color w:val="auto"/>
                <w:sz w:val="21"/>
                <w:szCs w:val="21"/>
                <w:highlight w:val="none"/>
                <w:lang w:val="en-US" w:eastAsia="zh-CN"/>
              </w:rPr>
              <w:t>中进行冷压，冷压的压力为3</w:t>
            </w:r>
            <w:r>
              <w:rPr>
                <w:rFonts w:hint="eastAsia" w:cs="Times New Roman" w:eastAsiaTheme="minorEastAsia"/>
                <w:color w:val="auto"/>
                <w:sz w:val="21"/>
                <w:szCs w:val="21"/>
                <w:highlight w:val="none"/>
                <w:lang w:val="en-US" w:eastAsia="zh-CN"/>
              </w:rPr>
              <w:t>-</w:t>
            </w:r>
            <w:r>
              <w:rPr>
                <w:rFonts w:hint="eastAsia" w:ascii="Times New Roman" w:hAnsi="Times New Roman" w:cs="Times New Roman" w:eastAsiaTheme="minorEastAsia"/>
                <w:color w:val="auto"/>
                <w:sz w:val="21"/>
                <w:szCs w:val="21"/>
                <w:highlight w:val="none"/>
                <w:lang w:val="en-US" w:eastAsia="zh-CN"/>
              </w:rPr>
              <w:t>4MPa。</w:t>
            </w:r>
          </w:p>
          <w:p w14:paraId="776B8F7C">
            <w:pPr>
              <w:pStyle w:val="1394"/>
              <w:adjustRightInd w:val="0"/>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热压：冷压后将成型基体放入热压</w:t>
            </w:r>
            <w:r>
              <w:rPr>
                <w:rFonts w:hint="eastAsia" w:cs="Times New Roman" w:eastAsiaTheme="minorEastAsia"/>
                <w:color w:val="auto"/>
                <w:sz w:val="21"/>
                <w:szCs w:val="21"/>
                <w:highlight w:val="none"/>
                <w:lang w:val="en-US" w:eastAsia="zh-CN"/>
              </w:rPr>
              <w:t>模具</w:t>
            </w:r>
            <w:r>
              <w:rPr>
                <w:rFonts w:hint="eastAsia" w:ascii="Times New Roman" w:hAnsi="Times New Roman" w:cs="Times New Roman" w:eastAsiaTheme="minorEastAsia"/>
                <w:color w:val="auto"/>
                <w:sz w:val="21"/>
                <w:szCs w:val="21"/>
                <w:highlight w:val="none"/>
                <w:lang w:val="en-US" w:eastAsia="zh-CN"/>
              </w:rPr>
              <w:t>并置于热压机中，按照设定的升温加压程序进行升温压制。起始温度为500℃、压强为25MPa，在2分钟之内，使</w:t>
            </w:r>
            <w:r>
              <w:rPr>
                <w:rFonts w:hint="eastAsia" w:cs="Times New Roman" w:eastAsiaTheme="minorEastAsia"/>
                <w:color w:val="auto"/>
                <w:sz w:val="21"/>
                <w:szCs w:val="21"/>
                <w:highlight w:val="none"/>
                <w:lang w:val="en-US" w:eastAsia="zh-CN"/>
              </w:rPr>
              <w:t>模具</w:t>
            </w:r>
            <w:r>
              <w:rPr>
                <w:rFonts w:hint="eastAsia" w:ascii="Times New Roman" w:hAnsi="Times New Roman" w:cs="Times New Roman" w:eastAsiaTheme="minorEastAsia"/>
                <w:color w:val="auto"/>
                <w:sz w:val="21"/>
                <w:szCs w:val="21"/>
                <w:highlight w:val="none"/>
                <w:lang w:val="en-US" w:eastAsia="zh-CN"/>
              </w:rPr>
              <w:t>内的温度上升到730℃，压强增加至100MPa，保持0.5分钟；再在0.5分钟之内，从730℃上升到760℃，压强增加至130MPa，保持4分钟；然后在1.5分钟内降温至600℃，压力降至60MPa，随后自然冷却至室温常压。</w:t>
            </w:r>
          </w:p>
          <w:p w14:paraId="6379725E">
            <w:pPr>
              <w:pStyle w:val="1394"/>
              <w:snapToGrid w:val="0"/>
              <w:spacing w:before="0" w:beforeAutospacing="0" w:after="0"/>
              <w:ind w:left="0" w:leftChars="0" w:firstLine="420" w:firstLineChars="200"/>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钢板车削</w:t>
            </w:r>
            <w:r>
              <w:rPr>
                <w:rFonts w:hint="eastAsia" w:cs="Times New Roman" w:eastAsiaTheme="minorEastAsia"/>
                <w:color w:val="auto"/>
                <w:sz w:val="21"/>
                <w:szCs w:val="21"/>
                <w:highlight w:val="none"/>
                <w:lang w:val="en-US" w:eastAsia="zh-CN"/>
              </w:rPr>
              <w:t>、喷砂</w:t>
            </w:r>
            <w:r>
              <w:rPr>
                <w:rFonts w:hint="eastAsia" w:ascii="Times New Roman" w:hAnsi="Times New Roman" w:cs="Times New Roman" w:eastAsiaTheme="minorEastAsia"/>
                <w:color w:val="auto"/>
                <w:sz w:val="21"/>
                <w:szCs w:val="21"/>
                <w:highlight w:val="none"/>
                <w:lang w:val="en-US" w:eastAsia="zh-CN"/>
              </w:rPr>
              <w:t>：外购钢板，使用车床加工成所需配件</w:t>
            </w:r>
            <w:r>
              <w:rPr>
                <w:rFonts w:hint="eastAsia" w:cs="Times New Roman" w:eastAsiaTheme="minorEastAsia"/>
                <w:color w:val="auto"/>
                <w:sz w:val="21"/>
                <w:szCs w:val="21"/>
                <w:highlight w:val="none"/>
                <w:lang w:val="en-US" w:eastAsia="zh-CN"/>
              </w:rPr>
              <w:t>，然后用小型喷砂机打磨</w:t>
            </w:r>
            <w:r>
              <w:rPr>
                <w:rFonts w:hint="eastAsia" w:ascii="Times New Roman" w:hAnsi="Times New Roman" w:cs="Times New Roman" w:eastAsiaTheme="minorEastAsia"/>
                <w:color w:val="auto"/>
                <w:sz w:val="21"/>
                <w:szCs w:val="21"/>
                <w:highlight w:val="none"/>
                <w:lang w:val="en-US" w:eastAsia="zh-CN"/>
              </w:rPr>
              <w:t>。</w:t>
            </w:r>
          </w:p>
          <w:p w14:paraId="7D1520B5">
            <w:pPr>
              <w:pStyle w:val="1394"/>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焊接：使用高频焊机将车削后的钢板与热压后的基体焊接在一起。</w:t>
            </w:r>
          </w:p>
          <w:p w14:paraId="06DDB4B5">
            <w:pPr>
              <w:pStyle w:val="1394"/>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开孔：使用台钻对焊接后的成品进行开孔，并在开孔后使用平衡机进行动平衡检验。</w:t>
            </w:r>
          </w:p>
          <w:p w14:paraId="6EB8F9E2">
            <w:pPr>
              <w:pStyle w:val="1394"/>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打磨：对平衡检验合格的成品</w:t>
            </w:r>
            <w:r>
              <w:rPr>
                <w:rFonts w:hint="eastAsia" w:cs="Times New Roman" w:eastAsiaTheme="minorEastAsia"/>
                <w:color w:val="auto"/>
                <w:sz w:val="21"/>
                <w:szCs w:val="21"/>
                <w:highlight w:val="none"/>
                <w:lang w:val="en-US" w:eastAsia="zh-CN"/>
              </w:rPr>
              <w:t>使用砂轮机/开刃机</w:t>
            </w:r>
            <w:r>
              <w:rPr>
                <w:rFonts w:hint="eastAsia" w:ascii="Times New Roman" w:hAnsi="Times New Roman" w:cs="Times New Roman" w:eastAsiaTheme="minorEastAsia"/>
                <w:color w:val="auto"/>
                <w:sz w:val="21"/>
                <w:szCs w:val="21"/>
                <w:highlight w:val="none"/>
                <w:lang w:val="en-US" w:eastAsia="zh-CN"/>
              </w:rPr>
              <w:t>进行打磨抛光，然后包装出厂。</w:t>
            </w:r>
          </w:p>
          <w:p w14:paraId="02E0A0A7">
            <w:pPr>
              <w:pStyle w:val="1394"/>
              <w:snapToGrid w:val="0"/>
              <w:spacing w:before="0" w:beforeAutospacing="0" w:after="0"/>
              <w:ind w:firstLine="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w:t>
            </w:r>
            <w:r>
              <w:rPr>
                <w:rFonts w:hint="eastAsia" w:cs="Times New Roman" w:eastAsiaTheme="minorEastAsia"/>
                <w:color w:val="auto"/>
                <w:sz w:val="21"/>
                <w:szCs w:val="21"/>
                <w:highlight w:val="none"/>
                <w:lang w:val="en-US" w:eastAsia="zh-CN"/>
              </w:rPr>
              <w:t>原料包装产生S1-1废包装材料</w:t>
            </w:r>
            <w:r>
              <w:rPr>
                <w:rFonts w:hint="default" w:ascii="Times New Roman" w:hAnsi="Times New Roman" w:cs="Times New Roman" w:eastAsiaTheme="minorEastAsia"/>
                <w:color w:val="auto"/>
                <w:sz w:val="21"/>
                <w:szCs w:val="21"/>
                <w:highlight w:val="none"/>
                <w:lang w:val="en-US" w:eastAsia="zh-CN"/>
              </w:rPr>
              <w:t>；</w:t>
            </w:r>
          </w:p>
          <w:p w14:paraId="1D02C8F1">
            <w:pPr>
              <w:pStyle w:val="1394"/>
              <w:snapToGrid w:val="0"/>
              <w:spacing w:before="0" w:beforeAutospacing="0" w:after="0"/>
              <w:ind w:firstLine="1050" w:firstLineChars="5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配料</w:t>
            </w:r>
            <w:r>
              <w:rPr>
                <w:rFonts w:hint="default" w:ascii="Times New Roman" w:hAnsi="Times New Roman" w:cs="Times New Roman" w:eastAsiaTheme="minorEastAsia"/>
                <w:color w:val="auto"/>
                <w:sz w:val="21"/>
                <w:szCs w:val="21"/>
                <w:highlight w:val="none"/>
                <w:lang w:val="en-US" w:eastAsia="zh-CN"/>
              </w:rPr>
              <w:t>过程会产生G</w:t>
            </w:r>
            <w:r>
              <w:rPr>
                <w:rFonts w:hint="eastAsia" w:cs="Times New Roman" w:eastAsiaTheme="minorEastAsia"/>
                <w:color w:val="auto"/>
                <w:sz w:val="21"/>
                <w:szCs w:val="21"/>
                <w:highlight w:val="none"/>
                <w:lang w:val="en-US" w:eastAsia="zh-CN"/>
              </w:rPr>
              <w:t>1-1</w:t>
            </w:r>
            <w:r>
              <w:rPr>
                <w:rFonts w:hint="default" w:ascii="Times New Roman" w:hAnsi="Times New Roman" w:cs="Times New Roman" w:eastAsiaTheme="minorEastAsia"/>
                <w:color w:val="auto"/>
                <w:sz w:val="21"/>
                <w:szCs w:val="21"/>
                <w:highlight w:val="none"/>
                <w:lang w:val="en-US" w:eastAsia="zh-CN"/>
              </w:rPr>
              <w:t>粉尘；</w:t>
            </w:r>
          </w:p>
          <w:p w14:paraId="6C50650B">
            <w:pPr>
              <w:pStyle w:val="1394"/>
              <w:snapToGrid w:val="0"/>
              <w:spacing w:before="0" w:beforeAutospacing="0" w:after="0"/>
              <w:ind w:firstLine="1050" w:firstLineChars="500"/>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筛分过程产生</w:t>
            </w:r>
            <w:r>
              <w:rPr>
                <w:rFonts w:hint="default" w:ascii="Times New Roman" w:hAnsi="Times New Roman" w:cs="Times New Roman" w:eastAsiaTheme="minorEastAsia"/>
                <w:color w:val="auto"/>
                <w:sz w:val="21"/>
                <w:szCs w:val="21"/>
                <w:highlight w:val="none"/>
                <w:lang w:val="en-US" w:eastAsia="zh-CN"/>
              </w:rPr>
              <w:t>G</w:t>
            </w:r>
            <w:r>
              <w:rPr>
                <w:rFonts w:hint="eastAsia" w:cs="Times New Roman" w:eastAsiaTheme="minorEastAsia"/>
                <w:color w:val="auto"/>
                <w:sz w:val="21"/>
                <w:szCs w:val="21"/>
                <w:highlight w:val="none"/>
                <w:lang w:val="en-US" w:eastAsia="zh-CN"/>
              </w:rPr>
              <w:t>1-2</w:t>
            </w:r>
            <w:r>
              <w:rPr>
                <w:rFonts w:hint="default" w:ascii="Times New Roman" w:hAnsi="Times New Roman" w:cs="Times New Roman" w:eastAsiaTheme="minorEastAsia"/>
                <w:color w:val="auto"/>
                <w:sz w:val="21"/>
                <w:szCs w:val="21"/>
                <w:highlight w:val="none"/>
                <w:lang w:val="en-US" w:eastAsia="zh-CN"/>
              </w:rPr>
              <w:t>粉尘</w:t>
            </w:r>
            <w:r>
              <w:rPr>
                <w:rFonts w:hint="eastAsia" w:ascii="Times New Roman" w:hAnsi="Times New Roman" w:cs="Times New Roman" w:eastAsiaTheme="minorEastAsia"/>
                <w:color w:val="auto"/>
                <w:sz w:val="21"/>
                <w:szCs w:val="21"/>
                <w:highlight w:val="none"/>
                <w:lang w:val="en-US" w:eastAsia="zh-CN"/>
              </w:rPr>
              <w:t>、S1-2筛分废料、</w:t>
            </w:r>
            <w:r>
              <w:rPr>
                <w:rFonts w:hint="eastAsia" w:cs="Times New Roman" w:eastAsiaTheme="minorEastAsia"/>
                <w:color w:val="auto"/>
                <w:sz w:val="21"/>
                <w:szCs w:val="21"/>
                <w:highlight w:val="none"/>
                <w:lang w:val="en-US" w:eastAsia="zh-CN"/>
              </w:rPr>
              <w:t>N1-1噪声；</w:t>
            </w:r>
          </w:p>
          <w:p w14:paraId="0CC91E1C">
            <w:pPr>
              <w:pStyle w:val="1394"/>
              <w:snapToGrid w:val="0"/>
              <w:spacing w:before="0" w:beforeAutospacing="0" w:after="0"/>
              <w:ind w:firstLine="1050" w:firstLineChars="500"/>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混料过程会产生G1-3粉尘、N1-2噪声；</w:t>
            </w:r>
          </w:p>
          <w:p w14:paraId="60A681D3">
            <w:pPr>
              <w:pStyle w:val="1394"/>
              <w:snapToGrid w:val="0"/>
              <w:spacing w:before="0" w:beforeAutospacing="0" w:after="0"/>
              <w:ind w:firstLine="1050" w:firstLineChars="5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冷压</w:t>
            </w:r>
            <w:r>
              <w:rPr>
                <w:rFonts w:hint="default" w:ascii="Times New Roman" w:hAnsi="Times New Roman" w:cs="Times New Roman" w:eastAsiaTheme="minorEastAsia"/>
                <w:color w:val="auto"/>
                <w:sz w:val="21"/>
                <w:szCs w:val="21"/>
                <w:highlight w:val="none"/>
                <w:lang w:val="en-US" w:eastAsia="zh-CN"/>
              </w:rPr>
              <w:t>过程会产生</w:t>
            </w:r>
            <w:r>
              <w:rPr>
                <w:rFonts w:hint="eastAsia" w:cs="Times New Roman" w:eastAsiaTheme="minorEastAsia"/>
                <w:color w:val="auto"/>
                <w:sz w:val="21"/>
                <w:szCs w:val="21"/>
                <w:highlight w:val="none"/>
                <w:lang w:val="en-US" w:eastAsia="zh-CN"/>
              </w:rPr>
              <w:t>N1-3</w:t>
            </w:r>
            <w:r>
              <w:rPr>
                <w:rFonts w:hint="default" w:ascii="Times New Roman" w:hAnsi="Times New Roman" w:cs="Times New Roman" w:eastAsiaTheme="minorEastAsia"/>
                <w:color w:val="auto"/>
                <w:sz w:val="21"/>
                <w:szCs w:val="21"/>
                <w:highlight w:val="none"/>
                <w:lang w:val="en-US" w:eastAsia="zh-CN"/>
              </w:rPr>
              <w:t>噪声；</w:t>
            </w:r>
          </w:p>
          <w:p w14:paraId="7F0AB621">
            <w:pPr>
              <w:pStyle w:val="1394"/>
              <w:snapToGrid w:val="0"/>
              <w:spacing w:before="0" w:beforeAutospacing="0" w:after="0"/>
              <w:ind w:firstLine="1050" w:firstLineChars="5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热压</w:t>
            </w:r>
            <w:r>
              <w:rPr>
                <w:rFonts w:hint="default" w:ascii="Times New Roman" w:hAnsi="Times New Roman" w:cs="Times New Roman" w:eastAsiaTheme="minorEastAsia"/>
                <w:color w:val="auto"/>
                <w:sz w:val="21"/>
                <w:szCs w:val="21"/>
                <w:highlight w:val="none"/>
                <w:lang w:val="en-US" w:eastAsia="zh-CN"/>
              </w:rPr>
              <w:t>过程会产生</w:t>
            </w:r>
            <w:r>
              <w:rPr>
                <w:rFonts w:hint="eastAsia" w:cs="Times New Roman" w:eastAsiaTheme="minorEastAsia"/>
                <w:color w:val="auto"/>
                <w:sz w:val="21"/>
                <w:szCs w:val="21"/>
                <w:highlight w:val="none"/>
                <w:lang w:val="en-US" w:eastAsia="zh-CN"/>
              </w:rPr>
              <w:t>N1-4</w:t>
            </w:r>
            <w:r>
              <w:rPr>
                <w:rFonts w:hint="default" w:ascii="Times New Roman" w:hAnsi="Times New Roman" w:cs="Times New Roman" w:eastAsiaTheme="minorEastAsia"/>
                <w:color w:val="auto"/>
                <w:sz w:val="21"/>
                <w:szCs w:val="21"/>
                <w:highlight w:val="none"/>
                <w:lang w:val="en-US" w:eastAsia="zh-CN"/>
              </w:rPr>
              <w:t>噪声；</w:t>
            </w:r>
          </w:p>
          <w:p w14:paraId="3B47B7F1">
            <w:pPr>
              <w:pStyle w:val="1394"/>
              <w:snapToGrid w:val="0"/>
              <w:spacing w:before="0" w:beforeAutospacing="0" w:after="0"/>
              <w:ind w:firstLine="1050" w:firstLineChars="500"/>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车削过程产生</w:t>
            </w:r>
            <w:r>
              <w:rPr>
                <w:rFonts w:hint="default" w:ascii="Times New Roman" w:hAnsi="Times New Roman" w:cs="Times New Roman" w:eastAsiaTheme="minorEastAsia"/>
                <w:color w:val="auto"/>
                <w:sz w:val="21"/>
                <w:szCs w:val="21"/>
                <w:highlight w:val="none"/>
                <w:lang w:val="en-US" w:eastAsia="zh-CN"/>
              </w:rPr>
              <w:t>G</w:t>
            </w:r>
            <w:r>
              <w:rPr>
                <w:rFonts w:hint="eastAsia" w:cs="Times New Roman" w:eastAsiaTheme="minorEastAsia"/>
                <w:color w:val="auto"/>
                <w:sz w:val="21"/>
                <w:szCs w:val="21"/>
                <w:highlight w:val="none"/>
                <w:lang w:val="en-US" w:eastAsia="zh-CN"/>
              </w:rPr>
              <w:t>1-4粉尘</w:t>
            </w:r>
            <w:r>
              <w:rPr>
                <w:rFonts w:hint="eastAsia" w:ascii="Times New Roman" w:hAnsi="Times New Roman" w:cs="Times New Roman" w:eastAsiaTheme="minorEastAsia"/>
                <w:color w:val="auto"/>
                <w:sz w:val="21"/>
                <w:szCs w:val="21"/>
                <w:highlight w:val="none"/>
                <w:lang w:val="en-US" w:eastAsia="zh-CN"/>
              </w:rPr>
              <w:t>、S1-3边角料、</w:t>
            </w:r>
            <w:r>
              <w:rPr>
                <w:rFonts w:hint="eastAsia" w:cs="Times New Roman" w:eastAsiaTheme="minorEastAsia"/>
                <w:color w:val="auto"/>
                <w:sz w:val="21"/>
                <w:szCs w:val="21"/>
                <w:highlight w:val="none"/>
                <w:lang w:val="en-US" w:eastAsia="zh-CN"/>
              </w:rPr>
              <w:t>N1-5噪声；</w:t>
            </w:r>
          </w:p>
          <w:p w14:paraId="52F9028F">
            <w:pPr>
              <w:pStyle w:val="1394"/>
              <w:snapToGrid w:val="0"/>
              <w:spacing w:before="0" w:beforeAutospacing="0" w:after="0"/>
              <w:ind w:firstLine="1050" w:firstLineChars="500"/>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喷砂过程产生G1-5粉尘、</w:t>
            </w:r>
            <w:r>
              <w:rPr>
                <w:rFonts w:hint="eastAsia" w:ascii="Times New Roman" w:hAnsi="Times New Roman" w:cs="Times New Roman" w:eastAsiaTheme="minorEastAsia"/>
                <w:color w:val="auto"/>
                <w:sz w:val="21"/>
                <w:szCs w:val="21"/>
                <w:highlight w:val="none"/>
                <w:lang w:val="en-US" w:eastAsia="zh-CN"/>
              </w:rPr>
              <w:t>S1-4</w:t>
            </w:r>
            <w:r>
              <w:rPr>
                <w:rFonts w:hint="eastAsia" w:cs="Times New Roman" w:eastAsiaTheme="minorEastAsia"/>
                <w:color w:val="auto"/>
                <w:sz w:val="21"/>
                <w:szCs w:val="21"/>
                <w:highlight w:val="none"/>
                <w:lang w:val="en-US" w:eastAsia="zh-CN"/>
              </w:rPr>
              <w:t>废钢砂、S1-5除尘器收集的粉尘</w:t>
            </w:r>
            <w:r>
              <w:rPr>
                <w:rFonts w:hint="eastAsia"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N1-6噪声；</w:t>
            </w:r>
          </w:p>
          <w:p w14:paraId="56202C5D">
            <w:pPr>
              <w:pStyle w:val="1394"/>
              <w:snapToGrid w:val="0"/>
              <w:spacing w:before="0" w:beforeAutospacing="0" w:after="0"/>
              <w:ind w:left="1470" w:leftChars="700" w:firstLine="0" w:firstLineChars="0"/>
              <w:rPr>
                <w:rFonts w:hint="eastAsia"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焊接过程产生</w:t>
            </w:r>
            <w:r>
              <w:rPr>
                <w:rFonts w:hint="default" w:ascii="Times New Roman" w:hAnsi="Times New Roman" w:cs="Times New Roman" w:eastAsiaTheme="minorEastAsia"/>
                <w:color w:val="auto"/>
                <w:sz w:val="21"/>
                <w:szCs w:val="21"/>
                <w:highlight w:val="none"/>
                <w:lang w:val="en-US" w:eastAsia="zh-CN"/>
              </w:rPr>
              <w:t>G</w:t>
            </w:r>
            <w:r>
              <w:rPr>
                <w:rFonts w:hint="eastAsia" w:cs="Times New Roman" w:eastAsiaTheme="minorEastAsia"/>
                <w:color w:val="auto"/>
                <w:sz w:val="21"/>
                <w:szCs w:val="21"/>
                <w:highlight w:val="none"/>
                <w:lang w:val="en-US" w:eastAsia="zh-CN"/>
              </w:rPr>
              <w:t>1-6烟尘</w:t>
            </w:r>
            <w:r>
              <w:rPr>
                <w:rFonts w:hint="eastAsia" w:ascii="Times New Roman" w:hAnsi="Times New Roman" w:cs="Times New Roman" w:eastAsiaTheme="minorEastAsia"/>
                <w:color w:val="auto"/>
                <w:sz w:val="21"/>
                <w:szCs w:val="21"/>
                <w:highlight w:val="none"/>
                <w:lang w:val="en-US" w:eastAsia="zh-CN"/>
              </w:rPr>
              <w:t>、S1-</w:t>
            </w:r>
            <w:r>
              <w:rPr>
                <w:rFonts w:hint="eastAsia" w:cs="Times New Roman" w:eastAsiaTheme="minorEastAsia"/>
                <w:color w:val="auto"/>
                <w:sz w:val="21"/>
                <w:szCs w:val="21"/>
                <w:highlight w:val="none"/>
                <w:lang w:val="en-US" w:eastAsia="zh-CN"/>
              </w:rPr>
              <w:t>6</w:t>
            </w:r>
            <w:r>
              <w:rPr>
                <w:rFonts w:hint="eastAsia" w:ascii="Times New Roman" w:hAnsi="Times New Roman" w:cs="Times New Roman" w:eastAsiaTheme="minorEastAsia"/>
                <w:color w:val="auto"/>
                <w:sz w:val="21"/>
                <w:szCs w:val="21"/>
                <w:highlight w:val="none"/>
                <w:lang w:val="en-US" w:eastAsia="zh-CN"/>
              </w:rPr>
              <w:t>焊接废料、S1-</w:t>
            </w:r>
            <w:r>
              <w:rPr>
                <w:rFonts w:hint="eastAsia" w:cs="Times New Roman" w:eastAsiaTheme="minorEastAsia"/>
                <w:color w:val="auto"/>
                <w:sz w:val="21"/>
                <w:szCs w:val="21"/>
                <w:highlight w:val="none"/>
                <w:lang w:val="en-US" w:eastAsia="zh-CN"/>
              </w:rPr>
              <w:t>7</w:t>
            </w:r>
            <w:r>
              <w:rPr>
                <w:rFonts w:hint="eastAsia" w:ascii="Times New Roman" w:hAnsi="Times New Roman" w:cs="Times New Roman" w:eastAsiaTheme="minorEastAsia"/>
                <w:color w:val="auto"/>
                <w:sz w:val="21"/>
                <w:szCs w:val="21"/>
                <w:highlight w:val="none"/>
                <w:lang w:val="en-US" w:eastAsia="zh-CN"/>
              </w:rPr>
              <w:t>焊接烟尘净化器收集的烟尘、</w:t>
            </w:r>
            <w:r>
              <w:rPr>
                <w:rFonts w:hint="eastAsia" w:cs="Times New Roman" w:eastAsiaTheme="minorEastAsia"/>
                <w:color w:val="auto"/>
                <w:sz w:val="21"/>
                <w:szCs w:val="21"/>
                <w:highlight w:val="none"/>
                <w:lang w:val="en-US" w:eastAsia="zh-CN"/>
              </w:rPr>
              <w:t>N1-7噪声；</w:t>
            </w:r>
          </w:p>
          <w:p w14:paraId="1C20F362">
            <w:pPr>
              <w:pStyle w:val="1394"/>
              <w:snapToGrid w:val="0"/>
              <w:spacing w:before="0" w:beforeAutospacing="0" w:after="0"/>
              <w:ind w:firstLine="1050" w:firstLineChars="500"/>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车削过程产生</w:t>
            </w:r>
            <w:r>
              <w:rPr>
                <w:rFonts w:hint="eastAsia" w:ascii="Times New Roman" w:hAnsi="Times New Roman" w:cs="Times New Roman" w:eastAsiaTheme="minorEastAsia"/>
                <w:color w:val="auto"/>
                <w:sz w:val="21"/>
                <w:szCs w:val="21"/>
                <w:highlight w:val="none"/>
                <w:lang w:val="en-US" w:eastAsia="zh-CN"/>
              </w:rPr>
              <w:t>S1-</w:t>
            </w:r>
            <w:r>
              <w:rPr>
                <w:rFonts w:hint="eastAsia" w:cs="Times New Roman" w:eastAsiaTheme="minorEastAsia"/>
                <w:color w:val="auto"/>
                <w:sz w:val="21"/>
                <w:szCs w:val="21"/>
                <w:highlight w:val="none"/>
                <w:lang w:val="en-US" w:eastAsia="zh-CN"/>
              </w:rPr>
              <w:t>8</w:t>
            </w:r>
            <w:r>
              <w:rPr>
                <w:rFonts w:hint="eastAsia" w:ascii="Times New Roman" w:hAnsi="Times New Roman" w:cs="Times New Roman" w:eastAsiaTheme="minorEastAsia"/>
                <w:color w:val="auto"/>
                <w:sz w:val="21"/>
                <w:szCs w:val="21"/>
                <w:highlight w:val="none"/>
                <w:lang w:val="en-US" w:eastAsia="zh-CN"/>
              </w:rPr>
              <w:t>边角料、</w:t>
            </w:r>
            <w:r>
              <w:rPr>
                <w:rFonts w:hint="eastAsia" w:cs="Times New Roman" w:eastAsiaTheme="minorEastAsia"/>
                <w:color w:val="auto"/>
                <w:sz w:val="21"/>
                <w:szCs w:val="21"/>
                <w:highlight w:val="none"/>
                <w:lang w:val="en-US" w:eastAsia="zh-CN"/>
              </w:rPr>
              <w:t>N1-8噪声；</w:t>
            </w:r>
          </w:p>
          <w:p w14:paraId="751AA325">
            <w:pPr>
              <w:pStyle w:val="1394"/>
              <w:snapToGrid w:val="0"/>
              <w:spacing w:before="0" w:beforeAutospacing="0" w:after="0"/>
              <w:ind w:firstLine="1050" w:firstLineChars="5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打磨过程产生</w:t>
            </w:r>
            <w:r>
              <w:rPr>
                <w:rFonts w:hint="default" w:ascii="Times New Roman" w:hAnsi="Times New Roman" w:cs="Times New Roman" w:eastAsiaTheme="minorEastAsia"/>
                <w:color w:val="auto"/>
                <w:sz w:val="21"/>
                <w:szCs w:val="21"/>
                <w:highlight w:val="none"/>
                <w:lang w:val="en-US" w:eastAsia="zh-CN"/>
              </w:rPr>
              <w:t>G</w:t>
            </w:r>
            <w:r>
              <w:rPr>
                <w:rFonts w:hint="eastAsia" w:cs="Times New Roman" w:eastAsiaTheme="minorEastAsia"/>
                <w:color w:val="auto"/>
                <w:sz w:val="21"/>
                <w:szCs w:val="21"/>
                <w:highlight w:val="none"/>
                <w:lang w:val="en-US" w:eastAsia="zh-CN"/>
              </w:rPr>
              <w:t>1-7粉尘</w:t>
            </w:r>
            <w:r>
              <w:rPr>
                <w:rFonts w:hint="eastAsia" w:ascii="Times New Roman" w:hAnsi="Times New Roman" w:cs="Times New Roman" w:eastAsiaTheme="minorEastAsia"/>
                <w:color w:val="auto"/>
                <w:sz w:val="21"/>
                <w:szCs w:val="21"/>
                <w:highlight w:val="none"/>
                <w:lang w:val="en-US" w:eastAsia="zh-CN"/>
              </w:rPr>
              <w:t>、S1-</w:t>
            </w:r>
            <w:r>
              <w:rPr>
                <w:rFonts w:hint="eastAsia" w:cs="Times New Roman" w:eastAsiaTheme="minorEastAsia"/>
                <w:color w:val="auto"/>
                <w:sz w:val="21"/>
                <w:szCs w:val="21"/>
                <w:highlight w:val="none"/>
                <w:lang w:val="en-US" w:eastAsia="zh-CN"/>
              </w:rPr>
              <w:t>9</w:t>
            </w:r>
            <w:r>
              <w:rPr>
                <w:rFonts w:hint="eastAsia" w:ascii="Times New Roman" w:hAnsi="Times New Roman" w:cs="Times New Roman" w:eastAsiaTheme="minorEastAsia"/>
                <w:color w:val="auto"/>
                <w:sz w:val="21"/>
                <w:szCs w:val="21"/>
                <w:highlight w:val="none"/>
                <w:lang w:val="en-US" w:eastAsia="zh-CN"/>
              </w:rPr>
              <w:t>边角料、S1-</w:t>
            </w:r>
            <w:r>
              <w:rPr>
                <w:rFonts w:hint="eastAsia"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lang w:val="en-US" w:eastAsia="zh-CN"/>
              </w:rPr>
              <w:t>废砂轮片、</w:t>
            </w:r>
            <w:r>
              <w:rPr>
                <w:rFonts w:hint="eastAsia" w:cs="Times New Roman" w:eastAsiaTheme="minorEastAsia"/>
                <w:color w:val="auto"/>
                <w:sz w:val="21"/>
                <w:szCs w:val="21"/>
                <w:highlight w:val="none"/>
                <w:lang w:val="en-US" w:eastAsia="zh-CN"/>
              </w:rPr>
              <w:t>N1-9噪声</w:t>
            </w:r>
            <w:r>
              <w:rPr>
                <w:rFonts w:hint="default" w:ascii="Times New Roman" w:hAnsi="Times New Roman" w:cs="Times New Roman" w:eastAsiaTheme="minorEastAsia"/>
                <w:color w:val="auto"/>
                <w:sz w:val="21"/>
                <w:szCs w:val="21"/>
                <w:highlight w:val="none"/>
                <w:lang w:val="en-US" w:eastAsia="zh-CN"/>
              </w:rPr>
              <w:t>。</w:t>
            </w:r>
          </w:p>
          <w:p w14:paraId="6DCA764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highlight w:val="none"/>
                <w:lang w:val="de-DE"/>
              </w:rPr>
            </w:pPr>
            <w:r>
              <w:rPr>
                <w:rFonts w:hint="default" w:ascii="Times New Roman" w:hAnsi="Times New Roman" w:cs="Times New Roman"/>
                <w:color w:val="auto"/>
                <w:szCs w:val="21"/>
                <w:highlight w:val="none"/>
                <w:lang w:val="en-US" w:eastAsia="zh-CN"/>
              </w:rPr>
              <w:t>本项目</w:t>
            </w:r>
            <w:r>
              <w:rPr>
                <w:rFonts w:hint="default" w:ascii="Times New Roman" w:hAnsi="Times New Roman" w:cs="Times New Roman"/>
                <w:color w:val="auto"/>
                <w:szCs w:val="21"/>
                <w:highlight w:val="none"/>
              </w:rPr>
              <w:t>主要生产</w:t>
            </w:r>
            <w:r>
              <w:rPr>
                <w:rFonts w:hint="default" w:ascii="Times New Roman" w:hAnsi="Times New Roman" w:cs="Times New Roman"/>
                <w:color w:val="auto"/>
                <w:szCs w:val="21"/>
                <w:highlight w:val="none"/>
                <w:lang w:val="de-DE"/>
              </w:rPr>
              <w:t>工艺流程见图2-</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lang w:val="de-DE"/>
              </w:rPr>
              <w:t>。</w:t>
            </w:r>
          </w:p>
          <w:p w14:paraId="5BB257B3">
            <w:pPr>
              <w:spacing w:line="360" w:lineRule="auto"/>
              <w:jc w:val="center"/>
              <w:rPr>
                <w:rFonts w:hint="default" w:ascii="Times New Roman" w:hAnsi="Times New Roman" w:eastAsia="黑体" w:cs="Times New Roman"/>
                <w:color w:val="auto"/>
                <w:highlight w:val="none"/>
                <w:lang w:val="de-DE"/>
              </w:rPr>
            </w:pPr>
            <w:r>
              <w:rPr>
                <w:rFonts w:hint="default" w:ascii="Times New Roman" w:hAnsi="Times New Roman" w:eastAsia="黑体" w:cs="Times New Roman"/>
                <w:color w:val="auto"/>
                <w:highlight w:val="none"/>
                <w:lang w:val="de-DE"/>
              </w:rPr>
              <w:object>
                <v:shape id="_x0000_i1027" o:spt="75" type="#_x0000_t75" style="height:68.1pt;width:409.5pt;" o:ole="t" filled="f" o:preferrelative="t" stroked="f" coordsize="21600,21600">
                  <v:path/>
                  <v:fill on="f" focussize="0,0"/>
                  <v:stroke on="f"/>
                  <v:imagedata r:id="rId17" o:title=""/>
                  <o:lock v:ext="edit" aspectratio="f"/>
                  <w10:wrap type="none"/>
                  <w10:anchorlock/>
                </v:shape>
                <o:OLEObject Type="Embed" ProgID="Visio.Drawing.15" ShapeID="_x0000_i1027" DrawAspect="Content" ObjectID="_1468075727" r:id="rId16">
                  <o:LockedField>false</o:LockedField>
                </o:OLEObject>
              </w:object>
            </w:r>
            <w:r>
              <w:rPr>
                <w:rFonts w:hint="default" w:ascii="Times New Roman" w:hAnsi="Times New Roman" w:eastAsia="宋体" w:cs="Times New Roman"/>
                <w:b/>
                <w:bCs/>
                <w:color w:val="auto"/>
                <w:highlight w:val="none"/>
                <w:lang w:val="de-DE"/>
              </w:rPr>
              <w:t>图2-</w:t>
            </w:r>
            <w:r>
              <w:rPr>
                <w:rFonts w:hint="eastAsia"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lang w:val="de-DE"/>
              </w:rPr>
              <w:t>项目</w:t>
            </w:r>
            <w:r>
              <w:rPr>
                <w:rFonts w:hint="eastAsia" w:cs="Times New Roman"/>
                <w:b/>
                <w:bCs/>
                <w:color w:val="auto"/>
                <w:highlight w:val="none"/>
                <w:lang w:val="en-US" w:eastAsia="zh-CN"/>
              </w:rPr>
              <w:t>弹性磨块</w:t>
            </w:r>
            <w:r>
              <w:rPr>
                <w:rFonts w:hint="default" w:ascii="Times New Roman" w:hAnsi="Times New Roman" w:eastAsia="宋体" w:cs="Times New Roman"/>
                <w:b/>
                <w:bCs/>
                <w:color w:val="auto"/>
                <w:highlight w:val="none"/>
                <w:lang w:val="de-DE"/>
              </w:rPr>
              <w:t>主要工艺流程及产污环节图</w:t>
            </w:r>
          </w:p>
          <w:p w14:paraId="38E649BB">
            <w:pPr>
              <w:pStyle w:val="1042"/>
              <w:spacing w:line="360" w:lineRule="auto"/>
              <w:rPr>
                <w:rFonts w:hint="default" w:ascii="Times New Roman" w:hAnsi="Times New Roman" w:eastAsia="黑体" w:cs="Times New Roman"/>
                <w:bCs/>
                <w:color w:val="auto"/>
                <w:szCs w:val="21"/>
                <w:highlight w:val="none"/>
              </w:rPr>
            </w:pPr>
            <w:r>
              <w:rPr>
                <w:rFonts w:hint="default" w:ascii="Times New Roman" w:hAnsi="Times New Roman" w:eastAsia="黑体" w:cs="Times New Roman"/>
                <w:bCs/>
                <w:color w:val="auto"/>
                <w:szCs w:val="21"/>
                <w:highlight w:val="none"/>
              </w:rPr>
              <w:t>工艺简述：</w:t>
            </w:r>
          </w:p>
          <w:p w14:paraId="273F3EA9">
            <w:pPr>
              <w:autoSpaceDE w:val="0"/>
              <w:autoSpaceDN w:val="0"/>
              <w:spacing w:line="360" w:lineRule="auto"/>
              <w:ind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配料、筛分、混料：根据产品</w:t>
            </w:r>
            <w:r>
              <w:rPr>
                <w:rFonts w:hint="default" w:ascii="Times New Roman" w:hAnsi="Times New Roman" w:cs="Times New Roman" w:eastAsiaTheme="minorEastAsia"/>
                <w:color w:val="auto"/>
                <w:sz w:val="21"/>
                <w:szCs w:val="21"/>
                <w:highlight w:val="none"/>
                <w:lang w:val="en-US" w:eastAsia="zh-CN"/>
              </w:rPr>
              <w:t>要求将不同的</w:t>
            </w:r>
            <w:r>
              <w:rPr>
                <w:rFonts w:hint="eastAsia" w:ascii="Times New Roman" w:hAnsi="Times New Roman" w:cs="Times New Roman" w:eastAsiaTheme="minorEastAsia"/>
                <w:color w:val="auto"/>
                <w:sz w:val="21"/>
                <w:szCs w:val="21"/>
                <w:highlight w:val="none"/>
                <w:lang w:val="en-US" w:eastAsia="zh-CN"/>
              </w:rPr>
              <w:t>原料（金刚石粉末、白刚玉、碳化硅、酚醛树脂/密胺树脂）</w:t>
            </w:r>
            <w:r>
              <w:rPr>
                <w:rFonts w:hint="default" w:ascii="Times New Roman" w:hAnsi="Times New Roman" w:cs="Times New Roman" w:eastAsiaTheme="minorEastAsia"/>
                <w:color w:val="auto"/>
                <w:sz w:val="21"/>
                <w:szCs w:val="21"/>
                <w:highlight w:val="none"/>
                <w:lang w:val="en-US" w:eastAsia="zh-CN"/>
              </w:rPr>
              <w:t>按比例进行</w:t>
            </w:r>
            <w:r>
              <w:rPr>
                <w:rFonts w:hint="eastAsia" w:ascii="Times New Roman" w:hAnsi="Times New Roman" w:cs="Times New Roman" w:eastAsiaTheme="minorEastAsia"/>
                <w:color w:val="auto"/>
                <w:sz w:val="21"/>
                <w:szCs w:val="21"/>
                <w:highlight w:val="none"/>
                <w:lang w:val="en-US" w:eastAsia="zh-CN"/>
              </w:rPr>
              <w:t>人工配料</w:t>
            </w:r>
            <w:r>
              <w:rPr>
                <w:rFonts w:hint="default" w:ascii="Times New Roman" w:hAnsi="Times New Roman" w:cs="Times New Roman" w:eastAsiaTheme="minorEastAsia"/>
                <w:color w:val="auto"/>
                <w:sz w:val="21"/>
                <w:szCs w:val="21"/>
                <w:highlight w:val="none"/>
                <w:lang w:val="en-US" w:eastAsia="zh-CN"/>
              </w:rPr>
              <w:t>，</w:t>
            </w:r>
            <w:r>
              <w:rPr>
                <w:rFonts w:hint="eastAsia" w:ascii="Times New Roman" w:hAnsi="Times New Roman" w:cs="Times New Roman" w:eastAsiaTheme="minorEastAsia"/>
                <w:color w:val="auto"/>
                <w:sz w:val="21"/>
                <w:szCs w:val="21"/>
                <w:highlight w:val="none"/>
                <w:lang w:val="en-US" w:eastAsia="zh-CN"/>
              </w:rPr>
              <w:t>经振动筛</w:t>
            </w:r>
            <w:r>
              <w:rPr>
                <w:rFonts w:hint="default" w:ascii="Times New Roman" w:hAnsi="Times New Roman" w:cs="Times New Roman" w:eastAsiaTheme="minorEastAsia"/>
                <w:color w:val="auto"/>
                <w:sz w:val="21"/>
                <w:szCs w:val="21"/>
                <w:highlight w:val="none"/>
                <w:lang w:val="en-US" w:eastAsia="zh-CN"/>
              </w:rPr>
              <w:t>筛</w:t>
            </w:r>
            <w:r>
              <w:rPr>
                <w:rFonts w:hint="eastAsia" w:ascii="Times New Roman" w:hAnsi="Times New Roman" w:cs="Times New Roman" w:eastAsiaTheme="minorEastAsia"/>
                <w:color w:val="auto"/>
                <w:sz w:val="21"/>
                <w:szCs w:val="21"/>
                <w:highlight w:val="none"/>
                <w:lang w:val="en-US" w:eastAsia="zh-CN"/>
              </w:rPr>
              <w:t>料</w:t>
            </w:r>
            <w:r>
              <w:rPr>
                <w:rFonts w:hint="default" w:ascii="Times New Roman" w:hAnsi="Times New Roman" w:cs="Times New Roman" w:eastAsiaTheme="minorEastAsia"/>
                <w:color w:val="auto"/>
                <w:sz w:val="21"/>
                <w:szCs w:val="21"/>
                <w:highlight w:val="none"/>
                <w:lang w:val="en-US" w:eastAsia="zh-CN"/>
              </w:rPr>
              <w:t>后</w:t>
            </w:r>
            <w:r>
              <w:rPr>
                <w:rFonts w:hint="eastAsia" w:ascii="Times New Roman" w:hAnsi="Times New Roman" w:cs="Times New Roman" w:eastAsiaTheme="minorEastAsia"/>
                <w:color w:val="auto"/>
                <w:sz w:val="21"/>
                <w:szCs w:val="21"/>
                <w:highlight w:val="none"/>
                <w:lang w:val="en-US" w:eastAsia="zh-CN"/>
              </w:rPr>
              <w:t>用混料机进混料。</w:t>
            </w:r>
          </w:p>
          <w:p w14:paraId="59DC890A">
            <w:pPr>
              <w:autoSpaceDE w:val="0"/>
              <w:autoSpaceDN w:val="0"/>
              <w:spacing w:line="360" w:lineRule="auto"/>
              <w:ind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热压、烘干：</w:t>
            </w:r>
            <w:r>
              <w:rPr>
                <w:rFonts w:hint="eastAsia" w:ascii="Times New Roman" w:hAnsi="Times New Roman" w:eastAsia="宋体"/>
                <w:snapToGrid w:val="0"/>
                <w:color w:val="auto"/>
                <w:highlight w:val="none"/>
              </w:rPr>
              <w:t>经热压机热压（电加热、1</w:t>
            </w:r>
            <w:r>
              <w:rPr>
                <w:rFonts w:ascii="Times New Roman" w:hAnsi="Times New Roman" w:eastAsia="宋体"/>
                <w:snapToGrid w:val="0"/>
                <w:color w:val="auto"/>
                <w:highlight w:val="none"/>
              </w:rPr>
              <w:t>70</w:t>
            </w:r>
            <w:r>
              <w:rPr>
                <w:rFonts w:hint="eastAsia" w:ascii="Times New Roman" w:hAnsi="Times New Roman" w:eastAsia="宋体"/>
                <w:snapToGrid w:val="0"/>
                <w:color w:val="auto"/>
                <w:highlight w:val="none"/>
              </w:rPr>
              <w:t>℃、1</w:t>
            </w:r>
            <w:r>
              <w:rPr>
                <w:rFonts w:ascii="Times New Roman" w:hAnsi="Times New Roman" w:eastAsia="宋体"/>
                <w:snapToGrid w:val="0"/>
                <w:color w:val="auto"/>
                <w:highlight w:val="none"/>
              </w:rPr>
              <w:t>5</w:t>
            </w:r>
            <w:r>
              <w:rPr>
                <w:rFonts w:hint="eastAsia" w:ascii="Times New Roman" w:hAnsi="Times New Roman" w:eastAsia="宋体"/>
                <w:snapToGrid w:val="0"/>
                <w:color w:val="auto"/>
                <w:highlight w:val="none"/>
              </w:rPr>
              <w:t>min）成型</w:t>
            </w:r>
            <w:r>
              <w:rPr>
                <w:rFonts w:hint="eastAsia" w:ascii="Times New Roman" w:hAnsi="Times New Roman" w:eastAsia="宋体"/>
                <w:snapToGrid w:val="0"/>
                <w:color w:val="auto"/>
                <w:highlight w:val="none"/>
                <w:lang w:eastAsia="zh-CN"/>
              </w:rPr>
              <w:t>，</w:t>
            </w:r>
            <w:r>
              <w:rPr>
                <w:rFonts w:hint="eastAsia" w:ascii="Times New Roman" w:hAnsi="Times New Roman" w:eastAsia="宋体"/>
                <w:snapToGrid w:val="0"/>
                <w:color w:val="auto"/>
                <w:highlight w:val="none"/>
                <w:lang w:val="en-US" w:eastAsia="zh-CN"/>
              </w:rPr>
              <w:t>使用烘箱进行烘干。</w:t>
            </w:r>
          </w:p>
          <w:p w14:paraId="6239B40A">
            <w:pPr>
              <w:autoSpaceDE w:val="0"/>
              <w:autoSpaceDN w:val="0"/>
              <w:spacing w:line="360" w:lineRule="auto"/>
              <w:ind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粘结：使用胶水，在粘结台上将烘干后的</w:t>
            </w:r>
            <w:r>
              <w:rPr>
                <w:rFonts w:hint="eastAsia" w:cs="Times New Roman" w:eastAsiaTheme="minorEastAsia"/>
                <w:color w:val="auto"/>
                <w:sz w:val="21"/>
                <w:szCs w:val="21"/>
                <w:highlight w:val="none"/>
                <w:lang w:val="en-US" w:eastAsia="zh-CN"/>
              </w:rPr>
              <w:t>弹性磨块</w:t>
            </w:r>
            <w:r>
              <w:rPr>
                <w:rFonts w:hint="eastAsia" w:ascii="Times New Roman" w:hAnsi="Times New Roman" w:cs="Times New Roman" w:eastAsiaTheme="minorEastAsia"/>
                <w:color w:val="auto"/>
                <w:sz w:val="21"/>
                <w:szCs w:val="21"/>
                <w:highlight w:val="none"/>
                <w:lang w:val="en-US" w:eastAsia="zh-CN"/>
              </w:rPr>
              <w:t>和塑料卡板、橡皮胶粘结在一起，得到成品，检验合格后包装出厂。</w:t>
            </w:r>
          </w:p>
          <w:p w14:paraId="11B7BA47">
            <w:pPr>
              <w:pStyle w:val="1394"/>
              <w:snapToGrid w:val="0"/>
              <w:spacing w:before="0" w:beforeAutospacing="0" w:after="0"/>
              <w:ind w:firstLine="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w:t>
            </w:r>
            <w:r>
              <w:rPr>
                <w:rFonts w:hint="eastAsia" w:cs="Times New Roman" w:eastAsiaTheme="minorEastAsia"/>
                <w:color w:val="auto"/>
                <w:sz w:val="21"/>
                <w:szCs w:val="21"/>
                <w:highlight w:val="none"/>
                <w:lang w:val="en-US" w:eastAsia="zh-CN"/>
              </w:rPr>
              <w:t>原料包装产生S2-1废包装材料</w:t>
            </w:r>
            <w:r>
              <w:rPr>
                <w:rFonts w:hint="default" w:ascii="Times New Roman" w:hAnsi="Times New Roman" w:cs="Times New Roman" w:eastAsiaTheme="minorEastAsia"/>
                <w:color w:val="auto"/>
                <w:sz w:val="21"/>
                <w:szCs w:val="21"/>
                <w:highlight w:val="none"/>
                <w:lang w:val="en-US" w:eastAsia="zh-CN"/>
              </w:rPr>
              <w:t>；</w:t>
            </w:r>
          </w:p>
          <w:p w14:paraId="696694A5">
            <w:pPr>
              <w:pStyle w:val="1394"/>
              <w:snapToGrid w:val="0"/>
              <w:spacing w:before="0" w:beforeAutospacing="0" w:after="0"/>
              <w:ind w:firstLine="1050" w:firstLineChars="5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配料</w:t>
            </w:r>
            <w:r>
              <w:rPr>
                <w:rFonts w:hint="default" w:ascii="Times New Roman" w:hAnsi="Times New Roman" w:cs="Times New Roman" w:eastAsiaTheme="minorEastAsia"/>
                <w:color w:val="auto"/>
                <w:sz w:val="21"/>
                <w:szCs w:val="21"/>
                <w:highlight w:val="none"/>
                <w:lang w:val="en-US" w:eastAsia="zh-CN"/>
              </w:rPr>
              <w:t>过程会产生G</w:t>
            </w:r>
            <w:r>
              <w:rPr>
                <w:rFonts w:hint="eastAsia" w:cs="Times New Roman" w:eastAsiaTheme="minorEastAsia"/>
                <w:color w:val="auto"/>
                <w:sz w:val="21"/>
                <w:szCs w:val="21"/>
                <w:highlight w:val="none"/>
                <w:lang w:val="en-US" w:eastAsia="zh-CN"/>
              </w:rPr>
              <w:t>2-1</w:t>
            </w:r>
            <w:r>
              <w:rPr>
                <w:rFonts w:hint="default" w:ascii="Times New Roman" w:hAnsi="Times New Roman" w:cs="Times New Roman" w:eastAsiaTheme="minorEastAsia"/>
                <w:color w:val="auto"/>
                <w:sz w:val="21"/>
                <w:szCs w:val="21"/>
                <w:highlight w:val="none"/>
                <w:lang w:val="en-US" w:eastAsia="zh-CN"/>
              </w:rPr>
              <w:t>粉尘；</w:t>
            </w:r>
          </w:p>
          <w:p w14:paraId="5A75FCC5">
            <w:pPr>
              <w:pStyle w:val="1394"/>
              <w:snapToGrid w:val="0"/>
              <w:spacing w:before="0" w:beforeAutospacing="0" w:after="0"/>
              <w:ind w:firstLine="1050" w:firstLineChars="500"/>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筛分过程产生</w:t>
            </w:r>
            <w:r>
              <w:rPr>
                <w:rFonts w:hint="default" w:ascii="Times New Roman" w:hAnsi="Times New Roman" w:cs="Times New Roman" w:eastAsiaTheme="minorEastAsia"/>
                <w:color w:val="auto"/>
                <w:sz w:val="21"/>
                <w:szCs w:val="21"/>
                <w:highlight w:val="none"/>
                <w:lang w:val="en-US" w:eastAsia="zh-CN"/>
              </w:rPr>
              <w:t>G</w:t>
            </w:r>
            <w:r>
              <w:rPr>
                <w:rFonts w:hint="eastAsia" w:cs="Times New Roman" w:eastAsiaTheme="minorEastAsia"/>
                <w:color w:val="auto"/>
                <w:sz w:val="21"/>
                <w:szCs w:val="21"/>
                <w:highlight w:val="none"/>
                <w:lang w:val="en-US" w:eastAsia="zh-CN"/>
              </w:rPr>
              <w:t>2-2</w:t>
            </w:r>
            <w:r>
              <w:rPr>
                <w:rFonts w:hint="default" w:ascii="Times New Roman" w:hAnsi="Times New Roman" w:cs="Times New Roman" w:eastAsiaTheme="minorEastAsia"/>
                <w:color w:val="auto"/>
                <w:sz w:val="21"/>
                <w:szCs w:val="21"/>
                <w:highlight w:val="none"/>
                <w:lang w:val="en-US" w:eastAsia="zh-CN"/>
              </w:rPr>
              <w:t>粉尘</w:t>
            </w:r>
            <w:r>
              <w:rPr>
                <w:rFonts w:hint="eastAsia" w:ascii="Times New Roman" w:hAnsi="Times New Roman" w:cs="Times New Roman" w:eastAsiaTheme="minorEastAsia"/>
                <w:color w:val="auto"/>
                <w:sz w:val="21"/>
                <w:szCs w:val="21"/>
                <w:highlight w:val="none"/>
                <w:lang w:val="en-US" w:eastAsia="zh-CN"/>
              </w:rPr>
              <w:t>、S2-2筛分废料、</w:t>
            </w:r>
            <w:r>
              <w:rPr>
                <w:rFonts w:hint="eastAsia" w:cs="Times New Roman" w:eastAsiaTheme="minorEastAsia"/>
                <w:color w:val="auto"/>
                <w:sz w:val="21"/>
                <w:szCs w:val="21"/>
                <w:highlight w:val="none"/>
                <w:lang w:val="en-US" w:eastAsia="zh-CN"/>
              </w:rPr>
              <w:t>N2-1噪声；</w:t>
            </w:r>
          </w:p>
          <w:p w14:paraId="38AE332A">
            <w:pPr>
              <w:pStyle w:val="1394"/>
              <w:snapToGrid w:val="0"/>
              <w:spacing w:before="0" w:beforeAutospacing="0" w:after="0"/>
              <w:ind w:firstLine="1050" w:firstLineChars="500"/>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混料过程会产生G2-3粉尘、N2-2噪声；</w:t>
            </w:r>
          </w:p>
          <w:p w14:paraId="7FCA187C">
            <w:pPr>
              <w:pStyle w:val="1394"/>
              <w:snapToGrid w:val="0"/>
              <w:spacing w:before="0" w:beforeAutospacing="0" w:after="0"/>
              <w:ind w:firstLine="1050" w:firstLineChars="5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热压</w:t>
            </w:r>
            <w:r>
              <w:rPr>
                <w:rFonts w:hint="default" w:ascii="Times New Roman" w:hAnsi="Times New Roman" w:cs="Times New Roman" w:eastAsiaTheme="minorEastAsia"/>
                <w:color w:val="auto"/>
                <w:sz w:val="21"/>
                <w:szCs w:val="21"/>
                <w:highlight w:val="none"/>
                <w:lang w:val="en-US" w:eastAsia="zh-CN"/>
              </w:rPr>
              <w:t>过程会产生</w:t>
            </w:r>
            <w:r>
              <w:rPr>
                <w:rFonts w:hint="eastAsia" w:cs="Times New Roman" w:eastAsiaTheme="minorEastAsia"/>
                <w:color w:val="auto"/>
                <w:sz w:val="21"/>
                <w:szCs w:val="21"/>
                <w:highlight w:val="none"/>
                <w:lang w:val="en-US" w:eastAsia="zh-CN"/>
              </w:rPr>
              <w:t>G2-4VOCs、甲醛、苯酚；N2-3</w:t>
            </w:r>
            <w:r>
              <w:rPr>
                <w:rFonts w:hint="default" w:ascii="Times New Roman" w:hAnsi="Times New Roman" w:cs="Times New Roman" w:eastAsiaTheme="minorEastAsia"/>
                <w:color w:val="auto"/>
                <w:sz w:val="21"/>
                <w:szCs w:val="21"/>
                <w:highlight w:val="none"/>
                <w:lang w:val="en-US" w:eastAsia="zh-CN"/>
              </w:rPr>
              <w:t>噪声；</w:t>
            </w:r>
          </w:p>
          <w:p w14:paraId="02ED71FA">
            <w:pPr>
              <w:pStyle w:val="1394"/>
              <w:snapToGrid w:val="0"/>
              <w:spacing w:before="0" w:beforeAutospacing="0" w:after="0"/>
              <w:ind w:firstLine="1050" w:firstLineChars="5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烘干</w:t>
            </w:r>
            <w:r>
              <w:rPr>
                <w:rFonts w:hint="default" w:ascii="Times New Roman" w:hAnsi="Times New Roman" w:cs="Times New Roman" w:eastAsiaTheme="minorEastAsia"/>
                <w:color w:val="auto"/>
                <w:sz w:val="21"/>
                <w:szCs w:val="21"/>
                <w:highlight w:val="none"/>
                <w:lang w:val="en-US" w:eastAsia="zh-CN"/>
              </w:rPr>
              <w:t>过程会产生</w:t>
            </w:r>
            <w:r>
              <w:rPr>
                <w:rFonts w:hint="eastAsia" w:cs="Times New Roman" w:eastAsiaTheme="minorEastAsia"/>
                <w:color w:val="auto"/>
                <w:sz w:val="21"/>
                <w:szCs w:val="21"/>
                <w:highlight w:val="none"/>
                <w:lang w:val="en-US" w:eastAsia="zh-CN"/>
              </w:rPr>
              <w:t>G2-5VOCs、甲醛、苯酚；N2-4</w:t>
            </w:r>
            <w:r>
              <w:rPr>
                <w:rFonts w:hint="default" w:ascii="Times New Roman" w:hAnsi="Times New Roman" w:cs="Times New Roman" w:eastAsiaTheme="minorEastAsia"/>
                <w:color w:val="auto"/>
                <w:sz w:val="21"/>
                <w:szCs w:val="21"/>
                <w:highlight w:val="none"/>
                <w:lang w:val="en-US" w:eastAsia="zh-CN"/>
              </w:rPr>
              <w:t>噪声；</w:t>
            </w:r>
          </w:p>
          <w:p w14:paraId="0AE70EBD">
            <w:pPr>
              <w:pStyle w:val="1394"/>
              <w:snapToGrid w:val="0"/>
              <w:spacing w:before="0" w:beforeAutospacing="0" w:after="0"/>
              <w:ind w:firstLine="1050" w:firstLineChars="5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粘结过程产生G2-6VOCs、</w:t>
            </w:r>
            <w:r>
              <w:rPr>
                <w:rFonts w:hint="eastAsia" w:ascii="Times New Roman" w:hAnsi="Times New Roman" w:cs="Times New Roman" w:eastAsiaTheme="minorEastAsia"/>
                <w:color w:val="auto"/>
                <w:sz w:val="21"/>
                <w:szCs w:val="21"/>
                <w:highlight w:val="none"/>
                <w:lang w:val="en-US" w:eastAsia="zh-CN"/>
              </w:rPr>
              <w:t>S2-3胶水废包装桶</w:t>
            </w:r>
            <w:r>
              <w:rPr>
                <w:rFonts w:hint="default" w:ascii="Times New Roman" w:hAnsi="Times New Roman" w:cs="Times New Roman" w:eastAsiaTheme="minorEastAsia"/>
                <w:color w:val="auto"/>
                <w:sz w:val="21"/>
                <w:szCs w:val="21"/>
                <w:highlight w:val="none"/>
                <w:lang w:val="en-US" w:eastAsia="zh-CN"/>
              </w:rPr>
              <w:t>。</w:t>
            </w:r>
          </w:p>
          <w:p w14:paraId="4C7F5F07">
            <w:pPr>
              <w:pStyle w:val="1394"/>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本项目设备需要定期使用小型切割机和电焊机进行维修，切割维修过程会产生G3粉尘、S3边角料、N3噪声；维修焊接过程会产生</w:t>
            </w:r>
            <w:r>
              <w:rPr>
                <w:rFonts w:hint="default" w:ascii="Times New Roman" w:hAnsi="Times New Roman" w:cs="Times New Roman" w:eastAsiaTheme="minorEastAsia"/>
                <w:color w:val="auto"/>
                <w:sz w:val="21"/>
                <w:szCs w:val="21"/>
                <w:highlight w:val="none"/>
                <w:lang w:val="en-US" w:eastAsia="zh-CN"/>
              </w:rPr>
              <w:t>G</w:t>
            </w:r>
            <w:r>
              <w:rPr>
                <w:rFonts w:hint="eastAsia" w:cs="Times New Roman" w:eastAsiaTheme="minorEastAsia"/>
                <w:color w:val="auto"/>
                <w:sz w:val="21"/>
                <w:szCs w:val="21"/>
                <w:highlight w:val="none"/>
                <w:lang w:val="en-US" w:eastAsia="zh-CN"/>
              </w:rPr>
              <w:t>4烟尘</w:t>
            </w:r>
            <w:r>
              <w:rPr>
                <w:rFonts w:hint="eastAsia" w:ascii="Times New Roman" w:hAnsi="Times New Roman" w:cs="Times New Roman" w:eastAsiaTheme="minorEastAsia"/>
                <w:color w:val="auto"/>
                <w:sz w:val="21"/>
                <w:szCs w:val="21"/>
                <w:highlight w:val="none"/>
                <w:lang w:val="en-US" w:eastAsia="zh-CN"/>
              </w:rPr>
              <w:t>、S</w:t>
            </w:r>
            <w:r>
              <w:rPr>
                <w:rFonts w:hint="eastAsia" w:cs="Times New Roman" w:eastAsiaTheme="minorEastAsia"/>
                <w:color w:val="auto"/>
                <w:sz w:val="21"/>
                <w:szCs w:val="21"/>
                <w:highlight w:val="none"/>
                <w:lang w:val="en-US" w:eastAsia="zh-CN"/>
              </w:rPr>
              <w:t>4</w:t>
            </w:r>
            <w:r>
              <w:rPr>
                <w:rFonts w:hint="eastAsia" w:ascii="Times New Roman" w:hAnsi="Times New Roman" w:cs="Times New Roman" w:eastAsiaTheme="minorEastAsia"/>
                <w:color w:val="auto"/>
                <w:sz w:val="21"/>
                <w:szCs w:val="21"/>
                <w:highlight w:val="none"/>
                <w:lang w:val="en-US" w:eastAsia="zh-CN"/>
              </w:rPr>
              <w:t>焊接废料、S</w:t>
            </w:r>
            <w:r>
              <w:rPr>
                <w:rFonts w:hint="eastAsia" w:cs="Times New Roman" w:eastAsiaTheme="minorEastAsia"/>
                <w:color w:val="auto"/>
                <w:sz w:val="21"/>
                <w:szCs w:val="21"/>
                <w:highlight w:val="none"/>
                <w:lang w:val="en-US" w:eastAsia="zh-CN"/>
              </w:rPr>
              <w:t>5</w:t>
            </w:r>
            <w:r>
              <w:rPr>
                <w:rFonts w:hint="eastAsia" w:ascii="Times New Roman" w:hAnsi="Times New Roman" w:cs="Times New Roman" w:eastAsiaTheme="minorEastAsia"/>
                <w:color w:val="auto"/>
                <w:sz w:val="21"/>
                <w:szCs w:val="21"/>
                <w:highlight w:val="none"/>
                <w:lang w:val="en-US" w:eastAsia="zh-CN"/>
              </w:rPr>
              <w:t>焊接烟尘净化器收集的烟尘、</w:t>
            </w:r>
            <w:r>
              <w:rPr>
                <w:rFonts w:hint="eastAsia" w:cs="Times New Roman" w:eastAsiaTheme="minorEastAsia"/>
                <w:color w:val="auto"/>
                <w:sz w:val="21"/>
                <w:szCs w:val="21"/>
                <w:highlight w:val="none"/>
                <w:lang w:val="en-US" w:eastAsia="zh-CN"/>
              </w:rPr>
              <w:t>N4噪声。</w:t>
            </w:r>
          </w:p>
          <w:p w14:paraId="58F8F68D">
            <w:pPr>
              <w:pStyle w:val="1394"/>
              <w:snapToGrid w:val="0"/>
              <w:spacing w:before="0" w:beforeAutospacing="0" w:after="0"/>
              <w:ind w:firstLine="0"/>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（2）废气治理</w:t>
            </w:r>
          </w:p>
          <w:p w14:paraId="7D94BA29">
            <w:pPr>
              <w:pStyle w:val="82"/>
              <w:adjustRightInd w:val="0"/>
              <w:snapToGrid w:val="0"/>
              <w:spacing w:after="0" w:line="360" w:lineRule="auto"/>
              <w:ind w:left="0" w:leftChars="0"/>
              <w:rPr>
                <w:rFonts w:hint="eastAsia"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磨边轮生产线配料、筛分、混料过程产生的粉尘经集气罩收集，1#布袋除尘器处理后由15m高排气筒（DA001）有组织排放；喷砂过程产生的粉尘经自带布袋除尘器处理后由15m高排气筒（DA001）有组织排放；喷砂过程产生的粉尘经自带布袋除尘器处理后由15m高排气筒（DA001）有组织排放；弹性磨块生产线配料、筛分、混料过程产生的粉尘经集气罩收集，2#布袋除尘器处理后由15m</w:t>
            </w:r>
            <w:r>
              <w:rPr>
                <w:rFonts w:hint="eastAsia" w:ascii="Times New Roman" w:hAnsi="Times New Roman" w:eastAsia="宋体" w:cs="Times New Roman"/>
                <w:color w:val="auto"/>
                <w:kern w:val="2"/>
                <w:sz w:val="21"/>
                <w:szCs w:val="24"/>
                <w:highlight w:val="none"/>
                <w:lang w:val="en-US" w:eastAsia="zh-CN" w:bidi="ar-SA"/>
              </w:rPr>
              <w:t>高排气筒（DA002）有组织排放；热压、烘干、粘结过程产生的VOCs、甲醛、苯酚经集气罩收集，二级活性炭吸附装置处理后由15m高排气筒（DA003）有组织排放</w:t>
            </w:r>
            <w:r>
              <w:rPr>
                <w:rFonts w:hint="eastAsia" w:cs="Times New Roman"/>
                <w:color w:val="auto"/>
                <w:kern w:val="2"/>
                <w:sz w:val="21"/>
                <w:szCs w:val="24"/>
                <w:highlight w:val="none"/>
                <w:lang w:val="en-US" w:eastAsia="zh-CN" w:bidi="ar-SA"/>
              </w:rPr>
              <w:t>；</w:t>
            </w:r>
          </w:p>
          <w:p w14:paraId="24DCF7CF">
            <w:pPr>
              <w:pStyle w:val="82"/>
              <w:adjustRightInd w:val="0"/>
              <w:snapToGrid w:val="0"/>
              <w:spacing w:after="0" w:line="360" w:lineRule="auto"/>
              <w:ind w:left="0" w:left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车削、打磨、维修切割过程产生的粉尘无组织排放；焊接（含维修焊接）过程产生的烟尘经移动式焊接烟尘净化器处理后无组织排放。</w:t>
            </w:r>
          </w:p>
          <w:p w14:paraId="193DE3A2">
            <w:pPr>
              <w:pStyle w:val="82"/>
              <w:adjustRightInd w:val="0"/>
              <w:snapToGrid w:val="0"/>
              <w:spacing w:after="0" w:line="360" w:lineRule="auto"/>
              <w:ind w:left="0" w:leftChars="0"/>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集气罩未收集的粉尘、VOCs、甲醛、苯酚无组织排放。</w:t>
            </w:r>
          </w:p>
          <w:p w14:paraId="1A4E137C">
            <w:pPr>
              <w:pStyle w:val="82"/>
              <w:adjustRightInd w:val="0"/>
              <w:snapToGrid w:val="0"/>
              <w:spacing w:after="0" w:line="360" w:lineRule="auto"/>
              <w:ind w:left="0" w:left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本项目废气产污工序及废气治理走向图见图2-3。</w:t>
            </w:r>
          </w:p>
          <w:p w14:paraId="53F12766">
            <w:pPr>
              <w:spacing w:line="36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object>
                <v:shape id="_x0000_i1028" o:spt="75" type="#_x0000_t75" style="height:252.8pt;width:341.45pt;" o:ole="t" filled="f" o:preferrelative="t" stroked="f" coordsize="21600,21600">
                  <v:path/>
                  <v:fill on="f" focussize="0,0"/>
                  <v:stroke on="f"/>
                  <v:imagedata r:id="rId19" o:title=""/>
                  <o:lock v:ext="edit" aspectratio="f"/>
                  <w10:wrap type="none"/>
                  <w10:anchorlock/>
                </v:shape>
                <o:OLEObject Type="Embed" ProgID="Visio.Drawing.15" ShapeID="_x0000_i1028" DrawAspect="Content" ObjectID="_1468075728" r:id="rId18">
                  <o:LockedField>false</o:LockedField>
                </o:OLEObject>
              </w:object>
            </w:r>
          </w:p>
          <w:p w14:paraId="7647A8A4">
            <w:pPr>
              <w:spacing w:line="36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图2-</w:t>
            </w: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本项目废气产污工序及废气治理走向图</w:t>
            </w:r>
          </w:p>
          <w:p w14:paraId="096FCE8E">
            <w:pPr>
              <w:pStyle w:val="1042"/>
              <w:spacing w:line="360" w:lineRule="auto"/>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二、主要产排污环节</w:t>
            </w:r>
          </w:p>
          <w:p w14:paraId="7A83688C">
            <w:pPr>
              <w:pStyle w:val="1042"/>
              <w:spacing w:line="360" w:lineRule="auto"/>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（1）大气污染物</w:t>
            </w:r>
          </w:p>
          <w:p w14:paraId="1F598699">
            <w:pPr>
              <w:spacing w:line="360" w:lineRule="auto"/>
              <w:ind w:firstLine="42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eastAsia" w:cs="Times New Roman"/>
                <w:color w:val="auto"/>
                <w:highlight w:val="none"/>
                <w:lang w:val="en-US" w:eastAsia="zh-CN"/>
              </w:rPr>
              <w:t>产生的</w:t>
            </w:r>
            <w:r>
              <w:rPr>
                <w:rFonts w:hint="default" w:ascii="Times New Roman" w:hAnsi="Times New Roman" w:cs="Times New Roman"/>
                <w:color w:val="auto"/>
                <w:highlight w:val="none"/>
                <w:lang w:val="en-US" w:eastAsia="zh-CN"/>
              </w:rPr>
              <w:t>废气主要包括磨边轮</w:t>
            </w:r>
            <w:r>
              <w:rPr>
                <w:rFonts w:hint="eastAsia" w:cs="Times New Roman"/>
                <w:color w:val="auto"/>
                <w:highlight w:val="none"/>
                <w:lang w:val="en-US" w:eastAsia="zh-CN"/>
              </w:rPr>
              <w:t>生产线配料过程产生的粉尘（G1-1），筛分过程产生的粉尘（G1-2），混料过程产生的粉尘（G1-3），车削过程产生的粉尘（G1-4）、喷砂过程产生的粉尘（G1-5），焊接过程产生的烟尘（G1-6），打磨过程产生的粉尘（G1-7）；弹性磨块生产线配料过程产生的粉尘（G2-1），筛分过程产生的粉尘（G2-2），混料过程产生的粉尘（G2-3），热压过程产生的</w:t>
            </w:r>
            <w:r>
              <w:rPr>
                <w:rFonts w:hint="eastAsia" w:cs="Times New Roman" w:eastAsiaTheme="minorEastAsia"/>
                <w:color w:val="auto"/>
                <w:sz w:val="21"/>
                <w:szCs w:val="21"/>
                <w:highlight w:val="none"/>
                <w:lang w:val="en-US" w:eastAsia="zh-CN"/>
              </w:rPr>
              <w:t>VOCs、甲醛、苯酚（G2-4），</w:t>
            </w:r>
            <w:r>
              <w:rPr>
                <w:rFonts w:hint="eastAsia" w:cs="Times New Roman"/>
                <w:color w:val="auto"/>
                <w:highlight w:val="none"/>
                <w:lang w:val="en-US" w:eastAsia="zh-CN"/>
              </w:rPr>
              <w:t>烘干过程产生的</w:t>
            </w:r>
            <w:r>
              <w:rPr>
                <w:rFonts w:hint="eastAsia" w:cs="Times New Roman" w:eastAsiaTheme="minorEastAsia"/>
                <w:color w:val="auto"/>
                <w:sz w:val="21"/>
                <w:szCs w:val="21"/>
                <w:highlight w:val="none"/>
                <w:lang w:val="en-US" w:eastAsia="zh-CN"/>
              </w:rPr>
              <w:t>VOCs、甲醛、苯酚（G2-5），粘结</w:t>
            </w:r>
            <w:r>
              <w:rPr>
                <w:rFonts w:hint="eastAsia" w:cs="Times New Roman"/>
                <w:color w:val="auto"/>
                <w:highlight w:val="none"/>
                <w:lang w:val="en-US" w:eastAsia="zh-CN"/>
              </w:rPr>
              <w:t>过程产生的</w:t>
            </w:r>
            <w:r>
              <w:rPr>
                <w:rFonts w:hint="eastAsia" w:cs="Times New Roman" w:eastAsiaTheme="minorEastAsia"/>
                <w:color w:val="auto"/>
                <w:sz w:val="21"/>
                <w:szCs w:val="21"/>
                <w:highlight w:val="none"/>
                <w:lang w:val="en-US" w:eastAsia="zh-CN"/>
              </w:rPr>
              <w:t>VOCs（G2-6），维修切割过程产生的粉尘（G3），维修焊接过程产生的烟尘（G4）。</w:t>
            </w:r>
          </w:p>
          <w:p w14:paraId="1D664A58">
            <w:pPr>
              <w:pStyle w:val="1042"/>
              <w:spacing w:line="360" w:lineRule="auto"/>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（2）废水</w:t>
            </w:r>
          </w:p>
          <w:p w14:paraId="6D151651">
            <w:pPr>
              <w:tabs>
                <w:tab w:val="left" w:pos="1800"/>
              </w:tabs>
              <w:adjustRightInd w:val="0"/>
              <w:snapToGrid w:val="0"/>
              <w:spacing w:line="360" w:lineRule="auto"/>
              <w:ind w:firstLine="420" w:firstLineChars="200"/>
              <w:rPr>
                <w:rFonts w:hint="default" w:ascii="Times New Roman" w:hAnsi="Times New Roman" w:cs="Times New Roman"/>
                <w:color w:val="auto"/>
                <w:kern w:val="24"/>
                <w:szCs w:val="21"/>
                <w:highlight w:val="none"/>
              </w:rPr>
            </w:pPr>
            <w:r>
              <w:rPr>
                <w:rFonts w:hint="default" w:ascii="Times New Roman" w:hAnsi="Times New Roman" w:cs="Times New Roman"/>
                <w:bCs/>
                <w:color w:val="auto"/>
                <w:highlight w:val="none"/>
              </w:rPr>
              <w:t>项目</w:t>
            </w:r>
            <w:r>
              <w:rPr>
                <w:rFonts w:hint="default" w:ascii="Times New Roman" w:hAnsi="Times New Roman" w:cs="Times New Roman"/>
                <w:color w:val="auto"/>
                <w:kern w:val="24"/>
                <w:highlight w:val="none"/>
              </w:rPr>
              <w:t>废水为职工的生活污水</w:t>
            </w:r>
            <w:r>
              <w:rPr>
                <w:rFonts w:hint="default" w:ascii="Times New Roman" w:hAnsi="Times New Roman" w:cs="Times New Roman"/>
                <w:color w:val="auto"/>
                <w:highlight w:val="none"/>
              </w:rPr>
              <w:t>，产生量按用水量的80%计，为</w:t>
            </w:r>
            <w:r>
              <w:rPr>
                <w:rFonts w:hint="eastAsia" w:cs="Times New Roman"/>
                <w:color w:val="auto"/>
                <w:highlight w:val="none"/>
                <w:lang w:val="en-US" w:eastAsia="zh-CN"/>
              </w:rPr>
              <w:t>144</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/a。生活污水</w:t>
            </w:r>
            <w:r>
              <w:rPr>
                <w:rFonts w:hint="eastAsia" w:cs="Times New Roman"/>
                <w:color w:val="auto"/>
                <w:highlight w:val="none"/>
                <w:lang w:eastAsia="zh-CN"/>
              </w:rPr>
              <w:t>经化粪池暂存后由环卫部门定期清运</w:t>
            </w:r>
            <w:r>
              <w:rPr>
                <w:rFonts w:hint="default" w:ascii="Times New Roman" w:hAnsi="Times New Roman" w:cs="Times New Roman"/>
                <w:color w:val="auto"/>
                <w:kern w:val="24"/>
                <w:szCs w:val="21"/>
                <w:highlight w:val="none"/>
              </w:rPr>
              <w:t>。</w:t>
            </w:r>
          </w:p>
          <w:p w14:paraId="64244B22">
            <w:pPr>
              <w:pStyle w:val="1042"/>
              <w:spacing w:line="360" w:lineRule="auto"/>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（3）噪声</w:t>
            </w:r>
          </w:p>
          <w:p w14:paraId="4F48870F">
            <w:pPr>
              <w:tabs>
                <w:tab w:val="left" w:pos="1800"/>
              </w:tabs>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本项目噪声主要为</w:t>
            </w:r>
            <w:r>
              <w:rPr>
                <w:rFonts w:hint="eastAsia" w:cs="Times New Roman"/>
                <w:bCs/>
                <w:color w:val="auto"/>
                <w:szCs w:val="21"/>
                <w:highlight w:val="none"/>
                <w:lang w:eastAsia="zh-CN"/>
              </w:rPr>
              <w:t>振动筛、混料机、冷压机、热压机、高频焊机、空压机、风机</w:t>
            </w:r>
            <w:r>
              <w:rPr>
                <w:rFonts w:hint="default" w:ascii="Times New Roman" w:hAnsi="Times New Roman" w:cs="Times New Roman"/>
                <w:bCs/>
                <w:color w:val="auto"/>
                <w:szCs w:val="21"/>
                <w:highlight w:val="none"/>
              </w:rPr>
              <w:t>等设备运行产生的噪声，其噪声级在</w:t>
            </w:r>
            <w:r>
              <w:rPr>
                <w:rFonts w:hint="eastAsia" w:cs="Times New Roman"/>
                <w:bCs/>
                <w:color w:val="auto"/>
                <w:szCs w:val="21"/>
                <w:highlight w:val="none"/>
                <w:lang w:val="en-US" w:eastAsia="zh-CN"/>
              </w:rPr>
              <w:t>70~85</w:t>
            </w:r>
            <w:r>
              <w:rPr>
                <w:rFonts w:hint="default" w:ascii="Times New Roman" w:hAnsi="Times New Roman" w:cs="Times New Roman"/>
                <w:bCs/>
                <w:color w:val="auto"/>
                <w:szCs w:val="21"/>
                <w:highlight w:val="none"/>
              </w:rPr>
              <w:t>dB</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A</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之间。</w:t>
            </w:r>
          </w:p>
          <w:p w14:paraId="49B9B464">
            <w:pPr>
              <w:pStyle w:val="1042"/>
              <w:spacing w:line="360" w:lineRule="auto"/>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（4）固废</w:t>
            </w:r>
          </w:p>
          <w:p w14:paraId="13559733">
            <w:pPr>
              <w:tabs>
                <w:tab w:val="left" w:pos="1800"/>
              </w:tabs>
              <w:adjustRightInd w:val="0"/>
              <w:snapToGrid w:val="0"/>
              <w:spacing w:line="360" w:lineRule="auto"/>
              <w:ind w:firstLine="42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根据《工业固体废物鉴别标准通则》（GB34330-20</w:t>
            </w:r>
            <w:r>
              <w:rPr>
                <w:rFonts w:hint="eastAsia" w:cs="Times New Roman"/>
                <w:color w:val="auto"/>
                <w:highlight w:val="none"/>
                <w:lang w:val="en-US" w:eastAsia="zh-CN"/>
              </w:rPr>
              <w:t>25</w:t>
            </w:r>
            <w:r>
              <w:rPr>
                <w:rFonts w:hint="default" w:ascii="Times New Roman" w:hAnsi="Times New Roman" w:cs="Times New Roman"/>
                <w:color w:val="auto"/>
                <w:highlight w:val="none"/>
              </w:rPr>
              <w:t>）</w:t>
            </w:r>
            <w:r>
              <w:rPr>
                <w:rFonts w:hint="eastAsia" w:cs="Times New Roman"/>
                <w:color w:val="auto"/>
                <w:highlight w:val="none"/>
                <w:lang w:val="en-US" w:eastAsia="zh-CN"/>
              </w:rPr>
              <w:t>4.2</w:t>
            </w:r>
            <w:r>
              <w:rPr>
                <w:rFonts w:hint="default" w:ascii="Times New Roman" w:hAnsi="Times New Roman" w:eastAsia="宋体" w:cs="Times New Roman"/>
                <w:color w:val="auto"/>
                <w:highlight w:val="none"/>
                <w:lang w:val="en-US" w:eastAsia="zh-CN"/>
              </w:rPr>
              <w:t>的要求</w:t>
            </w:r>
            <w:r>
              <w:rPr>
                <w:rFonts w:hint="eastAsia" w:ascii="Times New Roman" w:hAnsi="Times New Roman" w:eastAsia="宋体" w:cs="Times New Roman"/>
                <w:color w:val="auto"/>
                <w:highlight w:val="none"/>
                <w:lang w:eastAsia="zh-CN"/>
              </w:rPr>
              <w:t>：下列生产、生活和其他活动中满足使用用途要求，</w:t>
            </w:r>
            <w:r>
              <w:rPr>
                <w:rFonts w:hint="eastAsia" w:cs="Times New Roman"/>
                <w:color w:val="auto"/>
                <w:highlight w:val="none"/>
                <w:lang w:val="en-US" w:eastAsia="zh-CN"/>
              </w:rPr>
              <w:t>按原始用途使用的物质，不作为固体废物。4.2.1</w:t>
            </w:r>
            <w:r>
              <w:rPr>
                <w:rFonts w:hint="default" w:ascii="Times New Roman" w:hAnsi="Times New Roman" w:eastAsia="宋体" w:cs="Times New Roman"/>
                <w:color w:val="auto"/>
                <w:highlight w:val="none"/>
                <w:lang w:val="en-US" w:eastAsia="zh-CN"/>
              </w:rPr>
              <w:t>生产企业内部通过以下方式返回原生产线作为原料使用的物质</w:t>
            </w:r>
            <w:r>
              <w:rPr>
                <w:rFonts w:hint="eastAsia"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a)不经过贮存或堆积过程，直接返回</w:t>
            </w: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1#布袋</w:t>
            </w:r>
            <w:r>
              <w:rPr>
                <w:rFonts w:hint="default" w:ascii="Times New Roman" w:hAnsi="Times New Roman" w:cs="Times New Roman"/>
                <w:color w:val="auto"/>
                <w:highlight w:val="none"/>
                <w:lang w:val="en-US" w:eastAsia="zh-CN"/>
              </w:rPr>
              <w:t>除尘器</w:t>
            </w:r>
            <w:r>
              <w:rPr>
                <w:rFonts w:hint="eastAsia" w:ascii="Times New Roman" w:hAnsi="Times New Roman" w:cs="Times New Roman"/>
                <w:color w:val="auto"/>
                <w:highlight w:val="none"/>
                <w:lang w:val="en-US" w:eastAsia="zh-CN"/>
              </w:rPr>
              <w:t>和2#布袋</w:t>
            </w:r>
            <w:r>
              <w:rPr>
                <w:rFonts w:hint="default" w:ascii="Times New Roman" w:hAnsi="Times New Roman" w:cs="Times New Roman"/>
                <w:color w:val="auto"/>
                <w:highlight w:val="none"/>
                <w:lang w:val="en-US" w:eastAsia="zh-CN"/>
              </w:rPr>
              <w:t>除尘器收集的粉尘</w:t>
            </w:r>
            <w:r>
              <w:rPr>
                <w:rFonts w:hint="default" w:ascii="Times New Roman" w:hAnsi="Times New Roman" w:cs="Times New Roman"/>
                <w:color w:val="auto"/>
                <w:highlight w:val="none"/>
              </w:rPr>
              <w:t>直接回用生产，所以不按固废进行管理</w:t>
            </w:r>
            <w:r>
              <w:rPr>
                <w:rFonts w:hint="default" w:ascii="Times New Roman" w:hAnsi="Times New Roman" w:cs="Times New Roman"/>
                <w:color w:val="auto"/>
                <w:highlight w:val="none"/>
                <w:lang w:eastAsia="zh-CN"/>
              </w:rPr>
              <w:t>。</w:t>
            </w:r>
          </w:p>
          <w:p w14:paraId="574B973C">
            <w:pPr>
              <w:adjustRightInd w:val="0"/>
              <w:snapToGrid w:val="0"/>
              <w:spacing w:line="360" w:lineRule="auto"/>
              <w:ind w:firstLine="420" w:firstLineChars="200"/>
              <w:rPr>
                <w:color w:val="FF0000"/>
              </w:rPr>
            </w:pPr>
            <w:r>
              <w:rPr>
                <w:rFonts w:hint="default" w:ascii="Times New Roman" w:hAnsi="Times New Roman" w:cs="Times New Roman"/>
                <w:bCs/>
                <w:color w:val="auto"/>
                <w:szCs w:val="21"/>
                <w:highlight w:val="none"/>
              </w:rPr>
              <w:t>本项目产生的固体废物主要为</w:t>
            </w:r>
            <w:r>
              <w:rPr>
                <w:rFonts w:hint="eastAsia" w:cs="Times New Roman"/>
                <w:bCs/>
                <w:color w:val="auto"/>
                <w:szCs w:val="21"/>
                <w:highlight w:val="none"/>
                <w:lang w:val="en-US" w:eastAsia="zh-CN"/>
              </w:rPr>
              <w:t>废包装材料（S1-1、S2-1）、筛分废料（S1-2、S2-2）、</w:t>
            </w:r>
            <w:r>
              <w:rPr>
                <w:rFonts w:hint="eastAsia" w:cs="Times New Roman"/>
                <w:bCs/>
                <w:color w:val="auto"/>
                <w:highlight w:val="none"/>
                <w:lang w:val="en-US" w:eastAsia="zh-CN"/>
              </w:rPr>
              <w:t>边角料</w:t>
            </w:r>
            <w:r>
              <w:rPr>
                <w:rFonts w:hint="default" w:ascii="Times New Roman" w:hAnsi="Times New Roman" w:cs="Times New Roman"/>
                <w:bCs/>
                <w:color w:val="auto"/>
                <w:highlight w:val="none"/>
                <w:lang w:val="en-US" w:eastAsia="zh-CN"/>
              </w:rPr>
              <w:t>（S</w:t>
            </w:r>
            <w:r>
              <w:rPr>
                <w:rFonts w:hint="eastAsia" w:cs="Times New Roman"/>
                <w:bCs/>
                <w:color w:val="auto"/>
                <w:highlight w:val="none"/>
                <w:lang w:val="en-US" w:eastAsia="zh-CN"/>
              </w:rPr>
              <w:t>1-3、S1-8、S1-9、S3</w:t>
            </w:r>
            <w:r>
              <w:rPr>
                <w:rFonts w:hint="default" w:ascii="Times New Roman" w:hAnsi="Times New Roman" w:cs="Times New Roman"/>
                <w:bCs/>
                <w:color w:val="auto"/>
                <w:highlight w:val="none"/>
                <w:lang w:val="en-US" w:eastAsia="zh-CN"/>
              </w:rPr>
              <w:t>）、</w:t>
            </w:r>
            <w:r>
              <w:rPr>
                <w:rFonts w:hint="eastAsia" w:cs="Times New Roman"/>
                <w:bCs/>
                <w:color w:val="auto"/>
                <w:highlight w:val="none"/>
                <w:lang w:val="en-US" w:eastAsia="zh-CN"/>
              </w:rPr>
              <w:t>废钢砂（S1-4）、喷砂除尘器收集的粉尘（S1-5）、</w:t>
            </w:r>
            <w:r>
              <w:rPr>
                <w:rFonts w:hint="eastAsia" w:ascii="Times New Roman" w:hAnsi="Times New Roman" w:cs="Times New Roman" w:eastAsiaTheme="minorEastAsia"/>
                <w:color w:val="auto"/>
                <w:sz w:val="21"/>
                <w:szCs w:val="21"/>
                <w:highlight w:val="none"/>
                <w:lang w:val="en-US" w:eastAsia="zh-CN"/>
              </w:rPr>
              <w:t>焊接废料（S1-</w:t>
            </w:r>
            <w:r>
              <w:rPr>
                <w:rFonts w:hint="eastAsia" w:cs="Times New Roman" w:eastAsiaTheme="minorEastAsia"/>
                <w:color w:val="auto"/>
                <w:sz w:val="21"/>
                <w:szCs w:val="21"/>
                <w:highlight w:val="none"/>
                <w:lang w:val="en-US" w:eastAsia="zh-CN"/>
              </w:rPr>
              <w:t>6、S4</w:t>
            </w:r>
            <w:r>
              <w:rPr>
                <w:rFonts w:hint="eastAsia" w:ascii="Times New Roman" w:hAnsi="Times New Roman" w:cs="Times New Roman" w:eastAsiaTheme="minorEastAsia"/>
                <w:color w:val="auto"/>
                <w:sz w:val="21"/>
                <w:szCs w:val="21"/>
                <w:highlight w:val="none"/>
                <w:lang w:val="en-US" w:eastAsia="zh-CN"/>
              </w:rPr>
              <w:t>）、焊接烟尘净化器收集的烟尘（S1-</w:t>
            </w:r>
            <w:r>
              <w:rPr>
                <w:rFonts w:hint="eastAsia" w:cs="Times New Roman" w:eastAsiaTheme="minorEastAsia"/>
                <w:color w:val="auto"/>
                <w:sz w:val="21"/>
                <w:szCs w:val="21"/>
                <w:highlight w:val="none"/>
                <w:lang w:val="en-US" w:eastAsia="zh-CN"/>
              </w:rPr>
              <w:t>7、S5</w:t>
            </w:r>
            <w:r>
              <w:rPr>
                <w:rFonts w:hint="eastAsia" w:ascii="Times New Roman" w:hAnsi="Times New Roman" w:cs="Times New Roman" w:eastAsiaTheme="minorEastAsia"/>
                <w:color w:val="auto"/>
                <w:sz w:val="21"/>
                <w:szCs w:val="21"/>
                <w:highlight w:val="none"/>
                <w:lang w:val="en-US" w:eastAsia="zh-CN"/>
              </w:rPr>
              <w:t>）、废砂轮片（S1-</w:t>
            </w:r>
            <w:r>
              <w:rPr>
                <w:rFonts w:hint="eastAsia"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lang w:val="en-US" w:eastAsia="zh-CN"/>
              </w:rPr>
              <w:t>）、胶水废包装桶（S2-4）、</w:t>
            </w:r>
            <w:r>
              <w:rPr>
                <w:rFonts w:hint="default" w:ascii="Times New Roman" w:hAnsi="Times New Roman" w:cs="Times New Roman"/>
                <w:bCs/>
                <w:color w:val="auto"/>
                <w:highlight w:val="none"/>
                <w:lang w:val="en-US" w:eastAsia="zh-CN"/>
              </w:rPr>
              <w:t>废布袋（S</w:t>
            </w:r>
            <w:r>
              <w:rPr>
                <w:rFonts w:hint="eastAsia" w:cs="Times New Roman"/>
                <w:bCs/>
                <w:color w:val="auto"/>
                <w:highlight w:val="none"/>
                <w:lang w:val="en-US" w:eastAsia="zh-CN"/>
              </w:rPr>
              <w:t>5</w:t>
            </w:r>
            <w:r>
              <w:rPr>
                <w:rFonts w:hint="default" w:ascii="Times New Roman" w:hAnsi="Times New Roman" w:cs="Times New Roman"/>
                <w:bCs/>
                <w:color w:val="auto"/>
                <w:highlight w:val="none"/>
                <w:lang w:val="en-US" w:eastAsia="zh-CN"/>
              </w:rPr>
              <w:t>）、</w:t>
            </w:r>
            <w:r>
              <w:rPr>
                <w:rFonts w:hint="eastAsia" w:cs="Times New Roman"/>
                <w:bCs/>
                <w:color w:val="auto"/>
                <w:highlight w:val="none"/>
                <w:lang w:val="en-US" w:eastAsia="zh-CN"/>
              </w:rPr>
              <w:t>废活性炭（S6）、</w:t>
            </w:r>
            <w:r>
              <w:rPr>
                <w:rFonts w:hint="default" w:ascii="Times New Roman" w:hAnsi="Times New Roman" w:cs="Times New Roman"/>
                <w:bCs/>
                <w:color w:val="auto"/>
                <w:highlight w:val="none"/>
              </w:rPr>
              <w:t>生活垃圾</w:t>
            </w:r>
            <w:r>
              <w:rPr>
                <w:rFonts w:hint="default" w:ascii="Times New Roman" w:hAnsi="Times New Roman" w:cs="Times New Roman"/>
                <w:bCs/>
                <w:color w:val="auto"/>
                <w:highlight w:val="none"/>
                <w:lang w:eastAsia="zh-CN"/>
              </w:rPr>
              <w:t>（S</w:t>
            </w:r>
            <w:r>
              <w:rPr>
                <w:rFonts w:hint="eastAsia" w:cs="Times New Roman"/>
                <w:bCs/>
                <w:color w:val="auto"/>
                <w:highlight w:val="none"/>
                <w:lang w:val="en-US" w:eastAsia="zh-CN"/>
              </w:rPr>
              <w:t>7</w:t>
            </w:r>
            <w:r>
              <w:rPr>
                <w:rFonts w:hint="default" w:ascii="Times New Roman" w:hAnsi="Times New Roman" w:cs="Times New Roman"/>
                <w:bCs/>
                <w:color w:val="auto"/>
                <w:highlight w:val="none"/>
                <w:lang w:eastAsia="zh-CN"/>
              </w:rPr>
              <w:t>）</w:t>
            </w:r>
            <w:r>
              <w:rPr>
                <w:rFonts w:hint="eastAsia"/>
                <w:color w:val="auto"/>
                <w:highlight w:val="none"/>
                <w:lang w:eastAsia="zh-CN"/>
              </w:rPr>
              <w:t>。</w:t>
            </w:r>
          </w:p>
        </w:tc>
      </w:tr>
      <w:tr w14:paraId="4738C0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91" w:hRule="atLeast"/>
          <w:jc w:val="center"/>
        </w:trPr>
        <w:tc>
          <w:tcPr>
            <w:tcW w:w="633" w:type="dxa"/>
            <w:vAlign w:val="center"/>
          </w:tcPr>
          <w:p w14:paraId="357254BA">
            <w:pPr>
              <w:pStyle w:val="77"/>
              <w:adjustRightInd w:val="0"/>
              <w:snapToGrid w:val="0"/>
              <w:spacing w:before="0" w:beforeAutospacing="0" w:after="0" w:afterAutospacing="0" w:line="360" w:lineRule="auto"/>
              <w:rPr>
                <w:rFonts w:ascii="Times New Roman" w:hAnsi="Times New Roman"/>
                <w:color w:val="FF0000"/>
                <w:sz w:val="21"/>
                <w:szCs w:val="21"/>
              </w:rPr>
            </w:pPr>
            <w:r>
              <w:rPr>
                <w:rFonts w:hint="default" w:ascii="Times New Roman" w:hAnsi="Times New Roman" w:cs="Times New Roman"/>
                <w:bCs/>
                <w:color w:val="auto"/>
                <w:kern w:val="2"/>
                <w:sz w:val="21"/>
                <w:szCs w:val="21"/>
              </w:rPr>
              <w:t>与项目有关的原有环境污染问题</w:t>
            </w:r>
          </w:p>
        </w:tc>
        <w:tc>
          <w:tcPr>
            <w:tcW w:w="8427" w:type="dxa"/>
            <w:vAlign w:val="center"/>
          </w:tcPr>
          <w:p w14:paraId="1F83E6E1">
            <w:pPr>
              <w:pStyle w:val="43"/>
              <w:snapToGrid w:val="0"/>
              <w:spacing w:line="360" w:lineRule="auto"/>
              <w:ind w:firstLine="420" w:firstLineChars="200"/>
              <w:jc w:val="both"/>
              <w:rPr>
                <w:rFonts w:hint="default" w:ascii="Times New Roman" w:hAnsi="Times New Roman" w:cs="Times New Roman"/>
                <w:color w:val="auto"/>
                <w:lang w:eastAsia="zh-CN"/>
              </w:rPr>
            </w:pPr>
            <w:r>
              <w:rPr>
                <w:rFonts w:hint="default" w:ascii="Times New Roman" w:hAnsi="Times New Roman" w:cs="Times New Roman"/>
                <w:color w:val="auto"/>
                <w:sz w:val="21"/>
                <w:szCs w:val="21"/>
                <w:highlight w:val="none"/>
              </w:rPr>
              <w:t>本项目为新建项目，不存在与本项目有关的原有污染及主要环境问题</w:t>
            </w:r>
            <w:r>
              <w:rPr>
                <w:rFonts w:hint="default" w:ascii="Times New Roman" w:hAnsi="Times New Roman" w:cs="Times New Roman"/>
                <w:color w:val="auto"/>
                <w:lang w:eastAsia="zh-CN"/>
              </w:rPr>
              <w:t>。</w:t>
            </w:r>
          </w:p>
          <w:p w14:paraId="115E9F73">
            <w:pPr>
              <w:adjustRightInd w:val="0"/>
              <w:snapToGrid w:val="0"/>
              <w:spacing w:line="360" w:lineRule="auto"/>
              <w:jc w:val="center"/>
              <w:rPr>
                <w:color w:val="FF0000"/>
              </w:rPr>
            </w:pPr>
          </w:p>
        </w:tc>
      </w:tr>
    </w:tbl>
    <w:p w14:paraId="1B5EC07F">
      <w:pPr>
        <w:pStyle w:val="77"/>
        <w:spacing w:line="420" w:lineRule="exact"/>
        <w:jc w:val="center"/>
        <w:rPr>
          <w:rFonts w:ascii="Times New Roman" w:hAnsi="Times New Roman" w:eastAsia="黑体"/>
          <w:snapToGrid w:val="0"/>
          <w:color w:val="FF0000"/>
          <w:sz w:val="36"/>
          <w:szCs w:val="36"/>
        </w:rPr>
        <w:sectPr>
          <w:pgSz w:w="11906" w:h="16838"/>
          <w:pgMar w:top="1701" w:right="1531" w:bottom="1701" w:left="1531" w:header="851" w:footer="1361" w:gutter="0"/>
          <w:cols w:space="720" w:num="1"/>
          <w:docGrid w:linePitch="312" w:charSpace="0"/>
        </w:sectPr>
      </w:pPr>
    </w:p>
    <w:p w14:paraId="2D00FCFA">
      <w:pPr>
        <w:pStyle w:val="77"/>
        <w:spacing w:line="420" w:lineRule="exact"/>
        <w:jc w:val="center"/>
        <w:outlineLvl w:val="0"/>
        <w:rPr>
          <w:rFonts w:ascii="Times New Roman" w:hAnsi="Times New Roman" w:eastAsia="黑体"/>
          <w:snapToGrid w:val="0"/>
          <w:color w:val="FF0000"/>
          <w:sz w:val="30"/>
          <w:szCs w:val="30"/>
        </w:rPr>
      </w:pPr>
      <w:r>
        <w:rPr>
          <w:rFonts w:ascii="Times New Roman" w:hAnsi="Times New Roman" w:eastAsia="黑体"/>
          <w:snapToGrid w:val="0"/>
          <w:color w:val="auto"/>
          <w:sz w:val="30"/>
          <w:szCs w:val="30"/>
        </w:rPr>
        <w:t>三、区域环境质量现状、环境保护目标及评价标准</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8640"/>
      </w:tblGrid>
      <w:tr w14:paraId="7D56D3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00" w:type="dxa"/>
            <w:vAlign w:val="center"/>
          </w:tcPr>
          <w:p w14:paraId="4CAF56DA">
            <w:pPr>
              <w:adjustRightInd w:val="0"/>
              <w:snapToGrid w:val="0"/>
              <w:spacing w:line="420" w:lineRule="exact"/>
              <w:jc w:val="center"/>
              <w:rPr>
                <w:color w:val="auto"/>
                <w:kern w:val="0"/>
              </w:rPr>
            </w:pPr>
            <w:r>
              <w:rPr>
                <w:color w:val="auto"/>
                <w:kern w:val="0"/>
              </w:rPr>
              <w:t>区域</w:t>
            </w:r>
          </w:p>
          <w:p w14:paraId="361DC849">
            <w:pPr>
              <w:adjustRightInd w:val="0"/>
              <w:snapToGrid w:val="0"/>
              <w:spacing w:line="420" w:lineRule="exact"/>
              <w:jc w:val="center"/>
              <w:rPr>
                <w:color w:val="auto"/>
                <w:kern w:val="0"/>
              </w:rPr>
            </w:pPr>
            <w:r>
              <w:rPr>
                <w:color w:val="auto"/>
                <w:kern w:val="0"/>
              </w:rPr>
              <w:t>环境</w:t>
            </w:r>
          </w:p>
          <w:p w14:paraId="544A14EC">
            <w:pPr>
              <w:adjustRightInd w:val="0"/>
              <w:snapToGrid w:val="0"/>
              <w:spacing w:line="420" w:lineRule="exact"/>
              <w:jc w:val="center"/>
              <w:rPr>
                <w:color w:val="auto"/>
                <w:kern w:val="0"/>
              </w:rPr>
            </w:pPr>
            <w:r>
              <w:rPr>
                <w:color w:val="auto"/>
                <w:kern w:val="0"/>
              </w:rPr>
              <w:t>质量</w:t>
            </w:r>
          </w:p>
          <w:p w14:paraId="51340BE5">
            <w:pPr>
              <w:adjustRightInd w:val="0"/>
              <w:snapToGrid w:val="0"/>
              <w:spacing w:line="420" w:lineRule="exact"/>
              <w:jc w:val="center"/>
              <w:rPr>
                <w:color w:val="FF0000"/>
                <w:kern w:val="0"/>
              </w:rPr>
            </w:pPr>
            <w:r>
              <w:rPr>
                <w:color w:val="auto"/>
                <w:kern w:val="0"/>
              </w:rPr>
              <w:t>现状</w:t>
            </w:r>
          </w:p>
        </w:tc>
        <w:tc>
          <w:tcPr>
            <w:tcW w:w="8190" w:type="dxa"/>
            <w:vAlign w:val="center"/>
          </w:tcPr>
          <w:p w14:paraId="5D002F3C">
            <w:pPr>
              <w:widowControl/>
              <w:adjustRightInd w:val="0"/>
              <w:snapToGrid w:val="0"/>
              <w:spacing w:line="360" w:lineRule="auto"/>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一、环境功能区划</w:t>
            </w:r>
          </w:p>
          <w:p w14:paraId="44D34F19">
            <w:pPr>
              <w:adjustRightInd w:val="0"/>
              <w:snapToGrid w:val="0"/>
              <w:spacing w:line="360" w:lineRule="auto"/>
              <w:ind w:firstLine="420" w:firstLineChars="200"/>
              <w:rPr>
                <w:color w:val="FF0000"/>
              </w:rPr>
            </w:pPr>
            <w:r>
              <w:rPr>
                <w:rFonts w:hint="default" w:ascii="Times New Roman" w:hAnsi="Times New Roman" w:cs="Times New Roman"/>
                <w:color w:val="auto"/>
                <w:szCs w:val="21"/>
                <w:highlight w:val="none"/>
              </w:rPr>
              <w:t>根据《淄博市城区环境空气质量功能区管理规定的通知》（淄政发[1999]113号）、</w:t>
            </w:r>
            <w:r>
              <w:rPr>
                <w:color w:val="auto"/>
              </w:rPr>
              <w:t>《关于印发淄博市声环境功能区划方案的通知（淄政办发〔2025〕5 号）》</w:t>
            </w:r>
            <w:r>
              <w:rPr>
                <w:rFonts w:hint="default" w:ascii="Times New Roman" w:hAnsi="Times New Roman" w:cs="Times New Roman"/>
                <w:color w:val="auto"/>
                <w:szCs w:val="21"/>
                <w:highlight w:val="none"/>
              </w:rPr>
              <w:t>及淄博市水资源管理办公室、淄博市水文局发布的《淄博市水功能区划》（2012.2），项目所在区域属于《环境空气质量标准》（GB3095-2012）及其修改单二级标准适用区；区域噪声执行《声环境质量标准》（GB3096-2008）的</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类标准；根据《淄博市地下水功能区划分及保护现状评价》，项目所在区的地下水环境执行《地下水质量标准》（GB/T14848-2017）Ⅲ类标准；区域地表水</w:t>
            </w:r>
            <w:r>
              <w:rPr>
                <w:rFonts w:hint="default" w:ascii="Times New Roman" w:hAnsi="Times New Roman" w:cs="Times New Roman"/>
                <w:color w:val="auto"/>
                <w:highlight w:val="none"/>
                <w:lang w:val="en-US" w:eastAsia="zh-CN"/>
              </w:rPr>
              <w:t>漫泗河</w:t>
            </w:r>
            <w:r>
              <w:rPr>
                <w:rFonts w:hint="default" w:ascii="Times New Roman" w:hAnsi="Times New Roman" w:cs="Times New Roman"/>
                <w:color w:val="auto"/>
                <w:szCs w:val="21"/>
                <w:highlight w:val="none"/>
              </w:rPr>
              <w:t>执行《地表水环境质量标准》（GB3838-2002）V类标准</w:t>
            </w:r>
            <w:r>
              <w:rPr>
                <w:color w:val="FF0000"/>
              </w:rPr>
              <w:t>。</w:t>
            </w:r>
          </w:p>
          <w:p w14:paraId="1832A49C">
            <w:pPr>
              <w:widowControl/>
              <w:adjustRightInd w:val="0"/>
              <w:snapToGrid w:val="0"/>
              <w:spacing w:line="360" w:lineRule="auto"/>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二、环境质量现状</w:t>
            </w:r>
          </w:p>
          <w:p w14:paraId="52AD84C2">
            <w:pPr>
              <w:widowControl/>
              <w:adjustRightInd w:val="0"/>
              <w:snapToGrid w:val="0"/>
              <w:spacing w:line="360" w:lineRule="auto"/>
              <w:ind w:firstLine="422" w:firstLineChars="200"/>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1、环境空气质量</w:t>
            </w:r>
          </w:p>
          <w:p w14:paraId="52BE8624">
            <w:pPr>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根据淄博市生态环境局网站公布的《202</w:t>
            </w:r>
            <w:r>
              <w:rPr>
                <w:rFonts w:hint="eastAsia" w:cs="Times New Roman"/>
                <w:color w:val="auto"/>
                <w:highlight w:val="none"/>
                <w:lang w:val="en-US" w:eastAsia="zh-CN"/>
              </w:rPr>
              <w:t>4</w:t>
            </w:r>
            <w:r>
              <w:rPr>
                <w:rFonts w:hint="default" w:ascii="Times New Roman" w:hAnsi="Times New Roman" w:cs="Times New Roman"/>
                <w:color w:val="auto"/>
                <w:highlight w:val="none"/>
              </w:rPr>
              <w:t>年12月份及全年环境空气质量情况通报》（2025-01-27）：2023年，全市良好天数</w:t>
            </w:r>
            <w:r>
              <w:rPr>
                <w:rFonts w:hint="eastAsia" w:cs="Times New Roman"/>
                <w:color w:val="auto"/>
                <w:highlight w:val="none"/>
                <w:lang w:val="en-US" w:eastAsia="zh-CN"/>
              </w:rPr>
              <w:t>238</w:t>
            </w:r>
            <w:r>
              <w:rPr>
                <w:rFonts w:hint="default" w:ascii="Times New Roman" w:hAnsi="Times New Roman" w:cs="Times New Roman"/>
                <w:color w:val="auto"/>
                <w:highlight w:val="none"/>
              </w:rPr>
              <w:t>天（国控），同比</w:t>
            </w:r>
            <w:r>
              <w:rPr>
                <w:rFonts w:hint="eastAsia" w:cs="Times New Roman"/>
                <w:color w:val="auto"/>
                <w:highlight w:val="none"/>
                <w:lang w:val="en-US" w:eastAsia="zh-CN"/>
              </w:rPr>
              <w:t>增加19</w:t>
            </w:r>
            <w:r>
              <w:rPr>
                <w:rFonts w:hint="default" w:ascii="Times New Roman" w:hAnsi="Times New Roman" w:cs="Times New Roman"/>
                <w:color w:val="auto"/>
                <w:highlight w:val="none"/>
              </w:rPr>
              <w:t>天。重污染天数</w:t>
            </w:r>
            <w:r>
              <w:rPr>
                <w:rFonts w:hint="eastAsia" w:cs="Times New Roman"/>
                <w:color w:val="auto"/>
                <w:highlight w:val="none"/>
                <w:lang w:val="en-US" w:eastAsia="zh-CN"/>
              </w:rPr>
              <w:t>4</w:t>
            </w:r>
            <w:r>
              <w:rPr>
                <w:rFonts w:hint="default" w:ascii="Times New Roman" w:hAnsi="Times New Roman" w:cs="Times New Roman"/>
                <w:color w:val="auto"/>
                <w:highlight w:val="none"/>
              </w:rPr>
              <w:t>天，同比</w:t>
            </w:r>
            <w:r>
              <w:rPr>
                <w:rFonts w:hint="eastAsia" w:cs="Times New Roman"/>
                <w:color w:val="auto"/>
                <w:highlight w:val="none"/>
                <w:lang w:val="en-US" w:eastAsia="zh-CN"/>
              </w:rPr>
              <w:t>减少4</w:t>
            </w:r>
            <w:r>
              <w:rPr>
                <w:rFonts w:hint="default" w:ascii="Times New Roman" w:hAnsi="Times New Roman" w:cs="Times New Roman"/>
                <w:color w:val="auto"/>
                <w:highlight w:val="none"/>
              </w:rPr>
              <w:t>天。其中，二氧化硫（SO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）1</w:t>
            </w:r>
            <w:r>
              <w:rPr>
                <w:rFonts w:hint="eastAsia" w:cs="Times New Roman"/>
                <w:color w:val="auto"/>
                <w:highlight w:val="none"/>
                <w:lang w:val="en-US" w:eastAsia="zh-CN"/>
              </w:rPr>
              <w:t>3</w:t>
            </w:r>
            <w:r>
              <w:rPr>
                <w:rFonts w:hint="default" w:ascii="Times New Roman" w:hAnsi="Times New Roman" w:cs="Times New Roman"/>
                <w:color w:val="auto"/>
                <w:highlight w:val="none"/>
              </w:rPr>
              <w:t>微克/立方米，同比</w:t>
            </w:r>
            <w:r>
              <w:rPr>
                <w:rFonts w:hint="eastAsia" w:cs="Times New Roman"/>
                <w:color w:val="auto"/>
                <w:highlight w:val="none"/>
                <w:lang w:val="en-US" w:eastAsia="zh-CN"/>
              </w:rPr>
              <w:t>恶化8.3</w:t>
            </w:r>
            <w:r>
              <w:rPr>
                <w:rFonts w:hint="default" w:ascii="Times New Roman" w:hAnsi="Times New Roman" w:cs="Times New Roman"/>
                <w:color w:val="auto"/>
                <w:highlight w:val="none"/>
              </w:rPr>
              <w:t>%；二氧化氮（NO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）3</w:t>
            </w:r>
            <w:r>
              <w:rPr>
                <w:rFonts w:hint="eastAsia" w:cs="Times New Roman"/>
                <w:color w:val="auto"/>
                <w:highlight w:val="none"/>
                <w:lang w:val="en-US" w:eastAsia="zh-CN"/>
              </w:rPr>
              <w:t>3</w:t>
            </w:r>
            <w:r>
              <w:rPr>
                <w:rFonts w:hint="default" w:ascii="Times New Roman" w:hAnsi="Times New Roman" w:cs="Times New Roman"/>
                <w:color w:val="auto"/>
                <w:highlight w:val="none"/>
              </w:rPr>
              <w:t>微克/立方米，同比</w:t>
            </w:r>
            <w:r>
              <w:rPr>
                <w:rFonts w:hint="eastAsia" w:cs="Times New Roman"/>
                <w:color w:val="auto"/>
                <w:highlight w:val="none"/>
                <w:lang w:val="en-US" w:eastAsia="zh-CN"/>
              </w:rPr>
              <w:t>改善2.9</w:t>
            </w:r>
            <w:r>
              <w:rPr>
                <w:rFonts w:hint="default" w:ascii="Times New Roman" w:hAnsi="Times New Roman" w:cs="Times New Roman"/>
                <w:color w:val="auto"/>
                <w:highlight w:val="none"/>
              </w:rPr>
              <w:t>%；可吸入颗粒物（PM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w:t>
            </w:r>
            <w:r>
              <w:rPr>
                <w:rFonts w:hint="eastAsia" w:cs="Times New Roman"/>
                <w:color w:val="auto"/>
                <w:highlight w:val="none"/>
                <w:lang w:val="en-US" w:eastAsia="zh-CN"/>
              </w:rPr>
              <w:t>69</w:t>
            </w:r>
            <w:r>
              <w:rPr>
                <w:rFonts w:hint="default" w:ascii="Times New Roman" w:hAnsi="Times New Roman" w:cs="Times New Roman"/>
                <w:color w:val="auto"/>
                <w:highlight w:val="none"/>
              </w:rPr>
              <w:t>微克/立方米，同比</w:t>
            </w:r>
            <w:r>
              <w:rPr>
                <w:rFonts w:hint="eastAsia" w:cs="Times New Roman"/>
                <w:color w:val="auto"/>
                <w:highlight w:val="none"/>
                <w:lang w:val="en-US" w:eastAsia="zh-CN"/>
              </w:rPr>
              <w:t>改善8.0%</w:t>
            </w:r>
            <w:r>
              <w:rPr>
                <w:rFonts w:hint="default" w:ascii="Times New Roman" w:hAnsi="Times New Roman" w:cs="Times New Roman"/>
                <w:color w:val="auto"/>
                <w:highlight w:val="none"/>
              </w:rPr>
              <w:t>；细颗粒物（PM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）4</w:t>
            </w:r>
            <w:r>
              <w:rPr>
                <w:rFonts w:hint="eastAsia" w:cs="Times New Roman"/>
                <w:color w:val="auto"/>
                <w:highlight w:val="none"/>
                <w:lang w:val="en-US" w:eastAsia="zh-CN"/>
              </w:rPr>
              <w:t>0</w:t>
            </w:r>
            <w:r>
              <w:rPr>
                <w:rFonts w:hint="default" w:ascii="Times New Roman" w:hAnsi="Times New Roman" w:cs="Times New Roman"/>
                <w:color w:val="auto"/>
                <w:highlight w:val="none"/>
              </w:rPr>
              <w:t>微克/立方米，同比改善</w:t>
            </w:r>
            <w:r>
              <w:rPr>
                <w:rFonts w:hint="eastAsia" w:cs="Times New Roman"/>
                <w:color w:val="auto"/>
                <w:highlight w:val="none"/>
                <w:lang w:val="en-US" w:eastAsia="zh-CN"/>
              </w:rPr>
              <w:t>2.4</w:t>
            </w:r>
            <w:r>
              <w:rPr>
                <w:rFonts w:hint="default" w:ascii="Times New Roman" w:hAnsi="Times New Roman" w:cs="Times New Roman"/>
                <w:color w:val="auto"/>
                <w:highlight w:val="none"/>
              </w:rPr>
              <w:t>%；一氧化碳（CO）1.</w:t>
            </w:r>
            <w:r>
              <w:rPr>
                <w:rFonts w:hint="eastAsia" w:cs="Times New Roman"/>
                <w:color w:val="auto"/>
                <w:highlight w:val="none"/>
                <w:lang w:val="en-US" w:eastAsia="zh-CN"/>
              </w:rPr>
              <w:t>2</w:t>
            </w:r>
            <w:r>
              <w:rPr>
                <w:rFonts w:hint="default" w:ascii="Times New Roman" w:hAnsi="Times New Roman" w:cs="Times New Roman"/>
                <w:color w:val="auto"/>
                <w:highlight w:val="none"/>
              </w:rPr>
              <w:t>毫克/立方米，同比</w:t>
            </w:r>
            <w:r>
              <w:rPr>
                <w:rFonts w:hint="eastAsia" w:cs="Times New Roman"/>
                <w:color w:val="auto"/>
                <w:highlight w:val="none"/>
                <w:lang w:val="en-US" w:eastAsia="zh-CN"/>
              </w:rPr>
              <w:t>恶化9.1</w:t>
            </w:r>
            <w:r>
              <w:rPr>
                <w:rFonts w:hint="default" w:ascii="Times New Roman" w:hAnsi="Times New Roman" w:cs="Times New Roman"/>
                <w:color w:val="auto"/>
                <w:highlight w:val="none"/>
              </w:rPr>
              <w:t>%；臭氧（O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）19</w:t>
            </w:r>
            <w:r>
              <w:rPr>
                <w:rFonts w:hint="eastAsia" w:cs="Times New Roman"/>
                <w:color w:val="auto"/>
                <w:highlight w:val="none"/>
                <w:lang w:val="en-US" w:eastAsia="zh-CN"/>
              </w:rPr>
              <w:t>4</w:t>
            </w:r>
            <w:r>
              <w:rPr>
                <w:rFonts w:hint="default" w:ascii="Times New Roman" w:hAnsi="Times New Roman" w:cs="Times New Roman"/>
                <w:color w:val="auto"/>
                <w:highlight w:val="none"/>
              </w:rPr>
              <w:t>微克/立方米，同比</w:t>
            </w:r>
            <w:r>
              <w:rPr>
                <w:rFonts w:hint="eastAsia" w:cs="Times New Roman"/>
                <w:color w:val="auto"/>
                <w:highlight w:val="none"/>
                <w:lang w:val="en-US" w:eastAsia="zh-CN"/>
              </w:rPr>
              <w:t>改善2.0</w:t>
            </w:r>
            <w:r>
              <w:rPr>
                <w:rFonts w:hint="default" w:ascii="Times New Roman" w:hAnsi="Times New Roman" w:cs="Times New Roman"/>
                <w:color w:val="auto"/>
                <w:highlight w:val="none"/>
              </w:rPr>
              <w:t>%。全市综合指数为</w:t>
            </w:r>
            <w:r>
              <w:rPr>
                <w:rFonts w:hint="eastAsia" w:cs="Times New Roman"/>
                <w:color w:val="auto"/>
                <w:highlight w:val="none"/>
                <w:lang w:val="en-US" w:eastAsia="zh-CN"/>
              </w:rPr>
              <w:t>4.68</w:t>
            </w:r>
            <w:r>
              <w:rPr>
                <w:rFonts w:hint="default" w:ascii="Times New Roman" w:hAnsi="Times New Roman" w:cs="Times New Roman"/>
                <w:color w:val="auto"/>
                <w:highlight w:val="none"/>
              </w:rPr>
              <w:t>，同比改善</w:t>
            </w:r>
            <w:r>
              <w:rPr>
                <w:rFonts w:hint="eastAsia" w:cs="Times New Roman"/>
                <w:color w:val="auto"/>
                <w:highlight w:val="none"/>
                <w:lang w:val="en-US" w:eastAsia="zh-CN"/>
              </w:rPr>
              <w:t>2.7</w:t>
            </w:r>
            <w:r>
              <w:rPr>
                <w:rFonts w:hint="default" w:ascii="Times New Roman" w:hAnsi="Times New Roman" w:cs="Times New Roman"/>
                <w:color w:val="auto"/>
                <w:highlight w:val="none"/>
              </w:rPr>
              <w:t>%</w:t>
            </w:r>
            <w:r>
              <w:rPr>
                <w:rFonts w:hint="default" w:ascii="Times New Roman" w:hAnsi="Times New Roman" w:cs="Times New Roman"/>
                <w:color w:val="auto"/>
                <w:szCs w:val="21"/>
                <w:highlight w:val="none"/>
              </w:rPr>
              <w:t>。</w:t>
            </w:r>
          </w:p>
          <w:p w14:paraId="54F65D2E">
            <w:pPr>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其中，淄川区空气环境质量指标如下：</w:t>
            </w:r>
          </w:p>
          <w:p w14:paraId="51F92722">
            <w:pPr>
              <w:pStyle w:val="732"/>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表3-1 环境空气质量状况一览表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autofit"/>
              <w:tblCellMar>
                <w:top w:w="0" w:type="dxa"/>
                <w:left w:w="108" w:type="dxa"/>
                <w:bottom w:w="0" w:type="dxa"/>
                <w:right w:w="108" w:type="dxa"/>
              </w:tblCellMar>
            </w:tblPr>
            <w:tblGrid>
              <w:gridCol w:w="2361"/>
              <w:gridCol w:w="1320"/>
              <w:gridCol w:w="1848"/>
              <w:gridCol w:w="1582"/>
              <w:gridCol w:w="1300"/>
            </w:tblGrid>
            <w:tr w14:paraId="200228BB">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404" w:type="pct"/>
                  <w:vAlign w:val="center"/>
                </w:tcPr>
                <w:p w14:paraId="215E6207">
                  <w:pPr>
                    <w:widowControl/>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项目</w:t>
                  </w:r>
                </w:p>
              </w:tc>
              <w:tc>
                <w:tcPr>
                  <w:tcW w:w="1249" w:type="dxa"/>
                  <w:vAlign w:val="center"/>
                </w:tcPr>
                <w:p w14:paraId="1614150B">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p>
              </w:tc>
              <w:tc>
                <w:tcPr>
                  <w:tcW w:w="1749" w:type="dxa"/>
                  <w:vAlign w:val="center"/>
                </w:tcPr>
                <w:p w14:paraId="7E05DD0F">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NO</w:t>
                  </w:r>
                  <w:r>
                    <w:rPr>
                      <w:rFonts w:hint="default" w:ascii="Times New Roman" w:hAnsi="Times New Roman" w:cs="Times New Roman"/>
                      <w:color w:val="auto"/>
                      <w:sz w:val="18"/>
                      <w:szCs w:val="18"/>
                      <w:highlight w:val="none"/>
                      <w:vertAlign w:val="subscript"/>
                    </w:rPr>
                    <w:t>2</w:t>
                  </w:r>
                </w:p>
              </w:tc>
              <w:tc>
                <w:tcPr>
                  <w:tcW w:w="1497" w:type="dxa"/>
                  <w:vAlign w:val="center"/>
                </w:tcPr>
                <w:p w14:paraId="71167011">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PM</w:t>
                  </w:r>
                  <w:r>
                    <w:rPr>
                      <w:rFonts w:hint="default" w:ascii="Times New Roman" w:hAnsi="Times New Roman" w:cs="Times New Roman"/>
                      <w:color w:val="auto"/>
                      <w:sz w:val="18"/>
                      <w:szCs w:val="18"/>
                      <w:highlight w:val="none"/>
                      <w:vertAlign w:val="subscript"/>
                    </w:rPr>
                    <w:t>10</w:t>
                  </w:r>
                </w:p>
              </w:tc>
              <w:tc>
                <w:tcPr>
                  <w:tcW w:w="1230" w:type="dxa"/>
                  <w:vAlign w:val="center"/>
                </w:tcPr>
                <w:p w14:paraId="62949034">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PM</w:t>
                  </w:r>
                  <w:r>
                    <w:rPr>
                      <w:rFonts w:hint="default" w:ascii="Times New Roman" w:hAnsi="Times New Roman" w:cs="Times New Roman"/>
                      <w:color w:val="auto"/>
                      <w:sz w:val="18"/>
                      <w:szCs w:val="18"/>
                      <w:highlight w:val="none"/>
                      <w:vertAlign w:val="subscript"/>
                    </w:rPr>
                    <w:t>2.5</w:t>
                  </w:r>
                </w:p>
              </w:tc>
            </w:tr>
            <w:tr w14:paraId="4E85FCA1">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1404" w:type="pct"/>
                  <w:vAlign w:val="center"/>
                </w:tcPr>
                <w:p w14:paraId="1A25185C">
                  <w:pPr>
                    <w:widowControl/>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浓度，mg/m</w:t>
                  </w:r>
                  <w:r>
                    <w:rPr>
                      <w:rFonts w:hint="default" w:ascii="Times New Roman" w:hAnsi="Times New Roman" w:cs="Times New Roman"/>
                      <w:color w:val="auto"/>
                      <w:kern w:val="0"/>
                      <w:sz w:val="18"/>
                      <w:szCs w:val="18"/>
                      <w:highlight w:val="none"/>
                      <w:vertAlign w:val="superscript"/>
                    </w:rPr>
                    <w:t>3</w:t>
                  </w:r>
                </w:p>
              </w:tc>
              <w:tc>
                <w:tcPr>
                  <w:tcW w:w="1249" w:type="dxa"/>
                  <w:vAlign w:val="center"/>
                </w:tcPr>
                <w:p w14:paraId="5BCDB017">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0.01</w:t>
                  </w:r>
                  <w:r>
                    <w:rPr>
                      <w:rFonts w:hint="eastAsia" w:cs="Times New Roman"/>
                      <w:color w:val="auto"/>
                      <w:sz w:val="18"/>
                      <w:szCs w:val="18"/>
                      <w:highlight w:val="none"/>
                      <w:lang w:val="en-US" w:eastAsia="zh-CN"/>
                    </w:rPr>
                    <w:t>2</w:t>
                  </w:r>
                </w:p>
              </w:tc>
              <w:tc>
                <w:tcPr>
                  <w:tcW w:w="1749" w:type="dxa"/>
                  <w:vAlign w:val="center"/>
                </w:tcPr>
                <w:p w14:paraId="1B5DBDEA">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w:t>
                  </w:r>
                  <w:r>
                    <w:rPr>
                      <w:rFonts w:hint="eastAsia" w:cs="Times New Roman"/>
                      <w:color w:val="auto"/>
                      <w:sz w:val="18"/>
                      <w:szCs w:val="18"/>
                      <w:highlight w:val="none"/>
                      <w:lang w:val="en-US" w:eastAsia="zh-CN"/>
                    </w:rPr>
                    <w:t>3</w:t>
                  </w:r>
                </w:p>
              </w:tc>
              <w:tc>
                <w:tcPr>
                  <w:tcW w:w="1497" w:type="dxa"/>
                  <w:vAlign w:val="center"/>
                </w:tcPr>
                <w:p w14:paraId="52B62A5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0.0</w:t>
                  </w:r>
                  <w:r>
                    <w:rPr>
                      <w:rFonts w:hint="eastAsia" w:cs="Times New Roman"/>
                      <w:color w:val="auto"/>
                      <w:sz w:val="18"/>
                      <w:szCs w:val="18"/>
                      <w:highlight w:val="none"/>
                      <w:lang w:val="en-US" w:eastAsia="zh-CN"/>
                    </w:rPr>
                    <w:t>69</w:t>
                  </w:r>
                </w:p>
              </w:tc>
              <w:tc>
                <w:tcPr>
                  <w:tcW w:w="1230" w:type="dxa"/>
                  <w:vAlign w:val="center"/>
                </w:tcPr>
                <w:p w14:paraId="4EFD615A">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0.042</w:t>
                  </w:r>
                </w:p>
              </w:tc>
            </w:tr>
            <w:tr w14:paraId="36CD4823">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1404" w:type="pct"/>
                  <w:vAlign w:val="center"/>
                </w:tcPr>
                <w:p w14:paraId="43ABDAFF">
                  <w:pPr>
                    <w:widowControl/>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年均浓度限值，mg/m</w:t>
                  </w:r>
                  <w:r>
                    <w:rPr>
                      <w:rFonts w:hint="default" w:ascii="Times New Roman" w:hAnsi="Times New Roman" w:cs="Times New Roman"/>
                      <w:color w:val="auto"/>
                      <w:kern w:val="0"/>
                      <w:sz w:val="18"/>
                      <w:szCs w:val="18"/>
                      <w:highlight w:val="none"/>
                      <w:vertAlign w:val="superscript"/>
                    </w:rPr>
                    <w:t>3</w:t>
                  </w:r>
                </w:p>
              </w:tc>
              <w:tc>
                <w:tcPr>
                  <w:tcW w:w="1249" w:type="dxa"/>
                  <w:vAlign w:val="center"/>
                </w:tcPr>
                <w:p w14:paraId="583BCD53">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0.06</w:t>
                  </w:r>
                </w:p>
              </w:tc>
              <w:tc>
                <w:tcPr>
                  <w:tcW w:w="1749" w:type="dxa"/>
                  <w:vAlign w:val="center"/>
                </w:tcPr>
                <w:p w14:paraId="04D1A2C8">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0.04</w:t>
                  </w:r>
                </w:p>
              </w:tc>
              <w:tc>
                <w:tcPr>
                  <w:tcW w:w="1497" w:type="dxa"/>
                  <w:vAlign w:val="center"/>
                </w:tcPr>
                <w:p w14:paraId="5AC40B6C">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0.07</w:t>
                  </w:r>
                </w:p>
              </w:tc>
              <w:tc>
                <w:tcPr>
                  <w:tcW w:w="1230" w:type="dxa"/>
                  <w:vAlign w:val="center"/>
                </w:tcPr>
                <w:p w14:paraId="67DB8CAF">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0.035</w:t>
                  </w:r>
                </w:p>
              </w:tc>
            </w:tr>
          </w:tbl>
          <w:p w14:paraId="29341D7A">
            <w:pPr>
              <w:adjustRightInd w:val="0"/>
              <w:snapToGrid w:val="0"/>
              <w:spacing w:line="360" w:lineRule="auto"/>
              <w:ind w:firstLine="420" w:firstLineChars="200"/>
              <w:rPr>
                <w:color w:val="auto"/>
              </w:rPr>
            </w:pPr>
            <w:r>
              <w:rPr>
                <w:rFonts w:hint="default" w:ascii="Times New Roman" w:hAnsi="Times New Roman" w:cs="Times New Roman"/>
                <w:color w:val="auto"/>
                <w:kern w:val="0"/>
                <w:highlight w:val="none"/>
              </w:rPr>
              <w:t>根据上表，淄川区</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年均浓度不</w:t>
            </w:r>
            <w:r>
              <w:rPr>
                <w:rFonts w:hint="default" w:ascii="Times New Roman" w:hAnsi="Times New Roman" w:cs="Times New Roman"/>
                <w:color w:val="auto"/>
                <w:kern w:val="0"/>
                <w:highlight w:val="none"/>
              </w:rPr>
              <w:t>满足《环境空气质量标准》</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GB3095-2012</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highlight w:val="none"/>
              </w:rPr>
              <w:t>及其修改单二级标准限值要求</w:t>
            </w:r>
            <w:r>
              <w:rPr>
                <w:rFonts w:hint="default" w:ascii="Times New Roman" w:hAnsi="Times New Roman" w:cs="Times New Roman"/>
                <w:color w:val="auto"/>
                <w:kern w:val="0"/>
                <w:highlight w:val="none"/>
              </w:rPr>
              <w:t>。</w:t>
            </w:r>
            <w:r>
              <w:rPr>
                <w:rFonts w:hint="default" w:ascii="Times New Roman" w:hAnsi="Times New Roman" w:cs="Times New Roman"/>
                <w:color w:val="auto"/>
                <w:highlight w:val="none"/>
              </w:rPr>
              <w:t>根据《淄博市“十四五”生态环境保护规划》（淄政字〔2021〕107号），淄博市将开展一系列大气污染治理工程改善区域环境，推动NOx深度治理工程、VOCs综合治理工程、O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和PM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协同管控体系，到2025年，PM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浓度达到全省中游水平，空气质量优良率达到全省中游水平，综合指数排名摆脱全国后20名、全省后3名。区域环境空气质量将持续改善。</w:t>
            </w:r>
          </w:p>
          <w:p w14:paraId="02D0592F">
            <w:pPr>
              <w:widowControl/>
              <w:adjustRightInd w:val="0"/>
              <w:snapToGrid w:val="0"/>
              <w:spacing w:line="360" w:lineRule="auto"/>
              <w:ind w:firstLine="420" w:firstLineChars="200"/>
              <w:jc w:val="left"/>
              <w:rPr>
                <w:rFonts w:hint="default" w:ascii="Times New Roman" w:hAnsi="Times New Roman" w:eastAsia="黑体" w:cs="Times New Roman"/>
                <w:color w:val="auto"/>
                <w:szCs w:val="21"/>
              </w:rPr>
            </w:pPr>
            <w:r>
              <w:rPr>
                <w:rFonts w:hint="default" w:ascii="Times New Roman" w:hAnsi="Times New Roman" w:eastAsia="黑体" w:cs="Times New Roman"/>
                <w:color w:val="auto"/>
                <w:szCs w:val="21"/>
              </w:rPr>
              <w:t>2、地表水环境质量</w:t>
            </w:r>
          </w:p>
          <w:p w14:paraId="4E43137A">
            <w:pPr>
              <w:spacing w:line="360" w:lineRule="auto"/>
              <w:ind w:firstLine="420" w:firstLineChars="200"/>
              <w:rPr>
                <w:rFonts w:hint="default" w:ascii="Times New Roman" w:hAnsi="Times New Roman" w:cs="Times New Roman"/>
                <w:bCs/>
                <w:color w:val="auto"/>
                <w:highlight w:val="none"/>
                <w:lang w:bidi="ar"/>
              </w:rPr>
            </w:pPr>
            <w:r>
              <w:rPr>
                <w:color w:val="auto"/>
              </w:rPr>
              <w:t>该区域地表水为</w:t>
            </w:r>
            <w:r>
              <w:rPr>
                <w:rFonts w:hint="eastAsia"/>
                <w:color w:val="auto"/>
              </w:rPr>
              <w:t>般阳河（孝妇河支流）</w:t>
            </w:r>
            <w:r>
              <w:rPr>
                <w:color w:val="auto"/>
              </w:rPr>
              <w:t>。</w:t>
            </w:r>
            <w:r>
              <w:rPr>
                <w:rFonts w:hint="default" w:ascii="Times New Roman" w:hAnsi="Times New Roman" w:cs="Times New Roman"/>
                <w:bCs/>
                <w:color w:val="auto"/>
                <w:szCs w:val="21"/>
                <w:highlight w:val="none"/>
                <w:lang w:bidi="ar"/>
              </w:rPr>
              <w:t>该段功能区划分为地表水V类。根据淄博市生态环境局公布的《河流水质状况》（网站链接：http://60.210.111.130:8623/zbhl/Web/index.html），淄川区孝妇河南外环断面近1年水质信息情况如下</w:t>
            </w:r>
            <w:r>
              <w:rPr>
                <w:rFonts w:hint="default" w:ascii="Times New Roman" w:hAnsi="Times New Roman" w:cs="Times New Roman"/>
                <w:bCs/>
                <w:color w:val="auto"/>
                <w:highlight w:val="none"/>
                <w:lang w:bidi="ar"/>
              </w:rPr>
              <w:t>：</w:t>
            </w:r>
          </w:p>
          <w:p w14:paraId="6B600857">
            <w:pPr>
              <w:tabs>
                <w:tab w:val="left" w:pos="600"/>
              </w:tabs>
              <w:adjustRightInd w:val="0"/>
              <w:snapToGrid w:val="0"/>
              <w:spacing w:line="360" w:lineRule="auto"/>
              <w:ind w:firstLine="420" w:firstLineChars="200"/>
              <w:rPr>
                <w:color w:val="auto"/>
              </w:rPr>
            </w:pPr>
            <w:r>
              <w:rPr>
                <w:color w:val="auto"/>
              </w:rPr>
              <w:drawing>
                <wp:inline distT="0" distB="0" distL="0" distR="0">
                  <wp:extent cx="5186045" cy="1911985"/>
                  <wp:effectExtent l="0" t="0" r="14605" b="1206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0"/>
                          <a:stretch>
                            <a:fillRect/>
                          </a:stretch>
                        </pic:blipFill>
                        <pic:spPr>
                          <a:xfrm>
                            <a:off x="0" y="0"/>
                            <a:ext cx="5192660" cy="1914444"/>
                          </a:xfrm>
                          <a:prstGeom prst="rect">
                            <a:avLst/>
                          </a:prstGeom>
                        </pic:spPr>
                      </pic:pic>
                    </a:graphicData>
                  </a:graphic>
                </wp:inline>
              </w:drawing>
            </w:r>
          </w:p>
          <w:p w14:paraId="261680A5">
            <w:pPr>
              <w:tabs>
                <w:tab w:val="left" w:pos="600"/>
              </w:tabs>
              <w:adjustRightInd w:val="0"/>
              <w:snapToGrid w:val="0"/>
              <w:spacing w:line="360" w:lineRule="auto"/>
              <w:ind w:firstLine="420" w:firstLineChars="200"/>
              <w:rPr>
                <w:color w:val="auto"/>
                <w:highlight w:val="none"/>
              </w:rPr>
            </w:pPr>
            <w:r>
              <w:rPr>
                <w:color w:val="auto"/>
                <w:highlight w:val="none"/>
              </w:rPr>
              <w:drawing>
                <wp:inline distT="0" distB="0" distL="0" distR="0">
                  <wp:extent cx="5077460" cy="1898650"/>
                  <wp:effectExtent l="0" t="0" r="889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1"/>
                          <a:stretch>
                            <a:fillRect/>
                          </a:stretch>
                        </pic:blipFill>
                        <pic:spPr>
                          <a:xfrm>
                            <a:off x="0" y="0"/>
                            <a:ext cx="5092250" cy="1904484"/>
                          </a:xfrm>
                          <a:prstGeom prst="rect">
                            <a:avLst/>
                          </a:prstGeom>
                        </pic:spPr>
                      </pic:pic>
                    </a:graphicData>
                  </a:graphic>
                </wp:inline>
              </w:drawing>
            </w:r>
          </w:p>
          <w:p w14:paraId="07F94128">
            <w:pPr>
              <w:pStyle w:val="732"/>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图3-1 孝妇河南外环断面近1年水质信息情况图</w:t>
            </w:r>
          </w:p>
          <w:p w14:paraId="7E0D9FFA">
            <w:pPr>
              <w:snapToGrid w:val="0"/>
              <w:spacing w:line="360" w:lineRule="auto"/>
              <w:ind w:firstLine="420" w:firstLineChars="200"/>
              <w:rPr>
                <w:color w:val="auto"/>
                <w:lang w:val="zh-CN"/>
              </w:rPr>
            </w:pPr>
            <w:r>
              <w:rPr>
                <w:rFonts w:hint="default" w:ascii="Times New Roman" w:hAnsi="Times New Roman" w:cs="Times New Roman"/>
                <w:color w:val="auto"/>
                <w:highlight w:val="none"/>
              </w:rPr>
              <w:t>由上图可知，近1年孝妇河南外环断面COD能够满足《地表水环境质量标准》（GB3838-2002）V类标准要求；氨氮不能满足《地表水环境质量标准》（GB3838-2002）V类标准要求</w:t>
            </w:r>
            <w:r>
              <w:rPr>
                <w:rFonts w:hint="eastAsia"/>
                <w:color w:val="auto"/>
              </w:rPr>
              <w:t>。</w:t>
            </w:r>
          </w:p>
          <w:p w14:paraId="434BEF3A">
            <w:pPr>
              <w:widowControl/>
              <w:adjustRightInd w:val="0"/>
              <w:snapToGrid w:val="0"/>
              <w:spacing w:line="360" w:lineRule="auto"/>
              <w:ind w:firstLine="422" w:firstLineChars="200"/>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3、声环境质量</w:t>
            </w:r>
          </w:p>
          <w:p w14:paraId="4A4F49C0">
            <w:pPr>
              <w:widowControl/>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经现场勘查，项目区周围为</w:t>
            </w:r>
            <w:r>
              <w:rPr>
                <w:rFonts w:hint="eastAsia" w:ascii="Times New Roman" w:hAnsi="Times New Roman" w:cs="Times New Roman"/>
                <w:color w:val="auto"/>
                <w:szCs w:val="21"/>
                <w:lang w:eastAsia="zh-CN"/>
              </w:rPr>
              <w:t>道路、</w:t>
            </w:r>
            <w:r>
              <w:rPr>
                <w:rFonts w:hint="eastAsia" w:cs="Times New Roman"/>
                <w:color w:val="auto"/>
                <w:szCs w:val="21"/>
                <w:lang w:val="en-US" w:eastAsia="zh-CN"/>
              </w:rPr>
              <w:t>树林</w:t>
            </w:r>
            <w:r>
              <w:rPr>
                <w:rFonts w:hint="default" w:ascii="Times New Roman" w:hAnsi="Times New Roman" w:cs="Times New Roman"/>
                <w:color w:val="auto"/>
                <w:szCs w:val="21"/>
              </w:rPr>
              <w:t>或其他企业，厂界外周边50米范围内无声环境保护目标</w:t>
            </w:r>
            <w:r>
              <w:rPr>
                <w:rFonts w:hint="eastAsia" w:cs="Times New Roman"/>
                <w:color w:val="auto"/>
                <w:szCs w:val="21"/>
                <w:lang w:eastAsia="zh-CN"/>
              </w:rPr>
              <w:t>，现状声环境质量</w:t>
            </w:r>
            <w:r>
              <w:rPr>
                <w:rFonts w:hint="default" w:ascii="Times New Roman" w:hAnsi="Times New Roman" w:cs="Times New Roman"/>
                <w:color w:val="auto"/>
                <w:highlight w:val="none"/>
              </w:rPr>
              <w:t>满足《声环境质量标准》（GB3096-2008）中的2类标准。</w:t>
            </w:r>
          </w:p>
          <w:p w14:paraId="68CA2713">
            <w:pPr>
              <w:widowControl/>
              <w:adjustRightInd w:val="0"/>
              <w:snapToGrid w:val="0"/>
              <w:spacing w:line="360" w:lineRule="auto"/>
              <w:ind w:firstLine="422" w:firstLineChars="200"/>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4、生态环境</w:t>
            </w:r>
          </w:p>
          <w:p w14:paraId="2BFC1F47">
            <w:pPr>
              <w:adjustRightInd w:val="0"/>
              <w:snapToGrid w:val="0"/>
              <w:spacing w:line="360" w:lineRule="auto"/>
              <w:ind w:firstLine="420" w:firstLineChars="200"/>
              <w:rPr>
                <w:color w:val="auto"/>
              </w:rPr>
            </w:pPr>
            <w:r>
              <w:rPr>
                <w:rFonts w:hint="default" w:ascii="Times New Roman" w:hAnsi="Times New Roman" w:cs="Times New Roman"/>
                <w:color w:val="auto"/>
                <w:lang w:eastAsia="zh-CN"/>
              </w:rPr>
              <w:t>本项目</w:t>
            </w:r>
            <w:r>
              <w:rPr>
                <w:rFonts w:hint="default" w:ascii="Times New Roman" w:hAnsi="Times New Roman" w:cs="Times New Roman"/>
                <w:color w:val="auto"/>
              </w:rPr>
              <w:t>利用现有车间</w:t>
            </w:r>
            <w:r>
              <w:rPr>
                <w:rFonts w:hint="default" w:ascii="Times New Roman" w:hAnsi="Times New Roman" w:cs="Times New Roman"/>
                <w:color w:val="auto"/>
                <w:lang w:val="en-US" w:eastAsia="zh-CN"/>
              </w:rPr>
              <w:t>生产</w:t>
            </w:r>
            <w:r>
              <w:rPr>
                <w:rFonts w:hint="default" w:ascii="Times New Roman" w:hAnsi="Times New Roman" w:cs="Times New Roman"/>
                <w:color w:val="auto"/>
              </w:rPr>
              <w:t>，不新增占地，用地范围内无生态环境保护目标，无需进行生态现状调查</w:t>
            </w:r>
            <w:r>
              <w:rPr>
                <w:color w:val="auto"/>
              </w:rPr>
              <w:t>。</w:t>
            </w:r>
          </w:p>
          <w:p w14:paraId="254BDDFF">
            <w:pPr>
              <w:widowControl/>
              <w:adjustRightInd w:val="0"/>
              <w:snapToGrid w:val="0"/>
              <w:spacing w:line="360" w:lineRule="auto"/>
              <w:ind w:firstLine="422" w:firstLineChars="200"/>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5、电磁辐射</w:t>
            </w:r>
          </w:p>
          <w:p w14:paraId="7440F9B5">
            <w:pPr>
              <w:widowControl/>
              <w:adjustRightInd w:val="0"/>
              <w:snapToGrid w:val="0"/>
              <w:spacing w:line="360" w:lineRule="auto"/>
              <w:ind w:firstLine="420" w:firstLineChars="200"/>
              <w:rPr>
                <w:color w:val="auto"/>
              </w:rPr>
            </w:pPr>
            <w:r>
              <w:rPr>
                <w:color w:val="auto"/>
              </w:rPr>
              <w:t>项目不属于新建或改建、扩建广播电台、差转台、电视塔台、卫星地球上行站、雷达等电磁辐射类项目，无需对电磁辐射现状开展监测与评价。</w:t>
            </w:r>
          </w:p>
          <w:p w14:paraId="4D5755EC">
            <w:pPr>
              <w:widowControl/>
              <w:adjustRightInd w:val="0"/>
              <w:snapToGrid w:val="0"/>
              <w:spacing w:line="360" w:lineRule="auto"/>
              <w:ind w:firstLine="422" w:firstLineChars="20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rPr>
              <w:t>6、</w:t>
            </w:r>
            <w:r>
              <w:rPr>
                <w:rFonts w:hint="default" w:ascii="Times New Roman" w:hAnsi="Times New Roman" w:eastAsia="宋体" w:cs="Times New Roman"/>
                <w:b/>
                <w:bCs/>
                <w:color w:val="auto"/>
                <w:szCs w:val="21"/>
              </w:rPr>
              <w:t>地下水、土壤</w:t>
            </w:r>
          </w:p>
          <w:p w14:paraId="3F3A526E">
            <w:pPr>
              <w:pStyle w:val="145"/>
              <w:ind w:firstLine="420"/>
              <w:rPr>
                <w:rFonts w:hint="eastAsia" w:ascii="Times New Roman" w:hAnsi="Times New Roman" w:eastAsia="宋体"/>
                <w:color w:val="FF0000"/>
                <w:lang w:eastAsia="zh-CN"/>
              </w:rPr>
            </w:pPr>
            <w:r>
              <w:rPr>
                <w:rFonts w:hint="eastAsia"/>
                <w:color w:val="auto"/>
                <w:sz w:val="21"/>
                <w:szCs w:val="21"/>
                <w:lang w:eastAsia="zh-CN"/>
              </w:rPr>
              <w:t>根据现场勘查，项目区周围为空地或其他企业，厂界外周边500米范围内无集中式饮用水水源和热水、矿泉水、温泉等特殊地下水资源。项目所在区域及周边土壤环境质量良好，本项目仅产生少量</w:t>
            </w:r>
            <w:r>
              <w:rPr>
                <w:rFonts w:hint="eastAsia"/>
                <w:color w:val="auto"/>
                <w:sz w:val="21"/>
                <w:szCs w:val="21"/>
                <w:lang w:val="en-US" w:eastAsia="zh-CN"/>
              </w:rPr>
              <w:t>VOCs（含苯酚、甲醛）、颗粒物</w:t>
            </w:r>
            <w:r>
              <w:rPr>
                <w:rFonts w:hint="eastAsia"/>
                <w:color w:val="auto"/>
                <w:sz w:val="21"/>
                <w:szCs w:val="21"/>
                <w:lang w:eastAsia="zh-CN"/>
              </w:rPr>
              <w:t>，本项目建成后对周围土壤环境造成影响较小，原则上不需开展环境质量现状调查。</w:t>
            </w:r>
          </w:p>
        </w:tc>
      </w:tr>
      <w:tr w14:paraId="7DE780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8" w:hRule="atLeast"/>
          <w:jc w:val="center"/>
        </w:trPr>
        <w:tc>
          <w:tcPr>
            <w:tcW w:w="800" w:type="dxa"/>
            <w:vAlign w:val="center"/>
          </w:tcPr>
          <w:p w14:paraId="506DA321">
            <w:pPr>
              <w:adjustRightInd w:val="0"/>
              <w:snapToGrid w:val="0"/>
              <w:spacing w:line="420" w:lineRule="exact"/>
              <w:jc w:val="center"/>
              <w:rPr>
                <w:color w:val="auto"/>
                <w:kern w:val="0"/>
              </w:rPr>
            </w:pPr>
            <w:r>
              <w:rPr>
                <w:color w:val="auto"/>
                <w:kern w:val="0"/>
              </w:rPr>
              <w:t>环境</w:t>
            </w:r>
          </w:p>
          <w:p w14:paraId="67F63190">
            <w:pPr>
              <w:adjustRightInd w:val="0"/>
              <w:snapToGrid w:val="0"/>
              <w:spacing w:line="420" w:lineRule="exact"/>
              <w:jc w:val="center"/>
              <w:rPr>
                <w:color w:val="auto"/>
                <w:kern w:val="0"/>
              </w:rPr>
            </w:pPr>
            <w:r>
              <w:rPr>
                <w:color w:val="auto"/>
                <w:kern w:val="0"/>
              </w:rPr>
              <w:t>保护</w:t>
            </w:r>
          </w:p>
          <w:p w14:paraId="0F852DFD">
            <w:pPr>
              <w:adjustRightInd w:val="0"/>
              <w:snapToGrid w:val="0"/>
              <w:spacing w:line="420" w:lineRule="exact"/>
              <w:jc w:val="center"/>
              <w:rPr>
                <w:color w:val="auto"/>
                <w:kern w:val="0"/>
              </w:rPr>
            </w:pPr>
            <w:r>
              <w:rPr>
                <w:color w:val="auto"/>
                <w:kern w:val="0"/>
              </w:rPr>
              <w:t>目标</w:t>
            </w:r>
          </w:p>
        </w:tc>
        <w:tc>
          <w:tcPr>
            <w:tcW w:w="8190" w:type="dxa"/>
            <w:vAlign w:val="center"/>
          </w:tcPr>
          <w:p w14:paraId="0025AE4C">
            <w:pPr>
              <w:spacing w:line="420" w:lineRule="exact"/>
              <w:ind w:firstLine="420" w:firstLineChars="200"/>
              <w:rPr>
                <w:color w:val="auto"/>
              </w:rPr>
            </w:pPr>
            <w:r>
              <w:rPr>
                <w:color w:val="auto"/>
              </w:rPr>
              <w:t>本项目厂界外500米范围内无自然保护区、风景名胜区，存在</w:t>
            </w:r>
            <w:r>
              <w:rPr>
                <w:rFonts w:hint="eastAsia"/>
                <w:color w:val="auto"/>
                <w:lang w:val="en-US" w:eastAsia="zh-CN"/>
              </w:rPr>
              <w:t>1处</w:t>
            </w:r>
            <w:r>
              <w:rPr>
                <w:color w:val="auto"/>
              </w:rPr>
              <w:t>居民区，无地下水集中式饮用水水源和热水、矿泉水、温泉等特殊地下水资源。本项目环境保护目标情况一览表如下。</w:t>
            </w:r>
          </w:p>
          <w:p w14:paraId="642F5D21">
            <w:pPr>
              <w:pStyle w:val="1313"/>
              <w:adjustRightInd w:val="0"/>
              <w:snapToGrid w:val="0"/>
              <w:spacing w:before="120" w:beforeLines="50" w:line="240" w:lineRule="auto"/>
              <w:rPr>
                <w:rFonts w:ascii="Times New Roman" w:hAnsi="Times New Roman" w:eastAsia="宋体"/>
                <w:b/>
                <w:bCs/>
                <w:color w:val="auto"/>
                <w:sz w:val="21"/>
              </w:rPr>
            </w:pPr>
            <w:r>
              <w:rPr>
                <w:rFonts w:ascii="Times New Roman" w:hAnsi="Times New Roman" w:eastAsia="宋体"/>
                <w:b/>
                <w:bCs/>
                <w:color w:val="auto"/>
                <w:sz w:val="21"/>
              </w:rPr>
              <w:t>表3-</w:t>
            </w:r>
            <w:r>
              <w:rPr>
                <w:rFonts w:hint="eastAsia" w:ascii="Times New Roman" w:hAnsi="Times New Roman" w:eastAsia="宋体"/>
                <w:b/>
                <w:bCs/>
                <w:color w:val="auto"/>
                <w:sz w:val="21"/>
                <w:lang w:val="en-US" w:eastAsia="zh-CN"/>
              </w:rPr>
              <w:t>2</w:t>
            </w:r>
            <w:r>
              <w:rPr>
                <w:rFonts w:ascii="Times New Roman" w:hAnsi="Times New Roman" w:eastAsia="宋体"/>
                <w:b/>
                <w:bCs/>
                <w:color w:val="auto"/>
                <w:sz w:val="21"/>
              </w:rPr>
              <w:t>主要环境保护目标一览表</w:t>
            </w:r>
          </w:p>
          <w:tbl>
            <w:tblPr>
              <w:tblStyle w:val="8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1881"/>
              <w:gridCol w:w="1417"/>
              <w:gridCol w:w="1447"/>
              <w:gridCol w:w="1210"/>
              <w:gridCol w:w="1296"/>
            </w:tblGrid>
            <w:tr w14:paraId="6A080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0" w:type="pct"/>
                  <w:vMerge w:val="restart"/>
                  <w:vAlign w:val="center"/>
                </w:tcPr>
                <w:p w14:paraId="2E881FAC">
                  <w:pPr>
                    <w:pStyle w:val="1267"/>
                    <w:adjustRightInd w:val="0"/>
                    <w:snapToGrid w:val="0"/>
                    <w:jc w:val="center"/>
                    <w:rPr>
                      <w:b/>
                      <w:bCs/>
                      <w:color w:val="auto"/>
                      <w:sz w:val="18"/>
                      <w:szCs w:val="18"/>
                    </w:rPr>
                  </w:pPr>
                  <w:r>
                    <w:rPr>
                      <w:b/>
                      <w:bCs/>
                      <w:color w:val="auto"/>
                      <w:sz w:val="18"/>
                      <w:szCs w:val="18"/>
                    </w:rPr>
                    <w:t>名称</w:t>
                  </w:r>
                </w:p>
              </w:tc>
              <w:tc>
                <w:tcPr>
                  <w:tcW w:w="1118" w:type="pct"/>
                  <w:vMerge w:val="restart"/>
                  <w:vAlign w:val="center"/>
                </w:tcPr>
                <w:p w14:paraId="1027C555">
                  <w:pPr>
                    <w:pStyle w:val="1267"/>
                    <w:adjustRightInd w:val="0"/>
                    <w:snapToGrid w:val="0"/>
                    <w:jc w:val="center"/>
                    <w:rPr>
                      <w:b/>
                      <w:bCs/>
                      <w:color w:val="auto"/>
                      <w:sz w:val="18"/>
                      <w:szCs w:val="18"/>
                    </w:rPr>
                  </w:pPr>
                  <w:r>
                    <w:rPr>
                      <w:b/>
                      <w:bCs/>
                      <w:color w:val="auto"/>
                      <w:sz w:val="18"/>
                      <w:szCs w:val="18"/>
                    </w:rPr>
                    <w:t>保护对象</w:t>
                  </w:r>
                </w:p>
              </w:tc>
              <w:tc>
                <w:tcPr>
                  <w:tcW w:w="842" w:type="pct"/>
                  <w:vMerge w:val="restart"/>
                  <w:vAlign w:val="center"/>
                </w:tcPr>
                <w:p w14:paraId="37BA166E">
                  <w:pPr>
                    <w:pStyle w:val="1267"/>
                    <w:adjustRightInd w:val="0"/>
                    <w:snapToGrid w:val="0"/>
                    <w:jc w:val="center"/>
                    <w:rPr>
                      <w:b/>
                      <w:bCs/>
                      <w:color w:val="auto"/>
                      <w:sz w:val="18"/>
                      <w:szCs w:val="18"/>
                    </w:rPr>
                  </w:pPr>
                  <w:r>
                    <w:rPr>
                      <w:b/>
                      <w:bCs/>
                      <w:color w:val="auto"/>
                      <w:sz w:val="18"/>
                      <w:szCs w:val="18"/>
                    </w:rPr>
                    <w:t>保护内容</w:t>
                  </w:r>
                </w:p>
              </w:tc>
              <w:tc>
                <w:tcPr>
                  <w:tcW w:w="860" w:type="pct"/>
                  <w:vMerge w:val="restart"/>
                  <w:vAlign w:val="center"/>
                </w:tcPr>
                <w:p w14:paraId="5F80FB2F">
                  <w:pPr>
                    <w:pStyle w:val="1267"/>
                    <w:adjustRightInd w:val="0"/>
                    <w:snapToGrid w:val="0"/>
                    <w:jc w:val="center"/>
                    <w:rPr>
                      <w:b/>
                      <w:bCs/>
                      <w:color w:val="auto"/>
                      <w:sz w:val="18"/>
                      <w:szCs w:val="18"/>
                    </w:rPr>
                  </w:pPr>
                  <w:r>
                    <w:rPr>
                      <w:b/>
                      <w:bCs/>
                      <w:color w:val="auto"/>
                      <w:sz w:val="18"/>
                      <w:szCs w:val="18"/>
                    </w:rPr>
                    <w:t>环境</w:t>
                  </w:r>
                </w:p>
                <w:p w14:paraId="404B8AA5">
                  <w:pPr>
                    <w:pStyle w:val="1267"/>
                    <w:adjustRightInd w:val="0"/>
                    <w:snapToGrid w:val="0"/>
                    <w:jc w:val="center"/>
                    <w:rPr>
                      <w:b/>
                      <w:bCs/>
                      <w:color w:val="auto"/>
                      <w:sz w:val="18"/>
                      <w:szCs w:val="18"/>
                    </w:rPr>
                  </w:pPr>
                  <w:r>
                    <w:rPr>
                      <w:b/>
                      <w:bCs/>
                      <w:color w:val="auto"/>
                      <w:sz w:val="18"/>
                      <w:szCs w:val="18"/>
                    </w:rPr>
                    <w:t>功能区</w:t>
                  </w:r>
                </w:p>
              </w:tc>
              <w:tc>
                <w:tcPr>
                  <w:tcW w:w="719" w:type="pct"/>
                  <w:vMerge w:val="restart"/>
                  <w:vAlign w:val="center"/>
                </w:tcPr>
                <w:p w14:paraId="6BB0F44F">
                  <w:pPr>
                    <w:pStyle w:val="1267"/>
                    <w:adjustRightInd w:val="0"/>
                    <w:snapToGrid w:val="0"/>
                    <w:jc w:val="center"/>
                    <w:rPr>
                      <w:b/>
                      <w:bCs/>
                      <w:color w:val="auto"/>
                      <w:sz w:val="18"/>
                      <w:szCs w:val="18"/>
                    </w:rPr>
                  </w:pPr>
                  <w:r>
                    <w:rPr>
                      <w:b/>
                      <w:bCs/>
                      <w:color w:val="auto"/>
                      <w:sz w:val="18"/>
                      <w:szCs w:val="18"/>
                    </w:rPr>
                    <w:t>相对厂</w:t>
                  </w:r>
                </w:p>
                <w:p w14:paraId="29415F56">
                  <w:pPr>
                    <w:pStyle w:val="1267"/>
                    <w:adjustRightInd w:val="0"/>
                    <w:snapToGrid w:val="0"/>
                    <w:jc w:val="center"/>
                    <w:rPr>
                      <w:b/>
                      <w:bCs/>
                      <w:color w:val="auto"/>
                      <w:sz w:val="18"/>
                      <w:szCs w:val="18"/>
                    </w:rPr>
                  </w:pPr>
                  <w:r>
                    <w:rPr>
                      <w:b/>
                      <w:bCs/>
                      <w:color w:val="auto"/>
                      <w:sz w:val="18"/>
                      <w:szCs w:val="18"/>
                    </w:rPr>
                    <w:t>址方位</w:t>
                  </w:r>
                </w:p>
              </w:tc>
              <w:tc>
                <w:tcPr>
                  <w:tcW w:w="769" w:type="pct"/>
                  <w:vMerge w:val="restart"/>
                  <w:vAlign w:val="center"/>
                </w:tcPr>
                <w:p w14:paraId="2F9E6683">
                  <w:pPr>
                    <w:pStyle w:val="1267"/>
                    <w:adjustRightInd w:val="0"/>
                    <w:snapToGrid w:val="0"/>
                    <w:jc w:val="center"/>
                    <w:rPr>
                      <w:b/>
                      <w:bCs/>
                      <w:color w:val="auto"/>
                      <w:sz w:val="18"/>
                      <w:szCs w:val="18"/>
                    </w:rPr>
                  </w:pPr>
                  <w:r>
                    <w:rPr>
                      <w:b/>
                      <w:bCs/>
                      <w:color w:val="auto"/>
                      <w:sz w:val="18"/>
                      <w:szCs w:val="18"/>
                    </w:rPr>
                    <w:t>相对厂</w:t>
                  </w:r>
                </w:p>
                <w:p w14:paraId="15066AB6">
                  <w:pPr>
                    <w:pStyle w:val="1267"/>
                    <w:adjustRightInd w:val="0"/>
                    <w:snapToGrid w:val="0"/>
                    <w:jc w:val="center"/>
                    <w:rPr>
                      <w:b/>
                      <w:bCs/>
                      <w:color w:val="auto"/>
                      <w:sz w:val="18"/>
                      <w:szCs w:val="18"/>
                    </w:rPr>
                  </w:pPr>
                  <w:r>
                    <w:rPr>
                      <w:b/>
                      <w:bCs/>
                      <w:color w:val="auto"/>
                      <w:sz w:val="18"/>
                      <w:szCs w:val="18"/>
                    </w:rPr>
                    <w:t>界距离/m</w:t>
                  </w:r>
                </w:p>
              </w:tc>
            </w:tr>
            <w:tr w14:paraId="4C7FF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690" w:type="pct"/>
                  <w:vMerge w:val="continue"/>
                  <w:vAlign w:val="center"/>
                </w:tcPr>
                <w:p w14:paraId="6D7411B5">
                  <w:pPr>
                    <w:pStyle w:val="1267"/>
                    <w:adjustRightInd w:val="0"/>
                    <w:snapToGrid w:val="0"/>
                    <w:jc w:val="center"/>
                    <w:rPr>
                      <w:color w:val="auto"/>
                      <w:sz w:val="18"/>
                      <w:szCs w:val="18"/>
                    </w:rPr>
                  </w:pPr>
                </w:p>
              </w:tc>
              <w:tc>
                <w:tcPr>
                  <w:tcW w:w="1118" w:type="pct"/>
                  <w:vMerge w:val="continue"/>
                  <w:vAlign w:val="center"/>
                </w:tcPr>
                <w:p w14:paraId="220A1F09">
                  <w:pPr>
                    <w:pStyle w:val="1267"/>
                    <w:adjustRightInd w:val="0"/>
                    <w:snapToGrid w:val="0"/>
                    <w:jc w:val="center"/>
                    <w:rPr>
                      <w:color w:val="auto"/>
                      <w:sz w:val="18"/>
                      <w:szCs w:val="18"/>
                    </w:rPr>
                  </w:pPr>
                </w:p>
              </w:tc>
              <w:tc>
                <w:tcPr>
                  <w:tcW w:w="842" w:type="pct"/>
                  <w:vMerge w:val="continue"/>
                  <w:vAlign w:val="center"/>
                </w:tcPr>
                <w:p w14:paraId="2A7440E3">
                  <w:pPr>
                    <w:pStyle w:val="1267"/>
                    <w:adjustRightInd w:val="0"/>
                    <w:snapToGrid w:val="0"/>
                    <w:jc w:val="center"/>
                    <w:rPr>
                      <w:color w:val="auto"/>
                      <w:sz w:val="18"/>
                      <w:szCs w:val="18"/>
                    </w:rPr>
                  </w:pPr>
                </w:p>
              </w:tc>
              <w:tc>
                <w:tcPr>
                  <w:tcW w:w="860" w:type="pct"/>
                  <w:vMerge w:val="continue"/>
                  <w:vAlign w:val="center"/>
                </w:tcPr>
                <w:p w14:paraId="12B6799B">
                  <w:pPr>
                    <w:pStyle w:val="1267"/>
                    <w:adjustRightInd w:val="0"/>
                    <w:snapToGrid w:val="0"/>
                    <w:jc w:val="center"/>
                    <w:rPr>
                      <w:color w:val="auto"/>
                      <w:sz w:val="18"/>
                      <w:szCs w:val="18"/>
                    </w:rPr>
                  </w:pPr>
                </w:p>
              </w:tc>
              <w:tc>
                <w:tcPr>
                  <w:tcW w:w="719" w:type="pct"/>
                  <w:vMerge w:val="continue"/>
                  <w:vAlign w:val="center"/>
                </w:tcPr>
                <w:p w14:paraId="4C6812A0">
                  <w:pPr>
                    <w:pStyle w:val="1267"/>
                    <w:adjustRightInd w:val="0"/>
                    <w:snapToGrid w:val="0"/>
                    <w:jc w:val="center"/>
                    <w:rPr>
                      <w:color w:val="auto"/>
                      <w:sz w:val="18"/>
                      <w:szCs w:val="18"/>
                    </w:rPr>
                  </w:pPr>
                </w:p>
              </w:tc>
              <w:tc>
                <w:tcPr>
                  <w:tcW w:w="769" w:type="pct"/>
                  <w:vMerge w:val="continue"/>
                  <w:vAlign w:val="center"/>
                </w:tcPr>
                <w:p w14:paraId="1087EEC5">
                  <w:pPr>
                    <w:pStyle w:val="1267"/>
                    <w:adjustRightInd w:val="0"/>
                    <w:snapToGrid w:val="0"/>
                    <w:jc w:val="center"/>
                    <w:rPr>
                      <w:color w:val="auto"/>
                      <w:sz w:val="18"/>
                      <w:szCs w:val="18"/>
                    </w:rPr>
                  </w:pPr>
                </w:p>
              </w:tc>
            </w:tr>
            <w:tr w14:paraId="0BB47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690" w:type="pct"/>
                  <w:vAlign w:val="center"/>
                </w:tcPr>
                <w:p w14:paraId="5B9896BA">
                  <w:pPr>
                    <w:pStyle w:val="1267"/>
                    <w:adjustRightInd w:val="0"/>
                    <w:snapToGrid w:val="0"/>
                    <w:jc w:val="center"/>
                    <w:rPr>
                      <w:color w:val="auto"/>
                      <w:sz w:val="18"/>
                      <w:szCs w:val="18"/>
                    </w:rPr>
                  </w:pPr>
                  <w:r>
                    <w:rPr>
                      <w:color w:val="auto"/>
                      <w:sz w:val="18"/>
                      <w:szCs w:val="18"/>
                    </w:rPr>
                    <w:t>环境空气</w:t>
                  </w:r>
                </w:p>
              </w:tc>
              <w:tc>
                <w:tcPr>
                  <w:tcW w:w="1118" w:type="pct"/>
                  <w:vAlign w:val="center"/>
                </w:tcPr>
                <w:p w14:paraId="5250E9F8">
                  <w:pPr>
                    <w:pStyle w:val="1267"/>
                    <w:adjustRightInd w:val="0"/>
                    <w:snapToGrid w:val="0"/>
                    <w:jc w:val="center"/>
                    <w:rPr>
                      <w:color w:val="auto"/>
                      <w:sz w:val="18"/>
                      <w:szCs w:val="18"/>
                    </w:rPr>
                  </w:pPr>
                  <w:r>
                    <w:rPr>
                      <w:rFonts w:hint="eastAsia"/>
                      <w:color w:val="auto"/>
                      <w:sz w:val="18"/>
                      <w:szCs w:val="18"/>
                      <w:lang w:eastAsia="zh-CN"/>
                    </w:rPr>
                    <w:t>和庄村</w:t>
                  </w:r>
                </w:p>
              </w:tc>
              <w:tc>
                <w:tcPr>
                  <w:tcW w:w="842" w:type="pct"/>
                  <w:vAlign w:val="center"/>
                </w:tcPr>
                <w:p w14:paraId="68B5654B">
                  <w:pPr>
                    <w:pStyle w:val="1267"/>
                    <w:adjustRightInd w:val="0"/>
                    <w:snapToGrid w:val="0"/>
                    <w:jc w:val="center"/>
                    <w:rPr>
                      <w:color w:val="auto"/>
                      <w:sz w:val="18"/>
                      <w:szCs w:val="18"/>
                    </w:rPr>
                  </w:pPr>
                  <w:r>
                    <w:rPr>
                      <w:color w:val="auto"/>
                      <w:sz w:val="18"/>
                      <w:szCs w:val="18"/>
                    </w:rPr>
                    <w:t>居民区</w:t>
                  </w:r>
                </w:p>
              </w:tc>
              <w:tc>
                <w:tcPr>
                  <w:tcW w:w="860" w:type="pct"/>
                  <w:vAlign w:val="center"/>
                </w:tcPr>
                <w:p w14:paraId="39DE66B2">
                  <w:pPr>
                    <w:pStyle w:val="1267"/>
                    <w:adjustRightInd w:val="0"/>
                    <w:snapToGrid w:val="0"/>
                    <w:jc w:val="center"/>
                    <w:rPr>
                      <w:color w:val="auto"/>
                      <w:sz w:val="18"/>
                      <w:szCs w:val="18"/>
                    </w:rPr>
                  </w:pPr>
                  <w:r>
                    <w:rPr>
                      <w:color w:val="auto"/>
                      <w:sz w:val="18"/>
                      <w:szCs w:val="18"/>
                    </w:rPr>
                    <w:t>《环境空气质量标准》（GB3095-2012）及其修改单二类</w:t>
                  </w:r>
                </w:p>
              </w:tc>
              <w:tc>
                <w:tcPr>
                  <w:tcW w:w="719" w:type="pct"/>
                  <w:vAlign w:val="center"/>
                </w:tcPr>
                <w:p w14:paraId="58756CF5">
                  <w:pPr>
                    <w:pStyle w:val="1267"/>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SE</w:t>
                  </w:r>
                </w:p>
              </w:tc>
              <w:tc>
                <w:tcPr>
                  <w:tcW w:w="769" w:type="pct"/>
                  <w:vAlign w:val="center"/>
                </w:tcPr>
                <w:p w14:paraId="0D59AAC2">
                  <w:pPr>
                    <w:pStyle w:val="1267"/>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450</w:t>
                  </w:r>
                </w:p>
              </w:tc>
            </w:tr>
            <w:tr w14:paraId="09795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0" w:type="pct"/>
                  <w:vAlign w:val="center"/>
                </w:tcPr>
                <w:p w14:paraId="008AADE3">
                  <w:pPr>
                    <w:pStyle w:val="1267"/>
                    <w:adjustRightInd w:val="0"/>
                    <w:snapToGrid w:val="0"/>
                    <w:jc w:val="center"/>
                    <w:rPr>
                      <w:color w:val="auto"/>
                      <w:sz w:val="18"/>
                      <w:szCs w:val="18"/>
                    </w:rPr>
                  </w:pPr>
                  <w:r>
                    <w:rPr>
                      <w:color w:val="auto"/>
                      <w:sz w:val="18"/>
                      <w:szCs w:val="18"/>
                    </w:rPr>
                    <w:t>声环境</w:t>
                  </w:r>
                </w:p>
              </w:tc>
              <w:tc>
                <w:tcPr>
                  <w:tcW w:w="1960" w:type="pct"/>
                  <w:gridSpan w:val="2"/>
                  <w:vAlign w:val="center"/>
                </w:tcPr>
                <w:p w14:paraId="09D5763F">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50m范围内无声环境保护目标</w:t>
                  </w:r>
                </w:p>
              </w:tc>
              <w:tc>
                <w:tcPr>
                  <w:tcW w:w="860" w:type="pct"/>
                  <w:vAlign w:val="center"/>
                </w:tcPr>
                <w:p w14:paraId="5D8B1C6D">
                  <w:pPr>
                    <w:pStyle w:val="1267"/>
                    <w:adjustRightInd w:val="0"/>
                    <w:snapToGrid w:val="0"/>
                    <w:jc w:val="center"/>
                    <w:rPr>
                      <w:color w:val="auto"/>
                      <w:sz w:val="18"/>
                      <w:szCs w:val="18"/>
                    </w:rPr>
                  </w:pPr>
                  <w:r>
                    <w:rPr>
                      <w:color w:val="auto"/>
                      <w:sz w:val="18"/>
                      <w:szCs w:val="18"/>
                    </w:rPr>
                    <w:t>《声环境质量标准》</w:t>
                  </w:r>
                  <w:r>
                    <w:rPr>
                      <w:rFonts w:hint="eastAsia"/>
                      <w:color w:val="auto"/>
                      <w:sz w:val="18"/>
                      <w:szCs w:val="18"/>
                      <w:lang w:eastAsia="zh-CN"/>
                    </w:rPr>
                    <w:t>（</w:t>
                  </w:r>
                  <w:r>
                    <w:rPr>
                      <w:color w:val="auto"/>
                      <w:sz w:val="18"/>
                      <w:szCs w:val="18"/>
                    </w:rPr>
                    <w:t>GB3096-2008</w:t>
                  </w:r>
                  <w:r>
                    <w:rPr>
                      <w:rFonts w:hint="eastAsia"/>
                      <w:color w:val="auto"/>
                      <w:sz w:val="18"/>
                      <w:szCs w:val="18"/>
                      <w:lang w:eastAsia="zh-CN"/>
                    </w:rPr>
                    <w:t>）</w:t>
                  </w:r>
                  <w:r>
                    <w:rPr>
                      <w:color w:val="auto"/>
                      <w:sz w:val="18"/>
                      <w:szCs w:val="18"/>
                    </w:rPr>
                    <w:t>中的2类标准</w:t>
                  </w:r>
                </w:p>
              </w:tc>
              <w:tc>
                <w:tcPr>
                  <w:tcW w:w="719" w:type="pct"/>
                  <w:vAlign w:val="center"/>
                </w:tcPr>
                <w:p w14:paraId="62E2B921">
                  <w:pPr>
                    <w:pStyle w:val="1267"/>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w:t>
                  </w:r>
                </w:p>
              </w:tc>
              <w:tc>
                <w:tcPr>
                  <w:tcW w:w="769" w:type="pct"/>
                  <w:vAlign w:val="center"/>
                </w:tcPr>
                <w:p w14:paraId="110E807C">
                  <w:pPr>
                    <w:pStyle w:val="1267"/>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w:t>
                  </w:r>
                </w:p>
              </w:tc>
            </w:tr>
            <w:tr w14:paraId="1EAE9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0" w:type="pct"/>
                  <w:vAlign w:val="center"/>
                </w:tcPr>
                <w:p w14:paraId="1F1C9AB9">
                  <w:pPr>
                    <w:pStyle w:val="1267"/>
                    <w:adjustRightInd w:val="0"/>
                    <w:snapToGrid w:val="0"/>
                    <w:jc w:val="center"/>
                    <w:rPr>
                      <w:color w:val="auto"/>
                      <w:sz w:val="18"/>
                      <w:szCs w:val="18"/>
                    </w:rPr>
                  </w:pPr>
                  <w:r>
                    <w:rPr>
                      <w:color w:val="auto"/>
                      <w:sz w:val="18"/>
                      <w:szCs w:val="18"/>
                    </w:rPr>
                    <w:t>地表水</w:t>
                  </w:r>
                </w:p>
              </w:tc>
              <w:tc>
                <w:tcPr>
                  <w:tcW w:w="1118" w:type="pct"/>
                  <w:vAlign w:val="center"/>
                </w:tcPr>
                <w:p w14:paraId="1696F2AF">
                  <w:pPr>
                    <w:pStyle w:val="1267"/>
                    <w:adjustRightInd w:val="0"/>
                    <w:snapToGrid w:val="0"/>
                    <w:jc w:val="center"/>
                    <w:rPr>
                      <w:color w:val="auto"/>
                      <w:sz w:val="18"/>
                      <w:szCs w:val="18"/>
                    </w:rPr>
                  </w:pPr>
                  <w:r>
                    <w:rPr>
                      <w:color w:val="auto"/>
                      <w:sz w:val="18"/>
                      <w:szCs w:val="18"/>
                    </w:rPr>
                    <w:t>般阳河（孝妇河支流）</w:t>
                  </w:r>
                </w:p>
              </w:tc>
              <w:tc>
                <w:tcPr>
                  <w:tcW w:w="1702" w:type="pct"/>
                  <w:gridSpan w:val="2"/>
                  <w:vAlign w:val="center"/>
                </w:tcPr>
                <w:p w14:paraId="60AE0371">
                  <w:pPr>
                    <w:pStyle w:val="1267"/>
                    <w:adjustRightInd w:val="0"/>
                    <w:snapToGrid w:val="0"/>
                    <w:jc w:val="center"/>
                    <w:rPr>
                      <w:color w:val="auto"/>
                      <w:sz w:val="18"/>
                      <w:szCs w:val="18"/>
                    </w:rPr>
                  </w:pPr>
                  <w:r>
                    <w:rPr>
                      <w:color w:val="auto"/>
                      <w:sz w:val="18"/>
                      <w:szCs w:val="18"/>
                    </w:rPr>
                    <w:t>《地表水环境质量标准》（GB3838-2002）Ⅴ类标准</w:t>
                  </w:r>
                </w:p>
              </w:tc>
              <w:tc>
                <w:tcPr>
                  <w:tcW w:w="719" w:type="pct"/>
                  <w:vAlign w:val="center"/>
                </w:tcPr>
                <w:p w14:paraId="47B563BC">
                  <w:pPr>
                    <w:pStyle w:val="1267"/>
                    <w:adjustRightInd w:val="0"/>
                    <w:snapToGrid w:val="0"/>
                    <w:jc w:val="center"/>
                    <w:rPr>
                      <w:color w:val="auto"/>
                      <w:sz w:val="18"/>
                      <w:szCs w:val="18"/>
                    </w:rPr>
                  </w:pPr>
                  <w:r>
                    <w:rPr>
                      <w:rFonts w:hint="eastAsia"/>
                      <w:color w:val="auto"/>
                      <w:sz w:val="18"/>
                      <w:szCs w:val="18"/>
                      <w:lang w:val="en-US" w:eastAsia="zh-CN"/>
                    </w:rPr>
                    <w:t>E</w:t>
                  </w:r>
                </w:p>
              </w:tc>
              <w:tc>
                <w:tcPr>
                  <w:tcW w:w="769" w:type="pct"/>
                  <w:vAlign w:val="center"/>
                </w:tcPr>
                <w:p w14:paraId="004FF284">
                  <w:pPr>
                    <w:pStyle w:val="1267"/>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60</w:t>
                  </w:r>
                </w:p>
              </w:tc>
            </w:tr>
            <w:tr w14:paraId="4A5D3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0" w:type="pct"/>
                  <w:vAlign w:val="center"/>
                </w:tcPr>
                <w:p w14:paraId="4F7B0508">
                  <w:pPr>
                    <w:pStyle w:val="1267"/>
                    <w:adjustRightInd w:val="0"/>
                    <w:snapToGrid w:val="0"/>
                    <w:jc w:val="center"/>
                    <w:rPr>
                      <w:color w:val="auto"/>
                      <w:sz w:val="18"/>
                      <w:szCs w:val="18"/>
                    </w:rPr>
                  </w:pPr>
                  <w:r>
                    <w:rPr>
                      <w:color w:val="auto"/>
                      <w:sz w:val="18"/>
                      <w:szCs w:val="18"/>
                    </w:rPr>
                    <w:t>地下水</w:t>
                  </w:r>
                </w:p>
              </w:tc>
              <w:tc>
                <w:tcPr>
                  <w:tcW w:w="4309" w:type="pct"/>
                  <w:gridSpan w:val="5"/>
                  <w:vAlign w:val="center"/>
                </w:tcPr>
                <w:p w14:paraId="6EF28932">
                  <w:pPr>
                    <w:pStyle w:val="1267"/>
                    <w:adjustRightInd w:val="0"/>
                    <w:snapToGrid w:val="0"/>
                    <w:jc w:val="center"/>
                    <w:rPr>
                      <w:color w:val="auto"/>
                      <w:sz w:val="18"/>
                      <w:szCs w:val="18"/>
                    </w:rPr>
                  </w:pPr>
                  <w:r>
                    <w:rPr>
                      <w:color w:val="auto"/>
                      <w:sz w:val="18"/>
                      <w:szCs w:val="18"/>
                    </w:rPr>
                    <w:t>厂界周边500m范围内无地下水集中式饮用水水源和热水、矿泉水、温泉等特殊地下水资源</w:t>
                  </w:r>
                </w:p>
              </w:tc>
            </w:tr>
            <w:tr w14:paraId="2E05A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0" w:type="pct"/>
                  <w:vAlign w:val="center"/>
                </w:tcPr>
                <w:p w14:paraId="6BFF7CBA">
                  <w:pPr>
                    <w:pStyle w:val="1267"/>
                    <w:adjustRightInd w:val="0"/>
                    <w:snapToGrid w:val="0"/>
                    <w:jc w:val="center"/>
                    <w:rPr>
                      <w:color w:val="auto"/>
                      <w:sz w:val="18"/>
                      <w:szCs w:val="18"/>
                    </w:rPr>
                  </w:pPr>
                  <w:r>
                    <w:rPr>
                      <w:color w:val="auto"/>
                      <w:sz w:val="18"/>
                      <w:szCs w:val="18"/>
                    </w:rPr>
                    <w:t>生态</w:t>
                  </w:r>
                </w:p>
              </w:tc>
              <w:tc>
                <w:tcPr>
                  <w:tcW w:w="4309" w:type="pct"/>
                  <w:gridSpan w:val="5"/>
                  <w:vAlign w:val="center"/>
                </w:tcPr>
                <w:p w14:paraId="589D17C8">
                  <w:pPr>
                    <w:pStyle w:val="1267"/>
                    <w:adjustRightInd w:val="0"/>
                    <w:snapToGrid w:val="0"/>
                    <w:jc w:val="center"/>
                    <w:rPr>
                      <w:color w:val="auto"/>
                      <w:sz w:val="18"/>
                      <w:szCs w:val="18"/>
                    </w:rPr>
                  </w:pPr>
                  <w:r>
                    <w:rPr>
                      <w:color w:val="auto"/>
                      <w:sz w:val="18"/>
                      <w:szCs w:val="18"/>
                    </w:rPr>
                    <w:t>项目用地范围内无生态环境保护目标</w:t>
                  </w:r>
                </w:p>
              </w:tc>
            </w:tr>
          </w:tbl>
          <w:p w14:paraId="3E484FDF">
            <w:pPr>
              <w:pStyle w:val="82"/>
              <w:rPr>
                <w:color w:val="auto"/>
              </w:rPr>
            </w:pPr>
          </w:p>
        </w:tc>
      </w:tr>
      <w:tr w14:paraId="7A9562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800" w:type="dxa"/>
            <w:tcMar>
              <w:left w:w="28" w:type="dxa"/>
              <w:right w:w="28" w:type="dxa"/>
            </w:tcMar>
            <w:vAlign w:val="center"/>
          </w:tcPr>
          <w:p w14:paraId="17DDED9C">
            <w:pPr>
              <w:adjustRightInd w:val="0"/>
              <w:snapToGrid w:val="0"/>
              <w:spacing w:line="420" w:lineRule="exact"/>
              <w:jc w:val="center"/>
              <w:rPr>
                <w:color w:val="auto"/>
                <w:kern w:val="0"/>
              </w:rPr>
            </w:pPr>
            <w:r>
              <w:rPr>
                <w:color w:val="auto"/>
                <w:kern w:val="0"/>
              </w:rPr>
              <w:t>污染</w:t>
            </w:r>
          </w:p>
          <w:p w14:paraId="64BDFD79">
            <w:pPr>
              <w:adjustRightInd w:val="0"/>
              <w:snapToGrid w:val="0"/>
              <w:spacing w:line="420" w:lineRule="exact"/>
              <w:jc w:val="center"/>
              <w:rPr>
                <w:color w:val="auto"/>
                <w:kern w:val="0"/>
              </w:rPr>
            </w:pPr>
            <w:r>
              <w:rPr>
                <w:color w:val="auto"/>
                <w:kern w:val="0"/>
              </w:rPr>
              <w:t>物排</w:t>
            </w:r>
          </w:p>
          <w:p w14:paraId="3FDA89B9">
            <w:pPr>
              <w:adjustRightInd w:val="0"/>
              <w:snapToGrid w:val="0"/>
              <w:spacing w:line="420" w:lineRule="exact"/>
              <w:jc w:val="center"/>
              <w:rPr>
                <w:color w:val="auto"/>
                <w:kern w:val="0"/>
              </w:rPr>
            </w:pPr>
            <w:r>
              <w:rPr>
                <w:color w:val="auto"/>
                <w:kern w:val="0"/>
              </w:rPr>
              <w:t>放控</w:t>
            </w:r>
          </w:p>
          <w:p w14:paraId="298C9FB9">
            <w:pPr>
              <w:adjustRightInd w:val="0"/>
              <w:snapToGrid w:val="0"/>
              <w:spacing w:line="420" w:lineRule="exact"/>
              <w:jc w:val="center"/>
              <w:rPr>
                <w:color w:val="auto"/>
                <w:kern w:val="0"/>
              </w:rPr>
            </w:pPr>
            <w:r>
              <w:rPr>
                <w:color w:val="auto"/>
                <w:kern w:val="0"/>
              </w:rPr>
              <w:t>制标</w:t>
            </w:r>
          </w:p>
          <w:p w14:paraId="7DD225E5">
            <w:pPr>
              <w:adjustRightInd w:val="0"/>
              <w:snapToGrid w:val="0"/>
              <w:spacing w:line="420" w:lineRule="exact"/>
              <w:jc w:val="center"/>
              <w:rPr>
                <w:color w:val="auto"/>
                <w:kern w:val="0"/>
              </w:rPr>
            </w:pPr>
            <w:r>
              <w:rPr>
                <w:color w:val="auto"/>
                <w:kern w:val="0"/>
              </w:rPr>
              <w:t>准</w:t>
            </w:r>
          </w:p>
        </w:tc>
        <w:tc>
          <w:tcPr>
            <w:tcW w:w="8190" w:type="dxa"/>
            <w:vAlign w:val="center"/>
          </w:tcPr>
          <w:p w14:paraId="31293029">
            <w:pPr>
              <w:pStyle w:val="1042"/>
              <w:spacing w:line="420" w:lineRule="exact"/>
              <w:ind w:left="-96" w:firstLine="422"/>
              <w:rPr>
                <w:b/>
                <w:color w:val="auto"/>
                <w:szCs w:val="21"/>
              </w:rPr>
            </w:pPr>
            <w:r>
              <w:rPr>
                <w:b/>
                <w:color w:val="auto"/>
                <w:szCs w:val="21"/>
              </w:rPr>
              <w:t>1、噪声</w:t>
            </w:r>
          </w:p>
          <w:p w14:paraId="255B307B">
            <w:pPr>
              <w:spacing w:line="360" w:lineRule="auto"/>
              <w:ind w:firstLine="420" w:firstLineChars="200"/>
              <w:rPr>
                <w:color w:val="auto"/>
              </w:rPr>
            </w:pPr>
            <w:r>
              <w:rPr>
                <w:color w:val="auto"/>
              </w:rPr>
              <w:t>营运期噪声执行《工业企业厂界环境噪声排放标准》（GB12348-2008）2类标准，具体标准值见表3-</w:t>
            </w:r>
            <w:r>
              <w:rPr>
                <w:rFonts w:hint="eastAsia"/>
                <w:color w:val="auto"/>
                <w:lang w:val="en-US" w:eastAsia="zh-CN"/>
              </w:rPr>
              <w:t>3</w:t>
            </w:r>
            <w:r>
              <w:rPr>
                <w:color w:val="auto"/>
              </w:rPr>
              <w:t>。</w:t>
            </w:r>
          </w:p>
          <w:p w14:paraId="2119913C">
            <w:pPr>
              <w:spacing w:line="420" w:lineRule="exact"/>
              <w:jc w:val="center"/>
              <w:rPr>
                <w:b/>
                <w:color w:val="auto"/>
              </w:rPr>
            </w:pPr>
            <w:r>
              <w:rPr>
                <w:b/>
                <w:color w:val="auto"/>
              </w:rPr>
              <w:t>表3-</w:t>
            </w:r>
            <w:r>
              <w:rPr>
                <w:rFonts w:hint="eastAsia"/>
                <w:b/>
                <w:color w:val="auto"/>
                <w:lang w:val="en-US" w:eastAsia="zh-CN"/>
              </w:rPr>
              <w:t>3</w:t>
            </w:r>
            <w:r>
              <w:rPr>
                <w:b/>
                <w:color w:val="auto"/>
              </w:rPr>
              <w:t>工业企业厂界环境噪声排放标准       单位：</w:t>
            </w:r>
            <w:r>
              <w:rPr>
                <w:b/>
                <w:bCs/>
                <w:color w:val="auto"/>
              </w:rPr>
              <w:t>dB（A）</w:t>
            </w:r>
          </w:p>
          <w:tbl>
            <w:tblPr>
              <w:tblStyle w:val="83"/>
              <w:tblW w:w="4998" w:type="pct"/>
              <w:jc w:val="center"/>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1375"/>
              <w:gridCol w:w="1299"/>
              <w:gridCol w:w="1378"/>
              <w:gridCol w:w="4359"/>
            </w:tblGrid>
            <w:tr w14:paraId="5CFE60F5">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9" w:hRule="atLeast"/>
                <w:jc w:val="center"/>
              </w:trPr>
              <w:tc>
                <w:tcPr>
                  <w:tcW w:w="817" w:type="pct"/>
                  <w:vAlign w:val="center"/>
                </w:tcPr>
                <w:p w14:paraId="6DBDF20A">
                  <w:pPr>
                    <w:spacing w:line="420" w:lineRule="exact"/>
                    <w:jc w:val="center"/>
                    <w:rPr>
                      <w:b/>
                      <w:bCs/>
                      <w:color w:val="auto"/>
                      <w:sz w:val="18"/>
                      <w:szCs w:val="18"/>
                    </w:rPr>
                  </w:pPr>
                  <w:r>
                    <w:rPr>
                      <w:b/>
                      <w:bCs/>
                      <w:color w:val="auto"/>
                      <w:sz w:val="18"/>
                      <w:szCs w:val="18"/>
                    </w:rPr>
                    <w:t>类别</w:t>
                  </w:r>
                </w:p>
              </w:tc>
              <w:tc>
                <w:tcPr>
                  <w:tcW w:w="772" w:type="pct"/>
                  <w:vAlign w:val="center"/>
                </w:tcPr>
                <w:p w14:paraId="17BC7596">
                  <w:pPr>
                    <w:spacing w:line="420" w:lineRule="exact"/>
                    <w:jc w:val="center"/>
                    <w:rPr>
                      <w:b/>
                      <w:bCs/>
                      <w:color w:val="auto"/>
                      <w:sz w:val="18"/>
                      <w:szCs w:val="18"/>
                    </w:rPr>
                  </w:pPr>
                  <w:r>
                    <w:rPr>
                      <w:b/>
                      <w:bCs/>
                      <w:color w:val="auto"/>
                      <w:sz w:val="18"/>
                      <w:szCs w:val="18"/>
                    </w:rPr>
                    <w:t>昼间</w:t>
                  </w:r>
                </w:p>
              </w:tc>
              <w:tc>
                <w:tcPr>
                  <w:tcW w:w="819" w:type="pct"/>
                  <w:vAlign w:val="center"/>
                </w:tcPr>
                <w:p w14:paraId="6AF88347">
                  <w:pPr>
                    <w:spacing w:line="420" w:lineRule="exact"/>
                    <w:jc w:val="center"/>
                    <w:rPr>
                      <w:b/>
                      <w:bCs/>
                      <w:color w:val="auto"/>
                      <w:sz w:val="18"/>
                      <w:szCs w:val="18"/>
                    </w:rPr>
                  </w:pPr>
                  <w:r>
                    <w:rPr>
                      <w:b/>
                      <w:bCs/>
                      <w:color w:val="auto"/>
                      <w:sz w:val="18"/>
                      <w:szCs w:val="18"/>
                    </w:rPr>
                    <w:t>夜间</w:t>
                  </w:r>
                </w:p>
              </w:tc>
              <w:tc>
                <w:tcPr>
                  <w:tcW w:w="2590" w:type="pct"/>
                  <w:vAlign w:val="center"/>
                </w:tcPr>
                <w:p w14:paraId="421F64AC">
                  <w:pPr>
                    <w:spacing w:line="420" w:lineRule="exact"/>
                    <w:jc w:val="center"/>
                    <w:rPr>
                      <w:b/>
                      <w:bCs/>
                      <w:color w:val="auto"/>
                      <w:sz w:val="18"/>
                      <w:szCs w:val="18"/>
                    </w:rPr>
                  </w:pPr>
                  <w:r>
                    <w:rPr>
                      <w:b/>
                      <w:bCs/>
                      <w:color w:val="auto"/>
                      <w:sz w:val="18"/>
                      <w:szCs w:val="18"/>
                    </w:rPr>
                    <w:t>标准来源</w:t>
                  </w:r>
                </w:p>
              </w:tc>
            </w:tr>
            <w:tr w14:paraId="28A0D155">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17" w:type="pct"/>
                  <w:vAlign w:val="center"/>
                </w:tcPr>
                <w:p w14:paraId="053C6B8C">
                  <w:pPr>
                    <w:spacing w:line="420" w:lineRule="exact"/>
                    <w:jc w:val="center"/>
                    <w:rPr>
                      <w:bCs/>
                      <w:color w:val="auto"/>
                      <w:sz w:val="18"/>
                      <w:szCs w:val="18"/>
                    </w:rPr>
                  </w:pPr>
                  <w:r>
                    <w:rPr>
                      <w:bCs/>
                      <w:color w:val="auto"/>
                      <w:sz w:val="18"/>
                      <w:szCs w:val="18"/>
                    </w:rPr>
                    <w:t>2</w:t>
                  </w:r>
                </w:p>
              </w:tc>
              <w:tc>
                <w:tcPr>
                  <w:tcW w:w="772" w:type="pct"/>
                  <w:vAlign w:val="center"/>
                </w:tcPr>
                <w:p w14:paraId="20E1C296">
                  <w:pPr>
                    <w:spacing w:line="420" w:lineRule="exact"/>
                    <w:jc w:val="center"/>
                    <w:rPr>
                      <w:bCs/>
                      <w:color w:val="auto"/>
                      <w:sz w:val="18"/>
                      <w:szCs w:val="18"/>
                    </w:rPr>
                  </w:pPr>
                  <w:r>
                    <w:rPr>
                      <w:bCs/>
                      <w:color w:val="auto"/>
                      <w:sz w:val="18"/>
                      <w:szCs w:val="18"/>
                    </w:rPr>
                    <w:t>60</w:t>
                  </w:r>
                </w:p>
              </w:tc>
              <w:tc>
                <w:tcPr>
                  <w:tcW w:w="819" w:type="pct"/>
                  <w:vAlign w:val="center"/>
                </w:tcPr>
                <w:p w14:paraId="0E91543D">
                  <w:pPr>
                    <w:spacing w:line="420" w:lineRule="exact"/>
                    <w:jc w:val="center"/>
                    <w:rPr>
                      <w:bCs/>
                      <w:color w:val="auto"/>
                      <w:sz w:val="18"/>
                      <w:szCs w:val="18"/>
                    </w:rPr>
                  </w:pPr>
                  <w:r>
                    <w:rPr>
                      <w:bCs/>
                      <w:color w:val="auto"/>
                      <w:sz w:val="18"/>
                      <w:szCs w:val="18"/>
                    </w:rPr>
                    <w:t>50</w:t>
                  </w:r>
                </w:p>
              </w:tc>
              <w:tc>
                <w:tcPr>
                  <w:tcW w:w="2590" w:type="pct"/>
                  <w:vAlign w:val="center"/>
                </w:tcPr>
                <w:p w14:paraId="260EEBBA">
                  <w:pPr>
                    <w:spacing w:line="420" w:lineRule="exact"/>
                    <w:jc w:val="center"/>
                    <w:rPr>
                      <w:bCs/>
                      <w:color w:val="auto"/>
                      <w:sz w:val="18"/>
                      <w:szCs w:val="18"/>
                    </w:rPr>
                  </w:pPr>
                  <w:r>
                    <w:rPr>
                      <w:color w:val="auto"/>
                      <w:sz w:val="18"/>
                      <w:szCs w:val="18"/>
                    </w:rPr>
                    <w:t>（GB12348-2008）</w:t>
                  </w:r>
                  <w:r>
                    <w:rPr>
                      <w:bCs/>
                      <w:color w:val="auto"/>
                      <w:sz w:val="18"/>
                      <w:szCs w:val="18"/>
                    </w:rPr>
                    <w:t>2</w:t>
                  </w:r>
                  <w:r>
                    <w:rPr>
                      <w:color w:val="auto"/>
                      <w:sz w:val="18"/>
                      <w:szCs w:val="18"/>
                    </w:rPr>
                    <w:t>类标准</w:t>
                  </w:r>
                </w:p>
              </w:tc>
            </w:tr>
          </w:tbl>
          <w:p w14:paraId="5F591367">
            <w:pPr>
              <w:autoSpaceDE w:val="0"/>
              <w:autoSpaceDN w:val="0"/>
              <w:adjustRightInd w:val="0"/>
              <w:spacing w:line="360" w:lineRule="auto"/>
              <w:ind w:firstLine="422" w:firstLineChars="200"/>
              <w:rPr>
                <w:b/>
                <w:color w:val="auto"/>
                <w:highlight w:val="none"/>
              </w:rPr>
            </w:pPr>
            <w:r>
              <w:rPr>
                <w:b/>
                <w:color w:val="auto"/>
                <w:highlight w:val="none"/>
              </w:rPr>
              <w:t>2、废气</w:t>
            </w:r>
          </w:p>
          <w:p w14:paraId="5F79020A">
            <w:pPr>
              <w:spacing w:line="360" w:lineRule="auto"/>
              <w:ind w:firstLine="420" w:firstLineChars="200"/>
              <w:rPr>
                <w:rFonts w:hint="eastAsia" w:eastAsiaTheme="minorEastAsia"/>
                <w:color w:val="auto"/>
                <w:highlight w:val="none"/>
                <w:lang w:eastAsia="zh-CN"/>
              </w:rPr>
            </w:pPr>
            <w:r>
              <w:rPr>
                <w:color w:val="auto"/>
                <w:highlight w:val="none"/>
              </w:rPr>
              <w:t>营运期</w:t>
            </w:r>
            <w:r>
              <w:rPr>
                <w:rFonts w:eastAsiaTheme="minorEastAsia"/>
                <w:color w:val="auto"/>
                <w:highlight w:val="none"/>
              </w:rPr>
              <w:t>颗粒物</w:t>
            </w:r>
            <w:r>
              <w:rPr>
                <w:rFonts w:hint="eastAsia" w:eastAsiaTheme="minorEastAsia"/>
                <w:color w:val="auto"/>
                <w:highlight w:val="none"/>
              </w:rPr>
              <w:t>有</w:t>
            </w:r>
            <w:r>
              <w:rPr>
                <w:rFonts w:eastAsiaTheme="minorEastAsia"/>
                <w:color w:val="auto"/>
                <w:highlight w:val="none"/>
              </w:rPr>
              <w:t>组织排放执行</w:t>
            </w:r>
            <w:r>
              <w:rPr>
                <w:rFonts w:hint="eastAsia" w:eastAsiaTheme="minorEastAsia"/>
                <w:color w:val="auto"/>
                <w:highlight w:val="none"/>
              </w:rPr>
              <w:t>《</w:t>
            </w:r>
            <w:r>
              <w:rPr>
                <w:rFonts w:hint="eastAsia" w:eastAsiaTheme="minorEastAsia"/>
                <w:color w:val="auto"/>
                <w:highlight w:val="none"/>
                <w:lang w:eastAsia="zh-CN"/>
              </w:rPr>
              <w:t>区域性</w:t>
            </w:r>
            <w:r>
              <w:rPr>
                <w:rFonts w:hint="eastAsia" w:eastAsiaTheme="minorEastAsia"/>
                <w:color w:val="auto"/>
                <w:highlight w:val="none"/>
              </w:rPr>
              <w:t>大气污染物</w:t>
            </w:r>
            <w:r>
              <w:rPr>
                <w:rFonts w:hint="eastAsia" w:eastAsiaTheme="minorEastAsia"/>
                <w:color w:val="auto"/>
                <w:highlight w:val="none"/>
                <w:lang w:eastAsia="zh-CN"/>
              </w:rPr>
              <w:t>综合</w:t>
            </w:r>
            <w:r>
              <w:rPr>
                <w:rFonts w:hint="eastAsia" w:eastAsiaTheme="minorEastAsia"/>
                <w:color w:val="auto"/>
                <w:highlight w:val="none"/>
              </w:rPr>
              <w:t>排放标准》（DB37/237</w:t>
            </w:r>
            <w:r>
              <w:rPr>
                <w:rFonts w:hint="eastAsia" w:eastAsiaTheme="minorEastAsia"/>
                <w:color w:val="auto"/>
                <w:highlight w:val="none"/>
                <w:lang w:val="en-US" w:eastAsia="zh-CN"/>
              </w:rPr>
              <w:t>6</w:t>
            </w:r>
            <w:r>
              <w:rPr>
                <w:rFonts w:hint="eastAsia" w:eastAsiaTheme="minorEastAsia"/>
                <w:color w:val="auto"/>
                <w:highlight w:val="none"/>
              </w:rPr>
              <w:t>-201</w:t>
            </w:r>
            <w:r>
              <w:rPr>
                <w:rFonts w:hint="eastAsia" w:eastAsiaTheme="minorEastAsia"/>
                <w:color w:val="auto"/>
                <w:highlight w:val="none"/>
                <w:lang w:val="en-US" w:eastAsia="zh-CN"/>
              </w:rPr>
              <w:t>9</w:t>
            </w:r>
            <w:r>
              <w:rPr>
                <w:rFonts w:hint="eastAsia" w:eastAsiaTheme="minorEastAsia"/>
                <w:color w:val="auto"/>
                <w:highlight w:val="none"/>
              </w:rPr>
              <w:t>）表</w:t>
            </w:r>
            <w:r>
              <w:rPr>
                <w:rFonts w:hint="eastAsia" w:eastAsiaTheme="minorEastAsia"/>
                <w:color w:val="auto"/>
                <w:highlight w:val="none"/>
                <w:lang w:val="en-US" w:eastAsia="zh-CN"/>
              </w:rPr>
              <w:t>1</w:t>
            </w:r>
            <w:r>
              <w:rPr>
                <w:rFonts w:hint="eastAsia" w:eastAsiaTheme="minorEastAsia"/>
                <w:color w:val="auto"/>
                <w:highlight w:val="none"/>
              </w:rPr>
              <w:t>重点控制区</w:t>
            </w:r>
            <w:r>
              <w:rPr>
                <w:rFonts w:hint="eastAsia" w:eastAsiaTheme="minorEastAsia"/>
                <w:color w:val="auto"/>
                <w:highlight w:val="none"/>
                <w:lang w:eastAsia="zh-CN"/>
              </w:rPr>
              <w:t>颗粒物</w:t>
            </w:r>
            <w:r>
              <w:rPr>
                <w:rFonts w:hint="eastAsia" w:eastAsiaTheme="minorEastAsia"/>
                <w:color w:val="auto"/>
                <w:highlight w:val="none"/>
              </w:rPr>
              <w:t>排放浓度限值</w:t>
            </w:r>
            <w:r>
              <w:rPr>
                <w:rFonts w:hint="eastAsia" w:eastAsiaTheme="minorEastAsia"/>
                <w:color w:val="auto"/>
                <w:highlight w:val="none"/>
                <w:lang w:eastAsia="zh-CN"/>
              </w:rPr>
              <w:t>（颗粒物</w:t>
            </w:r>
            <w:r>
              <w:rPr>
                <w:rFonts w:hint="eastAsia" w:eastAsiaTheme="minorEastAsia"/>
                <w:color w:val="auto"/>
                <w:highlight w:val="none"/>
                <w:lang w:val="en-US" w:eastAsia="zh-CN"/>
              </w:rPr>
              <w:t>10</w:t>
            </w:r>
            <w:r>
              <w:rPr>
                <w:rFonts w:eastAsiaTheme="minorEastAsia"/>
                <w:color w:val="auto"/>
                <w:highlight w:val="none"/>
              </w:rPr>
              <w:t>mg/m</w:t>
            </w:r>
            <w:r>
              <w:rPr>
                <w:rFonts w:eastAsiaTheme="minorEastAsia"/>
                <w:color w:val="auto"/>
                <w:highlight w:val="none"/>
                <w:vertAlign w:val="superscript"/>
              </w:rPr>
              <w:t>3</w:t>
            </w:r>
            <w:r>
              <w:rPr>
                <w:rFonts w:hint="eastAsia" w:eastAsiaTheme="minorEastAsia"/>
                <w:color w:val="auto"/>
                <w:highlight w:val="none"/>
                <w:lang w:eastAsia="zh-CN"/>
              </w:rPr>
              <w:t>）；</w:t>
            </w:r>
            <w:r>
              <w:rPr>
                <w:rFonts w:hint="default" w:ascii="Times New Roman" w:hAnsi="Times New Roman" w:cs="Times New Roman"/>
                <w:color w:val="auto"/>
              </w:rPr>
              <w:t>VOCs有组织</w:t>
            </w:r>
            <w:r>
              <w:rPr>
                <w:rFonts w:hint="eastAsia" w:ascii="Times New Roman" w:hAnsi="Times New Roman" w:cs="Times New Roman"/>
                <w:color w:val="auto"/>
                <w:lang w:val="en-US" w:eastAsia="zh-CN"/>
              </w:rPr>
              <w:t>排放</w:t>
            </w:r>
            <w:r>
              <w:rPr>
                <w:rFonts w:hint="default" w:ascii="Times New Roman" w:hAnsi="Times New Roman" w:cs="Times New Roman"/>
                <w:color w:val="auto"/>
              </w:rPr>
              <w:t>执行</w:t>
            </w:r>
            <w:r>
              <w:rPr>
                <w:rFonts w:hint="default" w:ascii="Times New Roman" w:hAnsi="Times New Roman" w:cs="Times New Roman"/>
                <w:color w:val="auto"/>
                <w:szCs w:val="21"/>
              </w:rPr>
              <w:t>《挥发性有机物排放标准 第</w:t>
            </w:r>
            <w:r>
              <w:rPr>
                <w:rFonts w:hint="eastAsia" w:cs="Times New Roman"/>
                <w:color w:val="auto"/>
                <w:szCs w:val="21"/>
                <w:lang w:val="en-US" w:eastAsia="zh-CN"/>
              </w:rPr>
              <w:t>7</w:t>
            </w:r>
            <w:r>
              <w:rPr>
                <w:rFonts w:hint="default" w:ascii="Times New Roman" w:hAnsi="Times New Roman" w:cs="Times New Roman"/>
                <w:color w:val="auto"/>
                <w:szCs w:val="21"/>
              </w:rPr>
              <w:t>部分：</w:t>
            </w:r>
            <w:r>
              <w:rPr>
                <w:rFonts w:hint="eastAsia" w:cs="Times New Roman"/>
                <w:color w:val="auto"/>
                <w:szCs w:val="21"/>
                <w:lang w:eastAsia="zh-CN"/>
              </w:rPr>
              <w:t>其他</w:t>
            </w:r>
            <w:r>
              <w:rPr>
                <w:rFonts w:hint="default" w:ascii="Times New Roman" w:hAnsi="Times New Roman" w:cs="Times New Roman"/>
                <w:color w:val="auto"/>
                <w:szCs w:val="21"/>
              </w:rPr>
              <w:t>行业》（DB37/2801.</w:t>
            </w:r>
            <w:r>
              <w:rPr>
                <w:rFonts w:hint="eastAsia" w:cs="Times New Roman"/>
                <w:color w:val="auto"/>
                <w:szCs w:val="21"/>
                <w:lang w:val="en-US" w:eastAsia="zh-CN"/>
              </w:rPr>
              <w:t>7</w:t>
            </w:r>
            <w:r>
              <w:rPr>
                <w:rFonts w:hint="default" w:ascii="Times New Roman" w:hAnsi="Times New Roman" w:cs="Times New Roman"/>
                <w:color w:val="auto"/>
                <w:szCs w:val="21"/>
              </w:rPr>
              <w:t>-201</w:t>
            </w:r>
            <w:r>
              <w:rPr>
                <w:rFonts w:hint="eastAsia" w:cs="Times New Roman"/>
                <w:color w:val="auto"/>
                <w:szCs w:val="21"/>
                <w:lang w:val="en-US" w:eastAsia="zh-CN"/>
              </w:rPr>
              <w:t>9</w:t>
            </w:r>
            <w:r>
              <w:rPr>
                <w:rFonts w:hint="default" w:ascii="Times New Roman" w:hAnsi="Times New Roman" w:cs="Times New Roman"/>
                <w:color w:val="auto"/>
                <w:szCs w:val="21"/>
              </w:rPr>
              <w:t>）表</w:t>
            </w:r>
            <w:r>
              <w:rPr>
                <w:rFonts w:hint="eastAsia" w:cs="Times New Roman"/>
                <w:color w:val="auto"/>
                <w:szCs w:val="21"/>
                <w:lang w:val="en-US" w:eastAsia="zh-CN"/>
              </w:rPr>
              <w:t>1中“非金属矿物制品业”Ⅱ时段</w:t>
            </w:r>
            <w:r>
              <w:rPr>
                <w:rFonts w:hint="default" w:ascii="Times New Roman" w:hAnsi="Times New Roman" w:cs="Times New Roman"/>
                <w:color w:val="auto"/>
                <w:szCs w:val="21"/>
              </w:rPr>
              <w:t>VOCs排放限</w:t>
            </w:r>
            <w:r>
              <w:rPr>
                <w:rFonts w:hint="default" w:ascii="Times New Roman" w:hAnsi="Times New Roman" w:cs="Times New Roman"/>
                <w:color w:val="auto"/>
                <w:szCs w:val="21"/>
                <w:highlight w:val="none"/>
              </w:rPr>
              <w:t>值</w:t>
            </w:r>
            <w:r>
              <w:rPr>
                <w:rFonts w:hint="eastAsia" w:cs="Times New Roman"/>
                <w:color w:val="auto"/>
                <w:szCs w:val="21"/>
                <w:highlight w:val="none"/>
                <w:lang w:eastAsia="zh-CN"/>
              </w:rPr>
              <w:t>；</w:t>
            </w:r>
            <w:r>
              <w:rPr>
                <w:rFonts w:hint="default" w:ascii="Times New Roman" w:hAnsi="Times New Roman" w:cs="Times New Roman"/>
                <w:color w:val="auto"/>
                <w:highlight w:val="none"/>
              </w:rPr>
              <w:t>有组织</w:t>
            </w:r>
            <w:r>
              <w:rPr>
                <w:rFonts w:hint="eastAsia" w:cs="Times New Roman"/>
                <w:color w:val="auto"/>
                <w:highlight w:val="none"/>
                <w:lang w:eastAsia="zh-CN"/>
              </w:rPr>
              <w:t>酚类、甲醛</w:t>
            </w:r>
            <w:r>
              <w:rPr>
                <w:rFonts w:hint="default" w:ascii="Times New Roman" w:hAnsi="Times New Roman" w:cs="Times New Roman"/>
                <w:color w:val="auto"/>
                <w:highlight w:val="none"/>
              </w:rPr>
              <w:t>执行</w:t>
            </w:r>
            <w:r>
              <w:rPr>
                <w:rFonts w:hint="default" w:ascii="Times New Roman" w:hAnsi="Times New Roman" w:cs="Times New Roman"/>
                <w:color w:val="auto"/>
                <w:szCs w:val="21"/>
                <w:highlight w:val="none"/>
              </w:rPr>
              <w:t>《</w:t>
            </w:r>
            <w:r>
              <w:rPr>
                <w:rFonts w:hint="eastAsia" w:cs="Times New Roman"/>
                <w:color w:val="auto"/>
                <w:szCs w:val="21"/>
                <w:highlight w:val="none"/>
                <w:lang w:eastAsia="zh-CN"/>
              </w:rPr>
              <w:t>大气污染物综合排放标准</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GB16297-1996</w:t>
            </w:r>
            <w:r>
              <w:rPr>
                <w:rFonts w:hint="default" w:ascii="Times New Roman" w:hAnsi="Times New Roman" w:cs="Times New Roman"/>
                <w:color w:val="auto"/>
                <w:szCs w:val="21"/>
                <w:highlight w:val="none"/>
              </w:rPr>
              <w:t>）表</w:t>
            </w:r>
            <w:r>
              <w:rPr>
                <w:rFonts w:hint="eastAsia" w:cs="Times New Roman"/>
                <w:color w:val="auto"/>
                <w:szCs w:val="21"/>
                <w:highlight w:val="none"/>
                <w:lang w:val="en-US" w:eastAsia="zh-CN"/>
              </w:rPr>
              <w:t>2中酚类、甲醛15m有组织</w:t>
            </w:r>
            <w:r>
              <w:rPr>
                <w:rFonts w:hint="default" w:ascii="Times New Roman" w:hAnsi="Times New Roman" w:cs="Times New Roman"/>
                <w:color w:val="auto"/>
                <w:szCs w:val="21"/>
                <w:highlight w:val="none"/>
              </w:rPr>
              <w:t>排放限值</w:t>
            </w:r>
            <w:r>
              <w:rPr>
                <w:rFonts w:hint="eastAsia" w:eastAsiaTheme="minorEastAsia"/>
                <w:color w:val="auto"/>
                <w:highlight w:val="none"/>
                <w:lang w:eastAsia="zh-CN"/>
              </w:rPr>
              <w:t>。</w:t>
            </w:r>
          </w:p>
          <w:p w14:paraId="270CF8EB">
            <w:pPr>
              <w:spacing w:line="360" w:lineRule="auto"/>
              <w:ind w:firstLine="420" w:firstLineChars="200"/>
              <w:rPr>
                <w:rFonts w:eastAsiaTheme="minorEastAsia"/>
                <w:color w:val="auto"/>
                <w:highlight w:val="none"/>
              </w:rPr>
            </w:pPr>
            <w:r>
              <w:rPr>
                <w:rFonts w:hint="default" w:eastAsiaTheme="minorEastAsia"/>
                <w:color w:val="auto"/>
                <w:highlight w:val="none"/>
              </w:rPr>
              <w:t>无组织VOCs</w:t>
            </w:r>
            <w:r>
              <w:rPr>
                <w:rFonts w:hint="eastAsia" w:eastAsiaTheme="minorEastAsia"/>
                <w:color w:val="auto"/>
                <w:highlight w:val="none"/>
                <w:lang w:eastAsia="zh-CN"/>
              </w:rPr>
              <w:t>、甲醛</w:t>
            </w:r>
            <w:r>
              <w:rPr>
                <w:rFonts w:hint="default" w:eastAsiaTheme="minorEastAsia"/>
                <w:color w:val="auto"/>
                <w:highlight w:val="none"/>
              </w:rPr>
              <w:t>执行《挥发性有机物排放标准 第</w:t>
            </w:r>
            <w:r>
              <w:rPr>
                <w:rFonts w:hint="eastAsia" w:eastAsiaTheme="minorEastAsia"/>
                <w:color w:val="auto"/>
                <w:highlight w:val="none"/>
                <w:lang w:val="en-US" w:eastAsia="zh-CN"/>
              </w:rPr>
              <w:t>7</w:t>
            </w:r>
            <w:r>
              <w:rPr>
                <w:rFonts w:hint="default" w:eastAsiaTheme="minorEastAsia"/>
                <w:color w:val="auto"/>
                <w:highlight w:val="none"/>
              </w:rPr>
              <w:t>部分：</w:t>
            </w:r>
            <w:r>
              <w:rPr>
                <w:rFonts w:hint="eastAsia" w:eastAsiaTheme="minorEastAsia"/>
                <w:color w:val="auto"/>
                <w:highlight w:val="none"/>
                <w:lang w:eastAsia="zh-CN"/>
              </w:rPr>
              <w:t>其他</w:t>
            </w:r>
            <w:r>
              <w:rPr>
                <w:rFonts w:hint="default" w:eastAsiaTheme="minorEastAsia"/>
                <w:color w:val="auto"/>
                <w:highlight w:val="none"/>
              </w:rPr>
              <w:t>行业》（DB37/2801.</w:t>
            </w:r>
            <w:r>
              <w:rPr>
                <w:rFonts w:hint="eastAsia" w:eastAsiaTheme="minorEastAsia"/>
                <w:color w:val="auto"/>
                <w:highlight w:val="none"/>
                <w:lang w:val="en-US" w:eastAsia="zh-CN"/>
              </w:rPr>
              <w:t>7</w:t>
            </w:r>
            <w:r>
              <w:rPr>
                <w:rFonts w:hint="default" w:eastAsiaTheme="minorEastAsia"/>
                <w:color w:val="auto"/>
                <w:highlight w:val="none"/>
              </w:rPr>
              <w:t>-201</w:t>
            </w:r>
            <w:r>
              <w:rPr>
                <w:rFonts w:hint="eastAsia" w:eastAsiaTheme="minorEastAsia"/>
                <w:color w:val="auto"/>
                <w:highlight w:val="none"/>
                <w:lang w:val="en-US" w:eastAsia="zh-CN"/>
              </w:rPr>
              <w:t>9</w:t>
            </w:r>
            <w:r>
              <w:rPr>
                <w:rFonts w:hint="default" w:eastAsiaTheme="minorEastAsia"/>
                <w:color w:val="auto"/>
                <w:highlight w:val="none"/>
              </w:rPr>
              <w:t>）表</w:t>
            </w:r>
            <w:r>
              <w:rPr>
                <w:rFonts w:hint="eastAsia" w:eastAsiaTheme="minorEastAsia"/>
                <w:color w:val="auto"/>
                <w:highlight w:val="none"/>
                <w:lang w:val="en-US" w:eastAsia="zh-CN"/>
              </w:rPr>
              <w:t>2、表3</w:t>
            </w:r>
            <w:r>
              <w:rPr>
                <w:rFonts w:hint="default" w:eastAsiaTheme="minorEastAsia"/>
                <w:color w:val="auto"/>
                <w:highlight w:val="none"/>
              </w:rPr>
              <w:t>厂界监控点浓度限值</w:t>
            </w:r>
            <w:r>
              <w:rPr>
                <w:rFonts w:hint="eastAsia" w:eastAsiaTheme="minorEastAsia"/>
                <w:color w:val="auto"/>
                <w:highlight w:val="none"/>
                <w:lang w:eastAsia="zh-CN"/>
              </w:rPr>
              <w:t>；无组织颗粒物、苯酚执行《大气污染物综合排放标准》（</w:t>
            </w:r>
            <w:r>
              <w:rPr>
                <w:rFonts w:hint="eastAsia" w:eastAsiaTheme="minorEastAsia"/>
                <w:color w:val="auto"/>
                <w:highlight w:val="none"/>
                <w:lang w:val="en-US" w:eastAsia="zh-CN"/>
              </w:rPr>
              <w:t>GB16297-1996</w:t>
            </w:r>
            <w:r>
              <w:rPr>
                <w:rFonts w:hint="eastAsia" w:eastAsiaTheme="minorEastAsia"/>
                <w:color w:val="auto"/>
                <w:highlight w:val="none"/>
                <w:lang w:eastAsia="zh-CN"/>
              </w:rPr>
              <w:t>）表</w:t>
            </w:r>
            <w:r>
              <w:rPr>
                <w:rFonts w:hint="eastAsia" w:eastAsiaTheme="minorEastAsia"/>
                <w:color w:val="auto"/>
                <w:highlight w:val="none"/>
                <w:lang w:val="en-US" w:eastAsia="zh-CN"/>
              </w:rPr>
              <w:t>2厂界监控点浓度限值；</w:t>
            </w:r>
            <w:r>
              <w:rPr>
                <w:rFonts w:hint="default" w:eastAsiaTheme="minorEastAsia"/>
                <w:color w:val="auto"/>
                <w:highlight w:val="none"/>
              </w:rPr>
              <w:t>厂区内无组织VOCs（以非甲烷总烃表征）执行《挥发性有机物无组织排放控制标准》（GB37822-2019）附录A中表A.1厂区内无组织排放限值</w:t>
            </w:r>
            <w:r>
              <w:rPr>
                <w:rFonts w:eastAsiaTheme="minorEastAsia"/>
                <w:color w:val="auto"/>
                <w:highlight w:val="none"/>
              </w:rPr>
              <w:t>。</w:t>
            </w:r>
          </w:p>
          <w:p w14:paraId="5C75EE41">
            <w:pPr>
              <w:adjustRightInd w:val="0"/>
              <w:snapToGrid w:val="0"/>
              <w:spacing w:line="360" w:lineRule="auto"/>
              <w:jc w:val="center"/>
              <w:rPr>
                <w:b/>
                <w:color w:val="auto"/>
                <w:highlight w:val="none"/>
              </w:rPr>
            </w:pPr>
            <w:r>
              <w:rPr>
                <w:b/>
                <w:color w:val="auto"/>
                <w:highlight w:val="none"/>
              </w:rPr>
              <w:t>表3-</w:t>
            </w:r>
            <w:r>
              <w:rPr>
                <w:rFonts w:hint="eastAsia"/>
                <w:b/>
                <w:color w:val="auto"/>
                <w:highlight w:val="none"/>
                <w:lang w:val="en-US" w:eastAsia="zh-CN"/>
              </w:rPr>
              <w:t>4</w:t>
            </w:r>
            <w:r>
              <w:rPr>
                <w:b/>
                <w:color w:val="auto"/>
                <w:highlight w:val="none"/>
              </w:rPr>
              <w:t>项目废气排放执行标准</w:t>
            </w:r>
          </w:p>
          <w:tbl>
            <w:tblPr>
              <w:tblStyle w:val="83"/>
              <w:tblW w:w="4950"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0" w:type="dxa"/>
                <w:bottom w:w="0" w:type="dxa"/>
                <w:right w:w="0" w:type="dxa"/>
              </w:tblCellMar>
            </w:tblPr>
            <w:tblGrid>
              <w:gridCol w:w="1026"/>
              <w:gridCol w:w="1349"/>
              <w:gridCol w:w="1049"/>
              <w:gridCol w:w="1199"/>
              <w:gridCol w:w="2671"/>
              <w:gridCol w:w="1036"/>
            </w:tblGrid>
            <w:tr w14:paraId="47AD19C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026" w:type="dxa"/>
                  <w:vMerge w:val="restart"/>
                  <w:tcBorders>
                    <w:top w:val="single" w:color="auto" w:sz="6" w:space="0"/>
                    <w:left w:val="single" w:color="auto" w:sz="6" w:space="0"/>
                    <w:right w:val="single" w:color="auto" w:sz="6" w:space="0"/>
                  </w:tcBorders>
                  <w:vAlign w:val="center"/>
                </w:tcPr>
                <w:p w14:paraId="13DB24CD">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污染物名称</w:t>
                  </w:r>
                </w:p>
              </w:tc>
              <w:tc>
                <w:tcPr>
                  <w:tcW w:w="1349" w:type="dxa"/>
                  <w:vMerge w:val="restart"/>
                  <w:tcBorders>
                    <w:top w:val="single" w:color="auto" w:sz="6" w:space="0"/>
                    <w:left w:val="single" w:color="auto" w:sz="6" w:space="0"/>
                    <w:right w:val="single" w:color="auto" w:sz="6" w:space="0"/>
                  </w:tcBorders>
                  <w:vAlign w:val="center"/>
                </w:tcPr>
                <w:p w14:paraId="1C1F22EB">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排放浓度mg/m</w:t>
                  </w:r>
                  <w:r>
                    <w:rPr>
                      <w:rFonts w:hint="default" w:ascii="Times New Roman" w:hAnsi="Times New Roman" w:cs="Times New Roman"/>
                      <w:color w:val="auto"/>
                      <w:sz w:val="18"/>
                      <w:szCs w:val="18"/>
                      <w:highlight w:val="none"/>
                      <w:vertAlign w:val="superscript"/>
                    </w:rPr>
                    <w:t>3</w:t>
                  </w:r>
                </w:p>
              </w:tc>
              <w:tc>
                <w:tcPr>
                  <w:tcW w:w="2248" w:type="dxa"/>
                  <w:gridSpan w:val="2"/>
                  <w:tcBorders>
                    <w:top w:val="single" w:color="auto" w:sz="6" w:space="0"/>
                    <w:left w:val="single" w:color="auto" w:sz="6" w:space="0"/>
                    <w:bottom w:val="single" w:color="auto" w:sz="6" w:space="0"/>
                    <w:right w:val="single" w:color="auto" w:sz="6" w:space="0"/>
                  </w:tcBorders>
                  <w:vAlign w:val="center"/>
                </w:tcPr>
                <w:p w14:paraId="201DDBDC">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最高允许排放速率，kg/h</w:t>
                  </w:r>
                </w:p>
              </w:tc>
              <w:tc>
                <w:tcPr>
                  <w:tcW w:w="3707" w:type="dxa"/>
                  <w:gridSpan w:val="2"/>
                  <w:tcBorders>
                    <w:top w:val="single" w:color="auto" w:sz="6" w:space="0"/>
                    <w:left w:val="single" w:color="auto" w:sz="6" w:space="0"/>
                    <w:bottom w:val="single" w:color="auto" w:sz="6" w:space="0"/>
                    <w:right w:val="single" w:color="auto" w:sz="6" w:space="0"/>
                  </w:tcBorders>
                  <w:vAlign w:val="center"/>
                </w:tcPr>
                <w:p w14:paraId="1682CD92">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无组织排放浓度限值</w:t>
                  </w:r>
                </w:p>
              </w:tc>
            </w:tr>
            <w:tr w14:paraId="309FD8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026" w:type="dxa"/>
                  <w:vMerge w:val="continue"/>
                  <w:tcBorders>
                    <w:left w:val="single" w:color="auto" w:sz="6" w:space="0"/>
                    <w:bottom w:val="single" w:color="auto" w:sz="6" w:space="0"/>
                    <w:right w:val="single" w:color="auto" w:sz="6" w:space="0"/>
                  </w:tcBorders>
                  <w:vAlign w:val="center"/>
                </w:tcPr>
                <w:p w14:paraId="4F447300">
                  <w:pPr>
                    <w:autoSpaceDE w:val="0"/>
                    <w:autoSpaceDN w:val="0"/>
                    <w:adjustRightInd w:val="0"/>
                    <w:jc w:val="center"/>
                    <w:rPr>
                      <w:rFonts w:hint="default" w:ascii="Times New Roman" w:hAnsi="Times New Roman" w:cs="Times New Roman"/>
                      <w:color w:val="auto"/>
                      <w:sz w:val="18"/>
                      <w:szCs w:val="18"/>
                      <w:highlight w:val="none"/>
                    </w:rPr>
                  </w:pPr>
                </w:p>
              </w:tc>
              <w:tc>
                <w:tcPr>
                  <w:tcW w:w="1349" w:type="dxa"/>
                  <w:vMerge w:val="continue"/>
                  <w:tcBorders>
                    <w:left w:val="single" w:color="auto" w:sz="6" w:space="0"/>
                    <w:bottom w:val="single" w:color="auto" w:sz="6" w:space="0"/>
                    <w:right w:val="single" w:color="auto" w:sz="6" w:space="0"/>
                  </w:tcBorders>
                  <w:vAlign w:val="center"/>
                </w:tcPr>
                <w:p w14:paraId="20B97EB8">
                  <w:pPr>
                    <w:autoSpaceDE w:val="0"/>
                    <w:autoSpaceDN w:val="0"/>
                    <w:adjustRightInd w:val="0"/>
                    <w:jc w:val="center"/>
                    <w:rPr>
                      <w:rFonts w:hint="default" w:ascii="Times New Roman" w:hAnsi="Times New Roman" w:cs="Times New Roman"/>
                      <w:color w:val="auto"/>
                      <w:sz w:val="18"/>
                      <w:szCs w:val="18"/>
                      <w:highlight w:val="none"/>
                    </w:rPr>
                  </w:pPr>
                </w:p>
              </w:tc>
              <w:tc>
                <w:tcPr>
                  <w:tcW w:w="1049" w:type="dxa"/>
                  <w:tcBorders>
                    <w:top w:val="single" w:color="auto" w:sz="6" w:space="0"/>
                    <w:left w:val="single" w:color="auto" w:sz="6" w:space="0"/>
                    <w:bottom w:val="single" w:color="auto" w:sz="6" w:space="0"/>
                    <w:right w:val="single" w:color="auto" w:sz="6" w:space="0"/>
                  </w:tcBorders>
                  <w:vAlign w:val="center"/>
                </w:tcPr>
                <w:p w14:paraId="24DA6A0D">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排气筒高度</w:t>
                  </w:r>
                </w:p>
              </w:tc>
              <w:tc>
                <w:tcPr>
                  <w:tcW w:w="1199" w:type="dxa"/>
                  <w:tcBorders>
                    <w:top w:val="single" w:color="auto" w:sz="6" w:space="0"/>
                    <w:left w:val="single" w:color="auto" w:sz="6" w:space="0"/>
                    <w:bottom w:val="single" w:color="auto" w:sz="6" w:space="0"/>
                    <w:right w:val="single" w:color="auto" w:sz="6" w:space="0"/>
                  </w:tcBorders>
                  <w:vAlign w:val="center"/>
                </w:tcPr>
                <w:p w14:paraId="75E08371">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速率限值</w:t>
                  </w:r>
                </w:p>
              </w:tc>
              <w:tc>
                <w:tcPr>
                  <w:tcW w:w="2671" w:type="dxa"/>
                  <w:tcBorders>
                    <w:top w:val="single" w:color="auto" w:sz="6" w:space="0"/>
                    <w:left w:val="single" w:color="auto" w:sz="6" w:space="0"/>
                    <w:bottom w:val="single" w:color="auto" w:sz="6" w:space="0"/>
                    <w:right w:val="single" w:color="auto" w:sz="6" w:space="0"/>
                  </w:tcBorders>
                  <w:vAlign w:val="center"/>
                </w:tcPr>
                <w:p w14:paraId="5A5AFD14">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监控点</w:t>
                  </w:r>
                </w:p>
              </w:tc>
              <w:tc>
                <w:tcPr>
                  <w:tcW w:w="1036" w:type="dxa"/>
                  <w:tcBorders>
                    <w:top w:val="single" w:color="auto" w:sz="6" w:space="0"/>
                    <w:left w:val="single" w:color="auto" w:sz="6" w:space="0"/>
                    <w:bottom w:val="single" w:color="auto" w:sz="6" w:space="0"/>
                    <w:right w:val="single" w:color="auto" w:sz="6" w:space="0"/>
                  </w:tcBorders>
                  <w:vAlign w:val="center"/>
                </w:tcPr>
                <w:p w14:paraId="3E8EB968">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浓度mg/m</w:t>
                  </w:r>
                  <w:r>
                    <w:rPr>
                      <w:rFonts w:hint="default" w:ascii="Times New Roman" w:hAnsi="Times New Roman" w:cs="Times New Roman"/>
                      <w:color w:val="auto"/>
                      <w:sz w:val="18"/>
                      <w:szCs w:val="18"/>
                      <w:highlight w:val="none"/>
                      <w:vertAlign w:val="superscript"/>
                    </w:rPr>
                    <w:t>3</w:t>
                  </w:r>
                </w:p>
              </w:tc>
            </w:tr>
            <w:tr w14:paraId="622006E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026" w:type="dxa"/>
                  <w:vMerge w:val="restart"/>
                  <w:tcBorders>
                    <w:top w:val="single" w:color="auto" w:sz="6" w:space="0"/>
                    <w:left w:val="single" w:color="auto" w:sz="6" w:space="0"/>
                    <w:right w:val="single" w:color="auto" w:sz="6" w:space="0"/>
                  </w:tcBorders>
                  <w:vAlign w:val="center"/>
                </w:tcPr>
                <w:p w14:paraId="61B50DBE">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VOCs</w:t>
                  </w:r>
                </w:p>
              </w:tc>
              <w:tc>
                <w:tcPr>
                  <w:tcW w:w="1349" w:type="dxa"/>
                  <w:vMerge w:val="restart"/>
                  <w:tcBorders>
                    <w:top w:val="single" w:color="auto" w:sz="6" w:space="0"/>
                    <w:left w:val="single" w:color="auto" w:sz="6" w:space="0"/>
                    <w:right w:val="single" w:color="auto" w:sz="6" w:space="0"/>
                  </w:tcBorders>
                  <w:vAlign w:val="center"/>
                </w:tcPr>
                <w:p w14:paraId="316E495F">
                  <w:pPr>
                    <w:autoSpaceDE w:val="0"/>
                    <w:autoSpaceDN w:val="0"/>
                    <w:adjustRightIn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20</w:t>
                  </w:r>
                </w:p>
              </w:tc>
              <w:tc>
                <w:tcPr>
                  <w:tcW w:w="1049" w:type="dxa"/>
                  <w:vMerge w:val="restart"/>
                  <w:tcBorders>
                    <w:top w:val="single" w:color="auto" w:sz="6" w:space="0"/>
                    <w:left w:val="single" w:color="auto" w:sz="6" w:space="0"/>
                    <w:right w:val="single" w:color="auto" w:sz="6" w:space="0"/>
                  </w:tcBorders>
                  <w:vAlign w:val="center"/>
                </w:tcPr>
                <w:p w14:paraId="59D6495F">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w:t>
                  </w:r>
                </w:p>
              </w:tc>
              <w:tc>
                <w:tcPr>
                  <w:tcW w:w="1199" w:type="dxa"/>
                  <w:vMerge w:val="restart"/>
                  <w:tcBorders>
                    <w:top w:val="single" w:color="auto" w:sz="6" w:space="0"/>
                    <w:left w:val="single" w:color="auto" w:sz="6" w:space="0"/>
                    <w:right w:val="single" w:color="auto" w:sz="6" w:space="0"/>
                  </w:tcBorders>
                  <w:vAlign w:val="center"/>
                </w:tcPr>
                <w:p w14:paraId="09110A83">
                  <w:pPr>
                    <w:autoSpaceDE w:val="0"/>
                    <w:autoSpaceDN w:val="0"/>
                    <w:adjustRightInd w:val="0"/>
                    <w:jc w:val="center"/>
                    <w:rPr>
                      <w:rFonts w:hint="default" w:ascii="Times New Roman" w:hAnsi="Times New Roman" w:cs="Times New Roman"/>
                      <w:color w:val="auto"/>
                      <w:sz w:val="18"/>
                      <w:szCs w:val="18"/>
                      <w:highlight w:val="none"/>
                      <w:lang w:val="en-US"/>
                    </w:rPr>
                  </w:pPr>
                  <w:r>
                    <w:rPr>
                      <w:rFonts w:hint="eastAsia" w:cs="Times New Roman"/>
                      <w:color w:val="auto"/>
                      <w:sz w:val="18"/>
                      <w:szCs w:val="18"/>
                      <w:highlight w:val="none"/>
                      <w:lang w:val="en-US" w:eastAsia="zh-CN"/>
                    </w:rPr>
                    <w:t>3.0</w:t>
                  </w:r>
                </w:p>
              </w:tc>
              <w:tc>
                <w:tcPr>
                  <w:tcW w:w="2671" w:type="dxa"/>
                  <w:tcBorders>
                    <w:top w:val="single" w:color="auto" w:sz="6" w:space="0"/>
                    <w:left w:val="single" w:color="auto" w:sz="6" w:space="0"/>
                    <w:bottom w:val="single" w:color="auto" w:sz="6" w:space="0"/>
                    <w:right w:val="single" w:color="auto" w:sz="6" w:space="0"/>
                  </w:tcBorders>
                  <w:vAlign w:val="center"/>
                </w:tcPr>
                <w:p w14:paraId="7206B8E0">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厂界监控点浓度限值</w:t>
                  </w:r>
                </w:p>
              </w:tc>
              <w:tc>
                <w:tcPr>
                  <w:tcW w:w="1036" w:type="dxa"/>
                  <w:tcBorders>
                    <w:top w:val="single" w:color="auto" w:sz="6" w:space="0"/>
                    <w:left w:val="single" w:color="auto" w:sz="6" w:space="0"/>
                    <w:bottom w:val="single" w:color="auto" w:sz="6" w:space="0"/>
                    <w:right w:val="single" w:color="auto" w:sz="6" w:space="0"/>
                  </w:tcBorders>
                  <w:vAlign w:val="center"/>
                </w:tcPr>
                <w:p w14:paraId="107174AF">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w:t>
                  </w:r>
                </w:p>
              </w:tc>
            </w:tr>
            <w:tr w14:paraId="73ACB9C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026" w:type="dxa"/>
                  <w:vMerge w:val="continue"/>
                  <w:tcBorders>
                    <w:top w:val="single" w:color="auto" w:sz="6" w:space="0"/>
                    <w:left w:val="single" w:color="auto" w:sz="6" w:space="0"/>
                    <w:right w:val="single" w:color="auto" w:sz="6" w:space="0"/>
                  </w:tcBorders>
                  <w:vAlign w:val="center"/>
                </w:tcPr>
                <w:p w14:paraId="49603CA9">
                  <w:pPr>
                    <w:autoSpaceDE w:val="0"/>
                    <w:autoSpaceDN w:val="0"/>
                    <w:adjustRightInd w:val="0"/>
                    <w:jc w:val="center"/>
                    <w:rPr>
                      <w:rFonts w:hint="default" w:ascii="Times New Roman" w:hAnsi="Times New Roman" w:cs="Times New Roman"/>
                      <w:color w:val="auto"/>
                      <w:sz w:val="18"/>
                      <w:szCs w:val="18"/>
                    </w:rPr>
                  </w:pPr>
                </w:p>
              </w:tc>
              <w:tc>
                <w:tcPr>
                  <w:tcW w:w="1349" w:type="dxa"/>
                  <w:vMerge w:val="continue"/>
                  <w:tcBorders>
                    <w:top w:val="single" w:color="auto" w:sz="6" w:space="0"/>
                    <w:left w:val="single" w:color="auto" w:sz="6" w:space="0"/>
                    <w:right w:val="single" w:color="auto" w:sz="6" w:space="0"/>
                  </w:tcBorders>
                  <w:vAlign w:val="center"/>
                </w:tcPr>
                <w:p w14:paraId="41E9518A">
                  <w:pPr>
                    <w:autoSpaceDE w:val="0"/>
                    <w:autoSpaceDN w:val="0"/>
                    <w:adjustRightInd w:val="0"/>
                    <w:jc w:val="center"/>
                    <w:rPr>
                      <w:rFonts w:hint="default" w:ascii="Times New Roman" w:hAnsi="Times New Roman" w:cs="Times New Roman"/>
                      <w:color w:val="auto"/>
                      <w:sz w:val="18"/>
                      <w:szCs w:val="18"/>
                    </w:rPr>
                  </w:pPr>
                </w:p>
              </w:tc>
              <w:tc>
                <w:tcPr>
                  <w:tcW w:w="1049" w:type="dxa"/>
                  <w:vMerge w:val="continue"/>
                  <w:tcBorders>
                    <w:top w:val="single" w:color="auto" w:sz="6" w:space="0"/>
                    <w:left w:val="single" w:color="auto" w:sz="6" w:space="0"/>
                    <w:right w:val="single" w:color="auto" w:sz="6" w:space="0"/>
                  </w:tcBorders>
                  <w:vAlign w:val="center"/>
                </w:tcPr>
                <w:p w14:paraId="33310D63">
                  <w:pPr>
                    <w:autoSpaceDE w:val="0"/>
                    <w:autoSpaceDN w:val="0"/>
                    <w:adjustRightInd w:val="0"/>
                    <w:jc w:val="center"/>
                    <w:rPr>
                      <w:rFonts w:hint="default" w:ascii="Times New Roman" w:hAnsi="Times New Roman" w:cs="Times New Roman"/>
                      <w:color w:val="auto"/>
                      <w:sz w:val="18"/>
                      <w:szCs w:val="18"/>
                    </w:rPr>
                  </w:pPr>
                </w:p>
              </w:tc>
              <w:tc>
                <w:tcPr>
                  <w:tcW w:w="1199" w:type="dxa"/>
                  <w:vMerge w:val="continue"/>
                  <w:tcBorders>
                    <w:top w:val="single" w:color="auto" w:sz="6" w:space="0"/>
                    <w:left w:val="single" w:color="auto" w:sz="6" w:space="0"/>
                    <w:right w:val="single" w:color="auto" w:sz="6" w:space="0"/>
                  </w:tcBorders>
                  <w:vAlign w:val="center"/>
                </w:tcPr>
                <w:p w14:paraId="31F322C2">
                  <w:pPr>
                    <w:autoSpaceDE w:val="0"/>
                    <w:autoSpaceDN w:val="0"/>
                    <w:adjustRightInd w:val="0"/>
                    <w:jc w:val="center"/>
                    <w:rPr>
                      <w:rFonts w:hint="default" w:ascii="Times New Roman" w:hAnsi="Times New Roman" w:cs="Times New Roman"/>
                      <w:color w:val="auto"/>
                      <w:sz w:val="18"/>
                      <w:szCs w:val="18"/>
                    </w:rPr>
                  </w:pPr>
                </w:p>
              </w:tc>
              <w:tc>
                <w:tcPr>
                  <w:tcW w:w="2671" w:type="dxa"/>
                  <w:tcBorders>
                    <w:top w:val="single" w:color="auto" w:sz="6" w:space="0"/>
                    <w:left w:val="single" w:color="auto" w:sz="6" w:space="0"/>
                    <w:bottom w:val="single" w:color="auto" w:sz="6" w:space="0"/>
                    <w:right w:val="single" w:color="auto" w:sz="6" w:space="0"/>
                  </w:tcBorders>
                  <w:vAlign w:val="center"/>
                </w:tcPr>
                <w:p w14:paraId="46E3C3C1">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厂内监控点1h平均浓度限值</w:t>
                  </w:r>
                </w:p>
              </w:tc>
              <w:tc>
                <w:tcPr>
                  <w:tcW w:w="1036" w:type="dxa"/>
                  <w:tcBorders>
                    <w:top w:val="single" w:color="auto" w:sz="6" w:space="0"/>
                    <w:left w:val="single" w:color="auto" w:sz="6" w:space="0"/>
                    <w:bottom w:val="single" w:color="auto" w:sz="6" w:space="0"/>
                    <w:right w:val="single" w:color="auto" w:sz="6" w:space="0"/>
                  </w:tcBorders>
                  <w:vAlign w:val="center"/>
                </w:tcPr>
                <w:p w14:paraId="1D4175E3">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pacing w:val="6"/>
                      <w:sz w:val="18"/>
                      <w:szCs w:val="18"/>
                    </w:rPr>
                    <w:t>6</w:t>
                  </w:r>
                </w:p>
              </w:tc>
            </w:tr>
            <w:tr w14:paraId="48A5FFB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026" w:type="dxa"/>
                  <w:vMerge w:val="continue"/>
                  <w:tcBorders>
                    <w:left w:val="single" w:color="auto" w:sz="6" w:space="0"/>
                    <w:bottom w:val="single" w:color="auto" w:sz="6" w:space="0"/>
                    <w:right w:val="single" w:color="auto" w:sz="6" w:space="0"/>
                  </w:tcBorders>
                  <w:vAlign w:val="center"/>
                </w:tcPr>
                <w:p w14:paraId="52594EA6">
                  <w:pPr>
                    <w:autoSpaceDE w:val="0"/>
                    <w:autoSpaceDN w:val="0"/>
                    <w:adjustRightInd w:val="0"/>
                    <w:jc w:val="center"/>
                    <w:rPr>
                      <w:rFonts w:hint="default" w:ascii="Times New Roman" w:hAnsi="Times New Roman" w:cs="Times New Roman"/>
                      <w:color w:val="auto"/>
                      <w:sz w:val="18"/>
                      <w:szCs w:val="18"/>
                    </w:rPr>
                  </w:pPr>
                </w:p>
              </w:tc>
              <w:tc>
                <w:tcPr>
                  <w:tcW w:w="1349" w:type="dxa"/>
                  <w:vMerge w:val="continue"/>
                  <w:tcBorders>
                    <w:left w:val="single" w:color="auto" w:sz="6" w:space="0"/>
                    <w:bottom w:val="single" w:color="auto" w:sz="6" w:space="0"/>
                    <w:right w:val="single" w:color="auto" w:sz="6" w:space="0"/>
                  </w:tcBorders>
                  <w:vAlign w:val="center"/>
                </w:tcPr>
                <w:p w14:paraId="721D6325">
                  <w:pPr>
                    <w:autoSpaceDE w:val="0"/>
                    <w:autoSpaceDN w:val="0"/>
                    <w:adjustRightInd w:val="0"/>
                    <w:jc w:val="center"/>
                    <w:rPr>
                      <w:rFonts w:hint="default" w:ascii="Times New Roman" w:hAnsi="Times New Roman" w:cs="Times New Roman"/>
                      <w:color w:val="auto"/>
                      <w:sz w:val="18"/>
                      <w:szCs w:val="18"/>
                    </w:rPr>
                  </w:pPr>
                </w:p>
              </w:tc>
              <w:tc>
                <w:tcPr>
                  <w:tcW w:w="1049" w:type="dxa"/>
                  <w:vMerge w:val="continue"/>
                  <w:tcBorders>
                    <w:left w:val="single" w:color="auto" w:sz="6" w:space="0"/>
                    <w:bottom w:val="single" w:color="auto" w:sz="6" w:space="0"/>
                    <w:right w:val="single" w:color="auto" w:sz="6" w:space="0"/>
                  </w:tcBorders>
                  <w:vAlign w:val="center"/>
                </w:tcPr>
                <w:p w14:paraId="1CF15C06">
                  <w:pPr>
                    <w:autoSpaceDE w:val="0"/>
                    <w:autoSpaceDN w:val="0"/>
                    <w:adjustRightInd w:val="0"/>
                    <w:jc w:val="center"/>
                    <w:rPr>
                      <w:rFonts w:hint="default" w:ascii="Times New Roman" w:hAnsi="Times New Roman" w:cs="Times New Roman"/>
                      <w:color w:val="auto"/>
                      <w:sz w:val="18"/>
                      <w:szCs w:val="18"/>
                    </w:rPr>
                  </w:pPr>
                </w:p>
              </w:tc>
              <w:tc>
                <w:tcPr>
                  <w:tcW w:w="1199" w:type="dxa"/>
                  <w:vMerge w:val="continue"/>
                  <w:tcBorders>
                    <w:left w:val="single" w:color="auto" w:sz="6" w:space="0"/>
                    <w:bottom w:val="single" w:color="auto" w:sz="6" w:space="0"/>
                    <w:right w:val="single" w:color="auto" w:sz="6" w:space="0"/>
                  </w:tcBorders>
                  <w:vAlign w:val="center"/>
                </w:tcPr>
                <w:p w14:paraId="6F599AD0">
                  <w:pPr>
                    <w:autoSpaceDE w:val="0"/>
                    <w:autoSpaceDN w:val="0"/>
                    <w:adjustRightInd w:val="0"/>
                    <w:jc w:val="center"/>
                    <w:rPr>
                      <w:rFonts w:hint="default" w:ascii="Times New Roman" w:hAnsi="Times New Roman" w:cs="Times New Roman"/>
                      <w:color w:val="auto"/>
                      <w:sz w:val="18"/>
                      <w:szCs w:val="18"/>
                    </w:rPr>
                  </w:pPr>
                </w:p>
              </w:tc>
              <w:tc>
                <w:tcPr>
                  <w:tcW w:w="2671" w:type="dxa"/>
                  <w:tcBorders>
                    <w:top w:val="single" w:color="auto" w:sz="6" w:space="0"/>
                    <w:left w:val="single" w:color="auto" w:sz="6" w:space="0"/>
                    <w:bottom w:val="single" w:color="auto" w:sz="6" w:space="0"/>
                    <w:right w:val="single" w:color="auto" w:sz="6" w:space="0"/>
                  </w:tcBorders>
                  <w:vAlign w:val="center"/>
                </w:tcPr>
                <w:p w14:paraId="00577129">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厂内监控点任意1次值浓度限值</w:t>
                  </w:r>
                </w:p>
              </w:tc>
              <w:tc>
                <w:tcPr>
                  <w:tcW w:w="1036" w:type="dxa"/>
                  <w:tcBorders>
                    <w:top w:val="single" w:color="auto" w:sz="6" w:space="0"/>
                    <w:left w:val="single" w:color="auto" w:sz="6" w:space="0"/>
                    <w:bottom w:val="single" w:color="auto" w:sz="6" w:space="0"/>
                    <w:right w:val="single" w:color="auto" w:sz="6" w:space="0"/>
                  </w:tcBorders>
                  <w:vAlign w:val="center"/>
                </w:tcPr>
                <w:p w14:paraId="223894BD">
                  <w:pPr>
                    <w:autoSpaceDE w:val="0"/>
                    <w:autoSpaceDN w:val="0"/>
                    <w:adjustRightInd w:val="0"/>
                    <w:jc w:val="center"/>
                    <w:rPr>
                      <w:rFonts w:hint="default" w:ascii="Times New Roman" w:hAnsi="Times New Roman" w:cs="Times New Roman"/>
                      <w:color w:val="auto"/>
                      <w:spacing w:val="6"/>
                      <w:sz w:val="18"/>
                      <w:szCs w:val="18"/>
                    </w:rPr>
                  </w:pPr>
                  <w:r>
                    <w:rPr>
                      <w:rFonts w:hint="default" w:ascii="Times New Roman" w:hAnsi="Times New Roman" w:cs="Times New Roman"/>
                      <w:color w:val="auto"/>
                      <w:spacing w:val="6"/>
                      <w:sz w:val="18"/>
                      <w:szCs w:val="18"/>
                    </w:rPr>
                    <w:t>20</w:t>
                  </w:r>
                </w:p>
              </w:tc>
            </w:tr>
            <w:tr w14:paraId="1D7C54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026" w:type="dxa"/>
                  <w:tcBorders>
                    <w:left w:val="single" w:color="auto" w:sz="6" w:space="0"/>
                    <w:bottom w:val="single" w:color="auto" w:sz="6" w:space="0"/>
                    <w:right w:val="single" w:color="auto" w:sz="6" w:space="0"/>
                  </w:tcBorders>
                  <w:vAlign w:val="center"/>
                </w:tcPr>
                <w:p w14:paraId="0ECAE129">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eastAsia="zh-CN"/>
                    </w:rPr>
                    <w:t>甲醛</w:t>
                  </w:r>
                </w:p>
              </w:tc>
              <w:tc>
                <w:tcPr>
                  <w:tcW w:w="1349" w:type="dxa"/>
                  <w:tcBorders>
                    <w:left w:val="single" w:color="auto" w:sz="6" w:space="0"/>
                    <w:bottom w:val="single" w:color="auto" w:sz="6" w:space="0"/>
                    <w:right w:val="single" w:color="auto" w:sz="6" w:space="0"/>
                  </w:tcBorders>
                  <w:vAlign w:val="center"/>
                </w:tcPr>
                <w:p w14:paraId="53F6746A">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25</w:t>
                  </w:r>
                </w:p>
              </w:tc>
              <w:tc>
                <w:tcPr>
                  <w:tcW w:w="1049" w:type="dxa"/>
                  <w:tcBorders>
                    <w:left w:val="single" w:color="auto" w:sz="6" w:space="0"/>
                    <w:bottom w:val="single" w:color="auto" w:sz="6" w:space="0"/>
                    <w:right w:val="single" w:color="auto" w:sz="6" w:space="0"/>
                  </w:tcBorders>
                  <w:vAlign w:val="center"/>
                </w:tcPr>
                <w:p w14:paraId="2FEEF968">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15</w:t>
                  </w:r>
                </w:p>
              </w:tc>
              <w:tc>
                <w:tcPr>
                  <w:tcW w:w="1199" w:type="dxa"/>
                  <w:tcBorders>
                    <w:left w:val="single" w:color="auto" w:sz="6" w:space="0"/>
                    <w:bottom w:val="single" w:color="auto" w:sz="6" w:space="0"/>
                    <w:right w:val="single" w:color="auto" w:sz="6" w:space="0"/>
                  </w:tcBorders>
                  <w:vAlign w:val="center"/>
                </w:tcPr>
                <w:p w14:paraId="43A700E3">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0.26</w:t>
                  </w:r>
                </w:p>
              </w:tc>
              <w:tc>
                <w:tcPr>
                  <w:tcW w:w="2671" w:type="dxa"/>
                  <w:tcBorders>
                    <w:top w:val="single" w:color="auto" w:sz="6" w:space="0"/>
                    <w:left w:val="single" w:color="auto" w:sz="6" w:space="0"/>
                    <w:bottom w:val="single" w:color="auto" w:sz="6" w:space="0"/>
                    <w:right w:val="single" w:color="auto" w:sz="6" w:space="0"/>
                  </w:tcBorders>
                  <w:vAlign w:val="center"/>
                </w:tcPr>
                <w:p w14:paraId="030B4290">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厂界监控点浓度限值</w:t>
                  </w:r>
                </w:p>
              </w:tc>
              <w:tc>
                <w:tcPr>
                  <w:tcW w:w="1036" w:type="dxa"/>
                  <w:tcBorders>
                    <w:top w:val="single" w:color="auto" w:sz="6" w:space="0"/>
                    <w:left w:val="single" w:color="auto" w:sz="6" w:space="0"/>
                    <w:bottom w:val="single" w:color="auto" w:sz="6" w:space="0"/>
                    <w:right w:val="single" w:color="auto" w:sz="6" w:space="0"/>
                  </w:tcBorders>
                  <w:vAlign w:val="center"/>
                </w:tcPr>
                <w:p w14:paraId="1E6C2A39">
                  <w:pPr>
                    <w:autoSpaceDE w:val="0"/>
                    <w:autoSpaceDN w:val="0"/>
                    <w:adjustRightInd w:val="0"/>
                    <w:jc w:val="center"/>
                    <w:rPr>
                      <w:rFonts w:hint="default" w:ascii="Times New Roman" w:hAnsi="Times New Roman" w:eastAsia="宋体" w:cs="Times New Roman"/>
                      <w:color w:val="auto"/>
                      <w:spacing w:val="6"/>
                      <w:kern w:val="2"/>
                      <w:sz w:val="18"/>
                      <w:szCs w:val="18"/>
                      <w:lang w:val="en-US" w:eastAsia="zh-CN" w:bidi="ar-SA"/>
                    </w:rPr>
                  </w:pPr>
                  <w:r>
                    <w:rPr>
                      <w:rFonts w:hint="default" w:ascii="Times New Roman" w:hAnsi="Times New Roman" w:cs="Times New Roman"/>
                      <w:color w:val="auto"/>
                      <w:spacing w:val="6"/>
                      <w:sz w:val="18"/>
                      <w:szCs w:val="18"/>
                      <w:lang w:val="en-US" w:eastAsia="zh-CN"/>
                    </w:rPr>
                    <w:t>0.</w:t>
                  </w:r>
                  <w:r>
                    <w:rPr>
                      <w:rFonts w:hint="eastAsia" w:cs="Times New Roman"/>
                      <w:color w:val="auto"/>
                      <w:spacing w:val="6"/>
                      <w:sz w:val="18"/>
                      <w:szCs w:val="18"/>
                      <w:lang w:val="en-US" w:eastAsia="zh-CN"/>
                    </w:rPr>
                    <w:t>05</w:t>
                  </w:r>
                </w:p>
              </w:tc>
            </w:tr>
            <w:tr w14:paraId="153FC6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026" w:type="dxa"/>
                  <w:tcBorders>
                    <w:left w:val="single" w:color="auto" w:sz="6" w:space="0"/>
                    <w:bottom w:val="single" w:color="auto" w:sz="6" w:space="0"/>
                    <w:right w:val="single" w:color="auto" w:sz="6" w:space="0"/>
                  </w:tcBorders>
                  <w:vAlign w:val="center"/>
                </w:tcPr>
                <w:p w14:paraId="0237496C">
                  <w:pPr>
                    <w:autoSpaceDE w:val="0"/>
                    <w:autoSpaceDN w:val="0"/>
                    <w:adjustRightInd w:val="0"/>
                    <w:jc w:val="center"/>
                    <w:rPr>
                      <w:rFonts w:hint="eastAsia" w:cs="Times New Roman"/>
                      <w:color w:val="auto"/>
                      <w:sz w:val="18"/>
                      <w:szCs w:val="18"/>
                      <w:lang w:eastAsia="zh-CN"/>
                    </w:rPr>
                  </w:pPr>
                  <w:r>
                    <w:rPr>
                      <w:rFonts w:hint="eastAsia" w:cs="Times New Roman"/>
                      <w:color w:val="auto"/>
                      <w:sz w:val="18"/>
                      <w:szCs w:val="18"/>
                      <w:lang w:eastAsia="zh-CN"/>
                    </w:rPr>
                    <w:t>酚类</w:t>
                  </w:r>
                </w:p>
              </w:tc>
              <w:tc>
                <w:tcPr>
                  <w:tcW w:w="1349" w:type="dxa"/>
                  <w:tcBorders>
                    <w:left w:val="single" w:color="auto" w:sz="6" w:space="0"/>
                    <w:bottom w:val="single" w:color="auto" w:sz="6" w:space="0"/>
                    <w:right w:val="single" w:color="auto" w:sz="6" w:space="0"/>
                  </w:tcBorders>
                  <w:vAlign w:val="center"/>
                </w:tcPr>
                <w:p w14:paraId="004ADAE0">
                  <w:pPr>
                    <w:autoSpaceDE w:val="0"/>
                    <w:autoSpaceDN w:val="0"/>
                    <w:adjustRightInd w:val="0"/>
                    <w:jc w:val="center"/>
                    <w:rPr>
                      <w:rFonts w:hint="default" w:cs="Times New Roman"/>
                      <w:color w:val="auto"/>
                      <w:sz w:val="18"/>
                      <w:szCs w:val="18"/>
                      <w:lang w:val="en-US" w:eastAsia="zh-CN"/>
                    </w:rPr>
                  </w:pPr>
                  <w:r>
                    <w:rPr>
                      <w:rFonts w:hint="eastAsia" w:cs="Times New Roman"/>
                      <w:color w:val="auto"/>
                      <w:sz w:val="18"/>
                      <w:szCs w:val="18"/>
                      <w:lang w:val="en-US" w:eastAsia="zh-CN"/>
                    </w:rPr>
                    <w:t>100</w:t>
                  </w:r>
                </w:p>
              </w:tc>
              <w:tc>
                <w:tcPr>
                  <w:tcW w:w="1049" w:type="dxa"/>
                  <w:tcBorders>
                    <w:left w:val="single" w:color="auto" w:sz="6" w:space="0"/>
                    <w:bottom w:val="single" w:color="auto" w:sz="6" w:space="0"/>
                    <w:right w:val="single" w:color="auto" w:sz="6" w:space="0"/>
                  </w:tcBorders>
                  <w:vAlign w:val="center"/>
                </w:tcPr>
                <w:p w14:paraId="794388BE">
                  <w:pPr>
                    <w:autoSpaceDE w:val="0"/>
                    <w:autoSpaceDN w:val="0"/>
                    <w:adjustRightInd w:val="0"/>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15</w:t>
                  </w:r>
                </w:p>
              </w:tc>
              <w:tc>
                <w:tcPr>
                  <w:tcW w:w="1199" w:type="dxa"/>
                  <w:tcBorders>
                    <w:left w:val="single" w:color="auto" w:sz="6" w:space="0"/>
                    <w:bottom w:val="single" w:color="auto" w:sz="6" w:space="0"/>
                    <w:right w:val="single" w:color="auto" w:sz="6" w:space="0"/>
                  </w:tcBorders>
                  <w:vAlign w:val="center"/>
                </w:tcPr>
                <w:p w14:paraId="686F9276">
                  <w:pPr>
                    <w:autoSpaceDE w:val="0"/>
                    <w:autoSpaceDN w:val="0"/>
                    <w:adjustRightInd w:val="0"/>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0.1</w:t>
                  </w:r>
                </w:p>
              </w:tc>
              <w:tc>
                <w:tcPr>
                  <w:tcW w:w="2671" w:type="dxa"/>
                  <w:tcBorders>
                    <w:top w:val="single" w:color="auto" w:sz="6" w:space="0"/>
                    <w:left w:val="single" w:color="auto" w:sz="6" w:space="0"/>
                    <w:bottom w:val="single" w:color="auto" w:sz="6" w:space="0"/>
                    <w:right w:val="single" w:color="auto" w:sz="6" w:space="0"/>
                  </w:tcBorders>
                  <w:vAlign w:val="center"/>
                </w:tcPr>
                <w:p w14:paraId="4A9F6DB2">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厂界监控点浓度限值</w:t>
                  </w:r>
                </w:p>
              </w:tc>
              <w:tc>
                <w:tcPr>
                  <w:tcW w:w="1036" w:type="dxa"/>
                  <w:tcBorders>
                    <w:top w:val="single" w:color="auto" w:sz="6" w:space="0"/>
                    <w:left w:val="single" w:color="auto" w:sz="6" w:space="0"/>
                    <w:bottom w:val="single" w:color="auto" w:sz="6" w:space="0"/>
                    <w:right w:val="single" w:color="auto" w:sz="6" w:space="0"/>
                  </w:tcBorders>
                  <w:vAlign w:val="center"/>
                </w:tcPr>
                <w:p w14:paraId="6E5179F1">
                  <w:pPr>
                    <w:autoSpaceDE w:val="0"/>
                    <w:autoSpaceDN w:val="0"/>
                    <w:adjustRightInd w:val="0"/>
                    <w:jc w:val="center"/>
                    <w:rPr>
                      <w:rFonts w:hint="default" w:ascii="Times New Roman" w:hAnsi="Times New Roman" w:cs="Times New Roman"/>
                      <w:color w:val="auto"/>
                      <w:spacing w:val="6"/>
                      <w:sz w:val="18"/>
                      <w:szCs w:val="18"/>
                      <w:lang w:val="en-US" w:eastAsia="zh-CN"/>
                    </w:rPr>
                  </w:pPr>
                  <w:r>
                    <w:rPr>
                      <w:rFonts w:hint="eastAsia" w:cs="Times New Roman"/>
                      <w:color w:val="auto"/>
                      <w:spacing w:val="6"/>
                      <w:sz w:val="18"/>
                      <w:szCs w:val="18"/>
                      <w:lang w:val="en-US" w:eastAsia="zh-CN"/>
                    </w:rPr>
                    <w:t>0.08</w:t>
                  </w:r>
                </w:p>
              </w:tc>
            </w:tr>
            <w:tr w14:paraId="6C79F4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026" w:type="dxa"/>
                  <w:tcBorders>
                    <w:left w:val="single" w:color="auto" w:sz="6" w:space="0"/>
                    <w:bottom w:val="single" w:color="auto" w:sz="4" w:space="0"/>
                    <w:right w:val="single" w:color="auto" w:sz="6" w:space="0"/>
                  </w:tcBorders>
                  <w:vAlign w:val="center"/>
                </w:tcPr>
                <w:p w14:paraId="3F63186A">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颗粒物</w:t>
                  </w:r>
                </w:p>
              </w:tc>
              <w:tc>
                <w:tcPr>
                  <w:tcW w:w="1349" w:type="dxa"/>
                  <w:tcBorders>
                    <w:left w:val="single" w:color="auto" w:sz="6" w:space="0"/>
                    <w:bottom w:val="single" w:color="auto" w:sz="4" w:space="0"/>
                    <w:right w:val="single" w:color="auto" w:sz="6" w:space="0"/>
                  </w:tcBorders>
                  <w:vAlign w:val="center"/>
                </w:tcPr>
                <w:p w14:paraId="27B5930C">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10</w:t>
                  </w:r>
                </w:p>
              </w:tc>
              <w:tc>
                <w:tcPr>
                  <w:tcW w:w="1049" w:type="dxa"/>
                  <w:tcBorders>
                    <w:left w:val="single" w:color="auto" w:sz="6" w:space="0"/>
                    <w:bottom w:val="single" w:color="auto" w:sz="4" w:space="0"/>
                    <w:right w:val="single" w:color="auto" w:sz="6" w:space="0"/>
                  </w:tcBorders>
                  <w:vAlign w:val="center"/>
                </w:tcPr>
                <w:p w14:paraId="6943B3B6">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15</w:t>
                  </w:r>
                </w:p>
              </w:tc>
              <w:tc>
                <w:tcPr>
                  <w:tcW w:w="1199" w:type="dxa"/>
                  <w:tcBorders>
                    <w:left w:val="single" w:color="auto" w:sz="6" w:space="0"/>
                    <w:bottom w:val="single" w:color="auto" w:sz="4" w:space="0"/>
                    <w:right w:val="single" w:color="auto" w:sz="6" w:space="0"/>
                  </w:tcBorders>
                  <w:vAlign w:val="center"/>
                </w:tcPr>
                <w:p w14:paraId="4CAF6B5C">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w:t>
                  </w:r>
                </w:p>
              </w:tc>
              <w:tc>
                <w:tcPr>
                  <w:tcW w:w="2671" w:type="dxa"/>
                  <w:tcBorders>
                    <w:top w:val="single" w:color="auto" w:sz="6" w:space="0"/>
                    <w:left w:val="single" w:color="auto" w:sz="6" w:space="0"/>
                    <w:bottom w:val="single" w:color="auto" w:sz="6" w:space="0"/>
                    <w:right w:val="single" w:color="auto" w:sz="6" w:space="0"/>
                  </w:tcBorders>
                  <w:vAlign w:val="center"/>
                </w:tcPr>
                <w:p w14:paraId="5FE7EB53">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厂界监控点浓度限值</w:t>
                  </w:r>
                </w:p>
              </w:tc>
              <w:tc>
                <w:tcPr>
                  <w:tcW w:w="1036" w:type="dxa"/>
                  <w:tcBorders>
                    <w:top w:val="single" w:color="auto" w:sz="6" w:space="0"/>
                    <w:left w:val="single" w:color="auto" w:sz="6" w:space="0"/>
                    <w:bottom w:val="single" w:color="auto" w:sz="6" w:space="0"/>
                    <w:right w:val="single" w:color="auto" w:sz="6" w:space="0"/>
                  </w:tcBorders>
                  <w:vAlign w:val="center"/>
                </w:tcPr>
                <w:p w14:paraId="7A88274B">
                  <w:pPr>
                    <w:autoSpaceDE w:val="0"/>
                    <w:autoSpaceDN w:val="0"/>
                    <w:adjustRightInd w:val="0"/>
                    <w:jc w:val="center"/>
                    <w:rPr>
                      <w:rFonts w:hint="eastAsia" w:ascii="Times New Roman" w:hAnsi="Times New Roman" w:eastAsia="宋体" w:cs="Times New Roman"/>
                      <w:color w:val="auto"/>
                      <w:spacing w:val="6"/>
                      <w:kern w:val="2"/>
                      <w:sz w:val="18"/>
                      <w:szCs w:val="18"/>
                      <w:lang w:val="en-US" w:eastAsia="zh-CN" w:bidi="ar-SA"/>
                    </w:rPr>
                  </w:pPr>
                  <w:r>
                    <w:rPr>
                      <w:rFonts w:hint="eastAsia" w:cs="Times New Roman"/>
                      <w:color w:val="auto"/>
                      <w:spacing w:val="6"/>
                      <w:sz w:val="18"/>
                      <w:szCs w:val="18"/>
                      <w:lang w:val="en-US" w:eastAsia="zh-CN"/>
                    </w:rPr>
                    <w:t>/</w:t>
                  </w:r>
                </w:p>
              </w:tc>
            </w:tr>
          </w:tbl>
          <w:p w14:paraId="1F77DA20">
            <w:pPr>
              <w:spacing w:line="420" w:lineRule="exact"/>
              <w:ind w:firstLine="422" w:firstLineChars="200"/>
              <w:rPr>
                <w:b/>
                <w:color w:val="auto"/>
              </w:rPr>
            </w:pPr>
            <w:r>
              <w:rPr>
                <w:b/>
                <w:color w:val="auto"/>
              </w:rPr>
              <w:t>3、固废</w:t>
            </w:r>
          </w:p>
          <w:p w14:paraId="2EFE1544">
            <w:pPr>
              <w:adjustRightInd w:val="0"/>
              <w:snapToGrid w:val="0"/>
              <w:spacing w:line="420" w:lineRule="exact"/>
              <w:ind w:firstLine="420" w:firstLineChars="200"/>
              <w:rPr>
                <w:color w:val="auto"/>
              </w:rPr>
            </w:pPr>
            <w:r>
              <w:rPr>
                <w:rFonts w:hint="default" w:ascii="Times New Roman" w:hAnsi="Times New Roman" w:cs="Times New Roman"/>
                <w:color w:val="auto"/>
                <w:szCs w:val="21"/>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rPr>
                <w:color w:val="auto"/>
              </w:rPr>
              <w:t>，</w:t>
            </w:r>
            <w:r>
              <w:rPr>
                <w:rFonts w:hint="eastAsia"/>
                <w:color w:val="auto"/>
                <w:lang w:eastAsia="zh-CN"/>
              </w:rPr>
              <w:t>危险废物执行</w:t>
            </w:r>
            <w:r>
              <w:rPr>
                <w:color w:val="auto"/>
              </w:rPr>
              <w:t>《危险废物贮存污染控制标准》（GB18597-20</w:t>
            </w:r>
            <w:r>
              <w:rPr>
                <w:rFonts w:hint="eastAsia"/>
                <w:color w:val="auto"/>
                <w:lang w:val="en-US" w:eastAsia="zh-CN"/>
              </w:rPr>
              <w:t>23</w:t>
            </w:r>
            <w:r>
              <w:rPr>
                <w:color w:val="auto"/>
              </w:rPr>
              <w:t>）及淄博市对固废处置的有关规定。</w:t>
            </w:r>
          </w:p>
          <w:p w14:paraId="0B03526E">
            <w:pPr>
              <w:adjustRightInd w:val="0"/>
              <w:snapToGrid w:val="0"/>
              <w:spacing w:line="420" w:lineRule="exact"/>
              <w:rPr>
                <w:rFonts w:hint="eastAsia"/>
                <w:color w:val="auto"/>
                <w:lang w:eastAsia="zh-CN"/>
              </w:rPr>
            </w:pPr>
          </w:p>
          <w:p w14:paraId="370A2421">
            <w:pPr>
              <w:adjustRightInd w:val="0"/>
              <w:snapToGrid w:val="0"/>
              <w:spacing w:line="420" w:lineRule="exact"/>
              <w:rPr>
                <w:rFonts w:hint="eastAsia"/>
                <w:color w:val="auto"/>
                <w:lang w:eastAsia="zh-CN"/>
              </w:rPr>
            </w:pPr>
          </w:p>
          <w:p w14:paraId="7228E2C5">
            <w:pPr>
              <w:adjustRightInd w:val="0"/>
              <w:snapToGrid w:val="0"/>
              <w:spacing w:line="420" w:lineRule="exact"/>
              <w:rPr>
                <w:rFonts w:hint="eastAsia"/>
                <w:color w:val="auto"/>
                <w:lang w:eastAsia="zh-CN"/>
              </w:rPr>
            </w:pPr>
          </w:p>
          <w:p w14:paraId="4A74B161">
            <w:pPr>
              <w:adjustRightInd w:val="0"/>
              <w:snapToGrid w:val="0"/>
              <w:spacing w:line="420" w:lineRule="exact"/>
              <w:rPr>
                <w:rFonts w:hint="eastAsia"/>
                <w:color w:val="auto"/>
                <w:lang w:eastAsia="zh-CN"/>
              </w:rPr>
            </w:pPr>
          </w:p>
          <w:p w14:paraId="3AEFD1D3">
            <w:pPr>
              <w:adjustRightInd w:val="0"/>
              <w:snapToGrid w:val="0"/>
              <w:spacing w:line="420" w:lineRule="exact"/>
              <w:rPr>
                <w:rFonts w:hint="eastAsia"/>
                <w:color w:val="auto"/>
                <w:lang w:eastAsia="zh-CN"/>
              </w:rPr>
            </w:pPr>
          </w:p>
          <w:p w14:paraId="78AEE6EE">
            <w:pPr>
              <w:adjustRightInd w:val="0"/>
              <w:snapToGrid w:val="0"/>
              <w:spacing w:line="420" w:lineRule="exact"/>
              <w:rPr>
                <w:rFonts w:hint="eastAsia"/>
                <w:color w:val="auto"/>
                <w:lang w:eastAsia="zh-CN"/>
              </w:rPr>
            </w:pPr>
          </w:p>
          <w:p w14:paraId="1EEE4E00">
            <w:pPr>
              <w:adjustRightInd w:val="0"/>
              <w:snapToGrid w:val="0"/>
              <w:spacing w:line="420" w:lineRule="exact"/>
              <w:rPr>
                <w:rFonts w:hint="eastAsia"/>
                <w:color w:val="auto"/>
                <w:lang w:eastAsia="zh-CN"/>
              </w:rPr>
            </w:pPr>
          </w:p>
          <w:p w14:paraId="4815AFF8">
            <w:pPr>
              <w:adjustRightInd w:val="0"/>
              <w:snapToGrid w:val="0"/>
              <w:spacing w:line="420" w:lineRule="exact"/>
              <w:rPr>
                <w:rFonts w:hint="eastAsia"/>
                <w:color w:val="auto"/>
                <w:lang w:eastAsia="zh-CN"/>
              </w:rPr>
            </w:pPr>
          </w:p>
          <w:p w14:paraId="3BA84D24">
            <w:pPr>
              <w:adjustRightInd w:val="0"/>
              <w:snapToGrid w:val="0"/>
              <w:spacing w:line="420" w:lineRule="exact"/>
              <w:rPr>
                <w:rFonts w:hint="eastAsia"/>
                <w:color w:val="auto"/>
                <w:lang w:eastAsia="zh-CN"/>
              </w:rPr>
            </w:pPr>
          </w:p>
          <w:p w14:paraId="3B1E6826">
            <w:pPr>
              <w:adjustRightInd w:val="0"/>
              <w:snapToGrid w:val="0"/>
              <w:spacing w:line="420" w:lineRule="exact"/>
              <w:rPr>
                <w:rFonts w:hint="eastAsia"/>
                <w:color w:val="auto"/>
                <w:lang w:eastAsia="zh-CN"/>
              </w:rPr>
            </w:pPr>
          </w:p>
          <w:p w14:paraId="018DB03D">
            <w:pPr>
              <w:adjustRightInd w:val="0"/>
              <w:snapToGrid w:val="0"/>
              <w:spacing w:line="420" w:lineRule="exact"/>
              <w:rPr>
                <w:rFonts w:hint="eastAsia"/>
                <w:color w:val="auto"/>
                <w:lang w:eastAsia="zh-CN"/>
              </w:rPr>
            </w:pPr>
          </w:p>
          <w:p w14:paraId="492BC430">
            <w:pPr>
              <w:adjustRightInd w:val="0"/>
              <w:snapToGrid w:val="0"/>
              <w:spacing w:line="420" w:lineRule="exact"/>
              <w:rPr>
                <w:rFonts w:hint="eastAsia"/>
                <w:color w:val="auto"/>
                <w:lang w:eastAsia="zh-CN"/>
              </w:rPr>
            </w:pPr>
          </w:p>
          <w:p w14:paraId="59F42BB8">
            <w:pPr>
              <w:adjustRightInd w:val="0"/>
              <w:snapToGrid w:val="0"/>
              <w:spacing w:line="420" w:lineRule="exact"/>
              <w:rPr>
                <w:rFonts w:hint="eastAsia"/>
                <w:color w:val="auto"/>
                <w:lang w:eastAsia="zh-CN"/>
              </w:rPr>
            </w:pPr>
          </w:p>
          <w:p w14:paraId="2619EE0E">
            <w:pPr>
              <w:adjustRightInd w:val="0"/>
              <w:snapToGrid w:val="0"/>
              <w:spacing w:line="420" w:lineRule="exact"/>
              <w:rPr>
                <w:rFonts w:hint="eastAsia" w:eastAsia="宋体"/>
                <w:color w:val="auto"/>
                <w:lang w:eastAsia="zh-CN"/>
              </w:rPr>
            </w:pPr>
          </w:p>
        </w:tc>
      </w:tr>
      <w:tr w14:paraId="0F6BF5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02" w:hRule="atLeast"/>
          <w:jc w:val="center"/>
        </w:trPr>
        <w:tc>
          <w:tcPr>
            <w:tcW w:w="800" w:type="dxa"/>
            <w:vAlign w:val="center"/>
          </w:tcPr>
          <w:p w14:paraId="0D6F7EE1">
            <w:pPr>
              <w:adjustRightInd w:val="0"/>
              <w:snapToGrid w:val="0"/>
              <w:spacing w:line="420" w:lineRule="exact"/>
              <w:jc w:val="center"/>
              <w:rPr>
                <w:color w:val="auto"/>
                <w:kern w:val="0"/>
                <w:highlight w:val="none"/>
              </w:rPr>
            </w:pPr>
            <w:r>
              <w:rPr>
                <w:color w:val="auto"/>
                <w:kern w:val="0"/>
                <w:highlight w:val="none"/>
              </w:rPr>
              <w:t>总量</w:t>
            </w:r>
          </w:p>
          <w:p w14:paraId="622126B1">
            <w:pPr>
              <w:adjustRightInd w:val="0"/>
              <w:snapToGrid w:val="0"/>
              <w:spacing w:line="420" w:lineRule="exact"/>
              <w:jc w:val="center"/>
              <w:rPr>
                <w:color w:val="auto"/>
                <w:kern w:val="0"/>
                <w:highlight w:val="none"/>
              </w:rPr>
            </w:pPr>
            <w:r>
              <w:rPr>
                <w:color w:val="auto"/>
                <w:kern w:val="0"/>
                <w:highlight w:val="none"/>
              </w:rPr>
              <w:t>控制</w:t>
            </w:r>
          </w:p>
          <w:p w14:paraId="0B599E85">
            <w:pPr>
              <w:adjustRightInd w:val="0"/>
              <w:snapToGrid w:val="0"/>
              <w:spacing w:line="420" w:lineRule="exact"/>
              <w:jc w:val="center"/>
              <w:rPr>
                <w:color w:val="auto"/>
                <w:kern w:val="0"/>
                <w:highlight w:val="none"/>
              </w:rPr>
            </w:pPr>
            <w:r>
              <w:rPr>
                <w:color w:val="auto"/>
                <w:kern w:val="0"/>
                <w:highlight w:val="none"/>
              </w:rPr>
              <w:t>指标</w:t>
            </w:r>
          </w:p>
        </w:tc>
        <w:tc>
          <w:tcPr>
            <w:tcW w:w="8190" w:type="dxa"/>
            <w:vAlign w:val="center"/>
          </w:tcPr>
          <w:p w14:paraId="2307629F">
            <w:pPr>
              <w:spacing w:line="360" w:lineRule="auto"/>
              <w:ind w:firstLine="420" w:firstLineChars="200"/>
              <w:rPr>
                <w:color w:val="auto"/>
                <w:highlight w:val="none"/>
              </w:rPr>
            </w:pPr>
          </w:p>
          <w:p w14:paraId="200C305B">
            <w:pPr>
              <w:spacing w:line="360" w:lineRule="auto"/>
              <w:ind w:firstLine="420" w:firstLineChars="200"/>
              <w:rPr>
                <w:color w:val="auto"/>
                <w:sz w:val="21"/>
                <w:szCs w:val="21"/>
                <w:highlight w:val="none"/>
              </w:rPr>
            </w:pPr>
            <w:r>
              <w:rPr>
                <w:color w:val="auto"/>
                <w:sz w:val="21"/>
                <w:szCs w:val="21"/>
                <w:highlight w:val="none"/>
              </w:rPr>
              <w:t>根据《山东省建设项目主要大气污染物排放总量替代指标核算及管理办法》（鲁环发[2019]132号），山东省二氧化硫、氮氧化物、烟粉尘、挥发性有机物四项大气污染物排放总量进行替代指标的核算。用于建设项目的“可替代总量指标”不得低于建设项目所需替代的主要大气污染物排放总量指标。上一年度环境空气质量年平均浓度达标的城市，相关污染物进行等量替代。上一年度环境空气质量年平均浓度不达标的城市，相关污染物应按照建设项目所需替代的污染物排放总量指标的2倍进行削减替代（燃煤发电机组大气污染物排放浓度达到超低排放标准的进行等量替代）。上一年度细颗粒物年平均浓度超标的设区的市，实行二氧化硫、氮氧化物、烟粉尘、挥发性有机物四项污染物排放总量指标2倍削减替代。</w:t>
            </w:r>
          </w:p>
          <w:p w14:paraId="498C670E">
            <w:pPr>
              <w:pStyle w:val="8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本项目废水主要为生活污水，经化粪池暂存后由环卫部门定期清运，因此无需申请总量。</w:t>
            </w:r>
          </w:p>
          <w:p w14:paraId="073AD27A">
            <w:pPr>
              <w:pStyle w:val="8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本项目营运期颗粒物有组织排放量为0.006t/a，VOCs有组织排放量为0.017t/a，因此需申请污染物总量指标：颗粒物0.006t/a，VOCs0.017t/a。</w:t>
            </w:r>
          </w:p>
          <w:p w14:paraId="5178A690">
            <w:pPr>
              <w:pStyle w:val="8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default"/>
                <w:color w:val="auto"/>
                <w:sz w:val="21"/>
                <w:szCs w:val="21"/>
                <w:highlight w:val="none"/>
                <w:lang w:val="en-US" w:eastAsia="zh-CN"/>
              </w:rPr>
            </w:pPr>
            <w:r>
              <w:rPr>
                <w:rFonts w:hint="eastAsia"/>
                <w:color w:val="auto"/>
                <w:sz w:val="21"/>
                <w:szCs w:val="21"/>
                <w:highlight w:val="none"/>
                <w:lang w:val="en-US" w:eastAsia="zh-CN"/>
              </w:rPr>
              <w:t>根据淄博市生态环境局《关于统筹使用“十四五”建设项目主要大气污染物总量指标的通知》（淄环函〔2021〕55号）规定，上一年度淄博市细颗粒物不达标，实行二氧化硫、氮氧化物、烟粉尘、挥发性有机物四项污染物排放总量指标2倍削减替代。该项目所需颗粒物按1：2比例替代，即需从现役污染源中调剂颗粒物0.012t/a，VOCs0.034t/a，方可达到污染物倍量替代要求。</w:t>
            </w:r>
          </w:p>
          <w:p w14:paraId="4A0FD694">
            <w:pPr>
              <w:spacing w:line="360" w:lineRule="auto"/>
              <w:ind w:firstLine="420" w:firstLineChars="200"/>
              <w:rPr>
                <w:rFonts w:hint="eastAsia"/>
                <w:color w:val="auto"/>
                <w:sz w:val="21"/>
                <w:szCs w:val="21"/>
                <w:highlight w:val="none"/>
                <w:lang w:val="en-US" w:eastAsia="zh-CN"/>
              </w:rPr>
            </w:pPr>
          </w:p>
          <w:p w14:paraId="6B763114">
            <w:pPr>
              <w:spacing w:line="360" w:lineRule="auto"/>
              <w:ind w:firstLine="420" w:firstLineChars="200"/>
              <w:rPr>
                <w:rFonts w:hint="eastAsia"/>
                <w:color w:val="auto"/>
                <w:sz w:val="21"/>
                <w:szCs w:val="21"/>
                <w:highlight w:val="none"/>
                <w:lang w:val="en-US" w:eastAsia="zh-CN"/>
              </w:rPr>
            </w:pPr>
          </w:p>
          <w:p w14:paraId="1ADF4407">
            <w:pPr>
              <w:pStyle w:val="82"/>
              <w:ind w:left="0" w:leftChars="0" w:firstLine="0" w:firstLineChars="0"/>
              <w:rPr>
                <w:color w:val="auto"/>
                <w:highlight w:val="none"/>
              </w:rPr>
            </w:pPr>
          </w:p>
        </w:tc>
      </w:tr>
    </w:tbl>
    <w:p w14:paraId="434F634D">
      <w:pPr>
        <w:pStyle w:val="77"/>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FF0000"/>
          <w:sz w:val="36"/>
          <w:szCs w:val="36"/>
        </w:rPr>
        <w:br w:type="page"/>
      </w:r>
      <w:r>
        <w:rPr>
          <w:rFonts w:ascii="Times New Roman" w:hAnsi="Times New Roman" w:eastAsia="黑体"/>
          <w:snapToGrid w:val="0"/>
          <w:color w:val="auto"/>
          <w:sz w:val="30"/>
          <w:szCs w:val="30"/>
        </w:rPr>
        <w:t>四、主要环境影响和保护措施</w:t>
      </w:r>
    </w:p>
    <w:tbl>
      <w:tblPr>
        <w:tblStyle w:val="83"/>
        <w:tblpPr w:leftFromText="180" w:rightFromText="180" w:vertAnchor="text" w:tblpXSpec="righ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8178"/>
      </w:tblGrid>
      <w:tr w14:paraId="3CF45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31" w:hRule="atLeast"/>
        </w:trPr>
        <w:tc>
          <w:tcPr>
            <w:tcW w:w="736" w:type="dxa"/>
            <w:vAlign w:val="center"/>
          </w:tcPr>
          <w:p w14:paraId="1A3D9AB0">
            <w:pPr>
              <w:adjustRightInd w:val="0"/>
              <w:snapToGrid w:val="0"/>
              <w:jc w:val="center"/>
              <w:rPr>
                <w:rFonts w:ascii="Times New Roman" w:hAnsi="Times New Roman"/>
                <w:color w:val="FF0000"/>
                <w:kern w:val="2"/>
                <w:sz w:val="21"/>
                <w:szCs w:val="21"/>
              </w:rPr>
            </w:pPr>
            <w:r>
              <w:rPr>
                <w:rFonts w:hint="default" w:ascii="Times New Roman" w:hAnsi="Times New Roman" w:cs="Times New Roman"/>
                <w:bCs/>
                <w:color w:val="auto"/>
                <w:sz w:val="21"/>
                <w:szCs w:val="21"/>
              </w:rPr>
              <w:t>施工期环境影响和保护措施</w:t>
            </w:r>
          </w:p>
        </w:tc>
        <w:tc>
          <w:tcPr>
            <w:tcW w:w="8178" w:type="dxa"/>
            <w:vAlign w:val="center"/>
          </w:tcPr>
          <w:p w14:paraId="6DED23C0">
            <w:pPr>
              <w:pStyle w:val="82"/>
              <w:ind w:left="0" w:leftChars="0" w:firstLine="420" w:firstLineChars="200"/>
              <w:rPr>
                <w:color w:val="FF0000"/>
                <w:sz w:val="21"/>
                <w:szCs w:val="21"/>
              </w:rPr>
            </w:pPr>
            <w:r>
              <w:rPr>
                <w:rFonts w:hint="default" w:ascii="Times New Roman" w:hAnsi="Times New Roman" w:cs="Times New Roman"/>
                <w:color w:val="auto"/>
                <w:sz w:val="21"/>
                <w:szCs w:val="21"/>
                <w:lang w:eastAsia="zh-CN"/>
              </w:rPr>
              <w:t>本项目</w:t>
            </w:r>
            <w:r>
              <w:rPr>
                <w:rFonts w:hint="default" w:ascii="Times New Roman" w:hAnsi="Times New Roman" w:cs="Times New Roman"/>
                <w:color w:val="auto"/>
                <w:sz w:val="21"/>
                <w:szCs w:val="21"/>
                <w:lang w:val="en-US" w:eastAsia="zh-CN"/>
              </w:rPr>
              <w:t>租赁</w:t>
            </w:r>
            <w:r>
              <w:rPr>
                <w:rFonts w:hint="default" w:ascii="Times New Roman" w:hAnsi="Times New Roman" w:cs="Times New Roman"/>
                <w:color w:val="auto"/>
                <w:sz w:val="21"/>
                <w:szCs w:val="21"/>
              </w:rPr>
              <w:t>现有厂房进行</w:t>
            </w:r>
            <w:r>
              <w:rPr>
                <w:rFonts w:hint="default" w:ascii="Times New Roman" w:hAnsi="Times New Roman" w:cs="Times New Roman"/>
                <w:color w:val="auto"/>
                <w:sz w:val="21"/>
                <w:szCs w:val="21"/>
                <w:lang w:val="en-US" w:eastAsia="zh-CN"/>
              </w:rPr>
              <w:t>建设</w:t>
            </w:r>
            <w:r>
              <w:rPr>
                <w:rFonts w:hint="default" w:ascii="Times New Roman" w:hAnsi="Times New Roman" w:cs="Times New Roman"/>
                <w:color w:val="auto"/>
                <w:sz w:val="21"/>
                <w:szCs w:val="21"/>
              </w:rPr>
              <w:t>，本项目施工期仅进行设备的安装，不需进行大型土木建设，施工期焊接和下料过程使用焊接烟尘净化器来处理废气，同时只要做好洒水降尘工作，基本不会产生扬尘。</w:t>
            </w:r>
            <w:r>
              <w:rPr>
                <w:rFonts w:hint="default" w:ascii="Times New Roman" w:hAnsi="Times New Roman" w:cs="Times New Roman"/>
                <w:color w:val="auto"/>
                <w:sz w:val="21"/>
                <w:szCs w:val="21"/>
                <w:lang w:eastAsia="zh-CN"/>
              </w:rPr>
              <w:t>本项目</w:t>
            </w:r>
            <w:r>
              <w:rPr>
                <w:rFonts w:hint="default" w:ascii="Times New Roman" w:hAnsi="Times New Roman" w:cs="Times New Roman"/>
                <w:color w:val="auto"/>
                <w:sz w:val="21"/>
                <w:szCs w:val="21"/>
              </w:rPr>
              <w:t>施工废水主要是施工人员的生活污水，经</w:t>
            </w:r>
            <w:r>
              <w:rPr>
                <w:rFonts w:hint="eastAsia" w:cs="Times New Roman"/>
                <w:color w:val="auto"/>
                <w:sz w:val="21"/>
                <w:szCs w:val="21"/>
                <w:lang w:eastAsia="zh-CN"/>
              </w:rPr>
              <w:t>化粪池</w:t>
            </w:r>
            <w:r>
              <w:rPr>
                <w:rFonts w:hint="default" w:ascii="Times New Roman" w:hAnsi="Times New Roman" w:cs="Times New Roman"/>
                <w:color w:val="auto"/>
                <w:sz w:val="21"/>
                <w:szCs w:val="21"/>
              </w:rPr>
              <w:t>收集处理后由环卫部门定期清运处理。同时设备安装过程会产生少量废焊丝、焊渣和金属边角料，均可作为废旧资源外售处理。施工期的污染影响随着施工期的结束而结束，工程量较小，对周围环境影响较小</w:t>
            </w:r>
            <w:r>
              <w:rPr>
                <w:rFonts w:hint="default" w:ascii="Times New Roman" w:hAnsi="Times New Roman" w:cs="Times New Roman"/>
                <w:color w:val="auto"/>
                <w:sz w:val="21"/>
                <w:szCs w:val="21"/>
                <w:highlight w:val="none"/>
                <w:lang w:eastAsia="zh-CN"/>
              </w:rPr>
              <w:t>。</w:t>
            </w:r>
          </w:p>
        </w:tc>
      </w:tr>
    </w:tbl>
    <w:p w14:paraId="078F7AA0">
      <w:pPr>
        <w:adjustRightInd w:val="0"/>
        <w:snapToGrid w:val="0"/>
        <w:spacing w:line="420" w:lineRule="exact"/>
        <w:rPr>
          <w:b/>
          <w:color w:val="FF0000"/>
          <w:kern w:val="0"/>
          <w:sz w:val="28"/>
          <w:szCs w:val="28"/>
        </w:rPr>
        <w:sectPr>
          <w:footerReference r:id="rId5" w:type="default"/>
          <w:pgSz w:w="11907" w:h="16840"/>
          <w:pgMar w:top="1701" w:right="1531" w:bottom="2127" w:left="1531" w:header="851" w:footer="1701" w:gutter="0"/>
          <w:cols w:space="720" w:num="1"/>
          <w:docGrid w:linePitch="312" w:charSpace="0"/>
        </w:sectPr>
      </w:pP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12807"/>
      </w:tblGrid>
      <w:tr w14:paraId="0A0EA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845" w:type="dxa"/>
            <w:vAlign w:val="center"/>
          </w:tcPr>
          <w:p w14:paraId="47AD4EF4">
            <w:pPr>
              <w:adjustRightInd w:val="0"/>
              <w:snapToGrid w:val="0"/>
              <w:spacing w:line="420" w:lineRule="exact"/>
              <w:jc w:val="center"/>
              <w:rPr>
                <w:bCs/>
                <w:color w:val="auto"/>
              </w:rPr>
            </w:pPr>
            <w:r>
              <w:rPr>
                <w:bCs/>
                <w:color w:val="auto"/>
              </w:rPr>
              <w:t>运营</w:t>
            </w:r>
          </w:p>
          <w:p w14:paraId="64076865">
            <w:pPr>
              <w:adjustRightInd w:val="0"/>
              <w:snapToGrid w:val="0"/>
              <w:spacing w:line="420" w:lineRule="exact"/>
              <w:jc w:val="center"/>
              <w:rPr>
                <w:bCs/>
                <w:color w:val="auto"/>
              </w:rPr>
            </w:pPr>
            <w:r>
              <w:rPr>
                <w:bCs/>
                <w:color w:val="auto"/>
              </w:rPr>
              <w:t>期环</w:t>
            </w:r>
          </w:p>
          <w:p w14:paraId="286DFFC8">
            <w:pPr>
              <w:adjustRightInd w:val="0"/>
              <w:snapToGrid w:val="0"/>
              <w:spacing w:line="420" w:lineRule="exact"/>
              <w:jc w:val="center"/>
              <w:rPr>
                <w:bCs/>
                <w:color w:val="auto"/>
              </w:rPr>
            </w:pPr>
            <w:r>
              <w:rPr>
                <w:bCs/>
                <w:color w:val="auto"/>
              </w:rPr>
              <w:t>境影</w:t>
            </w:r>
          </w:p>
          <w:p w14:paraId="1E5C83CC">
            <w:pPr>
              <w:adjustRightInd w:val="0"/>
              <w:snapToGrid w:val="0"/>
              <w:spacing w:line="420" w:lineRule="exact"/>
              <w:jc w:val="center"/>
              <w:rPr>
                <w:bCs/>
                <w:color w:val="auto"/>
              </w:rPr>
            </w:pPr>
            <w:r>
              <w:rPr>
                <w:bCs/>
                <w:color w:val="auto"/>
              </w:rPr>
              <w:t>响和</w:t>
            </w:r>
          </w:p>
          <w:p w14:paraId="3FBF2D50">
            <w:pPr>
              <w:adjustRightInd w:val="0"/>
              <w:snapToGrid w:val="0"/>
              <w:spacing w:line="420" w:lineRule="exact"/>
              <w:jc w:val="center"/>
              <w:rPr>
                <w:bCs/>
                <w:color w:val="auto"/>
              </w:rPr>
            </w:pPr>
            <w:r>
              <w:rPr>
                <w:bCs/>
                <w:color w:val="auto"/>
              </w:rPr>
              <w:t>保护</w:t>
            </w:r>
          </w:p>
          <w:p w14:paraId="52526D7A">
            <w:pPr>
              <w:adjustRightInd w:val="0"/>
              <w:snapToGrid w:val="0"/>
              <w:spacing w:line="420" w:lineRule="exact"/>
              <w:jc w:val="center"/>
              <w:rPr>
                <w:color w:val="FF0000"/>
              </w:rPr>
            </w:pPr>
            <w:r>
              <w:rPr>
                <w:bCs/>
                <w:color w:val="auto"/>
              </w:rPr>
              <w:t>措施</w:t>
            </w:r>
          </w:p>
        </w:tc>
        <w:tc>
          <w:tcPr>
            <w:tcW w:w="12807" w:type="dxa"/>
          </w:tcPr>
          <w:p w14:paraId="02A8023C">
            <w:pPr>
              <w:pStyle w:val="381"/>
              <w:ind w:firstLine="422"/>
              <w:rPr>
                <w:b/>
                <w:bCs/>
                <w:color w:val="auto"/>
                <w:sz w:val="21"/>
              </w:rPr>
            </w:pPr>
            <w:r>
              <w:rPr>
                <w:b/>
                <w:bCs/>
                <w:color w:val="auto"/>
                <w:sz w:val="21"/>
              </w:rPr>
              <w:t>一、大气污染物</w:t>
            </w:r>
          </w:p>
          <w:p w14:paraId="48538C14">
            <w:pPr>
              <w:pStyle w:val="82"/>
              <w:ind w:firstLine="422"/>
              <w:jc w:val="left"/>
              <w:rPr>
                <w:b/>
                <w:bCs/>
                <w:color w:val="auto"/>
                <w:szCs w:val="21"/>
              </w:rPr>
            </w:pPr>
            <w:r>
              <w:rPr>
                <w:b/>
                <w:bCs/>
                <w:color w:val="auto"/>
                <w:szCs w:val="21"/>
              </w:rPr>
              <w:t>（一）产排污环节、污染物及污染治理设施</w:t>
            </w:r>
          </w:p>
          <w:p w14:paraId="36DCD200">
            <w:pPr>
              <w:jc w:val="center"/>
              <w:rPr>
                <w:b/>
                <w:bCs/>
                <w:color w:val="auto"/>
              </w:rPr>
            </w:pPr>
            <w:r>
              <w:rPr>
                <w:b/>
                <w:bCs/>
                <w:color w:val="auto"/>
              </w:rPr>
              <w:t>表 4-</w:t>
            </w:r>
            <w:r>
              <w:rPr>
                <w:rFonts w:hint="eastAsia"/>
                <w:b/>
                <w:bCs/>
                <w:color w:val="auto"/>
                <w:lang w:val="en-US" w:eastAsia="zh-CN"/>
              </w:rPr>
              <w:t>1</w:t>
            </w:r>
            <w:r>
              <w:rPr>
                <w:b/>
                <w:bCs/>
                <w:color w:val="auto"/>
              </w:rPr>
              <w:t>废气产排污节点、污染物及污染治理设施信息表</w:t>
            </w:r>
          </w:p>
          <w:tbl>
            <w:tblPr>
              <w:tblStyle w:val="83"/>
              <w:tblW w:w="49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1"/>
              <w:gridCol w:w="502"/>
              <w:gridCol w:w="765"/>
              <w:gridCol w:w="775"/>
              <w:gridCol w:w="920"/>
              <w:gridCol w:w="786"/>
              <w:gridCol w:w="651"/>
              <w:gridCol w:w="866"/>
              <w:gridCol w:w="651"/>
              <w:gridCol w:w="623"/>
              <w:gridCol w:w="776"/>
              <w:gridCol w:w="934"/>
              <w:gridCol w:w="753"/>
              <w:gridCol w:w="785"/>
              <w:gridCol w:w="946"/>
              <w:gridCol w:w="784"/>
            </w:tblGrid>
            <w:tr w14:paraId="7D733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931" w:type="dxa"/>
                  <w:vMerge w:val="restart"/>
                  <w:vAlign w:val="center"/>
                </w:tcPr>
                <w:p w14:paraId="1AC875DE">
                  <w:pPr>
                    <w:spacing w:line="240" w:lineRule="exact"/>
                    <w:jc w:val="center"/>
                    <w:rPr>
                      <w:b/>
                      <w:bCs/>
                      <w:color w:val="auto"/>
                      <w:sz w:val="18"/>
                      <w:szCs w:val="18"/>
                    </w:rPr>
                  </w:pPr>
                  <w:r>
                    <w:rPr>
                      <w:b/>
                      <w:bCs/>
                      <w:color w:val="auto"/>
                      <w:sz w:val="18"/>
                      <w:szCs w:val="18"/>
                    </w:rPr>
                    <w:t>产污环节</w:t>
                  </w:r>
                </w:p>
              </w:tc>
              <w:tc>
                <w:tcPr>
                  <w:tcW w:w="502" w:type="dxa"/>
                  <w:vMerge w:val="restart"/>
                  <w:vAlign w:val="center"/>
                </w:tcPr>
                <w:p w14:paraId="70CE178B">
                  <w:pPr>
                    <w:spacing w:line="240" w:lineRule="exact"/>
                    <w:jc w:val="center"/>
                    <w:rPr>
                      <w:b/>
                      <w:bCs/>
                      <w:color w:val="auto"/>
                      <w:sz w:val="18"/>
                      <w:szCs w:val="18"/>
                    </w:rPr>
                  </w:pPr>
                  <w:r>
                    <w:rPr>
                      <w:b/>
                      <w:bCs/>
                      <w:color w:val="auto"/>
                      <w:sz w:val="18"/>
                      <w:szCs w:val="18"/>
                    </w:rPr>
                    <w:t>排放形式</w:t>
                  </w:r>
                </w:p>
              </w:tc>
              <w:tc>
                <w:tcPr>
                  <w:tcW w:w="765" w:type="dxa"/>
                  <w:vMerge w:val="restart"/>
                  <w:vAlign w:val="center"/>
                </w:tcPr>
                <w:p w14:paraId="4C74423D">
                  <w:pPr>
                    <w:spacing w:line="240" w:lineRule="exact"/>
                    <w:jc w:val="center"/>
                    <w:rPr>
                      <w:b/>
                      <w:bCs/>
                      <w:color w:val="auto"/>
                      <w:sz w:val="18"/>
                      <w:szCs w:val="18"/>
                    </w:rPr>
                  </w:pPr>
                  <w:r>
                    <w:rPr>
                      <w:b/>
                      <w:bCs/>
                      <w:color w:val="auto"/>
                      <w:sz w:val="18"/>
                      <w:szCs w:val="18"/>
                    </w:rPr>
                    <w:t>污染物</w:t>
                  </w:r>
                </w:p>
                <w:p w14:paraId="5D9BA0D7">
                  <w:pPr>
                    <w:spacing w:line="240" w:lineRule="exact"/>
                    <w:jc w:val="center"/>
                    <w:rPr>
                      <w:b/>
                      <w:bCs/>
                      <w:color w:val="auto"/>
                      <w:sz w:val="18"/>
                      <w:szCs w:val="18"/>
                    </w:rPr>
                  </w:pPr>
                  <w:r>
                    <w:rPr>
                      <w:b/>
                      <w:bCs/>
                      <w:color w:val="auto"/>
                      <w:sz w:val="18"/>
                      <w:szCs w:val="18"/>
                    </w:rPr>
                    <w:t>种类</w:t>
                  </w:r>
                </w:p>
              </w:tc>
              <w:tc>
                <w:tcPr>
                  <w:tcW w:w="1695" w:type="dxa"/>
                  <w:gridSpan w:val="2"/>
                  <w:vAlign w:val="center"/>
                </w:tcPr>
                <w:p w14:paraId="26143C31">
                  <w:pPr>
                    <w:spacing w:line="240" w:lineRule="exact"/>
                    <w:jc w:val="center"/>
                    <w:rPr>
                      <w:b/>
                      <w:bCs/>
                      <w:color w:val="auto"/>
                      <w:sz w:val="18"/>
                      <w:szCs w:val="18"/>
                    </w:rPr>
                  </w:pPr>
                  <w:r>
                    <w:rPr>
                      <w:b/>
                      <w:bCs/>
                      <w:color w:val="auto"/>
                      <w:sz w:val="18"/>
                      <w:szCs w:val="18"/>
                    </w:rPr>
                    <w:t>污染物产生</w:t>
                  </w:r>
                </w:p>
              </w:tc>
              <w:tc>
                <w:tcPr>
                  <w:tcW w:w="3577" w:type="dxa"/>
                  <w:gridSpan w:val="5"/>
                  <w:vAlign w:val="center"/>
                </w:tcPr>
                <w:p w14:paraId="06E03659">
                  <w:pPr>
                    <w:spacing w:line="240" w:lineRule="exact"/>
                    <w:jc w:val="center"/>
                    <w:rPr>
                      <w:b/>
                      <w:bCs/>
                      <w:color w:val="auto"/>
                      <w:sz w:val="18"/>
                      <w:szCs w:val="18"/>
                    </w:rPr>
                  </w:pPr>
                  <w:r>
                    <w:rPr>
                      <w:b/>
                      <w:bCs/>
                      <w:color w:val="auto"/>
                      <w:sz w:val="18"/>
                      <w:szCs w:val="18"/>
                    </w:rPr>
                    <w:t>治理设施</w:t>
                  </w:r>
                </w:p>
              </w:tc>
              <w:tc>
                <w:tcPr>
                  <w:tcW w:w="3248" w:type="dxa"/>
                  <w:gridSpan w:val="4"/>
                </w:tcPr>
                <w:p w14:paraId="1C679956">
                  <w:pPr>
                    <w:spacing w:line="240" w:lineRule="exact"/>
                    <w:jc w:val="center"/>
                    <w:rPr>
                      <w:b/>
                      <w:bCs/>
                      <w:color w:val="auto"/>
                      <w:sz w:val="18"/>
                      <w:szCs w:val="18"/>
                    </w:rPr>
                  </w:pPr>
                  <w:r>
                    <w:rPr>
                      <w:b/>
                      <w:bCs/>
                      <w:color w:val="auto"/>
                      <w:sz w:val="18"/>
                      <w:szCs w:val="18"/>
                    </w:rPr>
                    <w:t>污染物排放</w:t>
                  </w:r>
                </w:p>
              </w:tc>
              <w:tc>
                <w:tcPr>
                  <w:tcW w:w="1730" w:type="dxa"/>
                  <w:gridSpan w:val="2"/>
                  <w:vAlign w:val="center"/>
                </w:tcPr>
                <w:p w14:paraId="717F3FE5">
                  <w:pPr>
                    <w:spacing w:line="240" w:lineRule="exact"/>
                    <w:jc w:val="center"/>
                    <w:rPr>
                      <w:b/>
                      <w:bCs/>
                      <w:color w:val="auto"/>
                      <w:sz w:val="18"/>
                      <w:szCs w:val="18"/>
                    </w:rPr>
                  </w:pPr>
                  <w:r>
                    <w:rPr>
                      <w:b/>
                      <w:bCs/>
                      <w:color w:val="auto"/>
                      <w:sz w:val="18"/>
                      <w:szCs w:val="18"/>
                    </w:rPr>
                    <w:t>标准限值</w:t>
                  </w:r>
                </w:p>
              </w:tc>
            </w:tr>
            <w:tr w14:paraId="27556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9" w:hRule="atLeast"/>
                <w:jc w:val="center"/>
              </w:trPr>
              <w:tc>
                <w:tcPr>
                  <w:tcW w:w="931" w:type="dxa"/>
                  <w:vMerge w:val="continue"/>
                  <w:vAlign w:val="center"/>
                </w:tcPr>
                <w:p w14:paraId="5B9FB9B4">
                  <w:pPr>
                    <w:spacing w:line="240" w:lineRule="exact"/>
                    <w:jc w:val="center"/>
                    <w:rPr>
                      <w:b/>
                      <w:bCs/>
                      <w:color w:val="auto"/>
                      <w:sz w:val="18"/>
                      <w:szCs w:val="18"/>
                    </w:rPr>
                  </w:pPr>
                </w:p>
              </w:tc>
              <w:tc>
                <w:tcPr>
                  <w:tcW w:w="502" w:type="dxa"/>
                  <w:vMerge w:val="continue"/>
                  <w:vAlign w:val="center"/>
                </w:tcPr>
                <w:p w14:paraId="0BC08A50">
                  <w:pPr>
                    <w:spacing w:line="240" w:lineRule="exact"/>
                    <w:jc w:val="center"/>
                    <w:rPr>
                      <w:b/>
                      <w:bCs/>
                      <w:color w:val="auto"/>
                      <w:sz w:val="18"/>
                      <w:szCs w:val="18"/>
                    </w:rPr>
                  </w:pPr>
                </w:p>
              </w:tc>
              <w:tc>
                <w:tcPr>
                  <w:tcW w:w="765" w:type="dxa"/>
                  <w:vMerge w:val="continue"/>
                  <w:vAlign w:val="center"/>
                </w:tcPr>
                <w:p w14:paraId="5DAC7C54">
                  <w:pPr>
                    <w:spacing w:line="240" w:lineRule="exact"/>
                    <w:jc w:val="center"/>
                    <w:rPr>
                      <w:b/>
                      <w:bCs/>
                      <w:color w:val="auto"/>
                      <w:sz w:val="18"/>
                      <w:szCs w:val="18"/>
                    </w:rPr>
                  </w:pPr>
                </w:p>
              </w:tc>
              <w:tc>
                <w:tcPr>
                  <w:tcW w:w="775" w:type="dxa"/>
                  <w:vAlign w:val="center"/>
                </w:tcPr>
                <w:p w14:paraId="7BC981E8">
                  <w:pPr>
                    <w:spacing w:line="240" w:lineRule="exact"/>
                    <w:jc w:val="center"/>
                    <w:rPr>
                      <w:b/>
                      <w:bCs/>
                      <w:color w:val="auto"/>
                      <w:sz w:val="18"/>
                      <w:szCs w:val="18"/>
                    </w:rPr>
                  </w:pPr>
                  <w:r>
                    <w:rPr>
                      <w:b/>
                      <w:bCs/>
                      <w:color w:val="auto"/>
                      <w:sz w:val="18"/>
                      <w:szCs w:val="18"/>
                    </w:rPr>
                    <w:t>产生量（t/a）</w:t>
                  </w:r>
                </w:p>
              </w:tc>
              <w:tc>
                <w:tcPr>
                  <w:tcW w:w="920" w:type="dxa"/>
                  <w:vAlign w:val="center"/>
                </w:tcPr>
                <w:p w14:paraId="58469774">
                  <w:pPr>
                    <w:spacing w:line="240" w:lineRule="exact"/>
                    <w:jc w:val="center"/>
                    <w:rPr>
                      <w:b/>
                      <w:bCs/>
                      <w:color w:val="auto"/>
                      <w:sz w:val="18"/>
                      <w:szCs w:val="18"/>
                    </w:rPr>
                  </w:pPr>
                  <w:r>
                    <w:rPr>
                      <w:b/>
                      <w:bCs/>
                      <w:color w:val="auto"/>
                      <w:sz w:val="18"/>
                      <w:szCs w:val="18"/>
                    </w:rPr>
                    <w:t>产生浓度（mg/m</w:t>
                  </w:r>
                  <w:r>
                    <w:rPr>
                      <w:b/>
                      <w:bCs/>
                      <w:color w:val="auto"/>
                      <w:sz w:val="18"/>
                      <w:szCs w:val="18"/>
                      <w:vertAlign w:val="superscript"/>
                    </w:rPr>
                    <w:t>3</w:t>
                  </w:r>
                  <w:r>
                    <w:rPr>
                      <w:b/>
                      <w:bCs/>
                      <w:color w:val="auto"/>
                      <w:sz w:val="18"/>
                      <w:szCs w:val="18"/>
                    </w:rPr>
                    <w:t>）</w:t>
                  </w:r>
                </w:p>
              </w:tc>
              <w:tc>
                <w:tcPr>
                  <w:tcW w:w="786" w:type="dxa"/>
                  <w:vAlign w:val="center"/>
                </w:tcPr>
                <w:p w14:paraId="2E0E7F80">
                  <w:pPr>
                    <w:spacing w:line="240" w:lineRule="exact"/>
                    <w:jc w:val="center"/>
                    <w:rPr>
                      <w:b/>
                      <w:bCs/>
                      <w:color w:val="auto"/>
                      <w:sz w:val="18"/>
                      <w:szCs w:val="18"/>
                    </w:rPr>
                  </w:pPr>
                  <w:r>
                    <w:rPr>
                      <w:b/>
                      <w:bCs/>
                      <w:color w:val="auto"/>
                      <w:sz w:val="18"/>
                      <w:szCs w:val="18"/>
                    </w:rPr>
                    <w:t>处理能力（m</w:t>
                  </w:r>
                  <w:r>
                    <w:rPr>
                      <w:b/>
                      <w:bCs/>
                      <w:color w:val="auto"/>
                      <w:sz w:val="18"/>
                      <w:szCs w:val="18"/>
                      <w:vertAlign w:val="superscript"/>
                    </w:rPr>
                    <w:t>3</w:t>
                  </w:r>
                  <w:r>
                    <w:rPr>
                      <w:b/>
                      <w:bCs/>
                      <w:color w:val="auto"/>
                      <w:sz w:val="18"/>
                      <w:szCs w:val="18"/>
                    </w:rPr>
                    <w:t>/h）</w:t>
                  </w:r>
                </w:p>
              </w:tc>
              <w:tc>
                <w:tcPr>
                  <w:tcW w:w="651" w:type="dxa"/>
                  <w:vAlign w:val="center"/>
                </w:tcPr>
                <w:p w14:paraId="5F5777F2">
                  <w:pPr>
                    <w:spacing w:line="240" w:lineRule="exact"/>
                    <w:jc w:val="center"/>
                    <w:rPr>
                      <w:b/>
                      <w:bCs/>
                      <w:color w:val="auto"/>
                      <w:sz w:val="18"/>
                      <w:szCs w:val="18"/>
                    </w:rPr>
                  </w:pPr>
                  <w:r>
                    <w:rPr>
                      <w:b/>
                      <w:bCs/>
                      <w:color w:val="auto"/>
                      <w:sz w:val="18"/>
                      <w:szCs w:val="18"/>
                    </w:rPr>
                    <w:t>收集率（%）</w:t>
                  </w:r>
                </w:p>
              </w:tc>
              <w:tc>
                <w:tcPr>
                  <w:tcW w:w="866" w:type="dxa"/>
                  <w:vAlign w:val="center"/>
                </w:tcPr>
                <w:p w14:paraId="03D62FEE">
                  <w:pPr>
                    <w:spacing w:line="240" w:lineRule="exact"/>
                    <w:jc w:val="center"/>
                    <w:rPr>
                      <w:b/>
                      <w:bCs/>
                      <w:color w:val="auto"/>
                      <w:sz w:val="18"/>
                      <w:szCs w:val="18"/>
                    </w:rPr>
                  </w:pPr>
                  <w:r>
                    <w:rPr>
                      <w:b/>
                      <w:bCs/>
                      <w:color w:val="auto"/>
                      <w:sz w:val="18"/>
                      <w:szCs w:val="18"/>
                    </w:rPr>
                    <w:t>治理工艺</w:t>
                  </w:r>
                </w:p>
              </w:tc>
              <w:tc>
                <w:tcPr>
                  <w:tcW w:w="651" w:type="dxa"/>
                  <w:vAlign w:val="center"/>
                </w:tcPr>
                <w:p w14:paraId="4C08C499">
                  <w:pPr>
                    <w:spacing w:line="240" w:lineRule="exact"/>
                    <w:jc w:val="center"/>
                    <w:rPr>
                      <w:b/>
                      <w:bCs/>
                      <w:color w:val="auto"/>
                      <w:sz w:val="18"/>
                      <w:szCs w:val="18"/>
                    </w:rPr>
                  </w:pPr>
                  <w:r>
                    <w:rPr>
                      <w:b/>
                      <w:bCs/>
                      <w:color w:val="auto"/>
                      <w:sz w:val="18"/>
                      <w:szCs w:val="18"/>
                    </w:rPr>
                    <w:t>去除率（%）</w:t>
                  </w:r>
                </w:p>
              </w:tc>
              <w:tc>
                <w:tcPr>
                  <w:tcW w:w="623" w:type="dxa"/>
                  <w:vAlign w:val="center"/>
                </w:tcPr>
                <w:p w14:paraId="09D9DCAA">
                  <w:pPr>
                    <w:spacing w:line="240" w:lineRule="exact"/>
                    <w:jc w:val="center"/>
                    <w:rPr>
                      <w:b/>
                      <w:bCs/>
                      <w:color w:val="auto"/>
                      <w:sz w:val="18"/>
                      <w:szCs w:val="18"/>
                    </w:rPr>
                  </w:pPr>
                  <w:r>
                    <w:rPr>
                      <w:b/>
                      <w:bCs/>
                      <w:color w:val="auto"/>
                      <w:sz w:val="18"/>
                      <w:szCs w:val="18"/>
                    </w:rPr>
                    <w:t>是否为可行技术</w:t>
                  </w:r>
                </w:p>
              </w:tc>
              <w:tc>
                <w:tcPr>
                  <w:tcW w:w="776" w:type="dxa"/>
                  <w:vAlign w:val="center"/>
                </w:tcPr>
                <w:p w14:paraId="7D29B453">
                  <w:pPr>
                    <w:spacing w:line="240" w:lineRule="exact"/>
                    <w:jc w:val="center"/>
                    <w:rPr>
                      <w:b/>
                      <w:bCs/>
                      <w:color w:val="auto"/>
                      <w:sz w:val="18"/>
                      <w:szCs w:val="18"/>
                    </w:rPr>
                  </w:pPr>
                  <w:r>
                    <w:rPr>
                      <w:b/>
                      <w:bCs/>
                      <w:color w:val="auto"/>
                      <w:sz w:val="18"/>
                      <w:szCs w:val="18"/>
                    </w:rPr>
                    <w:t>排放量（t/a）</w:t>
                  </w:r>
                </w:p>
              </w:tc>
              <w:tc>
                <w:tcPr>
                  <w:tcW w:w="934" w:type="dxa"/>
                  <w:vAlign w:val="center"/>
                </w:tcPr>
                <w:p w14:paraId="53161505">
                  <w:pPr>
                    <w:spacing w:line="240" w:lineRule="exact"/>
                    <w:jc w:val="center"/>
                    <w:rPr>
                      <w:b/>
                      <w:bCs/>
                      <w:color w:val="auto"/>
                      <w:sz w:val="18"/>
                      <w:szCs w:val="18"/>
                    </w:rPr>
                  </w:pPr>
                  <w:r>
                    <w:rPr>
                      <w:b/>
                      <w:bCs/>
                      <w:color w:val="auto"/>
                      <w:sz w:val="18"/>
                      <w:szCs w:val="18"/>
                    </w:rPr>
                    <w:t>排放浓度（mg/m</w:t>
                  </w:r>
                  <w:r>
                    <w:rPr>
                      <w:b/>
                      <w:bCs/>
                      <w:color w:val="auto"/>
                      <w:sz w:val="18"/>
                      <w:szCs w:val="18"/>
                      <w:vertAlign w:val="superscript"/>
                    </w:rPr>
                    <w:t>3</w:t>
                  </w:r>
                  <w:r>
                    <w:rPr>
                      <w:b/>
                      <w:bCs/>
                      <w:color w:val="auto"/>
                      <w:sz w:val="18"/>
                      <w:szCs w:val="18"/>
                    </w:rPr>
                    <w:t>）</w:t>
                  </w:r>
                </w:p>
              </w:tc>
              <w:tc>
                <w:tcPr>
                  <w:tcW w:w="753" w:type="dxa"/>
                  <w:vAlign w:val="center"/>
                </w:tcPr>
                <w:p w14:paraId="51DF7BAD">
                  <w:pPr>
                    <w:spacing w:line="240" w:lineRule="exact"/>
                    <w:jc w:val="center"/>
                    <w:rPr>
                      <w:b/>
                      <w:bCs/>
                      <w:color w:val="auto"/>
                      <w:sz w:val="18"/>
                      <w:szCs w:val="18"/>
                    </w:rPr>
                  </w:pPr>
                  <w:r>
                    <w:rPr>
                      <w:b/>
                      <w:bCs/>
                      <w:color w:val="auto"/>
                      <w:sz w:val="18"/>
                      <w:szCs w:val="18"/>
                    </w:rPr>
                    <w:t>排放速率（kg/h）</w:t>
                  </w:r>
                </w:p>
              </w:tc>
              <w:tc>
                <w:tcPr>
                  <w:tcW w:w="785" w:type="dxa"/>
                  <w:vAlign w:val="center"/>
                </w:tcPr>
                <w:p w14:paraId="295AEA59">
                  <w:pPr>
                    <w:spacing w:line="240" w:lineRule="exact"/>
                    <w:jc w:val="center"/>
                    <w:rPr>
                      <w:b/>
                      <w:bCs/>
                      <w:color w:val="auto"/>
                      <w:sz w:val="18"/>
                      <w:szCs w:val="18"/>
                    </w:rPr>
                  </w:pPr>
                  <w:r>
                    <w:rPr>
                      <w:b/>
                      <w:bCs/>
                      <w:color w:val="auto"/>
                      <w:sz w:val="18"/>
                      <w:szCs w:val="18"/>
                    </w:rPr>
                    <w:t>排放时间（h）</w:t>
                  </w:r>
                </w:p>
              </w:tc>
              <w:tc>
                <w:tcPr>
                  <w:tcW w:w="946" w:type="dxa"/>
                  <w:vAlign w:val="center"/>
                </w:tcPr>
                <w:p w14:paraId="47AED192">
                  <w:pPr>
                    <w:spacing w:line="240" w:lineRule="exact"/>
                    <w:jc w:val="center"/>
                    <w:rPr>
                      <w:b/>
                      <w:bCs/>
                      <w:color w:val="auto"/>
                      <w:sz w:val="18"/>
                      <w:szCs w:val="18"/>
                    </w:rPr>
                  </w:pPr>
                  <w:r>
                    <w:rPr>
                      <w:b/>
                      <w:bCs/>
                      <w:color w:val="auto"/>
                      <w:sz w:val="18"/>
                      <w:szCs w:val="18"/>
                    </w:rPr>
                    <w:t>浓度限值（mg/m</w:t>
                  </w:r>
                  <w:r>
                    <w:rPr>
                      <w:b/>
                      <w:bCs/>
                      <w:color w:val="auto"/>
                      <w:sz w:val="18"/>
                      <w:szCs w:val="18"/>
                      <w:vertAlign w:val="superscript"/>
                    </w:rPr>
                    <w:t>3</w:t>
                  </w:r>
                  <w:r>
                    <w:rPr>
                      <w:b/>
                      <w:bCs/>
                      <w:color w:val="auto"/>
                      <w:sz w:val="18"/>
                      <w:szCs w:val="18"/>
                    </w:rPr>
                    <w:t>）</w:t>
                  </w:r>
                </w:p>
              </w:tc>
              <w:tc>
                <w:tcPr>
                  <w:tcW w:w="784" w:type="dxa"/>
                  <w:vAlign w:val="center"/>
                </w:tcPr>
                <w:p w14:paraId="51910DAE">
                  <w:pPr>
                    <w:spacing w:line="240" w:lineRule="exact"/>
                    <w:jc w:val="center"/>
                    <w:rPr>
                      <w:b/>
                      <w:bCs/>
                      <w:color w:val="auto"/>
                      <w:sz w:val="18"/>
                      <w:szCs w:val="18"/>
                    </w:rPr>
                  </w:pPr>
                  <w:r>
                    <w:rPr>
                      <w:b/>
                      <w:bCs/>
                      <w:color w:val="auto"/>
                      <w:sz w:val="18"/>
                      <w:szCs w:val="18"/>
                    </w:rPr>
                    <w:t>速率限值（kg/h）</w:t>
                  </w:r>
                </w:p>
              </w:tc>
            </w:tr>
            <w:tr w14:paraId="04E86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931" w:type="dxa"/>
                  <w:vAlign w:val="center"/>
                </w:tcPr>
                <w:p w14:paraId="06852251">
                  <w:pPr>
                    <w:spacing w:line="240" w:lineRule="exact"/>
                    <w:jc w:val="center"/>
                    <w:rPr>
                      <w:rFonts w:hint="eastAsia" w:eastAsia="宋体"/>
                      <w:bCs/>
                      <w:color w:val="auto"/>
                      <w:sz w:val="18"/>
                      <w:szCs w:val="18"/>
                      <w:lang w:eastAsia="zh-CN"/>
                    </w:rPr>
                  </w:pPr>
                  <w:r>
                    <w:rPr>
                      <w:rFonts w:hint="default" w:cs="Times New Roman"/>
                      <w:bCs/>
                      <w:color w:val="auto"/>
                      <w:sz w:val="18"/>
                      <w:szCs w:val="18"/>
                      <w:highlight w:val="none"/>
                      <w:lang w:val="en-US" w:eastAsia="zh-CN"/>
                    </w:rPr>
                    <w:t>磨边轮生产线配料、筛分、混料</w:t>
                  </w:r>
                </w:p>
              </w:tc>
              <w:tc>
                <w:tcPr>
                  <w:tcW w:w="502" w:type="dxa"/>
                  <w:vAlign w:val="center"/>
                </w:tcPr>
                <w:p w14:paraId="33B595CD">
                  <w:pPr>
                    <w:spacing w:line="240" w:lineRule="exact"/>
                    <w:jc w:val="center"/>
                    <w:rPr>
                      <w:color w:val="auto"/>
                      <w:sz w:val="18"/>
                      <w:szCs w:val="18"/>
                    </w:rPr>
                  </w:pPr>
                  <w:r>
                    <w:rPr>
                      <w:color w:val="auto"/>
                      <w:sz w:val="18"/>
                      <w:szCs w:val="18"/>
                    </w:rPr>
                    <w:t>有组织</w:t>
                  </w:r>
                </w:p>
              </w:tc>
              <w:tc>
                <w:tcPr>
                  <w:tcW w:w="765" w:type="dxa"/>
                  <w:tcBorders>
                    <w:bottom w:val="single" w:color="auto" w:sz="2" w:space="0"/>
                  </w:tcBorders>
                  <w:vAlign w:val="center"/>
                </w:tcPr>
                <w:p w14:paraId="79FD81E8">
                  <w:pPr>
                    <w:spacing w:line="240" w:lineRule="exact"/>
                    <w:jc w:val="center"/>
                    <w:rPr>
                      <w:color w:val="auto"/>
                      <w:sz w:val="18"/>
                      <w:szCs w:val="18"/>
                    </w:rPr>
                  </w:pPr>
                  <w:r>
                    <w:rPr>
                      <w:color w:val="auto"/>
                      <w:sz w:val="18"/>
                      <w:szCs w:val="18"/>
                    </w:rPr>
                    <w:t>颗粒物</w:t>
                  </w:r>
                </w:p>
              </w:tc>
              <w:tc>
                <w:tcPr>
                  <w:tcW w:w="775" w:type="dxa"/>
                  <w:tcBorders>
                    <w:bottom w:val="single" w:color="auto" w:sz="2" w:space="0"/>
                  </w:tcBorders>
                  <w:shd w:val="clear" w:color="auto" w:fill="auto"/>
                  <w:vAlign w:val="center"/>
                </w:tcPr>
                <w:p w14:paraId="1643DD9E">
                  <w:pPr>
                    <w:keepNext w:val="0"/>
                    <w:keepLines w:val="0"/>
                    <w:widowControl/>
                    <w:suppressLineNumbers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0.0323</w:t>
                  </w:r>
                </w:p>
              </w:tc>
              <w:tc>
                <w:tcPr>
                  <w:tcW w:w="920" w:type="dxa"/>
                  <w:tcBorders>
                    <w:bottom w:val="single" w:color="auto" w:sz="2" w:space="0"/>
                  </w:tcBorders>
                  <w:shd w:val="clear" w:color="auto" w:fill="auto"/>
                  <w:vAlign w:val="center"/>
                </w:tcPr>
                <w:p w14:paraId="4ED786FD">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cs="Times New Roman"/>
                      <w:i w:val="0"/>
                      <w:iCs w:val="0"/>
                      <w:color w:val="auto"/>
                      <w:kern w:val="2"/>
                      <w:sz w:val="18"/>
                      <w:szCs w:val="18"/>
                      <w:highlight w:val="none"/>
                      <w:u w:val="none"/>
                      <w:lang w:val="en-US" w:eastAsia="zh-CN" w:bidi="ar"/>
                    </w:rPr>
                    <w:t>8.97</w:t>
                  </w:r>
                </w:p>
              </w:tc>
              <w:tc>
                <w:tcPr>
                  <w:tcW w:w="786" w:type="dxa"/>
                  <w:vMerge w:val="restart"/>
                  <w:vAlign w:val="center"/>
                </w:tcPr>
                <w:p w14:paraId="2159F25A">
                  <w:pPr>
                    <w:spacing w:line="240" w:lineRule="exact"/>
                    <w:jc w:val="center"/>
                    <w:rPr>
                      <w:color w:val="auto"/>
                      <w:sz w:val="18"/>
                      <w:szCs w:val="18"/>
                    </w:rPr>
                  </w:pPr>
                  <w:r>
                    <w:rPr>
                      <w:rFonts w:hint="eastAsia"/>
                      <w:color w:val="auto"/>
                      <w:sz w:val="18"/>
                      <w:szCs w:val="18"/>
                      <w:lang w:val="en-US" w:eastAsia="zh-CN"/>
                    </w:rPr>
                    <w:t>3</w:t>
                  </w:r>
                  <w:r>
                    <w:rPr>
                      <w:rFonts w:hint="eastAsia"/>
                      <w:color w:val="auto"/>
                      <w:sz w:val="18"/>
                      <w:szCs w:val="18"/>
                    </w:rPr>
                    <w:t>000</w:t>
                  </w:r>
                </w:p>
              </w:tc>
              <w:tc>
                <w:tcPr>
                  <w:tcW w:w="651" w:type="dxa"/>
                  <w:tcBorders>
                    <w:bottom w:val="single" w:color="auto" w:sz="2" w:space="0"/>
                  </w:tcBorders>
                  <w:vAlign w:val="center"/>
                </w:tcPr>
                <w:p w14:paraId="17112E36">
                  <w:pPr>
                    <w:spacing w:line="240" w:lineRule="exact"/>
                    <w:jc w:val="center"/>
                    <w:rPr>
                      <w:rFonts w:hint="eastAsia" w:eastAsia="宋体"/>
                      <w:color w:val="auto"/>
                      <w:sz w:val="18"/>
                      <w:szCs w:val="18"/>
                      <w:lang w:eastAsia="zh-CN"/>
                    </w:rPr>
                  </w:pPr>
                  <w:r>
                    <w:rPr>
                      <w:color w:val="auto"/>
                      <w:sz w:val="18"/>
                      <w:szCs w:val="18"/>
                    </w:rPr>
                    <w:t>9</w:t>
                  </w:r>
                  <w:r>
                    <w:rPr>
                      <w:rFonts w:hint="eastAsia"/>
                      <w:color w:val="auto"/>
                      <w:sz w:val="18"/>
                      <w:szCs w:val="18"/>
                      <w:lang w:val="en-US" w:eastAsia="zh-CN"/>
                    </w:rPr>
                    <w:t>5</w:t>
                  </w:r>
                </w:p>
              </w:tc>
              <w:tc>
                <w:tcPr>
                  <w:tcW w:w="866" w:type="dxa"/>
                  <w:tcBorders>
                    <w:bottom w:val="single" w:color="auto" w:sz="2" w:space="0"/>
                  </w:tcBorders>
                  <w:vAlign w:val="center"/>
                </w:tcPr>
                <w:p w14:paraId="68337504">
                  <w:pPr>
                    <w:spacing w:line="240" w:lineRule="exact"/>
                    <w:jc w:val="center"/>
                    <w:rPr>
                      <w:color w:val="auto"/>
                      <w:sz w:val="18"/>
                      <w:szCs w:val="18"/>
                    </w:rPr>
                  </w:pPr>
                  <w:r>
                    <w:rPr>
                      <w:rFonts w:hint="eastAsia"/>
                      <w:color w:val="auto"/>
                      <w:sz w:val="18"/>
                      <w:szCs w:val="18"/>
                      <w:lang w:val="en-US" w:eastAsia="zh-CN"/>
                    </w:rPr>
                    <w:t>1#</w:t>
                  </w:r>
                  <w:r>
                    <w:rPr>
                      <w:color w:val="auto"/>
                      <w:sz w:val="18"/>
                      <w:szCs w:val="18"/>
                    </w:rPr>
                    <w:t>布袋除尘器</w:t>
                  </w:r>
                </w:p>
              </w:tc>
              <w:tc>
                <w:tcPr>
                  <w:tcW w:w="651" w:type="dxa"/>
                  <w:tcBorders>
                    <w:bottom w:val="single" w:color="auto" w:sz="2" w:space="0"/>
                  </w:tcBorders>
                  <w:vAlign w:val="center"/>
                </w:tcPr>
                <w:p w14:paraId="0DB5718E">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95</w:t>
                  </w:r>
                </w:p>
              </w:tc>
              <w:tc>
                <w:tcPr>
                  <w:tcW w:w="623" w:type="dxa"/>
                  <w:tcBorders>
                    <w:bottom w:val="single" w:color="auto" w:sz="2" w:space="0"/>
                  </w:tcBorders>
                  <w:vAlign w:val="center"/>
                </w:tcPr>
                <w:p w14:paraId="0D367A21">
                  <w:pPr>
                    <w:spacing w:line="240" w:lineRule="exact"/>
                    <w:jc w:val="center"/>
                    <w:rPr>
                      <w:color w:val="auto"/>
                      <w:sz w:val="18"/>
                      <w:szCs w:val="18"/>
                    </w:rPr>
                  </w:pPr>
                  <w:r>
                    <w:rPr>
                      <w:color w:val="auto"/>
                      <w:sz w:val="18"/>
                      <w:szCs w:val="18"/>
                    </w:rPr>
                    <w:t>是</w:t>
                  </w:r>
                </w:p>
              </w:tc>
              <w:tc>
                <w:tcPr>
                  <w:tcW w:w="776" w:type="dxa"/>
                  <w:vMerge w:val="restart"/>
                  <w:shd w:val="clear" w:color="auto" w:fill="auto"/>
                  <w:vAlign w:val="center"/>
                </w:tcPr>
                <w:p w14:paraId="0F6B74F6">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w:t>
                  </w:r>
                  <w:r>
                    <w:rPr>
                      <w:rFonts w:hint="eastAsia" w:cs="Times New Roman"/>
                      <w:i w:val="0"/>
                      <w:iCs w:val="0"/>
                      <w:color w:val="auto"/>
                      <w:kern w:val="2"/>
                      <w:sz w:val="18"/>
                      <w:szCs w:val="18"/>
                      <w:highlight w:val="none"/>
                      <w:u w:val="none"/>
                      <w:lang w:val="en-US" w:eastAsia="zh-CN" w:bidi="ar-SA"/>
                    </w:rPr>
                    <w:t>3</w:t>
                  </w:r>
                </w:p>
              </w:tc>
              <w:tc>
                <w:tcPr>
                  <w:tcW w:w="934" w:type="dxa"/>
                  <w:vMerge w:val="restart"/>
                  <w:shd w:val="clear" w:color="auto" w:fill="auto"/>
                  <w:vAlign w:val="center"/>
                </w:tcPr>
                <w:p w14:paraId="7FF98AF8">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w:t>
                  </w:r>
                  <w:r>
                    <w:rPr>
                      <w:rFonts w:hint="eastAsia" w:cs="Times New Roman"/>
                      <w:i w:val="0"/>
                      <w:iCs w:val="0"/>
                      <w:color w:val="auto"/>
                      <w:kern w:val="2"/>
                      <w:sz w:val="18"/>
                      <w:szCs w:val="18"/>
                      <w:highlight w:val="none"/>
                      <w:u w:val="none"/>
                      <w:lang w:val="en-US" w:eastAsia="zh-CN" w:bidi="ar-SA"/>
                    </w:rPr>
                    <w:t>93</w:t>
                  </w:r>
                </w:p>
              </w:tc>
              <w:tc>
                <w:tcPr>
                  <w:tcW w:w="753" w:type="dxa"/>
                  <w:vMerge w:val="restart"/>
                  <w:vAlign w:val="center"/>
                </w:tcPr>
                <w:p w14:paraId="70A0FBED">
                  <w:pPr>
                    <w:keepNext w:val="0"/>
                    <w:keepLines w:val="0"/>
                    <w:widowControl/>
                    <w:suppressLineNumbers w:val="0"/>
                    <w:jc w:val="center"/>
                    <w:textAlignment w:val="auto"/>
                    <w:rPr>
                      <w:rFonts w:hint="default" w:eastAsia="宋体"/>
                      <w:color w:val="auto"/>
                      <w:sz w:val="18"/>
                      <w:szCs w:val="18"/>
                      <w:lang w:val="en-US" w:eastAsia="zh-CN"/>
                    </w:rPr>
                  </w:pPr>
                  <w:r>
                    <w:rPr>
                      <w:rFonts w:hint="eastAsia" w:ascii="Times New Roman" w:hAnsi="Times New Roman" w:eastAsia="宋体" w:cs="Times New Roman"/>
                      <w:i w:val="0"/>
                      <w:iCs w:val="0"/>
                      <w:color w:val="auto"/>
                      <w:kern w:val="2"/>
                      <w:sz w:val="18"/>
                      <w:szCs w:val="18"/>
                      <w:highlight w:val="none"/>
                      <w:u w:val="none"/>
                      <w:lang w:val="en-US" w:eastAsia="zh-CN" w:bidi="ar-SA"/>
                    </w:rPr>
                    <w:t>0.0</w:t>
                  </w:r>
                  <w:r>
                    <w:rPr>
                      <w:rFonts w:hint="eastAsia" w:cs="Times New Roman"/>
                      <w:i w:val="0"/>
                      <w:iCs w:val="0"/>
                      <w:color w:val="auto"/>
                      <w:kern w:val="2"/>
                      <w:sz w:val="18"/>
                      <w:szCs w:val="18"/>
                      <w:highlight w:val="none"/>
                      <w:u w:val="none"/>
                      <w:lang w:val="en-US" w:eastAsia="zh-CN" w:bidi="ar-SA"/>
                    </w:rPr>
                    <w:t>03</w:t>
                  </w:r>
                </w:p>
              </w:tc>
              <w:tc>
                <w:tcPr>
                  <w:tcW w:w="785" w:type="dxa"/>
                  <w:vMerge w:val="restart"/>
                  <w:vAlign w:val="center"/>
                </w:tcPr>
                <w:p w14:paraId="2DC343CD">
                  <w:pPr>
                    <w:spacing w:line="240" w:lineRule="auto"/>
                    <w:jc w:val="center"/>
                    <w:rPr>
                      <w:rFonts w:hint="default" w:eastAsia="宋体"/>
                      <w:color w:val="auto"/>
                      <w:sz w:val="18"/>
                      <w:szCs w:val="18"/>
                      <w:lang w:val="en-US" w:eastAsia="zh-CN"/>
                    </w:rPr>
                  </w:pPr>
                  <w:r>
                    <w:rPr>
                      <w:rFonts w:hint="eastAsia" w:cs="Times New Roman"/>
                      <w:color w:val="auto"/>
                      <w:sz w:val="18"/>
                      <w:szCs w:val="18"/>
                      <w:highlight w:val="none"/>
                      <w:lang w:val="en-US" w:eastAsia="zh-CN"/>
                    </w:rPr>
                    <w:t>1200</w:t>
                  </w:r>
                </w:p>
              </w:tc>
              <w:tc>
                <w:tcPr>
                  <w:tcW w:w="946" w:type="dxa"/>
                  <w:vMerge w:val="restart"/>
                  <w:vAlign w:val="center"/>
                </w:tcPr>
                <w:p w14:paraId="7613BF8E">
                  <w:pPr>
                    <w:spacing w:line="240" w:lineRule="exact"/>
                    <w:jc w:val="center"/>
                    <w:rPr>
                      <w:color w:val="auto"/>
                      <w:sz w:val="18"/>
                      <w:szCs w:val="18"/>
                    </w:rPr>
                  </w:pPr>
                  <w:r>
                    <w:rPr>
                      <w:color w:val="auto"/>
                      <w:sz w:val="18"/>
                      <w:szCs w:val="18"/>
                    </w:rPr>
                    <w:t>10</w:t>
                  </w:r>
                </w:p>
              </w:tc>
              <w:tc>
                <w:tcPr>
                  <w:tcW w:w="784" w:type="dxa"/>
                  <w:vMerge w:val="restart"/>
                  <w:vAlign w:val="center"/>
                </w:tcPr>
                <w:p w14:paraId="7711FA05">
                  <w:pPr>
                    <w:spacing w:line="240" w:lineRule="exact"/>
                    <w:jc w:val="center"/>
                    <w:rPr>
                      <w:color w:val="auto"/>
                      <w:sz w:val="18"/>
                      <w:szCs w:val="18"/>
                    </w:rPr>
                  </w:pPr>
                  <w:r>
                    <w:rPr>
                      <w:color w:val="auto"/>
                      <w:sz w:val="18"/>
                      <w:szCs w:val="18"/>
                    </w:rPr>
                    <w:t>-</w:t>
                  </w:r>
                </w:p>
              </w:tc>
            </w:tr>
            <w:tr w14:paraId="72A76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vAlign w:val="center"/>
                </w:tcPr>
                <w:p w14:paraId="165F89BB">
                  <w:pPr>
                    <w:spacing w:line="240" w:lineRule="exact"/>
                    <w:jc w:val="center"/>
                    <w:rPr>
                      <w:rFonts w:hint="eastAsia"/>
                      <w:bCs/>
                      <w:color w:val="auto"/>
                      <w:sz w:val="18"/>
                      <w:szCs w:val="18"/>
                      <w:lang w:val="en-US" w:eastAsia="zh-CN"/>
                    </w:rPr>
                  </w:pPr>
                  <w:r>
                    <w:rPr>
                      <w:rFonts w:hint="eastAsia" w:cs="Times New Roman"/>
                      <w:bCs/>
                      <w:color w:val="auto"/>
                      <w:sz w:val="18"/>
                      <w:szCs w:val="18"/>
                      <w:highlight w:val="none"/>
                      <w:lang w:val="en-US" w:eastAsia="zh-CN"/>
                    </w:rPr>
                    <w:t>喷砂过程</w:t>
                  </w:r>
                </w:p>
              </w:tc>
              <w:tc>
                <w:tcPr>
                  <w:tcW w:w="502" w:type="dxa"/>
                  <w:shd w:val="clear" w:color="auto" w:fill="auto"/>
                  <w:vAlign w:val="center"/>
                </w:tcPr>
                <w:p w14:paraId="5F232AE4">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有组织</w:t>
                  </w:r>
                </w:p>
              </w:tc>
              <w:tc>
                <w:tcPr>
                  <w:tcW w:w="765" w:type="dxa"/>
                  <w:shd w:val="clear" w:color="auto" w:fill="auto"/>
                  <w:vAlign w:val="center"/>
                </w:tcPr>
                <w:p w14:paraId="788D281A">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颗粒物</w:t>
                  </w:r>
                </w:p>
              </w:tc>
              <w:tc>
                <w:tcPr>
                  <w:tcW w:w="775" w:type="dxa"/>
                  <w:shd w:val="clear" w:color="auto" w:fill="auto"/>
                  <w:vAlign w:val="center"/>
                </w:tcPr>
                <w:p w14:paraId="4FBB2F8A">
                  <w:pPr>
                    <w:keepNext w:val="0"/>
                    <w:keepLines w:val="0"/>
                    <w:widowControl/>
                    <w:suppressLineNumbers w:val="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0.035</w:t>
                  </w:r>
                </w:p>
              </w:tc>
              <w:tc>
                <w:tcPr>
                  <w:tcW w:w="920" w:type="dxa"/>
                  <w:shd w:val="clear" w:color="auto" w:fill="auto"/>
                  <w:vAlign w:val="center"/>
                </w:tcPr>
                <w:p w14:paraId="7F177B95">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
                    </w:rPr>
                  </w:pPr>
                  <w:r>
                    <w:rPr>
                      <w:rFonts w:hint="eastAsia" w:cs="Times New Roman"/>
                      <w:color w:val="auto"/>
                      <w:kern w:val="2"/>
                      <w:sz w:val="18"/>
                      <w:szCs w:val="18"/>
                      <w:highlight w:val="none"/>
                      <w:lang w:val="en-US" w:eastAsia="zh-CN" w:bidi="ar-SA"/>
                    </w:rPr>
                    <w:t>9.72</w:t>
                  </w:r>
                </w:p>
              </w:tc>
              <w:tc>
                <w:tcPr>
                  <w:tcW w:w="786" w:type="dxa"/>
                  <w:vMerge w:val="continue"/>
                  <w:vAlign w:val="center"/>
                </w:tcPr>
                <w:p w14:paraId="2E409237">
                  <w:pPr>
                    <w:spacing w:line="240" w:lineRule="exact"/>
                    <w:jc w:val="center"/>
                    <w:rPr>
                      <w:rFonts w:hint="eastAsia"/>
                      <w:color w:val="auto"/>
                      <w:sz w:val="18"/>
                      <w:szCs w:val="18"/>
                      <w:lang w:val="en-US" w:eastAsia="zh-CN"/>
                    </w:rPr>
                  </w:pPr>
                </w:p>
              </w:tc>
              <w:tc>
                <w:tcPr>
                  <w:tcW w:w="651" w:type="dxa"/>
                  <w:shd w:val="clear" w:color="auto" w:fill="auto"/>
                  <w:vAlign w:val="center"/>
                </w:tcPr>
                <w:p w14:paraId="5EABFFC4">
                  <w:pPr>
                    <w:spacing w:line="240" w:lineRule="exact"/>
                    <w:jc w:val="center"/>
                    <w:rPr>
                      <w:color w:val="auto"/>
                      <w:sz w:val="18"/>
                      <w:szCs w:val="18"/>
                    </w:rPr>
                  </w:pPr>
                  <w:r>
                    <w:rPr>
                      <w:color w:val="auto"/>
                      <w:sz w:val="18"/>
                      <w:szCs w:val="18"/>
                    </w:rPr>
                    <w:t>9</w:t>
                  </w:r>
                  <w:r>
                    <w:rPr>
                      <w:rFonts w:hint="eastAsia"/>
                      <w:color w:val="auto"/>
                      <w:sz w:val="18"/>
                      <w:szCs w:val="18"/>
                      <w:lang w:val="en-US" w:eastAsia="zh-CN"/>
                    </w:rPr>
                    <w:t>5</w:t>
                  </w:r>
                </w:p>
              </w:tc>
              <w:tc>
                <w:tcPr>
                  <w:tcW w:w="866" w:type="dxa"/>
                  <w:shd w:val="clear" w:color="auto" w:fill="auto"/>
                  <w:vAlign w:val="center"/>
                </w:tcPr>
                <w:p w14:paraId="53B60AA9">
                  <w:pPr>
                    <w:spacing w:line="240" w:lineRule="exact"/>
                    <w:jc w:val="center"/>
                    <w:rPr>
                      <w:rFonts w:hint="eastAsia"/>
                      <w:color w:val="auto"/>
                      <w:sz w:val="18"/>
                      <w:szCs w:val="18"/>
                      <w:lang w:val="en-US" w:eastAsia="zh-CN"/>
                    </w:rPr>
                  </w:pPr>
                  <w:r>
                    <w:rPr>
                      <w:rFonts w:hint="eastAsia" w:cs="Times New Roman"/>
                      <w:color w:val="auto"/>
                      <w:sz w:val="18"/>
                      <w:szCs w:val="18"/>
                      <w:highlight w:val="none"/>
                      <w:lang w:val="en-US" w:eastAsia="zh-CN"/>
                    </w:rPr>
                    <w:t>自带布袋除尘器</w:t>
                  </w:r>
                </w:p>
              </w:tc>
              <w:tc>
                <w:tcPr>
                  <w:tcW w:w="651" w:type="dxa"/>
                  <w:shd w:val="clear" w:color="auto" w:fill="auto"/>
                  <w:vAlign w:val="center"/>
                </w:tcPr>
                <w:p w14:paraId="454CD47D">
                  <w:pPr>
                    <w:spacing w:line="240" w:lineRule="exact"/>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95</w:t>
                  </w:r>
                </w:p>
              </w:tc>
              <w:tc>
                <w:tcPr>
                  <w:tcW w:w="623" w:type="dxa"/>
                  <w:shd w:val="clear" w:color="auto" w:fill="auto"/>
                  <w:vAlign w:val="center"/>
                </w:tcPr>
                <w:p w14:paraId="71F8C060">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是</w:t>
                  </w:r>
                </w:p>
              </w:tc>
              <w:tc>
                <w:tcPr>
                  <w:tcW w:w="776" w:type="dxa"/>
                  <w:vMerge w:val="continue"/>
                  <w:shd w:val="clear" w:color="auto" w:fill="auto"/>
                  <w:vAlign w:val="center"/>
                </w:tcPr>
                <w:p w14:paraId="7517E968">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p>
              </w:tc>
              <w:tc>
                <w:tcPr>
                  <w:tcW w:w="934" w:type="dxa"/>
                  <w:vMerge w:val="continue"/>
                  <w:shd w:val="clear" w:color="auto" w:fill="auto"/>
                  <w:vAlign w:val="center"/>
                </w:tcPr>
                <w:p w14:paraId="61C226B8">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p>
              </w:tc>
              <w:tc>
                <w:tcPr>
                  <w:tcW w:w="753" w:type="dxa"/>
                  <w:vMerge w:val="continue"/>
                  <w:shd w:val="clear" w:color="auto" w:fill="auto"/>
                  <w:vAlign w:val="center"/>
                </w:tcPr>
                <w:p w14:paraId="5B0BD93D">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p>
              </w:tc>
              <w:tc>
                <w:tcPr>
                  <w:tcW w:w="785" w:type="dxa"/>
                  <w:vMerge w:val="continue"/>
                  <w:shd w:val="clear" w:color="auto" w:fill="auto"/>
                  <w:vAlign w:val="center"/>
                </w:tcPr>
                <w:p w14:paraId="402B570C">
                  <w:pPr>
                    <w:spacing w:line="240" w:lineRule="auto"/>
                    <w:jc w:val="center"/>
                    <w:rPr>
                      <w:rFonts w:hint="eastAsia" w:cs="Times New Roman"/>
                      <w:color w:val="auto"/>
                      <w:sz w:val="18"/>
                      <w:szCs w:val="18"/>
                      <w:highlight w:val="none"/>
                      <w:lang w:val="en-US" w:eastAsia="zh-CN"/>
                    </w:rPr>
                  </w:pPr>
                </w:p>
              </w:tc>
              <w:tc>
                <w:tcPr>
                  <w:tcW w:w="946" w:type="dxa"/>
                  <w:vMerge w:val="continue"/>
                  <w:shd w:val="clear" w:color="auto" w:fill="auto"/>
                  <w:vAlign w:val="center"/>
                </w:tcPr>
                <w:p w14:paraId="462A5152">
                  <w:pPr>
                    <w:spacing w:line="240" w:lineRule="exact"/>
                    <w:jc w:val="center"/>
                    <w:rPr>
                      <w:color w:val="auto"/>
                      <w:sz w:val="18"/>
                      <w:szCs w:val="18"/>
                    </w:rPr>
                  </w:pPr>
                </w:p>
              </w:tc>
              <w:tc>
                <w:tcPr>
                  <w:tcW w:w="784" w:type="dxa"/>
                  <w:vMerge w:val="continue"/>
                  <w:shd w:val="clear" w:color="auto" w:fill="auto"/>
                  <w:vAlign w:val="center"/>
                </w:tcPr>
                <w:p w14:paraId="6803947B">
                  <w:pPr>
                    <w:spacing w:line="240" w:lineRule="exact"/>
                    <w:jc w:val="center"/>
                    <w:rPr>
                      <w:color w:val="auto"/>
                      <w:sz w:val="18"/>
                      <w:szCs w:val="18"/>
                    </w:rPr>
                  </w:pPr>
                </w:p>
              </w:tc>
            </w:tr>
            <w:tr w14:paraId="550F8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vAlign w:val="center"/>
                </w:tcPr>
                <w:p w14:paraId="752758FF">
                  <w:pPr>
                    <w:spacing w:line="240" w:lineRule="exact"/>
                    <w:jc w:val="center"/>
                    <w:rPr>
                      <w:rFonts w:hint="eastAsia"/>
                      <w:bCs/>
                      <w:color w:val="auto"/>
                      <w:sz w:val="18"/>
                      <w:szCs w:val="18"/>
                      <w:lang w:eastAsia="zh-CN"/>
                    </w:rPr>
                  </w:pPr>
                  <w:r>
                    <w:rPr>
                      <w:rFonts w:hint="eastAsia"/>
                      <w:bCs/>
                      <w:color w:val="auto"/>
                      <w:sz w:val="18"/>
                      <w:szCs w:val="18"/>
                      <w:lang w:val="en-US" w:eastAsia="zh-CN"/>
                    </w:rPr>
                    <w:t>弹性磨块生产线</w:t>
                  </w:r>
                  <w:r>
                    <w:rPr>
                      <w:rFonts w:hint="default" w:cs="Times New Roman"/>
                      <w:bCs/>
                      <w:color w:val="auto"/>
                      <w:sz w:val="18"/>
                      <w:szCs w:val="18"/>
                      <w:highlight w:val="none"/>
                      <w:lang w:val="en-US" w:eastAsia="zh-CN"/>
                    </w:rPr>
                    <w:t>配料、筛分、混料</w:t>
                  </w:r>
                </w:p>
              </w:tc>
              <w:tc>
                <w:tcPr>
                  <w:tcW w:w="502" w:type="dxa"/>
                  <w:shd w:val="clear" w:color="auto" w:fill="auto"/>
                  <w:vAlign w:val="center"/>
                </w:tcPr>
                <w:p w14:paraId="3E3D236A">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有组织</w:t>
                  </w:r>
                </w:p>
              </w:tc>
              <w:tc>
                <w:tcPr>
                  <w:tcW w:w="765" w:type="dxa"/>
                  <w:shd w:val="clear" w:color="auto" w:fill="auto"/>
                  <w:vAlign w:val="center"/>
                </w:tcPr>
                <w:p w14:paraId="29ED993F">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颗粒物</w:t>
                  </w:r>
                </w:p>
              </w:tc>
              <w:tc>
                <w:tcPr>
                  <w:tcW w:w="775" w:type="dxa"/>
                  <w:vAlign w:val="center"/>
                </w:tcPr>
                <w:p w14:paraId="2812F232">
                  <w:pPr>
                    <w:keepNext w:val="0"/>
                    <w:keepLines w:val="0"/>
                    <w:widowControl/>
                    <w:suppressLineNumbers w:val="0"/>
                    <w:jc w:val="center"/>
                    <w:textAlignment w:val="auto"/>
                    <w:rPr>
                      <w:rFonts w:hint="eastAsia"/>
                      <w:color w:val="auto"/>
                      <w:sz w:val="18"/>
                      <w:szCs w:val="18"/>
                      <w:lang w:val="en-US" w:eastAsia="zh-CN"/>
                    </w:rPr>
                  </w:pPr>
                  <w:r>
                    <w:rPr>
                      <w:rFonts w:hint="eastAsia" w:cs="Times New Roman"/>
                      <w:color w:val="auto"/>
                      <w:kern w:val="2"/>
                      <w:sz w:val="18"/>
                      <w:szCs w:val="18"/>
                      <w:highlight w:val="none"/>
                      <w:lang w:val="en-US" w:eastAsia="zh-CN" w:bidi="ar-SA"/>
                    </w:rPr>
                    <w:t>0.058</w:t>
                  </w:r>
                </w:p>
              </w:tc>
              <w:tc>
                <w:tcPr>
                  <w:tcW w:w="920" w:type="dxa"/>
                  <w:vAlign w:val="center"/>
                </w:tcPr>
                <w:p w14:paraId="34B517C4">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
                    </w:rPr>
                    <w:t>19.33</w:t>
                  </w:r>
                </w:p>
              </w:tc>
              <w:tc>
                <w:tcPr>
                  <w:tcW w:w="786" w:type="dxa"/>
                  <w:vAlign w:val="center"/>
                </w:tcPr>
                <w:p w14:paraId="02CA3A91">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2500</w:t>
                  </w:r>
                </w:p>
              </w:tc>
              <w:tc>
                <w:tcPr>
                  <w:tcW w:w="651" w:type="dxa"/>
                  <w:shd w:val="clear" w:color="auto" w:fill="auto"/>
                  <w:vAlign w:val="center"/>
                </w:tcPr>
                <w:p w14:paraId="56440D0E">
                  <w:pPr>
                    <w:spacing w:line="240" w:lineRule="exact"/>
                    <w:jc w:val="center"/>
                    <w:rPr>
                      <w:rFonts w:hint="eastAsia" w:ascii="Times New Roman" w:hAnsi="Times New Roman" w:eastAsia="宋体" w:cs="Times New Roman"/>
                      <w:color w:val="auto"/>
                      <w:kern w:val="2"/>
                      <w:sz w:val="18"/>
                      <w:szCs w:val="18"/>
                      <w:lang w:val="en-US" w:eastAsia="zh-CN" w:bidi="ar-SA"/>
                    </w:rPr>
                  </w:pPr>
                  <w:r>
                    <w:rPr>
                      <w:color w:val="auto"/>
                      <w:sz w:val="18"/>
                      <w:szCs w:val="18"/>
                    </w:rPr>
                    <w:t>9</w:t>
                  </w:r>
                  <w:r>
                    <w:rPr>
                      <w:rFonts w:hint="eastAsia"/>
                      <w:color w:val="auto"/>
                      <w:sz w:val="18"/>
                      <w:szCs w:val="18"/>
                      <w:lang w:val="en-US" w:eastAsia="zh-CN"/>
                    </w:rPr>
                    <w:t>5</w:t>
                  </w:r>
                </w:p>
              </w:tc>
              <w:tc>
                <w:tcPr>
                  <w:tcW w:w="866" w:type="dxa"/>
                  <w:shd w:val="clear" w:color="auto" w:fill="auto"/>
                  <w:vAlign w:val="center"/>
                </w:tcPr>
                <w:p w14:paraId="09BFF4DB">
                  <w:pPr>
                    <w:spacing w:line="240" w:lineRule="exact"/>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w:t>
                  </w:r>
                  <w:r>
                    <w:rPr>
                      <w:color w:val="auto"/>
                      <w:sz w:val="18"/>
                      <w:szCs w:val="18"/>
                    </w:rPr>
                    <w:t>布袋除尘器</w:t>
                  </w:r>
                </w:p>
              </w:tc>
              <w:tc>
                <w:tcPr>
                  <w:tcW w:w="651" w:type="dxa"/>
                  <w:shd w:val="clear" w:color="auto" w:fill="auto"/>
                  <w:vAlign w:val="center"/>
                </w:tcPr>
                <w:p w14:paraId="316EC5ED">
                  <w:pPr>
                    <w:spacing w:line="240" w:lineRule="exact"/>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95</w:t>
                  </w:r>
                </w:p>
              </w:tc>
              <w:tc>
                <w:tcPr>
                  <w:tcW w:w="623" w:type="dxa"/>
                  <w:shd w:val="clear" w:color="auto" w:fill="auto"/>
                  <w:vAlign w:val="center"/>
                </w:tcPr>
                <w:p w14:paraId="42588D53">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是</w:t>
                  </w:r>
                </w:p>
              </w:tc>
              <w:tc>
                <w:tcPr>
                  <w:tcW w:w="776" w:type="dxa"/>
                  <w:shd w:val="clear" w:color="auto" w:fill="auto"/>
                  <w:vAlign w:val="center"/>
                </w:tcPr>
                <w:p w14:paraId="7F4FD900">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0.003</w:t>
                  </w:r>
                </w:p>
              </w:tc>
              <w:tc>
                <w:tcPr>
                  <w:tcW w:w="934" w:type="dxa"/>
                  <w:shd w:val="clear" w:color="auto" w:fill="auto"/>
                  <w:vAlign w:val="center"/>
                </w:tcPr>
                <w:p w14:paraId="46190E8A">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1.0</w:t>
                  </w:r>
                </w:p>
              </w:tc>
              <w:tc>
                <w:tcPr>
                  <w:tcW w:w="753" w:type="dxa"/>
                  <w:shd w:val="clear" w:color="auto" w:fill="auto"/>
                  <w:vAlign w:val="center"/>
                </w:tcPr>
                <w:p w14:paraId="77DB0B69">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0.0025</w:t>
                  </w:r>
                </w:p>
              </w:tc>
              <w:tc>
                <w:tcPr>
                  <w:tcW w:w="785" w:type="dxa"/>
                  <w:shd w:val="clear" w:color="auto" w:fill="auto"/>
                  <w:vAlign w:val="center"/>
                </w:tcPr>
                <w:p w14:paraId="46568FC4">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1200</w:t>
                  </w:r>
                </w:p>
              </w:tc>
              <w:tc>
                <w:tcPr>
                  <w:tcW w:w="946" w:type="dxa"/>
                  <w:shd w:val="clear" w:color="auto" w:fill="auto"/>
                  <w:vAlign w:val="center"/>
                </w:tcPr>
                <w:p w14:paraId="2354CE62">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10</w:t>
                  </w:r>
                </w:p>
              </w:tc>
              <w:tc>
                <w:tcPr>
                  <w:tcW w:w="784" w:type="dxa"/>
                  <w:shd w:val="clear" w:color="auto" w:fill="auto"/>
                  <w:vAlign w:val="center"/>
                </w:tcPr>
                <w:p w14:paraId="3811CE73">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w:t>
                  </w:r>
                </w:p>
              </w:tc>
            </w:tr>
            <w:tr w14:paraId="72FF3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vMerge w:val="restart"/>
                  <w:vAlign w:val="center"/>
                </w:tcPr>
                <w:p w14:paraId="1353F0C7">
                  <w:pPr>
                    <w:spacing w:line="240" w:lineRule="exact"/>
                    <w:jc w:val="center"/>
                    <w:rPr>
                      <w:rFonts w:hint="eastAsia"/>
                      <w:bCs/>
                      <w:color w:val="auto"/>
                      <w:sz w:val="18"/>
                      <w:szCs w:val="18"/>
                      <w:lang w:eastAsia="zh-CN"/>
                    </w:rPr>
                  </w:pPr>
                  <w:r>
                    <w:rPr>
                      <w:rFonts w:hint="eastAsia"/>
                      <w:bCs/>
                      <w:color w:val="auto"/>
                      <w:sz w:val="18"/>
                      <w:szCs w:val="18"/>
                      <w:lang w:val="en-US" w:eastAsia="zh-CN"/>
                    </w:rPr>
                    <w:t>弹性磨块生产线热压、烘干、粘结过程</w:t>
                  </w:r>
                </w:p>
              </w:tc>
              <w:tc>
                <w:tcPr>
                  <w:tcW w:w="502" w:type="dxa"/>
                  <w:vMerge w:val="restart"/>
                  <w:vAlign w:val="center"/>
                </w:tcPr>
                <w:p w14:paraId="7D6E23DC">
                  <w:pPr>
                    <w:spacing w:line="240" w:lineRule="exact"/>
                    <w:jc w:val="center"/>
                    <w:rPr>
                      <w:color w:val="auto"/>
                      <w:sz w:val="18"/>
                      <w:szCs w:val="18"/>
                    </w:rPr>
                  </w:pPr>
                  <w:r>
                    <w:rPr>
                      <w:color w:val="auto"/>
                      <w:sz w:val="18"/>
                      <w:szCs w:val="18"/>
                    </w:rPr>
                    <w:t>有组织</w:t>
                  </w:r>
                </w:p>
              </w:tc>
              <w:tc>
                <w:tcPr>
                  <w:tcW w:w="765" w:type="dxa"/>
                  <w:vAlign w:val="center"/>
                </w:tcPr>
                <w:p w14:paraId="0EC91E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18"/>
                      <w:szCs w:val="18"/>
                    </w:rPr>
                  </w:pPr>
                  <w:r>
                    <w:rPr>
                      <w:rFonts w:hint="eastAsia" w:ascii="Times New Roman" w:hAnsi="Times New Roman" w:cs="Times New Roman"/>
                      <w:bCs/>
                      <w:color w:val="auto"/>
                      <w:sz w:val="18"/>
                      <w:szCs w:val="18"/>
                      <w:highlight w:val="none"/>
                      <w:vertAlign w:val="baseline"/>
                      <w:lang w:val="en-US" w:eastAsia="zh-CN"/>
                    </w:rPr>
                    <w:t>VOCs</w:t>
                  </w:r>
                </w:p>
              </w:tc>
              <w:tc>
                <w:tcPr>
                  <w:tcW w:w="775" w:type="dxa"/>
                  <w:vAlign w:val="center"/>
                </w:tcPr>
                <w:p w14:paraId="40F132F7">
                  <w:pPr>
                    <w:keepNext w:val="0"/>
                    <w:keepLines w:val="0"/>
                    <w:widowControl/>
                    <w:suppressLineNumbers w:val="0"/>
                    <w:jc w:val="center"/>
                    <w:textAlignment w:val="auto"/>
                    <w:rPr>
                      <w:rFonts w:hint="eastAsia"/>
                      <w:color w:val="auto"/>
                      <w:sz w:val="18"/>
                      <w:szCs w:val="18"/>
                      <w:lang w:val="en-US" w:eastAsia="zh-CN"/>
                    </w:rPr>
                  </w:pPr>
                  <w:r>
                    <w:rPr>
                      <w:rFonts w:hint="eastAsia" w:cs="Times New Roman"/>
                      <w:color w:val="auto"/>
                      <w:kern w:val="2"/>
                      <w:sz w:val="18"/>
                      <w:szCs w:val="18"/>
                      <w:highlight w:val="none"/>
                      <w:lang w:val="en-US" w:eastAsia="zh-CN" w:bidi="ar-SA"/>
                    </w:rPr>
                    <w:t>0.0551</w:t>
                  </w:r>
                </w:p>
              </w:tc>
              <w:tc>
                <w:tcPr>
                  <w:tcW w:w="920" w:type="dxa"/>
                  <w:vAlign w:val="center"/>
                </w:tcPr>
                <w:p w14:paraId="715313CD">
                  <w:pPr>
                    <w:keepNext w:val="0"/>
                    <w:keepLines w:val="0"/>
                    <w:widowControl/>
                    <w:suppressLineNumbers w:val="0"/>
                    <w:jc w:val="center"/>
                    <w:textAlignment w:val="auto"/>
                    <w:rPr>
                      <w:color w:val="auto"/>
                      <w:sz w:val="18"/>
                      <w:szCs w:val="18"/>
                    </w:rPr>
                  </w:pPr>
                  <w:r>
                    <w:rPr>
                      <w:rFonts w:hint="eastAsia" w:cs="Times New Roman"/>
                      <w:i w:val="0"/>
                      <w:iCs w:val="0"/>
                      <w:color w:val="auto"/>
                      <w:kern w:val="2"/>
                      <w:sz w:val="18"/>
                      <w:szCs w:val="18"/>
                      <w:highlight w:val="none"/>
                      <w:u w:val="none"/>
                      <w:lang w:val="en-US" w:eastAsia="zh-CN" w:bidi="ar"/>
                    </w:rPr>
                    <w:t>5.10</w:t>
                  </w:r>
                </w:p>
              </w:tc>
              <w:tc>
                <w:tcPr>
                  <w:tcW w:w="786" w:type="dxa"/>
                  <w:vMerge w:val="restart"/>
                  <w:vAlign w:val="center"/>
                </w:tcPr>
                <w:p w14:paraId="2D1F99B2">
                  <w:pPr>
                    <w:spacing w:line="240" w:lineRule="auto"/>
                    <w:jc w:val="center"/>
                    <w:rPr>
                      <w:color w:val="auto"/>
                      <w:sz w:val="18"/>
                      <w:szCs w:val="18"/>
                    </w:rPr>
                  </w:pPr>
                  <w:r>
                    <w:rPr>
                      <w:rFonts w:hint="eastAsia" w:cs="Times New Roman"/>
                      <w:color w:val="auto"/>
                      <w:sz w:val="18"/>
                      <w:szCs w:val="18"/>
                      <w:highlight w:val="none"/>
                      <w:lang w:val="en-US" w:eastAsia="zh-CN"/>
                    </w:rPr>
                    <w:t>4500</w:t>
                  </w:r>
                </w:p>
              </w:tc>
              <w:tc>
                <w:tcPr>
                  <w:tcW w:w="651" w:type="dxa"/>
                  <w:vMerge w:val="restart"/>
                  <w:vAlign w:val="center"/>
                </w:tcPr>
                <w:p w14:paraId="23A900CC">
                  <w:pPr>
                    <w:spacing w:line="240" w:lineRule="auto"/>
                    <w:jc w:val="center"/>
                    <w:rPr>
                      <w:color w:val="auto"/>
                      <w:sz w:val="18"/>
                      <w:szCs w:val="18"/>
                    </w:rPr>
                  </w:pPr>
                  <w:r>
                    <w:rPr>
                      <w:rFonts w:hint="eastAsia" w:ascii="Times New Roman" w:hAnsi="Times New Roman" w:eastAsia="宋体" w:cs="Times New Roman"/>
                      <w:color w:val="auto"/>
                      <w:sz w:val="18"/>
                      <w:szCs w:val="18"/>
                      <w:highlight w:val="none"/>
                      <w:lang w:val="en-US" w:eastAsia="zh-CN"/>
                    </w:rPr>
                    <w:t>95</w:t>
                  </w:r>
                </w:p>
              </w:tc>
              <w:tc>
                <w:tcPr>
                  <w:tcW w:w="866" w:type="dxa"/>
                  <w:vMerge w:val="restart"/>
                  <w:vAlign w:val="center"/>
                </w:tcPr>
                <w:p w14:paraId="27DFD887">
                  <w:pPr>
                    <w:spacing w:line="240" w:lineRule="auto"/>
                    <w:jc w:val="center"/>
                    <w:rPr>
                      <w:rFonts w:hint="eastAsia" w:eastAsia="宋体"/>
                      <w:color w:val="auto"/>
                      <w:sz w:val="18"/>
                      <w:szCs w:val="18"/>
                      <w:lang w:eastAsia="zh-CN"/>
                    </w:rPr>
                  </w:pPr>
                  <w:r>
                    <w:rPr>
                      <w:rFonts w:hint="eastAsia" w:cs="Times New Roman"/>
                      <w:color w:val="auto"/>
                      <w:sz w:val="18"/>
                      <w:szCs w:val="18"/>
                      <w:highlight w:val="none"/>
                      <w:lang w:val="en-US" w:eastAsia="zh-CN"/>
                    </w:rPr>
                    <w:t>二级活性炭吸附装置</w:t>
                  </w:r>
                </w:p>
              </w:tc>
              <w:tc>
                <w:tcPr>
                  <w:tcW w:w="651" w:type="dxa"/>
                  <w:vMerge w:val="restart"/>
                  <w:vAlign w:val="center"/>
                </w:tcPr>
                <w:p w14:paraId="5BF3643D">
                  <w:pPr>
                    <w:spacing w:line="240" w:lineRule="auto"/>
                    <w:jc w:val="center"/>
                    <w:rPr>
                      <w:rFonts w:hint="eastAsia"/>
                      <w:color w:val="auto"/>
                      <w:sz w:val="18"/>
                      <w:szCs w:val="18"/>
                      <w:lang w:val="en-US" w:eastAsia="zh-CN"/>
                    </w:rPr>
                  </w:pPr>
                  <w:r>
                    <w:rPr>
                      <w:rFonts w:hint="eastAsia" w:cs="Times New Roman"/>
                      <w:color w:val="auto"/>
                      <w:sz w:val="18"/>
                      <w:szCs w:val="18"/>
                      <w:highlight w:val="none"/>
                      <w:lang w:val="en-US" w:eastAsia="zh-CN"/>
                    </w:rPr>
                    <w:t>70</w:t>
                  </w:r>
                </w:p>
              </w:tc>
              <w:tc>
                <w:tcPr>
                  <w:tcW w:w="623" w:type="dxa"/>
                  <w:vMerge w:val="restart"/>
                  <w:vAlign w:val="center"/>
                </w:tcPr>
                <w:p w14:paraId="244474A5">
                  <w:pPr>
                    <w:spacing w:line="240" w:lineRule="auto"/>
                    <w:jc w:val="center"/>
                    <w:rPr>
                      <w:color w:val="auto"/>
                      <w:sz w:val="18"/>
                      <w:szCs w:val="18"/>
                    </w:rPr>
                  </w:pPr>
                  <w:r>
                    <w:rPr>
                      <w:rFonts w:hint="eastAsia" w:ascii="Times New Roman" w:hAnsi="Times New Roman" w:eastAsia="宋体" w:cs="Times New Roman"/>
                      <w:color w:val="auto"/>
                      <w:sz w:val="18"/>
                      <w:szCs w:val="18"/>
                      <w:highlight w:val="none"/>
                      <w:lang w:val="en-US" w:eastAsia="zh-CN"/>
                    </w:rPr>
                    <w:t>是</w:t>
                  </w:r>
                </w:p>
              </w:tc>
              <w:tc>
                <w:tcPr>
                  <w:tcW w:w="776" w:type="dxa"/>
                  <w:shd w:val="clear" w:color="auto" w:fill="auto"/>
                  <w:vAlign w:val="center"/>
                </w:tcPr>
                <w:p w14:paraId="0D4B49A9">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w:t>
                  </w:r>
                  <w:r>
                    <w:rPr>
                      <w:rFonts w:hint="eastAsia" w:cs="Times New Roman"/>
                      <w:i w:val="0"/>
                      <w:iCs w:val="0"/>
                      <w:color w:val="auto"/>
                      <w:kern w:val="2"/>
                      <w:sz w:val="18"/>
                      <w:szCs w:val="18"/>
                      <w:highlight w:val="none"/>
                      <w:u w:val="none"/>
                      <w:lang w:val="en-US" w:eastAsia="zh-CN" w:bidi="ar-SA"/>
                    </w:rPr>
                    <w:t>17</w:t>
                  </w:r>
                </w:p>
              </w:tc>
              <w:tc>
                <w:tcPr>
                  <w:tcW w:w="934" w:type="dxa"/>
                  <w:shd w:val="clear" w:color="auto" w:fill="auto"/>
                  <w:vAlign w:val="center"/>
                </w:tcPr>
                <w:p w14:paraId="23135BB7">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1.</w:t>
                  </w:r>
                  <w:r>
                    <w:rPr>
                      <w:rFonts w:hint="eastAsia" w:cs="Times New Roman"/>
                      <w:i w:val="0"/>
                      <w:iCs w:val="0"/>
                      <w:color w:val="auto"/>
                      <w:kern w:val="2"/>
                      <w:sz w:val="18"/>
                      <w:szCs w:val="18"/>
                      <w:highlight w:val="none"/>
                      <w:u w:val="none"/>
                      <w:lang w:val="en-US" w:eastAsia="zh-CN" w:bidi="ar-SA"/>
                    </w:rPr>
                    <w:t>6</w:t>
                  </w:r>
                </w:p>
              </w:tc>
              <w:tc>
                <w:tcPr>
                  <w:tcW w:w="753" w:type="dxa"/>
                  <w:shd w:val="clear" w:color="auto" w:fill="auto"/>
                  <w:vAlign w:val="center"/>
                </w:tcPr>
                <w:p w14:paraId="081921EC">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w:t>
                  </w:r>
                  <w:r>
                    <w:rPr>
                      <w:rFonts w:hint="eastAsia" w:cs="Times New Roman"/>
                      <w:i w:val="0"/>
                      <w:iCs w:val="0"/>
                      <w:color w:val="auto"/>
                      <w:kern w:val="2"/>
                      <w:sz w:val="18"/>
                      <w:szCs w:val="18"/>
                      <w:highlight w:val="none"/>
                      <w:u w:val="none"/>
                      <w:lang w:val="en-US" w:eastAsia="zh-CN" w:bidi="ar-SA"/>
                    </w:rPr>
                    <w:t>7</w:t>
                  </w:r>
                </w:p>
              </w:tc>
              <w:tc>
                <w:tcPr>
                  <w:tcW w:w="785" w:type="dxa"/>
                  <w:vAlign w:val="center"/>
                </w:tcPr>
                <w:p w14:paraId="20EC5C8D">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2400</w:t>
                  </w:r>
                </w:p>
              </w:tc>
              <w:tc>
                <w:tcPr>
                  <w:tcW w:w="946" w:type="dxa"/>
                  <w:vAlign w:val="center"/>
                </w:tcPr>
                <w:p w14:paraId="0DD5FBAC">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20</w:t>
                  </w:r>
                </w:p>
              </w:tc>
              <w:tc>
                <w:tcPr>
                  <w:tcW w:w="784" w:type="dxa"/>
                  <w:vAlign w:val="center"/>
                </w:tcPr>
                <w:p w14:paraId="3596E0CF">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3.0</w:t>
                  </w:r>
                </w:p>
              </w:tc>
            </w:tr>
            <w:tr w14:paraId="2DBFF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vMerge w:val="continue"/>
                  <w:vAlign w:val="center"/>
                </w:tcPr>
                <w:p w14:paraId="1C03049D">
                  <w:pPr>
                    <w:spacing w:line="240" w:lineRule="exact"/>
                    <w:jc w:val="center"/>
                    <w:rPr>
                      <w:rFonts w:hint="eastAsia"/>
                      <w:bCs/>
                      <w:color w:val="auto"/>
                      <w:sz w:val="18"/>
                      <w:szCs w:val="18"/>
                      <w:lang w:eastAsia="zh-CN"/>
                    </w:rPr>
                  </w:pPr>
                </w:p>
              </w:tc>
              <w:tc>
                <w:tcPr>
                  <w:tcW w:w="502" w:type="dxa"/>
                  <w:vMerge w:val="continue"/>
                  <w:vAlign w:val="center"/>
                </w:tcPr>
                <w:p w14:paraId="067C4B7C">
                  <w:pPr>
                    <w:spacing w:line="240" w:lineRule="exact"/>
                    <w:jc w:val="center"/>
                    <w:rPr>
                      <w:color w:val="auto"/>
                      <w:sz w:val="18"/>
                      <w:szCs w:val="18"/>
                    </w:rPr>
                  </w:pPr>
                </w:p>
              </w:tc>
              <w:tc>
                <w:tcPr>
                  <w:tcW w:w="765" w:type="dxa"/>
                  <w:vAlign w:val="center"/>
                </w:tcPr>
                <w:p w14:paraId="2885BE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18"/>
                      <w:szCs w:val="18"/>
                    </w:rPr>
                  </w:pPr>
                  <w:r>
                    <w:rPr>
                      <w:rFonts w:hint="eastAsia" w:ascii="Times New Roman" w:hAnsi="Times New Roman" w:cs="Times New Roman"/>
                      <w:bCs/>
                      <w:color w:val="auto"/>
                      <w:sz w:val="18"/>
                      <w:szCs w:val="18"/>
                      <w:highlight w:val="none"/>
                      <w:vertAlign w:val="baseline"/>
                      <w:lang w:val="en-US" w:eastAsia="zh-CN"/>
                    </w:rPr>
                    <w:t>甲醛</w:t>
                  </w:r>
                </w:p>
              </w:tc>
              <w:tc>
                <w:tcPr>
                  <w:tcW w:w="775" w:type="dxa"/>
                  <w:vAlign w:val="center"/>
                </w:tcPr>
                <w:p w14:paraId="54702876">
                  <w:pPr>
                    <w:keepNext w:val="0"/>
                    <w:keepLines w:val="0"/>
                    <w:widowControl/>
                    <w:suppressLineNumbers w:val="0"/>
                    <w:jc w:val="center"/>
                    <w:textAlignment w:val="auto"/>
                    <w:rPr>
                      <w:rFonts w:hint="eastAsia"/>
                      <w:color w:val="auto"/>
                      <w:sz w:val="18"/>
                      <w:szCs w:val="18"/>
                      <w:lang w:val="en-US" w:eastAsia="zh-CN"/>
                    </w:rPr>
                  </w:pPr>
                  <w:r>
                    <w:rPr>
                      <w:rFonts w:hint="eastAsia" w:cs="Times New Roman"/>
                      <w:color w:val="auto"/>
                      <w:kern w:val="2"/>
                      <w:sz w:val="18"/>
                      <w:szCs w:val="18"/>
                      <w:highlight w:val="none"/>
                      <w:lang w:val="en-US" w:eastAsia="zh-CN" w:bidi="ar-SA"/>
                    </w:rPr>
                    <w:t>0.019</w:t>
                  </w:r>
                </w:p>
              </w:tc>
              <w:tc>
                <w:tcPr>
                  <w:tcW w:w="920" w:type="dxa"/>
                  <w:vAlign w:val="center"/>
                </w:tcPr>
                <w:p w14:paraId="2DFD52EF">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
                    </w:rPr>
                    <w:t>1.76</w:t>
                  </w:r>
                </w:p>
              </w:tc>
              <w:tc>
                <w:tcPr>
                  <w:tcW w:w="786" w:type="dxa"/>
                  <w:vMerge w:val="continue"/>
                  <w:vAlign w:val="center"/>
                </w:tcPr>
                <w:p w14:paraId="708DDDC9">
                  <w:pPr>
                    <w:spacing w:line="240" w:lineRule="exact"/>
                    <w:jc w:val="center"/>
                    <w:rPr>
                      <w:color w:val="auto"/>
                      <w:sz w:val="18"/>
                      <w:szCs w:val="18"/>
                    </w:rPr>
                  </w:pPr>
                </w:p>
              </w:tc>
              <w:tc>
                <w:tcPr>
                  <w:tcW w:w="651" w:type="dxa"/>
                  <w:vMerge w:val="continue"/>
                  <w:vAlign w:val="center"/>
                </w:tcPr>
                <w:p w14:paraId="2B22AECE">
                  <w:pPr>
                    <w:spacing w:line="240" w:lineRule="exact"/>
                    <w:jc w:val="center"/>
                    <w:rPr>
                      <w:color w:val="auto"/>
                      <w:sz w:val="18"/>
                      <w:szCs w:val="18"/>
                    </w:rPr>
                  </w:pPr>
                </w:p>
              </w:tc>
              <w:tc>
                <w:tcPr>
                  <w:tcW w:w="866" w:type="dxa"/>
                  <w:vMerge w:val="continue"/>
                  <w:vAlign w:val="center"/>
                </w:tcPr>
                <w:p w14:paraId="057DB224">
                  <w:pPr>
                    <w:spacing w:line="240" w:lineRule="exact"/>
                    <w:jc w:val="center"/>
                    <w:rPr>
                      <w:rFonts w:hint="eastAsia" w:eastAsia="宋体"/>
                      <w:color w:val="auto"/>
                      <w:sz w:val="18"/>
                      <w:szCs w:val="18"/>
                      <w:lang w:eastAsia="zh-CN"/>
                    </w:rPr>
                  </w:pPr>
                </w:p>
              </w:tc>
              <w:tc>
                <w:tcPr>
                  <w:tcW w:w="651" w:type="dxa"/>
                  <w:vMerge w:val="continue"/>
                  <w:vAlign w:val="center"/>
                </w:tcPr>
                <w:p w14:paraId="0BEF6BA2">
                  <w:pPr>
                    <w:spacing w:line="240" w:lineRule="exact"/>
                    <w:jc w:val="center"/>
                    <w:rPr>
                      <w:rFonts w:hint="eastAsia"/>
                      <w:color w:val="auto"/>
                      <w:sz w:val="18"/>
                      <w:szCs w:val="18"/>
                      <w:lang w:val="en-US" w:eastAsia="zh-CN"/>
                    </w:rPr>
                  </w:pPr>
                </w:p>
              </w:tc>
              <w:tc>
                <w:tcPr>
                  <w:tcW w:w="623" w:type="dxa"/>
                  <w:vMerge w:val="continue"/>
                  <w:vAlign w:val="center"/>
                </w:tcPr>
                <w:p w14:paraId="57666090">
                  <w:pPr>
                    <w:spacing w:line="240" w:lineRule="exact"/>
                    <w:jc w:val="center"/>
                    <w:rPr>
                      <w:color w:val="auto"/>
                      <w:sz w:val="18"/>
                      <w:szCs w:val="18"/>
                    </w:rPr>
                  </w:pPr>
                </w:p>
              </w:tc>
              <w:tc>
                <w:tcPr>
                  <w:tcW w:w="776" w:type="dxa"/>
                  <w:shd w:val="clear" w:color="auto" w:fill="auto"/>
                  <w:vAlign w:val="center"/>
                </w:tcPr>
                <w:p w14:paraId="6C5E0D25">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0.006</w:t>
                  </w:r>
                </w:p>
              </w:tc>
              <w:tc>
                <w:tcPr>
                  <w:tcW w:w="934" w:type="dxa"/>
                  <w:shd w:val="clear" w:color="auto" w:fill="auto"/>
                  <w:vAlign w:val="center"/>
                </w:tcPr>
                <w:p w14:paraId="462A7180">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0.6</w:t>
                  </w:r>
                </w:p>
              </w:tc>
              <w:tc>
                <w:tcPr>
                  <w:tcW w:w="753" w:type="dxa"/>
                  <w:shd w:val="clear" w:color="auto" w:fill="auto"/>
                  <w:vAlign w:val="center"/>
                </w:tcPr>
                <w:p w14:paraId="6622471F">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0.003</w:t>
                  </w:r>
                </w:p>
              </w:tc>
              <w:tc>
                <w:tcPr>
                  <w:tcW w:w="785" w:type="dxa"/>
                  <w:vAlign w:val="center"/>
                </w:tcPr>
                <w:p w14:paraId="66C83CEF">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2400</w:t>
                  </w:r>
                </w:p>
              </w:tc>
              <w:tc>
                <w:tcPr>
                  <w:tcW w:w="946" w:type="dxa"/>
                  <w:vAlign w:val="center"/>
                </w:tcPr>
                <w:p w14:paraId="1C39D460">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25</w:t>
                  </w:r>
                </w:p>
              </w:tc>
              <w:tc>
                <w:tcPr>
                  <w:tcW w:w="784" w:type="dxa"/>
                  <w:vAlign w:val="center"/>
                </w:tcPr>
                <w:p w14:paraId="73527DDA">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0.26</w:t>
                  </w:r>
                </w:p>
              </w:tc>
            </w:tr>
            <w:tr w14:paraId="0B31C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vMerge w:val="continue"/>
                  <w:vAlign w:val="center"/>
                </w:tcPr>
                <w:p w14:paraId="33FB8956">
                  <w:pPr>
                    <w:spacing w:line="240" w:lineRule="exact"/>
                    <w:jc w:val="center"/>
                    <w:rPr>
                      <w:rFonts w:hint="eastAsia"/>
                      <w:bCs/>
                      <w:color w:val="auto"/>
                      <w:sz w:val="18"/>
                      <w:szCs w:val="18"/>
                      <w:lang w:eastAsia="zh-CN"/>
                    </w:rPr>
                  </w:pPr>
                </w:p>
              </w:tc>
              <w:tc>
                <w:tcPr>
                  <w:tcW w:w="502" w:type="dxa"/>
                  <w:vMerge w:val="continue"/>
                  <w:vAlign w:val="center"/>
                </w:tcPr>
                <w:p w14:paraId="78847182">
                  <w:pPr>
                    <w:spacing w:line="240" w:lineRule="exact"/>
                    <w:jc w:val="center"/>
                    <w:rPr>
                      <w:color w:val="auto"/>
                      <w:sz w:val="18"/>
                      <w:szCs w:val="18"/>
                    </w:rPr>
                  </w:pPr>
                </w:p>
              </w:tc>
              <w:tc>
                <w:tcPr>
                  <w:tcW w:w="765" w:type="dxa"/>
                  <w:vAlign w:val="center"/>
                </w:tcPr>
                <w:p w14:paraId="2655E6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18"/>
                      <w:szCs w:val="18"/>
                    </w:rPr>
                  </w:pPr>
                  <w:r>
                    <w:rPr>
                      <w:rFonts w:hint="eastAsia" w:ascii="Times New Roman" w:hAnsi="Times New Roman" w:cs="Times New Roman"/>
                      <w:bCs/>
                      <w:color w:val="auto"/>
                      <w:sz w:val="18"/>
                      <w:szCs w:val="18"/>
                      <w:highlight w:val="none"/>
                      <w:vertAlign w:val="baseline"/>
                      <w:lang w:val="en-US" w:eastAsia="zh-CN"/>
                    </w:rPr>
                    <w:t>苯酚</w:t>
                  </w:r>
                </w:p>
              </w:tc>
              <w:tc>
                <w:tcPr>
                  <w:tcW w:w="775" w:type="dxa"/>
                  <w:vAlign w:val="center"/>
                </w:tcPr>
                <w:p w14:paraId="4F5E5A74">
                  <w:pPr>
                    <w:keepNext w:val="0"/>
                    <w:keepLines w:val="0"/>
                    <w:widowControl/>
                    <w:suppressLineNumbers w:val="0"/>
                    <w:jc w:val="center"/>
                    <w:textAlignment w:val="auto"/>
                    <w:rPr>
                      <w:rFonts w:hint="eastAsia"/>
                      <w:color w:val="auto"/>
                      <w:sz w:val="18"/>
                      <w:szCs w:val="18"/>
                      <w:lang w:val="en-US" w:eastAsia="zh-CN"/>
                    </w:rPr>
                  </w:pPr>
                  <w:r>
                    <w:rPr>
                      <w:rFonts w:hint="eastAsia" w:cs="Times New Roman"/>
                      <w:color w:val="auto"/>
                      <w:kern w:val="2"/>
                      <w:sz w:val="18"/>
                      <w:szCs w:val="18"/>
                      <w:highlight w:val="none"/>
                      <w:lang w:val="en-US" w:eastAsia="zh-CN" w:bidi="ar-SA"/>
                    </w:rPr>
                    <w:t>0.027</w:t>
                  </w:r>
                </w:p>
              </w:tc>
              <w:tc>
                <w:tcPr>
                  <w:tcW w:w="920" w:type="dxa"/>
                  <w:vAlign w:val="center"/>
                </w:tcPr>
                <w:p w14:paraId="5B00BAAA">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
                    </w:rPr>
                    <w:t>2.50</w:t>
                  </w:r>
                </w:p>
              </w:tc>
              <w:tc>
                <w:tcPr>
                  <w:tcW w:w="786" w:type="dxa"/>
                  <w:vMerge w:val="continue"/>
                  <w:vAlign w:val="center"/>
                </w:tcPr>
                <w:p w14:paraId="0BBE66A1">
                  <w:pPr>
                    <w:spacing w:line="240" w:lineRule="exact"/>
                    <w:jc w:val="center"/>
                    <w:rPr>
                      <w:color w:val="auto"/>
                      <w:sz w:val="18"/>
                      <w:szCs w:val="18"/>
                    </w:rPr>
                  </w:pPr>
                </w:p>
              </w:tc>
              <w:tc>
                <w:tcPr>
                  <w:tcW w:w="651" w:type="dxa"/>
                  <w:vMerge w:val="continue"/>
                  <w:vAlign w:val="center"/>
                </w:tcPr>
                <w:p w14:paraId="69A6309A">
                  <w:pPr>
                    <w:spacing w:line="240" w:lineRule="exact"/>
                    <w:jc w:val="center"/>
                    <w:rPr>
                      <w:color w:val="auto"/>
                      <w:sz w:val="18"/>
                      <w:szCs w:val="18"/>
                    </w:rPr>
                  </w:pPr>
                </w:p>
              </w:tc>
              <w:tc>
                <w:tcPr>
                  <w:tcW w:w="866" w:type="dxa"/>
                  <w:vMerge w:val="continue"/>
                  <w:vAlign w:val="center"/>
                </w:tcPr>
                <w:p w14:paraId="091C09DA">
                  <w:pPr>
                    <w:spacing w:line="240" w:lineRule="exact"/>
                    <w:jc w:val="center"/>
                    <w:rPr>
                      <w:rFonts w:hint="eastAsia" w:eastAsia="宋体"/>
                      <w:color w:val="auto"/>
                      <w:sz w:val="18"/>
                      <w:szCs w:val="18"/>
                      <w:lang w:eastAsia="zh-CN"/>
                    </w:rPr>
                  </w:pPr>
                </w:p>
              </w:tc>
              <w:tc>
                <w:tcPr>
                  <w:tcW w:w="651" w:type="dxa"/>
                  <w:vMerge w:val="continue"/>
                  <w:vAlign w:val="center"/>
                </w:tcPr>
                <w:p w14:paraId="1EE4082F">
                  <w:pPr>
                    <w:spacing w:line="240" w:lineRule="exact"/>
                    <w:jc w:val="center"/>
                    <w:rPr>
                      <w:rFonts w:hint="eastAsia"/>
                      <w:color w:val="auto"/>
                      <w:sz w:val="18"/>
                      <w:szCs w:val="18"/>
                      <w:lang w:val="en-US" w:eastAsia="zh-CN"/>
                    </w:rPr>
                  </w:pPr>
                </w:p>
              </w:tc>
              <w:tc>
                <w:tcPr>
                  <w:tcW w:w="623" w:type="dxa"/>
                  <w:vMerge w:val="continue"/>
                  <w:vAlign w:val="center"/>
                </w:tcPr>
                <w:p w14:paraId="14B5E5D1">
                  <w:pPr>
                    <w:spacing w:line="240" w:lineRule="exact"/>
                    <w:jc w:val="center"/>
                    <w:rPr>
                      <w:color w:val="auto"/>
                      <w:sz w:val="18"/>
                      <w:szCs w:val="18"/>
                    </w:rPr>
                  </w:pPr>
                </w:p>
              </w:tc>
              <w:tc>
                <w:tcPr>
                  <w:tcW w:w="776" w:type="dxa"/>
                  <w:shd w:val="clear" w:color="auto" w:fill="auto"/>
                  <w:vAlign w:val="center"/>
                </w:tcPr>
                <w:p w14:paraId="56FF41E7">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0.008</w:t>
                  </w:r>
                </w:p>
              </w:tc>
              <w:tc>
                <w:tcPr>
                  <w:tcW w:w="934" w:type="dxa"/>
                  <w:shd w:val="clear" w:color="auto" w:fill="auto"/>
                  <w:vAlign w:val="center"/>
                </w:tcPr>
                <w:p w14:paraId="3F576E0B">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0.7</w:t>
                  </w:r>
                </w:p>
              </w:tc>
              <w:tc>
                <w:tcPr>
                  <w:tcW w:w="753" w:type="dxa"/>
                  <w:shd w:val="clear" w:color="auto" w:fill="auto"/>
                  <w:vAlign w:val="center"/>
                </w:tcPr>
                <w:p w14:paraId="453BC113">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0.003</w:t>
                  </w:r>
                </w:p>
              </w:tc>
              <w:tc>
                <w:tcPr>
                  <w:tcW w:w="785" w:type="dxa"/>
                  <w:vAlign w:val="center"/>
                </w:tcPr>
                <w:p w14:paraId="40B61AB4">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2400</w:t>
                  </w:r>
                </w:p>
              </w:tc>
              <w:tc>
                <w:tcPr>
                  <w:tcW w:w="946" w:type="dxa"/>
                  <w:vAlign w:val="center"/>
                </w:tcPr>
                <w:p w14:paraId="2B15E5B4">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100</w:t>
                  </w:r>
                </w:p>
              </w:tc>
              <w:tc>
                <w:tcPr>
                  <w:tcW w:w="784" w:type="dxa"/>
                  <w:vAlign w:val="center"/>
                </w:tcPr>
                <w:p w14:paraId="499FDD07">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0.1</w:t>
                  </w:r>
                </w:p>
              </w:tc>
            </w:tr>
            <w:tr w14:paraId="397B0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shd w:val="clear" w:color="auto" w:fill="auto"/>
                  <w:vAlign w:val="center"/>
                </w:tcPr>
                <w:p w14:paraId="5312EF7D">
                  <w:pPr>
                    <w:spacing w:line="240" w:lineRule="exact"/>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车削、维修切割过程</w:t>
                  </w:r>
                </w:p>
              </w:tc>
              <w:tc>
                <w:tcPr>
                  <w:tcW w:w="502" w:type="dxa"/>
                  <w:shd w:val="clear" w:color="auto" w:fill="auto"/>
                  <w:vAlign w:val="center"/>
                </w:tcPr>
                <w:p w14:paraId="09EA8965">
                  <w:pPr>
                    <w:spacing w:line="240" w:lineRule="exact"/>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无组织</w:t>
                  </w:r>
                </w:p>
              </w:tc>
              <w:tc>
                <w:tcPr>
                  <w:tcW w:w="765" w:type="dxa"/>
                  <w:shd w:val="clear" w:color="auto" w:fill="auto"/>
                  <w:vAlign w:val="center"/>
                </w:tcPr>
                <w:p w14:paraId="3943958E">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颗粒物</w:t>
                  </w:r>
                </w:p>
              </w:tc>
              <w:tc>
                <w:tcPr>
                  <w:tcW w:w="775" w:type="dxa"/>
                  <w:shd w:val="clear" w:color="auto" w:fill="auto"/>
                  <w:vAlign w:val="center"/>
                </w:tcPr>
                <w:p w14:paraId="1F0F35BB">
                  <w:pPr>
                    <w:spacing w:line="240" w:lineRule="exact"/>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少量</w:t>
                  </w:r>
                </w:p>
              </w:tc>
              <w:tc>
                <w:tcPr>
                  <w:tcW w:w="920" w:type="dxa"/>
                  <w:shd w:val="clear" w:color="auto" w:fill="auto"/>
                  <w:vAlign w:val="center"/>
                </w:tcPr>
                <w:p w14:paraId="00B6284B">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w:t>
                  </w:r>
                </w:p>
              </w:tc>
              <w:tc>
                <w:tcPr>
                  <w:tcW w:w="786" w:type="dxa"/>
                  <w:shd w:val="clear" w:color="auto" w:fill="auto"/>
                  <w:vAlign w:val="center"/>
                </w:tcPr>
                <w:p w14:paraId="374BE899">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w:t>
                  </w:r>
                </w:p>
              </w:tc>
              <w:tc>
                <w:tcPr>
                  <w:tcW w:w="651" w:type="dxa"/>
                  <w:shd w:val="clear" w:color="auto" w:fill="auto"/>
                  <w:vAlign w:val="center"/>
                </w:tcPr>
                <w:p w14:paraId="7757B5C9">
                  <w:pPr>
                    <w:spacing w:line="240" w:lineRule="exact"/>
                    <w:jc w:val="center"/>
                    <w:rPr>
                      <w:rFonts w:hint="default" w:ascii="Times New Roman" w:hAnsi="Times New Roman" w:eastAsia="宋体" w:cs="Times New Roman"/>
                      <w:color w:val="auto"/>
                      <w:kern w:val="2"/>
                      <w:sz w:val="18"/>
                      <w:szCs w:val="18"/>
                      <w:lang w:val="en-US" w:eastAsia="zh-CN" w:bidi="ar-SA"/>
                    </w:rPr>
                  </w:pPr>
                  <w:r>
                    <w:rPr>
                      <w:color w:val="auto"/>
                      <w:sz w:val="18"/>
                      <w:szCs w:val="18"/>
                    </w:rPr>
                    <w:t>-</w:t>
                  </w:r>
                </w:p>
              </w:tc>
              <w:tc>
                <w:tcPr>
                  <w:tcW w:w="866" w:type="dxa"/>
                  <w:shd w:val="clear" w:color="auto" w:fill="auto"/>
                  <w:vAlign w:val="center"/>
                </w:tcPr>
                <w:p w14:paraId="4EB14726">
                  <w:pPr>
                    <w:spacing w:line="240" w:lineRule="exact"/>
                    <w:jc w:val="center"/>
                    <w:rPr>
                      <w:rFonts w:hint="eastAsia" w:ascii="Times New Roman" w:hAnsi="Times New Roman" w:eastAsia="宋体" w:cs="Times New Roman"/>
                      <w:color w:val="auto"/>
                      <w:kern w:val="2"/>
                      <w:sz w:val="18"/>
                      <w:szCs w:val="18"/>
                      <w:lang w:val="en-US" w:eastAsia="zh-CN" w:bidi="ar-SA"/>
                    </w:rPr>
                  </w:pPr>
                  <w:r>
                    <w:rPr>
                      <w:color w:val="auto"/>
                      <w:sz w:val="18"/>
                      <w:szCs w:val="18"/>
                    </w:rPr>
                    <w:t>-</w:t>
                  </w:r>
                </w:p>
              </w:tc>
              <w:tc>
                <w:tcPr>
                  <w:tcW w:w="651" w:type="dxa"/>
                  <w:shd w:val="clear" w:color="auto" w:fill="auto"/>
                  <w:vAlign w:val="center"/>
                </w:tcPr>
                <w:p w14:paraId="08027107">
                  <w:pPr>
                    <w:spacing w:line="240" w:lineRule="exact"/>
                    <w:jc w:val="center"/>
                    <w:rPr>
                      <w:rFonts w:hint="default" w:ascii="Times New Roman" w:hAnsi="Times New Roman" w:eastAsia="宋体" w:cs="Times New Roman"/>
                      <w:color w:val="auto"/>
                      <w:kern w:val="2"/>
                      <w:sz w:val="18"/>
                      <w:szCs w:val="18"/>
                      <w:lang w:val="en-US" w:eastAsia="zh-CN" w:bidi="ar-SA"/>
                    </w:rPr>
                  </w:pPr>
                  <w:r>
                    <w:rPr>
                      <w:color w:val="auto"/>
                      <w:sz w:val="18"/>
                      <w:szCs w:val="18"/>
                    </w:rPr>
                    <w:t>-</w:t>
                  </w:r>
                </w:p>
              </w:tc>
              <w:tc>
                <w:tcPr>
                  <w:tcW w:w="623" w:type="dxa"/>
                  <w:shd w:val="clear" w:color="auto" w:fill="auto"/>
                  <w:vAlign w:val="center"/>
                </w:tcPr>
                <w:p w14:paraId="68A502DF">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w:t>
                  </w:r>
                </w:p>
              </w:tc>
              <w:tc>
                <w:tcPr>
                  <w:tcW w:w="776" w:type="dxa"/>
                  <w:vMerge w:val="restart"/>
                  <w:vAlign w:val="center"/>
                </w:tcPr>
                <w:p w14:paraId="541042D7">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0.01</w:t>
                  </w:r>
                </w:p>
              </w:tc>
              <w:tc>
                <w:tcPr>
                  <w:tcW w:w="934" w:type="dxa"/>
                  <w:vMerge w:val="restart"/>
                  <w:vAlign w:val="center"/>
                </w:tcPr>
                <w:p w14:paraId="360C8638">
                  <w:pPr>
                    <w:spacing w:line="240" w:lineRule="exact"/>
                    <w:jc w:val="center"/>
                    <w:rPr>
                      <w:color w:val="auto"/>
                      <w:sz w:val="18"/>
                      <w:szCs w:val="18"/>
                    </w:rPr>
                  </w:pPr>
                  <w:r>
                    <w:rPr>
                      <w:color w:val="auto"/>
                      <w:sz w:val="18"/>
                      <w:szCs w:val="18"/>
                    </w:rPr>
                    <w:t>-</w:t>
                  </w:r>
                </w:p>
              </w:tc>
              <w:tc>
                <w:tcPr>
                  <w:tcW w:w="753" w:type="dxa"/>
                  <w:vMerge w:val="restart"/>
                  <w:vAlign w:val="center"/>
                </w:tcPr>
                <w:p w14:paraId="7680A173">
                  <w:pPr>
                    <w:spacing w:line="240" w:lineRule="exact"/>
                    <w:jc w:val="center"/>
                    <w:rPr>
                      <w:color w:val="auto"/>
                      <w:sz w:val="18"/>
                      <w:szCs w:val="18"/>
                    </w:rPr>
                  </w:pPr>
                  <w:r>
                    <w:rPr>
                      <w:rFonts w:hint="eastAsia"/>
                      <w:color w:val="auto"/>
                      <w:sz w:val="18"/>
                      <w:szCs w:val="18"/>
                      <w:lang w:val="en-US" w:eastAsia="zh-CN"/>
                    </w:rPr>
                    <w:t>0.004</w:t>
                  </w:r>
                </w:p>
              </w:tc>
              <w:tc>
                <w:tcPr>
                  <w:tcW w:w="785" w:type="dxa"/>
                  <w:vMerge w:val="restart"/>
                  <w:vAlign w:val="center"/>
                </w:tcPr>
                <w:p w14:paraId="4E02A89E">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2400</w:t>
                  </w:r>
                </w:p>
              </w:tc>
              <w:tc>
                <w:tcPr>
                  <w:tcW w:w="946" w:type="dxa"/>
                  <w:vMerge w:val="restart"/>
                  <w:vAlign w:val="center"/>
                </w:tcPr>
                <w:p w14:paraId="6CEC6195">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1.0</w:t>
                  </w:r>
                </w:p>
              </w:tc>
              <w:tc>
                <w:tcPr>
                  <w:tcW w:w="784" w:type="dxa"/>
                  <w:vMerge w:val="restart"/>
                  <w:vAlign w:val="center"/>
                </w:tcPr>
                <w:p w14:paraId="17E8B09B">
                  <w:pPr>
                    <w:spacing w:line="240" w:lineRule="exact"/>
                    <w:jc w:val="center"/>
                    <w:rPr>
                      <w:color w:val="auto"/>
                      <w:sz w:val="18"/>
                      <w:szCs w:val="18"/>
                    </w:rPr>
                  </w:pPr>
                  <w:r>
                    <w:rPr>
                      <w:color w:val="auto"/>
                      <w:sz w:val="18"/>
                      <w:szCs w:val="18"/>
                    </w:rPr>
                    <w:t>-</w:t>
                  </w:r>
                </w:p>
                <w:p w14:paraId="68425026">
                  <w:pPr>
                    <w:rPr>
                      <w:color w:val="auto"/>
                    </w:rPr>
                  </w:pPr>
                </w:p>
              </w:tc>
            </w:tr>
            <w:tr w14:paraId="30A40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vAlign w:val="center"/>
                </w:tcPr>
                <w:p w14:paraId="69CC6678">
                  <w:pPr>
                    <w:spacing w:line="240" w:lineRule="exact"/>
                    <w:jc w:val="center"/>
                    <w:rPr>
                      <w:rFonts w:hint="eastAsia"/>
                      <w:bCs/>
                      <w:color w:val="auto"/>
                      <w:sz w:val="18"/>
                      <w:szCs w:val="18"/>
                      <w:lang w:eastAsia="zh-CN"/>
                    </w:rPr>
                  </w:pPr>
                  <w:r>
                    <w:rPr>
                      <w:rFonts w:hint="eastAsia"/>
                      <w:bCs/>
                      <w:color w:val="auto"/>
                      <w:sz w:val="18"/>
                      <w:szCs w:val="18"/>
                      <w:lang w:val="en-US" w:eastAsia="zh-CN"/>
                    </w:rPr>
                    <w:t>焊接（含维修）过程</w:t>
                  </w:r>
                </w:p>
              </w:tc>
              <w:tc>
                <w:tcPr>
                  <w:tcW w:w="502" w:type="dxa"/>
                  <w:vAlign w:val="center"/>
                </w:tcPr>
                <w:p w14:paraId="7858E017">
                  <w:pPr>
                    <w:spacing w:line="240" w:lineRule="exact"/>
                    <w:jc w:val="center"/>
                    <w:rPr>
                      <w:color w:val="auto"/>
                      <w:sz w:val="18"/>
                      <w:szCs w:val="18"/>
                    </w:rPr>
                  </w:pPr>
                  <w:r>
                    <w:rPr>
                      <w:rFonts w:hint="eastAsia" w:ascii="Times New Roman" w:hAnsi="Times New Roman" w:eastAsia="宋体" w:cs="Times New Roman"/>
                      <w:color w:val="auto"/>
                      <w:sz w:val="18"/>
                      <w:szCs w:val="18"/>
                      <w:lang w:val="en-US" w:eastAsia="zh-CN"/>
                    </w:rPr>
                    <w:t>无组织</w:t>
                  </w:r>
                </w:p>
              </w:tc>
              <w:tc>
                <w:tcPr>
                  <w:tcW w:w="765" w:type="dxa"/>
                  <w:vAlign w:val="center"/>
                </w:tcPr>
                <w:p w14:paraId="556A13E8">
                  <w:pPr>
                    <w:spacing w:line="240" w:lineRule="exact"/>
                    <w:jc w:val="center"/>
                    <w:rPr>
                      <w:color w:val="auto"/>
                      <w:sz w:val="18"/>
                      <w:szCs w:val="18"/>
                    </w:rPr>
                  </w:pPr>
                  <w:r>
                    <w:rPr>
                      <w:color w:val="auto"/>
                      <w:sz w:val="18"/>
                      <w:szCs w:val="18"/>
                    </w:rPr>
                    <w:t>颗粒物</w:t>
                  </w:r>
                </w:p>
              </w:tc>
              <w:tc>
                <w:tcPr>
                  <w:tcW w:w="775" w:type="dxa"/>
                  <w:vAlign w:val="center"/>
                </w:tcPr>
                <w:p w14:paraId="3C33454B">
                  <w:pPr>
                    <w:spacing w:line="240" w:lineRule="exact"/>
                    <w:jc w:val="center"/>
                    <w:rPr>
                      <w:rFonts w:hint="default"/>
                      <w:color w:val="auto"/>
                      <w:sz w:val="18"/>
                      <w:szCs w:val="18"/>
                      <w:lang w:val="en-US" w:eastAsia="zh-CN"/>
                    </w:rPr>
                  </w:pPr>
                  <w:r>
                    <w:rPr>
                      <w:rFonts w:hint="eastAsia"/>
                      <w:color w:val="auto"/>
                      <w:sz w:val="18"/>
                      <w:szCs w:val="18"/>
                      <w:lang w:val="en-US" w:eastAsia="zh-CN"/>
                    </w:rPr>
                    <w:t>0.01</w:t>
                  </w:r>
                </w:p>
              </w:tc>
              <w:tc>
                <w:tcPr>
                  <w:tcW w:w="920" w:type="dxa"/>
                  <w:vAlign w:val="center"/>
                </w:tcPr>
                <w:p w14:paraId="55309F62">
                  <w:pPr>
                    <w:spacing w:line="240" w:lineRule="exact"/>
                    <w:jc w:val="center"/>
                    <w:rPr>
                      <w:color w:val="auto"/>
                      <w:sz w:val="18"/>
                      <w:szCs w:val="18"/>
                    </w:rPr>
                  </w:pPr>
                  <w:r>
                    <w:rPr>
                      <w:color w:val="auto"/>
                      <w:sz w:val="18"/>
                      <w:szCs w:val="18"/>
                    </w:rPr>
                    <w:t>-</w:t>
                  </w:r>
                </w:p>
              </w:tc>
              <w:tc>
                <w:tcPr>
                  <w:tcW w:w="786" w:type="dxa"/>
                  <w:vAlign w:val="center"/>
                </w:tcPr>
                <w:p w14:paraId="75986254">
                  <w:pPr>
                    <w:spacing w:line="240" w:lineRule="exact"/>
                    <w:jc w:val="center"/>
                    <w:rPr>
                      <w:color w:val="auto"/>
                      <w:sz w:val="18"/>
                      <w:szCs w:val="18"/>
                    </w:rPr>
                  </w:pPr>
                  <w:r>
                    <w:rPr>
                      <w:color w:val="auto"/>
                      <w:sz w:val="18"/>
                      <w:szCs w:val="18"/>
                    </w:rPr>
                    <w:t>-</w:t>
                  </w:r>
                </w:p>
              </w:tc>
              <w:tc>
                <w:tcPr>
                  <w:tcW w:w="651" w:type="dxa"/>
                  <w:shd w:val="clear" w:color="auto" w:fill="auto"/>
                  <w:vAlign w:val="center"/>
                </w:tcPr>
                <w:p w14:paraId="10BE326B">
                  <w:pPr>
                    <w:spacing w:line="240" w:lineRule="exact"/>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90</w:t>
                  </w:r>
                </w:p>
              </w:tc>
              <w:tc>
                <w:tcPr>
                  <w:tcW w:w="866" w:type="dxa"/>
                  <w:shd w:val="clear" w:color="auto" w:fill="auto"/>
                  <w:vAlign w:val="center"/>
                </w:tcPr>
                <w:p w14:paraId="74DD9BD9">
                  <w:pPr>
                    <w:spacing w:line="240" w:lineRule="exact"/>
                    <w:jc w:val="center"/>
                    <w:rPr>
                      <w:rFonts w:hint="eastAsia" w:ascii="Times New Roman" w:hAnsi="Times New Roman" w:eastAsia="宋体" w:cs="Times New Roman"/>
                      <w:color w:val="auto"/>
                      <w:kern w:val="2"/>
                      <w:sz w:val="18"/>
                      <w:szCs w:val="18"/>
                      <w:lang w:val="en-US" w:eastAsia="zh-CN" w:bidi="ar-SA"/>
                    </w:rPr>
                  </w:pPr>
                  <w:r>
                    <w:rPr>
                      <w:rFonts w:hint="eastAsia" w:eastAsia="宋体"/>
                      <w:color w:val="auto"/>
                      <w:sz w:val="18"/>
                      <w:szCs w:val="18"/>
                      <w:lang w:val="en-US" w:eastAsia="zh-CN"/>
                    </w:rPr>
                    <w:t>移动式焊接烟尘净化器</w:t>
                  </w:r>
                </w:p>
              </w:tc>
              <w:tc>
                <w:tcPr>
                  <w:tcW w:w="651" w:type="dxa"/>
                  <w:shd w:val="clear" w:color="auto" w:fill="auto"/>
                  <w:vAlign w:val="center"/>
                </w:tcPr>
                <w:p w14:paraId="5E882B7D">
                  <w:pPr>
                    <w:spacing w:line="240" w:lineRule="exact"/>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80</w:t>
                  </w:r>
                </w:p>
              </w:tc>
              <w:tc>
                <w:tcPr>
                  <w:tcW w:w="623" w:type="dxa"/>
                  <w:shd w:val="clear" w:color="auto" w:fill="auto"/>
                  <w:vAlign w:val="center"/>
                </w:tcPr>
                <w:p w14:paraId="4A9513B6">
                  <w:pPr>
                    <w:spacing w:line="240" w:lineRule="exact"/>
                    <w:jc w:val="center"/>
                    <w:rPr>
                      <w:rFonts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highlight w:val="none"/>
                      <w:lang w:val="en-US" w:eastAsia="zh-CN"/>
                    </w:rPr>
                    <w:t>是</w:t>
                  </w:r>
                </w:p>
              </w:tc>
              <w:tc>
                <w:tcPr>
                  <w:tcW w:w="776" w:type="dxa"/>
                  <w:vMerge w:val="continue"/>
                  <w:vAlign w:val="center"/>
                </w:tcPr>
                <w:p w14:paraId="28EF862F">
                  <w:pPr>
                    <w:spacing w:line="240" w:lineRule="exact"/>
                    <w:jc w:val="center"/>
                    <w:rPr>
                      <w:rFonts w:hint="eastAsia" w:eastAsia="宋体"/>
                      <w:color w:val="auto"/>
                      <w:sz w:val="18"/>
                      <w:szCs w:val="18"/>
                      <w:lang w:val="en-US" w:eastAsia="zh-CN"/>
                    </w:rPr>
                  </w:pPr>
                </w:p>
              </w:tc>
              <w:tc>
                <w:tcPr>
                  <w:tcW w:w="934" w:type="dxa"/>
                  <w:vMerge w:val="continue"/>
                  <w:vAlign w:val="center"/>
                </w:tcPr>
                <w:p w14:paraId="7AA406B5">
                  <w:pPr>
                    <w:spacing w:line="240" w:lineRule="exact"/>
                    <w:jc w:val="center"/>
                    <w:rPr>
                      <w:color w:val="auto"/>
                      <w:sz w:val="18"/>
                      <w:szCs w:val="18"/>
                    </w:rPr>
                  </w:pPr>
                </w:p>
              </w:tc>
              <w:tc>
                <w:tcPr>
                  <w:tcW w:w="753" w:type="dxa"/>
                  <w:vMerge w:val="continue"/>
                  <w:vAlign w:val="center"/>
                </w:tcPr>
                <w:p w14:paraId="3819FE24">
                  <w:pPr>
                    <w:spacing w:line="240" w:lineRule="exact"/>
                    <w:jc w:val="center"/>
                    <w:rPr>
                      <w:color w:val="auto"/>
                      <w:sz w:val="18"/>
                      <w:szCs w:val="18"/>
                    </w:rPr>
                  </w:pPr>
                </w:p>
              </w:tc>
              <w:tc>
                <w:tcPr>
                  <w:tcW w:w="785" w:type="dxa"/>
                  <w:vMerge w:val="continue"/>
                  <w:vAlign w:val="center"/>
                </w:tcPr>
                <w:p w14:paraId="127F7481">
                  <w:pPr>
                    <w:spacing w:line="240" w:lineRule="exact"/>
                    <w:jc w:val="center"/>
                    <w:rPr>
                      <w:rFonts w:hint="default" w:eastAsia="宋体"/>
                      <w:color w:val="auto"/>
                      <w:sz w:val="18"/>
                      <w:szCs w:val="18"/>
                      <w:lang w:val="en-US" w:eastAsia="zh-CN"/>
                    </w:rPr>
                  </w:pPr>
                </w:p>
              </w:tc>
              <w:tc>
                <w:tcPr>
                  <w:tcW w:w="946" w:type="dxa"/>
                  <w:vMerge w:val="continue"/>
                  <w:vAlign w:val="center"/>
                </w:tcPr>
                <w:p w14:paraId="098B7317">
                  <w:pPr>
                    <w:spacing w:line="240" w:lineRule="exact"/>
                    <w:jc w:val="center"/>
                    <w:rPr>
                      <w:color w:val="auto"/>
                      <w:sz w:val="18"/>
                      <w:szCs w:val="18"/>
                    </w:rPr>
                  </w:pPr>
                </w:p>
              </w:tc>
              <w:tc>
                <w:tcPr>
                  <w:tcW w:w="784" w:type="dxa"/>
                  <w:vMerge w:val="continue"/>
                  <w:vAlign w:val="center"/>
                </w:tcPr>
                <w:p w14:paraId="7FF1E865">
                  <w:pPr>
                    <w:spacing w:line="240" w:lineRule="exact"/>
                    <w:jc w:val="center"/>
                    <w:rPr>
                      <w:color w:val="auto"/>
                      <w:sz w:val="18"/>
                      <w:szCs w:val="18"/>
                    </w:rPr>
                  </w:pPr>
                </w:p>
              </w:tc>
            </w:tr>
            <w:tr w14:paraId="26E1F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vAlign w:val="center"/>
                </w:tcPr>
                <w:p w14:paraId="331BF78E">
                  <w:pPr>
                    <w:spacing w:line="240" w:lineRule="exact"/>
                    <w:jc w:val="center"/>
                    <w:rPr>
                      <w:rFonts w:hint="eastAsia"/>
                      <w:bCs/>
                      <w:color w:val="auto"/>
                      <w:sz w:val="18"/>
                      <w:szCs w:val="18"/>
                      <w:lang w:eastAsia="zh-CN"/>
                    </w:rPr>
                  </w:pPr>
                  <w:r>
                    <w:rPr>
                      <w:rFonts w:hint="eastAsia"/>
                      <w:bCs/>
                      <w:color w:val="auto"/>
                      <w:sz w:val="18"/>
                      <w:szCs w:val="18"/>
                      <w:lang w:val="en-US" w:eastAsia="zh-CN"/>
                    </w:rPr>
                    <w:t>打磨过程</w:t>
                  </w:r>
                </w:p>
              </w:tc>
              <w:tc>
                <w:tcPr>
                  <w:tcW w:w="502" w:type="dxa"/>
                  <w:vAlign w:val="center"/>
                </w:tcPr>
                <w:p w14:paraId="00EA2669">
                  <w:pPr>
                    <w:spacing w:line="240" w:lineRule="exact"/>
                    <w:jc w:val="center"/>
                    <w:rPr>
                      <w:color w:val="auto"/>
                      <w:sz w:val="18"/>
                      <w:szCs w:val="18"/>
                    </w:rPr>
                  </w:pPr>
                  <w:r>
                    <w:rPr>
                      <w:rFonts w:hint="eastAsia" w:ascii="Times New Roman" w:hAnsi="Times New Roman" w:eastAsia="宋体" w:cs="Times New Roman"/>
                      <w:color w:val="auto"/>
                      <w:sz w:val="18"/>
                      <w:szCs w:val="18"/>
                      <w:lang w:val="en-US" w:eastAsia="zh-CN"/>
                    </w:rPr>
                    <w:t>无组织</w:t>
                  </w:r>
                </w:p>
              </w:tc>
              <w:tc>
                <w:tcPr>
                  <w:tcW w:w="765" w:type="dxa"/>
                  <w:vAlign w:val="center"/>
                </w:tcPr>
                <w:p w14:paraId="058D8D81">
                  <w:pPr>
                    <w:spacing w:line="240" w:lineRule="exact"/>
                    <w:jc w:val="center"/>
                    <w:rPr>
                      <w:color w:val="auto"/>
                      <w:sz w:val="18"/>
                      <w:szCs w:val="18"/>
                    </w:rPr>
                  </w:pPr>
                  <w:r>
                    <w:rPr>
                      <w:color w:val="auto"/>
                      <w:sz w:val="18"/>
                      <w:szCs w:val="18"/>
                    </w:rPr>
                    <w:t>颗粒物</w:t>
                  </w:r>
                </w:p>
              </w:tc>
              <w:tc>
                <w:tcPr>
                  <w:tcW w:w="775" w:type="dxa"/>
                  <w:vAlign w:val="center"/>
                </w:tcPr>
                <w:p w14:paraId="74D71072">
                  <w:pPr>
                    <w:spacing w:line="240" w:lineRule="exact"/>
                    <w:jc w:val="center"/>
                    <w:rPr>
                      <w:rFonts w:hint="default"/>
                      <w:color w:val="auto"/>
                      <w:sz w:val="18"/>
                      <w:szCs w:val="18"/>
                      <w:lang w:val="en-US" w:eastAsia="zh-CN"/>
                    </w:rPr>
                  </w:pPr>
                  <w:r>
                    <w:rPr>
                      <w:rFonts w:hint="eastAsia"/>
                      <w:color w:val="auto"/>
                      <w:sz w:val="18"/>
                      <w:szCs w:val="18"/>
                      <w:lang w:val="en-US" w:eastAsia="zh-CN"/>
                    </w:rPr>
                    <w:t>0.002</w:t>
                  </w:r>
                </w:p>
              </w:tc>
              <w:tc>
                <w:tcPr>
                  <w:tcW w:w="920" w:type="dxa"/>
                  <w:vAlign w:val="center"/>
                </w:tcPr>
                <w:p w14:paraId="267123B1">
                  <w:pPr>
                    <w:spacing w:line="240" w:lineRule="exact"/>
                    <w:jc w:val="center"/>
                    <w:rPr>
                      <w:color w:val="auto"/>
                      <w:sz w:val="18"/>
                      <w:szCs w:val="18"/>
                    </w:rPr>
                  </w:pPr>
                  <w:r>
                    <w:rPr>
                      <w:color w:val="auto"/>
                      <w:sz w:val="18"/>
                      <w:szCs w:val="18"/>
                    </w:rPr>
                    <w:t>-</w:t>
                  </w:r>
                </w:p>
              </w:tc>
              <w:tc>
                <w:tcPr>
                  <w:tcW w:w="786" w:type="dxa"/>
                  <w:vAlign w:val="center"/>
                </w:tcPr>
                <w:p w14:paraId="50893014">
                  <w:pPr>
                    <w:spacing w:line="240" w:lineRule="exact"/>
                    <w:jc w:val="center"/>
                    <w:rPr>
                      <w:color w:val="auto"/>
                      <w:sz w:val="18"/>
                      <w:szCs w:val="18"/>
                    </w:rPr>
                  </w:pPr>
                  <w:r>
                    <w:rPr>
                      <w:color w:val="auto"/>
                      <w:sz w:val="18"/>
                      <w:szCs w:val="18"/>
                    </w:rPr>
                    <w:t>-</w:t>
                  </w:r>
                </w:p>
              </w:tc>
              <w:tc>
                <w:tcPr>
                  <w:tcW w:w="651" w:type="dxa"/>
                  <w:vAlign w:val="center"/>
                </w:tcPr>
                <w:p w14:paraId="0250D7EC">
                  <w:pPr>
                    <w:spacing w:line="240" w:lineRule="exact"/>
                    <w:jc w:val="center"/>
                    <w:rPr>
                      <w:color w:val="auto"/>
                      <w:sz w:val="18"/>
                      <w:szCs w:val="18"/>
                    </w:rPr>
                  </w:pPr>
                  <w:r>
                    <w:rPr>
                      <w:color w:val="auto"/>
                      <w:sz w:val="18"/>
                      <w:szCs w:val="18"/>
                    </w:rPr>
                    <w:t>-</w:t>
                  </w:r>
                </w:p>
              </w:tc>
              <w:tc>
                <w:tcPr>
                  <w:tcW w:w="866" w:type="dxa"/>
                  <w:vAlign w:val="center"/>
                </w:tcPr>
                <w:p w14:paraId="7538014A">
                  <w:pPr>
                    <w:spacing w:line="240" w:lineRule="exact"/>
                    <w:jc w:val="center"/>
                    <w:rPr>
                      <w:rFonts w:hint="eastAsia" w:eastAsia="宋体"/>
                      <w:color w:val="auto"/>
                      <w:sz w:val="18"/>
                      <w:szCs w:val="18"/>
                      <w:lang w:eastAsia="zh-CN"/>
                    </w:rPr>
                  </w:pPr>
                  <w:r>
                    <w:rPr>
                      <w:color w:val="auto"/>
                      <w:sz w:val="18"/>
                      <w:szCs w:val="18"/>
                    </w:rPr>
                    <w:t>-</w:t>
                  </w:r>
                </w:p>
              </w:tc>
              <w:tc>
                <w:tcPr>
                  <w:tcW w:w="651" w:type="dxa"/>
                  <w:vAlign w:val="center"/>
                </w:tcPr>
                <w:p w14:paraId="6E7324F3">
                  <w:pPr>
                    <w:spacing w:line="240" w:lineRule="exact"/>
                    <w:jc w:val="center"/>
                    <w:rPr>
                      <w:rFonts w:hint="eastAsia"/>
                      <w:color w:val="auto"/>
                      <w:sz w:val="18"/>
                      <w:szCs w:val="18"/>
                      <w:lang w:val="en-US" w:eastAsia="zh-CN"/>
                    </w:rPr>
                  </w:pPr>
                  <w:r>
                    <w:rPr>
                      <w:color w:val="auto"/>
                      <w:sz w:val="18"/>
                      <w:szCs w:val="18"/>
                    </w:rPr>
                    <w:t>-</w:t>
                  </w:r>
                </w:p>
              </w:tc>
              <w:tc>
                <w:tcPr>
                  <w:tcW w:w="623" w:type="dxa"/>
                  <w:vAlign w:val="center"/>
                </w:tcPr>
                <w:p w14:paraId="5AB434EB">
                  <w:pPr>
                    <w:spacing w:line="240" w:lineRule="exact"/>
                    <w:jc w:val="center"/>
                    <w:rPr>
                      <w:color w:val="auto"/>
                      <w:sz w:val="18"/>
                      <w:szCs w:val="18"/>
                    </w:rPr>
                  </w:pPr>
                  <w:r>
                    <w:rPr>
                      <w:color w:val="auto"/>
                      <w:sz w:val="18"/>
                      <w:szCs w:val="18"/>
                    </w:rPr>
                    <w:t>-</w:t>
                  </w:r>
                </w:p>
              </w:tc>
              <w:tc>
                <w:tcPr>
                  <w:tcW w:w="776" w:type="dxa"/>
                  <w:vMerge w:val="continue"/>
                  <w:vAlign w:val="center"/>
                </w:tcPr>
                <w:p w14:paraId="0FF99E6C">
                  <w:pPr>
                    <w:spacing w:line="240" w:lineRule="exact"/>
                    <w:jc w:val="center"/>
                    <w:rPr>
                      <w:rFonts w:hint="eastAsia" w:eastAsia="宋体"/>
                      <w:color w:val="auto"/>
                      <w:sz w:val="18"/>
                      <w:szCs w:val="18"/>
                      <w:lang w:val="en-US" w:eastAsia="zh-CN"/>
                    </w:rPr>
                  </w:pPr>
                </w:p>
              </w:tc>
              <w:tc>
                <w:tcPr>
                  <w:tcW w:w="934" w:type="dxa"/>
                  <w:vMerge w:val="continue"/>
                  <w:vAlign w:val="center"/>
                </w:tcPr>
                <w:p w14:paraId="09A35C9D">
                  <w:pPr>
                    <w:spacing w:line="240" w:lineRule="exact"/>
                    <w:jc w:val="center"/>
                    <w:rPr>
                      <w:color w:val="auto"/>
                      <w:sz w:val="18"/>
                      <w:szCs w:val="18"/>
                    </w:rPr>
                  </w:pPr>
                </w:p>
              </w:tc>
              <w:tc>
                <w:tcPr>
                  <w:tcW w:w="753" w:type="dxa"/>
                  <w:vMerge w:val="continue"/>
                  <w:vAlign w:val="center"/>
                </w:tcPr>
                <w:p w14:paraId="654793CF">
                  <w:pPr>
                    <w:spacing w:line="240" w:lineRule="exact"/>
                    <w:jc w:val="center"/>
                    <w:rPr>
                      <w:color w:val="auto"/>
                      <w:sz w:val="18"/>
                      <w:szCs w:val="18"/>
                    </w:rPr>
                  </w:pPr>
                </w:p>
              </w:tc>
              <w:tc>
                <w:tcPr>
                  <w:tcW w:w="785" w:type="dxa"/>
                  <w:vMerge w:val="continue"/>
                  <w:vAlign w:val="center"/>
                </w:tcPr>
                <w:p w14:paraId="4037EF1F">
                  <w:pPr>
                    <w:spacing w:line="240" w:lineRule="exact"/>
                    <w:jc w:val="center"/>
                    <w:rPr>
                      <w:rFonts w:hint="default" w:eastAsia="宋体"/>
                      <w:color w:val="auto"/>
                      <w:sz w:val="18"/>
                      <w:szCs w:val="18"/>
                      <w:lang w:val="en-US" w:eastAsia="zh-CN"/>
                    </w:rPr>
                  </w:pPr>
                </w:p>
              </w:tc>
              <w:tc>
                <w:tcPr>
                  <w:tcW w:w="946" w:type="dxa"/>
                  <w:vMerge w:val="continue"/>
                  <w:vAlign w:val="center"/>
                </w:tcPr>
                <w:p w14:paraId="030763F6">
                  <w:pPr>
                    <w:spacing w:line="240" w:lineRule="exact"/>
                    <w:jc w:val="center"/>
                    <w:rPr>
                      <w:color w:val="auto"/>
                      <w:sz w:val="18"/>
                      <w:szCs w:val="18"/>
                    </w:rPr>
                  </w:pPr>
                </w:p>
              </w:tc>
              <w:tc>
                <w:tcPr>
                  <w:tcW w:w="784" w:type="dxa"/>
                  <w:vMerge w:val="continue"/>
                  <w:vAlign w:val="center"/>
                </w:tcPr>
                <w:p w14:paraId="000A703A">
                  <w:pPr>
                    <w:spacing w:line="240" w:lineRule="exact"/>
                    <w:jc w:val="center"/>
                    <w:rPr>
                      <w:color w:val="auto"/>
                      <w:sz w:val="18"/>
                      <w:szCs w:val="18"/>
                    </w:rPr>
                  </w:pPr>
                </w:p>
              </w:tc>
            </w:tr>
            <w:tr w14:paraId="24F17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3" w:hRule="atLeast"/>
                <w:jc w:val="center"/>
              </w:trPr>
              <w:tc>
                <w:tcPr>
                  <w:tcW w:w="931" w:type="dxa"/>
                  <w:vMerge w:val="restart"/>
                  <w:vAlign w:val="center"/>
                </w:tcPr>
                <w:p w14:paraId="63256A5B">
                  <w:pPr>
                    <w:spacing w:line="240" w:lineRule="exact"/>
                    <w:jc w:val="center"/>
                    <w:rPr>
                      <w:rFonts w:hint="default" w:eastAsia="宋体"/>
                      <w:bCs/>
                      <w:color w:val="auto"/>
                      <w:sz w:val="18"/>
                      <w:szCs w:val="18"/>
                      <w:lang w:val="en-US" w:eastAsia="zh-CN"/>
                    </w:rPr>
                  </w:pPr>
                  <w:r>
                    <w:rPr>
                      <w:rFonts w:hint="eastAsia"/>
                      <w:bCs/>
                      <w:color w:val="auto"/>
                      <w:sz w:val="18"/>
                      <w:szCs w:val="18"/>
                      <w:lang w:val="en-US" w:eastAsia="zh-CN"/>
                    </w:rPr>
                    <w:t>集气罩未收集</w:t>
                  </w:r>
                </w:p>
              </w:tc>
              <w:tc>
                <w:tcPr>
                  <w:tcW w:w="502" w:type="dxa"/>
                  <w:vMerge w:val="restart"/>
                  <w:vAlign w:val="center"/>
                </w:tcPr>
                <w:p w14:paraId="1133DD2C">
                  <w:pPr>
                    <w:spacing w:line="240" w:lineRule="exact"/>
                    <w:jc w:val="center"/>
                    <w:rPr>
                      <w:color w:val="auto"/>
                      <w:sz w:val="18"/>
                      <w:szCs w:val="18"/>
                    </w:rPr>
                  </w:pPr>
                  <w:r>
                    <w:rPr>
                      <w:color w:val="auto"/>
                      <w:sz w:val="18"/>
                      <w:szCs w:val="18"/>
                    </w:rPr>
                    <w:t>无组织</w:t>
                  </w:r>
                </w:p>
              </w:tc>
              <w:tc>
                <w:tcPr>
                  <w:tcW w:w="765" w:type="dxa"/>
                  <w:vAlign w:val="center"/>
                </w:tcPr>
                <w:p w14:paraId="41329C42">
                  <w:pPr>
                    <w:spacing w:line="240" w:lineRule="exact"/>
                    <w:jc w:val="center"/>
                    <w:rPr>
                      <w:color w:val="auto"/>
                      <w:sz w:val="18"/>
                      <w:szCs w:val="18"/>
                    </w:rPr>
                  </w:pPr>
                  <w:r>
                    <w:rPr>
                      <w:color w:val="auto"/>
                      <w:sz w:val="18"/>
                      <w:szCs w:val="18"/>
                    </w:rPr>
                    <w:t>颗粒物</w:t>
                  </w:r>
                </w:p>
              </w:tc>
              <w:tc>
                <w:tcPr>
                  <w:tcW w:w="775" w:type="dxa"/>
                  <w:vAlign w:val="center"/>
                </w:tcPr>
                <w:p w14:paraId="2A51DA37">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0.005</w:t>
                  </w:r>
                </w:p>
              </w:tc>
              <w:tc>
                <w:tcPr>
                  <w:tcW w:w="920" w:type="dxa"/>
                  <w:vAlign w:val="center"/>
                </w:tcPr>
                <w:p w14:paraId="2FA763F0">
                  <w:pPr>
                    <w:spacing w:line="240" w:lineRule="exact"/>
                    <w:jc w:val="center"/>
                    <w:rPr>
                      <w:color w:val="auto"/>
                      <w:sz w:val="18"/>
                      <w:szCs w:val="18"/>
                    </w:rPr>
                  </w:pPr>
                  <w:r>
                    <w:rPr>
                      <w:color w:val="auto"/>
                      <w:sz w:val="18"/>
                      <w:szCs w:val="18"/>
                    </w:rPr>
                    <w:t>-</w:t>
                  </w:r>
                </w:p>
              </w:tc>
              <w:tc>
                <w:tcPr>
                  <w:tcW w:w="786" w:type="dxa"/>
                  <w:vAlign w:val="center"/>
                </w:tcPr>
                <w:p w14:paraId="46CA3420">
                  <w:pPr>
                    <w:spacing w:line="240" w:lineRule="exact"/>
                    <w:jc w:val="center"/>
                    <w:rPr>
                      <w:color w:val="auto"/>
                      <w:sz w:val="18"/>
                      <w:szCs w:val="18"/>
                    </w:rPr>
                  </w:pPr>
                  <w:r>
                    <w:rPr>
                      <w:color w:val="auto"/>
                      <w:sz w:val="18"/>
                      <w:szCs w:val="18"/>
                    </w:rPr>
                    <w:t>-</w:t>
                  </w:r>
                </w:p>
              </w:tc>
              <w:tc>
                <w:tcPr>
                  <w:tcW w:w="651" w:type="dxa"/>
                  <w:vAlign w:val="center"/>
                </w:tcPr>
                <w:p w14:paraId="4F0C009A">
                  <w:pPr>
                    <w:spacing w:line="240" w:lineRule="exact"/>
                    <w:jc w:val="center"/>
                    <w:rPr>
                      <w:color w:val="auto"/>
                      <w:sz w:val="18"/>
                      <w:szCs w:val="18"/>
                    </w:rPr>
                  </w:pPr>
                  <w:r>
                    <w:rPr>
                      <w:color w:val="auto"/>
                      <w:sz w:val="18"/>
                      <w:szCs w:val="18"/>
                    </w:rPr>
                    <w:t>-</w:t>
                  </w:r>
                </w:p>
              </w:tc>
              <w:tc>
                <w:tcPr>
                  <w:tcW w:w="866" w:type="dxa"/>
                  <w:vAlign w:val="center"/>
                </w:tcPr>
                <w:p w14:paraId="45B10A1B">
                  <w:pPr>
                    <w:spacing w:line="240" w:lineRule="exact"/>
                    <w:jc w:val="center"/>
                    <w:rPr>
                      <w:rFonts w:hint="eastAsia" w:eastAsia="宋体"/>
                      <w:color w:val="auto"/>
                      <w:sz w:val="18"/>
                      <w:szCs w:val="18"/>
                      <w:lang w:eastAsia="zh-CN"/>
                    </w:rPr>
                  </w:pPr>
                  <w:r>
                    <w:rPr>
                      <w:color w:val="auto"/>
                      <w:sz w:val="18"/>
                      <w:szCs w:val="18"/>
                    </w:rPr>
                    <w:t>-</w:t>
                  </w:r>
                </w:p>
              </w:tc>
              <w:tc>
                <w:tcPr>
                  <w:tcW w:w="651" w:type="dxa"/>
                  <w:vAlign w:val="center"/>
                </w:tcPr>
                <w:p w14:paraId="27F74593">
                  <w:pPr>
                    <w:spacing w:line="240" w:lineRule="exact"/>
                    <w:jc w:val="center"/>
                    <w:rPr>
                      <w:color w:val="auto"/>
                      <w:sz w:val="18"/>
                      <w:szCs w:val="18"/>
                    </w:rPr>
                  </w:pPr>
                  <w:r>
                    <w:rPr>
                      <w:color w:val="auto"/>
                      <w:sz w:val="18"/>
                      <w:szCs w:val="18"/>
                    </w:rPr>
                    <w:t>-</w:t>
                  </w:r>
                </w:p>
              </w:tc>
              <w:tc>
                <w:tcPr>
                  <w:tcW w:w="623" w:type="dxa"/>
                  <w:vAlign w:val="center"/>
                </w:tcPr>
                <w:p w14:paraId="50E275E3">
                  <w:pPr>
                    <w:spacing w:line="240" w:lineRule="exact"/>
                    <w:jc w:val="center"/>
                    <w:rPr>
                      <w:color w:val="auto"/>
                      <w:sz w:val="18"/>
                      <w:szCs w:val="18"/>
                    </w:rPr>
                  </w:pPr>
                  <w:r>
                    <w:rPr>
                      <w:color w:val="auto"/>
                      <w:sz w:val="18"/>
                      <w:szCs w:val="18"/>
                    </w:rPr>
                    <w:t>-</w:t>
                  </w:r>
                </w:p>
              </w:tc>
              <w:tc>
                <w:tcPr>
                  <w:tcW w:w="776" w:type="dxa"/>
                  <w:vMerge w:val="continue"/>
                  <w:vAlign w:val="center"/>
                </w:tcPr>
                <w:p w14:paraId="1456682A">
                  <w:pPr>
                    <w:spacing w:line="240" w:lineRule="exact"/>
                    <w:jc w:val="center"/>
                    <w:rPr>
                      <w:rFonts w:hint="eastAsia" w:eastAsia="宋体"/>
                      <w:color w:val="auto"/>
                      <w:sz w:val="18"/>
                      <w:szCs w:val="18"/>
                      <w:lang w:val="en-US" w:eastAsia="zh-CN"/>
                    </w:rPr>
                  </w:pPr>
                </w:p>
              </w:tc>
              <w:tc>
                <w:tcPr>
                  <w:tcW w:w="934" w:type="dxa"/>
                  <w:vMerge w:val="continue"/>
                  <w:vAlign w:val="center"/>
                </w:tcPr>
                <w:p w14:paraId="6C61D7D2">
                  <w:pPr>
                    <w:spacing w:line="240" w:lineRule="exact"/>
                    <w:jc w:val="center"/>
                    <w:rPr>
                      <w:color w:val="auto"/>
                      <w:sz w:val="18"/>
                      <w:szCs w:val="18"/>
                    </w:rPr>
                  </w:pPr>
                </w:p>
              </w:tc>
              <w:tc>
                <w:tcPr>
                  <w:tcW w:w="753" w:type="dxa"/>
                  <w:vMerge w:val="continue"/>
                  <w:vAlign w:val="center"/>
                </w:tcPr>
                <w:p w14:paraId="75196682">
                  <w:pPr>
                    <w:spacing w:line="240" w:lineRule="exact"/>
                    <w:jc w:val="center"/>
                    <w:rPr>
                      <w:color w:val="auto"/>
                      <w:sz w:val="18"/>
                      <w:szCs w:val="18"/>
                    </w:rPr>
                  </w:pPr>
                </w:p>
              </w:tc>
              <w:tc>
                <w:tcPr>
                  <w:tcW w:w="785" w:type="dxa"/>
                  <w:vMerge w:val="continue"/>
                  <w:vAlign w:val="center"/>
                </w:tcPr>
                <w:p w14:paraId="1DD9C631">
                  <w:pPr>
                    <w:spacing w:line="240" w:lineRule="exact"/>
                    <w:jc w:val="center"/>
                    <w:rPr>
                      <w:rFonts w:hint="default" w:eastAsia="宋体"/>
                      <w:color w:val="auto"/>
                      <w:sz w:val="18"/>
                      <w:szCs w:val="18"/>
                      <w:lang w:val="en-US" w:eastAsia="zh-CN"/>
                    </w:rPr>
                  </w:pPr>
                </w:p>
              </w:tc>
              <w:tc>
                <w:tcPr>
                  <w:tcW w:w="946" w:type="dxa"/>
                  <w:vMerge w:val="continue"/>
                  <w:vAlign w:val="center"/>
                </w:tcPr>
                <w:p w14:paraId="3BA87366">
                  <w:pPr>
                    <w:spacing w:line="240" w:lineRule="exact"/>
                    <w:jc w:val="center"/>
                    <w:rPr>
                      <w:color w:val="auto"/>
                      <w:sz w:val="18"/>
                      <w:szCs w:val="18"/>
                    </w:rPr>
                  </w:pPr>
                </w:p>
              </w:tc>
              <w:tc>
                <w:tcPr>
                  <w:tcW w:w="784" w:type="dxa"/>
                  <w:vMerge w:val="continue"/>
                  <w:vAlign w:val="center"/>
                </w:tcPr>
                <w:p w14:paraId="2B5AF2E7">
                  <w:pPr>
                    <w:spacing w:line="240" w:lineRule="exact"/>
                    <w:jc w:val="center"/>
                    <w:rPr>
                      <w:color w:val="auto"/>
                      <w:sz w:val="18"/>
                      <w:szCs w:val="18"/>
                    </w:rPr>
                  </w:pPr>
                </w:p>
              </w:tc>
            </w:tr>
            <w:tr w14:paraId="15D18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vMerge w:val="continue"/>
                  <w:vAlign w:val="center"/>
                </w:tcPr>
                <w:p w14:paraId="64312504">
                  <w:pPr>
                    <w:spacing w:line="240" w:lineRule="exact"/>
                    <w:jc w:val="center"/>
                    <w:rPr>
                      <w:rFonts w:hint="eastAsia"/>
                      <w:bCs/>
                      <w:color w:val="auto"/>
                      <w:sz w:val="18"/>
                      <w:szCs w:val="18"/>
                      <w:lang w:eastAsia="zh-CN"/>
                    </w:rPr>
                  </w:pPr>
                </w:p>
              </w:tc>
              <w:tc>
                <w:tcPr>
                  <w:tcW w:w="502" w:type="dxa"/>
                  <w:vMerge w:val="continue"/>
                  <w:vAlign w:val="center"/>
                </w:tcPr>
                <w:p w14:paraId="640348FE">
                  <w:pPr>
                    <w:spacing w:line="240" w:lineRule="exact"/>
                    <w:jc w:val="center"/>
                    <w:rPr>
                      <w:color w:val="auto"/>
                      <w:sz w:val="18"/>
                      <w:szCs w:val="18"/>
                    </w:rPr>
                  </w:pPr>
                </w:p>
              </w:tc>
              <w:tc>
                <w:tcPr>
                  <w:tcW w:w="765" w:type="dxa"/>
                  <w:shd w:val="clear" w:color="auto" w:fill="auto"/>
                  <w:vAlign w:val="center"/>
                </w:tcPr>
                <w:p w14:paraId="7D1E5A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sz w:val="18"/>
                      <w:szCs w:val="18"/>
                      <w:highlight w:val="none"/>
                      <w:vertAlign w:val="baseline"/>
                      <w:lang w:val="en-US" w:eastAsia="zh-CN"/>
                    </w:rPr>
                    <w:t>VOCs</w:t>
                  </w:r>
                </w:p>
              </w:tc>
              <w:tc>
                <w:tcPr>
                  <w:tcW w:w="775" w:type="dxa"/>
                  <w:vAlign w:val="center"/>
                </w:tcPr>
                <w:p w14:paraId="51F9AA3B">
                  <w:pPr>
                    <w:pStyle w:val="79"/>
                    <w:adjustRightInd w:val="0"/>
                    <w:snapToGrid w:val="0"/>
                    <w:spacing w:before="0" w:after="0"/>
                    <w:rPr>
                      <w:rFonts w:hint="default" w:eastAsia="宋体"/>
                      <w:b w:val="0"/>
                      <w:bCs w:val="0"/>
                      <w:color w:val="auto"/>
                      <w:sz w:val="18"/>
                      <w:szCs w:val="18"/>
                      <w:lang w:val="en-US" w:eastAsia="zh-CN"/>
                    </w:rPr>
                  </w:pPr>
                  <w:r>
                    <w:rPr>
                      <w:rFonts w:hint="eastAsia"/>
                      <w:b w:val="0"/>
                      <w:bCs w:val="0"/>
                      <w:color w:val="auto"/>
                      <w:sz w:val="18"/>
                      <w:szCs w:val="18"/>
                      <w:lang w:val="en-US" w:eastAsia="zh-CN"/>
                    </w:rPr>
                    <w:t>0.003</w:t>
                  </w:r>
                </w:p>
              </w:tc>
              <w:tc>
                <w:tcPr>
                  <w:tcW w:w="920" w:type="dxa"/>
                  <w:vAlign w:val="center"/>
                </w:tcPr>
                <w:p w14:paraId="5E15FED5">
                  <w:pPr>
                    <w:spacing w:line="240" w:lineRule="exact"/>
                    <w:jc w:val="center"/>
                    <w:rPr>
                      <w:color w:val="auto"/>
                      <w:sz w:val="18"/>
                      <w:szCs w:val="18"/>
                    </w:rPr>
                  </w:pPr>
                  <w:r>
                    <w:rPr>
                      <w:color w:val="auto"/>
                      <w:sz w:val="18"/>
                      <w:szCs w:val="18"/>
                    </w:rPr>
                    <w:t>-</w:t>
                  </w:r>
                </w:p>
              </w:tc>
              <w:tc>
                <w:tcPr>
                  <w:tcW w:w="786" w:type="dxa"/>
                  <w:vAlign w:val="center"/>
                </w:tcPr>
                <w:p w14:paraId="4A3B6F44">
                  <w:pPr>
                    <w:spacing w:line="240" w:lineRule="exact"/>
                    <w:jc w:val="center"/>
                    <w:rPr>
                      <w:color w:val="auto"/>
                      <w:sz w:val="18"/>
                      <w:szCs w:val="18"/>
                    </w:rPr>
                  </w:pPr>
                  <w:r>
                    <w:rPr>
                      <w:color w:val="auto"/>
                      <w:sz w:val="18"/>
                      <w:szCs w:val="18"/>
                    </w:rPr>
                    <w:t>-</w:t>
                  </w:r>
                </w:p>
              </w:tc>
              <w:tc>
                <w:tcPr>
                  <w:tcW w:w="651" w:type="dxa"/>
                  <w:vAlign w:val="center"/>
                </w:tcPr>
                <w:p w14:paraId="610BBD80">
                  <w:pPr>
                    <w:spacing w:line="240" w:lineRule="exact"/>
                    <w:jc w:val="center"/>
                    <w:rPr>
                      <w:color w:val="auto"/>
                      <w:sz w:val="18"/>
                      <w:szCs w:val="18"/>
                    </w:rPr>
                  </w:pPr>
                  <w:r>
                    <w:rPr>
                      <w:color w:val="auto"/>
                      <w:sz w:val="18"/>
                      <w:szCs w:val="18"/>
                    </w:rPr>
                    <w:t>-</w:t>
                  </w:r>
                </w:p>
              </w:tc>
              <w:tc>
                <w:tcPr>
                  <w:tcW w:w="866" w:type="dxa"/>
                  <w:vAlign w:val="center"/>
                </w:tcPr>
                <w:p w14:paraId="6727D43F">
                  <w:pPr>
                    <w:spacing w:line="240" w:lineRule="exact"/>
                    <w:jc w:val="center"/>
                    <w:rPr>
                      <w:rFonts w:hint="eastAsia" w:eastAsia="宋体"/>
                      <w:color w:val="auto"/>
                      <w:sz w:val="18"/>
                      <w:szCs w:val="18"/>
                      <w:lang w:eastAsia="zh-CN"/>
                    </w:rPr>
                  </w:pPr>
                  <w:r>
                    <w:rPr>
                      <w:color w:val="auto"/>
                      <w:sz w:val="18"/>
                      <w:szCs w:val="18"/>
                    </w:rPr>
                    <w:t>-</w:t>
                  </w:r>
                </w:p>
              </w:tc>
              <w:tc>
                <w:tcPr>
                  <w:tcW w:w="651" w:type="dxa"/>
                  <w:vAlign w:val="center"/>
                </w:tcPr>
                <w:p w14:paraId="395D76AD">
                  <w:pPr>
                    <w:spacing w:line="240" w:lineRule="exact"/>
                    <w:jc w:val="center"/>
                    <w:rPr>
                      <w:rFonts w:hint="default"/>
                      <w:color w:val="auto"/>
                      <w:sz w:val="18"/>
                      <w:szCs w:val="18"/>
                      <w:lang w:val="en-US" w:eastAsia="zh-CN"/>
                    </w:rPr>
                  </w:pPr>
                  <w:r>
                    <w:rPr>
                      <w:color w:val="auto"/>
                      <w:sz w:val="18"/>
                      <w:szCs w:val="18"/>
                    </w:rPr>
                    <w:t>-</w:t>
                  </w:r>
                </w:p>
              </w:tc>
              <w:tc>
                <w:tcPr>
                  <w:tcW w:w="623" w:type="dxa"/>
                  <w:vAlign w:val="center"/>
                </w:tcPr>
                <w:p w14:paraId="20B86B53">
                  <w:pPr>
                    <w:spacing w:line="240" w:lineRule="exact"/>
                    <w:jc w:val="center"/>
                    <w:rPr>
                      <w:color w:val="auto"/>
                      <w:sz w:val="18"/>
                      <w:szCs w:val="18"/>
                    </w:rPr>
                  </w:pPr>
                  <w:r>
                    <w:rPr>
                      <w:color w:val="auto"/>
                      <w:sz w:val="18"/>
                      <w:szCs w:val="18"/>
                    </w:rPr>
                    <w:t>-</w:t>
                  </w:r>
                </w:p>
              </w:tc>
              <w:tc>
                <w:tcPr>
                  <w:tcW w:w="776" w:type="dxa"/>
                  <w:vAlign w:val="center"/>
                </w:tcPr>
                <w:p w14:paraId="4F5638BE">
                  <w:pPr>
                    <w:spacing w:line="240" w:lineRule="exact"/>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0.00</w:t>
                  </w:r>
                  <w:r>
                    <w:rPr>
                      <w:rFonts w:hint="eastAsia" w:cs="Times New Roman"/>
                      <w:color w:val="auto"/>
                      <w:sz w:val="18"/>
                      <w:szCs w:val="18"/>
                      <w:lang w:val="en-US" w:eastAsia="zh-CN"/>
                    </w:rPr>
                    <w:t>3</w:t>
                  </w:r>
                </w:p>
              </w:tc>
              <w:tc>
                <w:tcPr>
                  <w:tcW w:w="934" w:type="dxa"/>
                  <w:vAlign w:val="center"/>
                </w:tcPr>
                <w:p w14:paraId="160BEA89">
                  <w:pPr>
                    <w:spacing w:line="240" w:lineRule="exact"/>
                    <w:jc w:val="center"/>
                    <w:rPr>
                      <w:rFonts w:hint="eastAsia"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753" w:type="dxa"/>
                  <w:vAlign w:val="center"/>
                </w:tcPr>
                <w:p w14:paraId="44329502">
                  <w:pPr>
                    <w:spacing w:line="240" w:lineRule="exact"/>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0.001</w:t>
                  </w:r>
                </w:p>
              </w:tc>
              <w:tc>
                <w:tcPr>
                  <w:tcW w:w="785" w:type="dxa"/>
                  <w:vAlign w:val="center"/>
                </w:tcPr>
                <w:p w14:paraId="15D68001">
                  <w:pPr>
                    <w:spacing w:line="240" w:lineRule="exact"/>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2400</w:t>
                  </w:r>
                </w:p>
              </w:tc>
              <w:tc>
                <w:tcPr>
                  <w:tcW w:w="946" w:type="dxa"/>
                  <w:vAlign w:val="center"/>
                </w:tcPr>
                <w:p w14:paraId="799AB79A">
                  <w:pPr>
                    <w:spacing w:line="240" w:lineRule="exact"/>
                    <w:jc w:val="center"/>
                    <w:rPr>
                      <w:rFonts w:hint="default"/>
                      <w:color w:val="auto"/>
                      <w:sz w:val="18"/>
                      <w:szCs w:val="18"/>
                      <w:lang w:val="en-US" w:eastAsia="zh-CN"/>
                    </w:rPr>
                  </w:pPr>
                  <w:r>
                    <w:rPr>
                      <w:rFonts w:hint="eastAsia"/>
                      <w:color w:val="auto"/>
                      <w:sz w:val="18"/>
                      <w:szCs w:val="18"/>
                      <w:lang w:val="en-US" w:eastAsia="zh-CN"/>
                    </w:rPr>
                    <w:t>2.0</w:t>
                  </w:r>
                </w:p>
              </w:tc>
              <w:tc>
                <w:tcPr>
                  <w:tcW w:w="784" w:type="dxa"/>
                  <w:vAlign w:val="center"/>
                </w:tcPr>
                <w:p w14:paraId="0F08333D">
                  <w:pPr>
                    <w:spacing w:line="240" w:lineRule="exact"/>
                    <w:jc w:val="center"/>
                    <w:rPr>
                      <w:rFonts w:hint="eastAsia"/>
                      <w:color w:val="auto"/>
                      <w:sz w:val="18"/>
                      <w:szCs w:val="18"/>
                    </w:rPr>
                  </w:pPr>
                  <w:r>
                    <w:rPr>
                      <w:color w:val="auto"/>
                      <w:sz w:val="18"/>
                      <w:szCs w:val="18"/>
                    </w:rPr>
                    <w:t>-</w:t>
                  </w:r>
                </w:p>
              </w:tc>
            </w:tr>
            <w:tr w14:paraId="4008F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31" w:type="dxa"/>
                  <w:vMerge w:val="continue"/>
                  <w:vAlign w:val="center"/>
                </w:tcPr>
                <w:p w14:paraId="6D84F52D">
                  <w:pPr>
                    <w:spacing w:line="240" w:lineRule="exact"/>
                    <w:jc w:val="center"/>
                    <w:rPr>
                      <w:rFonts w:hint="eastAsia"/>
                      <w:bCs/>
                      <w:color w:val="auto"/>
                      <w:sz w:val="18"/>
                      <w:szCs w:val="18"/>
                      <w:lang w:eastAsia="zh-CN"/>
                    </w:rPr>
                  </w:pPr>
                </w:p>
              </w:tc>
              <w:tc>
                <w:tcPr>
                  <w:tcW w:w="502" w:type="dxa"/>
                  <w:vMerge w:val="continue"/>
                  <w:vAlign w:val="center"/>
                </w:tcPr>
                <w:p w14:paraId="164B9DE3">
                  <w:pPr>
                    <w:spacing w:line="240" w:lineRule="exact"/>
                    <w:jc w:val="center"/>
                    <w:rPr>
                      <w:color w:val="auto"/>
                      <w:sz w:val="18"/>
                      <w:szCs w:val="18"/>
                    </w:rPr>
                  </w:pPr>
                </w:p>
              </w:tc>
              <w:tc>
                <w:tcPr>
                  <w:tcW w:w="765" w:type="dxa"/>
                  <w:shd w:val="clear" w:color="auto" w:fill="auto"/>
                  <w:vAlign w:val="center"/>
                </w:tcPr>
                <w:p w14:paraId="3621E4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sz w:val="18"/>
                      <w:szCs w:val="18"/>
                      <w:highlight w:val="none"/>
                      <w:vertAlign w:val="baseline"/>
                      <w:lang w:val="en-US" w:eastAsia="zh-CN"/>
                    </w:rPr>
                    <w:t>甲醛</w:t>
                  </w:r>
                </w:p>
              </w:tc>
              <w:tc>
                <w:tcPr>
                  <w:tcW w:w="775" w:type="dxa"/>
                  <w:vAlign w:val="center"/>
                </w:tcPr>
                <w:p w14:paraId="648E663A">
                  <w:pPr>
                    <w:pStyle w:val="79"/>
                    <w:adjustRightInd w:val="0"/>
                    <w:snapToGrid w:val="0"/>
                    <w:spacing w:before="0" w:after="0"/>
                    <w:rPr>
                      <w:rFonts w:hint="default" w:eastAsia="宋体"/>
                      <w:b w:val="0"/>
                      <w:bCs w:val="0"/>
                      <w:color w:val="auto"/>
                      <w:sz w:val="18"/>
                      <w:szCs w:val="18"/>
                      <w:lang w:val="en-US" w:eastAsia="zh-CN"/>
                    </w:rPr>
                  </w:pPr>
                  <w:r>
                    <w:rPr>
                      <w:rFonts w:hint="eastAsia"/>
                      <w:b w:val="0"/>
                      <w:bCs w:val="0"/>
                      <w:color w:val="auto"/>
                      <w:sz w:val="18"/>
                      <w:szCs w:val="18"/>
                      <w:lang w:val="en-US" w:eastAsia="zh-CN"/>
                    </w:rPr>
                    <w:t>0.001</w:t>
                  </w:r>
                </w:p>
              </w:tc>
              <w:tc>
                <w:tcPr>
                  <w:tcW w:w="920" w:type="dxa"/>
                  <w:vAlign w:val="center"/>
                </w:tcPr>
                <w:p w14:paraId="6CBD8D3A">
                  <w:pPr>
                    <w:spacing w:line="240" w:lineRule="exact"/>
                    <w:jc w:val="center"/>
                    <w:rPr>
                      <w:color w:val="auto"/>
                      <w:sz w:val="18"/>
                      <w:szCs w:val="18"/>
                    </w:rPr>
                  </w:pPr>
                  <w:r>
                    <w:rPr>
                      <w:color w:val="auto"/>
                      <w:sz w:val="18"/>
                      <w:szCs w:val="18"/>
                    </w:rPr>
                    <w:t>-</w:t>
                  </w:r>
                </w:p>
              </w:tc>
              <w:tc>
                <w:tcPr>
                  <w:tcW w:w="786" w:type="dxa"/>
                  <w:vAlign w:val="center"/>
                </w:tcPr>
                <w:p w14:paraId="1347241C">
                  <w:pPr>
                    <w:spacing w:line="240" w:lineRule="exact"/>
                    <w:jc w:val="center"/>
                    <w:rPr>
                      <w:color w:val="auto"/>
                      <w:sz w:val="18"/>
                      <w:szCs w:val="18"/>
                    </w:rPr>
                  </w:pPr>
                  <w:r>
                    <w:rPr>
                      <w:color w:val="auto"/>
                      <w:sz w:val="18"/>
                      <w:szCs w:val="18"/>
                    </w:rPr>
                    <w:t>-</w:t>
                  </w:r>
                </w:p>
              </w:tc>
              <w:tc>
                <w:tcPr>
                  <w:tcW w:w="651" w:type="dxa"/>
                  <w:vAlign w:val="center"/>
                </w:tcPr>
                <w:p w14:paraId="218CB281">
                  <w:pPr>
                    <w:spacing w:line="240" w:lineRule="exact"/>
                    <w:jc w:val="center"/>
                    <w:rPr>
                      <w:color w:val="auto"/>
                      <w:sz w:val="18"/>
                      <w:szCs w:val="18"/>
                    </w:rPr>
                  </w:pPr>
                  <w:r>
                    <w:rPr>
                      <w:color w:val="auto"/>
                      <w:sz w:val="18"/>
                      <w:szCs w:val="18"/>
                    </w:rPr>
                    <w:t>-</w:t>
                  </w:r>
                </w:p>
              </w:tc>
              <w:tc>
                <w:tcPr>
                  <w:tcW w:w="866" w:type="dxa"/>
                  <w:vAlign w:val="center"/>
                </w:tcPr>
                <w:p w14:paraId="46B96667">
                  <w:pPr>
                    <w:spacing w:line="240" w:lineRule="exact"/>
                    <w:jc w:val="center"/>
                    <w:rPr>
                      <w:rFonts w:hint="eastAsia" w:eastAsia="宋体"/>
                      <w:color w:val="auto"/>
                      <w:sz w:val="18"/>
                      <w:szCs w:val="18"/>
                      <w:lang w:eastAsia="zh-CN"/>
                    </w:rPr>
                  </w:pPr>
                  <w:r>
                    <w:rPr>
                      <w:color w:val="auto"/>
                      <w:sz w:val="18"/>
                      <w:szCs w:val="18"/>
                    </w:rPr>
                    <w:t>-</w:t>
                  </w:r>
                </w:p>
              </w:tc>
              <w:tc>
                <w:tcPr>
                  <w:tcW w:w="651" w:type="dxa"/>
                  <w:vAlign w:val="center"/>
                </w:tcPr>
                <w:p w14:paraId="70AC17A2">
                  <w:pPr>
                    <w:spacing w:line="240" w:lineRule="exact"/>
                    <w:jc w:val="center"/>
                    <w:rPr>
                      <w:rFonts w:hint="eastAsia"/>
                      <w:color w:val="auto"/>
                      <w:sz w:val="18"/>
                      <w:szCs w:val="18"/>
                      <w:lang w:val="en-US" w:eastAsia="zh-CN"/>
                    </w:rPr>
                  </w:pPr>
                  <w:r>
                    <w:rPr>
                      <w:color w:val="auto"/>
                      <w:sz w:val="18"/>
                      <w:szCs w:val="18"/>
                    </w:rPr>
                    <w:t>-</w:t>
                  </w:r>
                </w:p>
              </w:tc>
              <w:tc>
                <w:tcPr>
                  <w:tcW w:w="623" w:type="dxa"/>
                  <w:vAlign w:val="center"/>
                </w:tcPr>
                <w:p w14:paraId="291C6E21">
                  <w:pPr>
                    <w:spacing w:line="240" w:lineRule="exact"/>
                    <w:jc w:val="center"/>
                    <w:rPr>
                      <w:color w:val="auto"/>
                      <w:sz w:val="18"/>
                      <w:szCs w:val="18"/>
                    </w:rPr>
                  </w:pPr>
                  <w:r>
                    <w:rPr>
                      <w:color w:val="auto"/>
                      <w:sz w:val="18"/>
                      <w:szCs w:val="18"/>
                    </w:rPr>
                    <w:t>-</w:t>
                  </w:r>
                </w:p>
              </w:tc>
              <w:tc>
                <w:tcPr>
                  <w:tcW w:w="776" w:type="dxa"/>
                  <w:vAlign w:val="center"/>
                </w:tcPr>
                <w:p w14:paraId="2C81EA7B">
                  <w:pPr>
                    <w:spacing w:line="240" w:lineRule="exact"/>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0.001</w:t>
                  </w:r>
                </w:p>
              </w:tc>
              <w:tc>
                <w:tcPr>
                  <w:tcW w:w="934" w:type="dxa"/>
                  <w:vAlign w:val="center"/>
                </w:tcPr>
                <w:p w14:paraId="618F0937">
                  <w:pPr>
                    <w:spacing w:line="240" w:lineRule="exact"/>
                    <w:jc w:val="center"/>
                    <w:rPr>
                      <w:rFonts w:hint="eastAsia"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753" w:type="dxa"/>
                  <w:vAlign w:val="center"/>
                </w:tcPr>
                <w:p w14:paraId="291F5B39">
                  <w:pPr>
                    <w:spacing w:line="240" w:lineRule="exact"/>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0.0004</w:t>
                  </w:r>
                </w:p>
              </w:tc>
              <w:tc>
                <w:tcPr>
                  <w:tcW w:w="785" w:type="dxa"/>
                  <w:vAlign w:val="center"/>
                </w:tcPr>
                <w:p w14:paraId="3BAF1C66">
                  <w:pPr>
                    <w:spacing w:line="240" w:lineRule="exact"/>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2400</w:t>
                  </w:r>
                </w:p>
              </w:tc>
              <w:tc>
                <w:tcPr>
                  <w:tcW w:w="946" w:type="dxa"/>
                  <w:vAlign w:val="center"/>
                </w:tcPr>
                <w:p w14:paraId="50AE5152">
                  <w:pPr>
                    <w:spacing w:line="240" w:lineRule="exact"/>
                    <w:jc w:val="center"/>
                    <w:rPr>
                      <w:rFonts w:hint="default"/>
                      <w:color w:val="auto"/>
                      <w:sz w:val="18"/>
                      <w:szCs w:val="18"/>
                      <w:lang w:val="en-US" w:eastAsia="zh-CN"/>
                    </w:rPr>
                  </w:pPr>
                  <w:r>
                    <w:rPr>
                      <w:rFonts w:hint="eastAsia"/>
                      <w:color w:val="auto"/>
                      <w:sz w:val="18"/>
                      <w:szCs w:val="18"/>
                      <w:lang w:val="en-US" w:eastAsia="zh-CN"/>
                    </w:rPr>
                    <w:t>0.05</w:t>
                  </w:r>
                </w:p>
              </w:tc>
              <w:tc>
                <w:tcPr>
                  <w:tcW w:w="784" w:type="dxa"/>
                  <w:vAlign w:val="center"/>
                </w:tcPr>
                <w:p w14:paraId="49F81DAA">
                  <w:pPr>
                    <w:spacing w:line="240" w:lineRule="exact"/>
                    <w:jc w:val="center"/>
                    <w:rPr>
                      <w:rFonts w:hint="eastAsia"/>
                      <w:color w:val="auto"/>
                      <w:sz w:val="18"/>
                      <w:szCs w:val="18"/>
                    </w:rPr>
                  </w:pPr>
                  <w:r>
                    <w:rPr>
                      <w:color w:val="auto"/>
                      <w:sz w:val="18"/>
                      <w:szCs w:val="18"/>
                    </w:rPr>
                    <w:t>-</w:t>
                  </w:r>
                </w:p>
              </w:tc>
            </w:tr>
            <w:tr w14:paraId="50C54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vMerge w:val="continue"/>
                  <w:vAlign w:val="center"/>
                </w:tcPr>
                <w:p w14:paraId="658899C2">
                  <w:pPr>
                    <w:spacing w:line="240" w:lineRule="exact"/>
                    <w:jc w:val="center"/>
                    <w:rPr>
                      <w:rFonts w:hint="eastAsia"/>
                      <w:bCs/>
                      <w:color w:val="auto"/>
                      <w:sz w:val="18"/>
                      <w:szCs w:val="18"/>
                      <w:lang w:eastAsia="zh-CN"/>
                    </w:rPr>
                  </w:pPr>
                </w:p>
              </w:tc>
              <w:tc>
                <w:tcPr>
                  <w:tcW w:w="502" w:type="dxa"/>
                  <w:vMerge w:val="continue"/>
                  <w:vAlign w:val="center"/>
                </w:tcPr>
                <w:p w14:paraId="138569D4">
                  <w:pPr>
                    <w:spacing w:line="240" w:lineRule="exact"/>
                    <w:jc w:val="center"/>
                    <w:rPr>
                      <w:color w:val="auto"/>
                      <w:sz w:val="18"/>
                      <w:szCs w:val="18"/>
                    </w:rPr>
                  </w:pPr>
                </w:p>
              </w:tc>
              <w:tc>
                <w:tcPr>
                  <w:tcW w:w="765" w:type="dxa"/>
                  <w:shd w:val="clear" w:color="auto" w:fill="auto"/>
                  <w:vAlign w:val="center"/>
                </w:tcPr>
                <w:p w14:paraId="5C43B1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lang w:val="en-US" w:eastAsia="zh-CN" w:bidi="ar-SA"/>
                    </w:rPr>
                  </w:pPr>
                  <w:r>
                    <w:rPr>
                      <w:rFonts w:hint="eastAsia" w:ascii="Times New Roman" w:hAnsi="Times New Roman" w:cs="Times New Roman"/>
                      <w:bCs/>
                      <w:color w:val="auto"/>
                      <w:sz w:val="18"/>
                      <w:szCs w:val="18"/>
                      <w:highlight w:val="none"/>
                      <w:vertAlign w:val="baseline"/>
                      <w:lang w:val="en-US" w:eastAsia="zh-CN"/>
                    </w:rPr>
                    <w:t>苯酚</w:t>
                  </w:r>
                </w:p>
              </w:tc>
              <w:tc>
                <w:tcPr>
                  <w:tcW w:w="775" w:type="dxa"/>
                  <w:vAlign w:val="center"/>
                </w:tcPr>
                <w:p w14:paraId="3CC14DFB">
                  <w:pPr>
                    <w:pStyle w:val="79"/>
                    <w:adjustRightInd w:val="0"/>
                    <w:snapToGrid w:val="0"/>
                    <w:spacing w:before="0" w:after="0"/>
                    <w:rPr>
                      <w:rFonts w:hint="default" w:ascii="Times New Roman" w:hAnsi="Times New Roman"/>
                      <w:b w:val="0"/>
                      <w:bCs w:val="0"/>
                      <w:color w:val="auto"/>
                      <w:sz w:val="18"/>
                      <w:szCs w:val="18"/>
                      <w:highlight w:val="none"/>
                      <w:lang w:val="en-US" w:eastAsia="zh-CN"/>
                    </w:rPr>
                  </w:pPr>
                  <w:r>
                    <w:rPr>
                      <w:rFonts w:hint="eastAsia" w:ascii="Times New Roman" w:hAnsi="Times New Roman"/>
                      <w:b w:val="0"/>
                      <w:bCs w:val="0"/>
                      <w:color w:val="auto"/>
                      <w:sz w:val="18"/>
                      <w:szCs w:val="18"/>
                      <w:highlight w:val="none"/>
                      <w:lang w:val="en-US" w:eastAsia="zh-CN"/>
                    </w:rPr>
                    <w:t>0.001</w:t>
                  </w:r>
                </w:p>
              </w:tc>
              <w:tc>
                <w:tcPr>
                  <w:tcW w:w="920" w:type="dxa"/>
                  <w:vAlign w:val="center"/>
                </w:tcPr>
                <w:p w14:paraId="5D7AAD86">
                  <w:pPr>
                    <w:spacing w:line="240" w:lineRule="exact"/>
                    <w:jc w:val="center"/>
                    <w:rPr>
                      <w:color w:val="auto"/>
                      <w:sz w:val="18"/>
                      <w:szCs w:val="18"/>
                    </w:rPr>
                  </w:pPr>
                  <w:r>
                    <w:rPr>
                      <w:color w:val="auto"/>
                      <w:sz w:val="18"/>
                      <w:szCs w:val="18"/>
                    </w:rPr>
                    <w:t>-</w:t>
                  </w:r>
                </w:p>
              </w:tc>
              <w:tc>
                <w:tcPr>
                  <w:tcW w:w="786" w:type="dxa"/>
                  <w:vAlign w:val="center"/>
                </w:tcPr>
                <w:p w14:paraId="261370B3">
                  <w:pPr>
                    <w:spacing w:line="240" w:lineRule="exact"/>
                    <w:jc w:val="center"/>
                    <w:rPr>
                      <w:color w:val="auto"/>
                      <w:sz w:val="18"/>
                      <w:szCs w:val="18"/>
                    </w:rPr>
                  </w:pPr>
                  <w:r>
                    <w:rPr>
                      <w:color w:val="auto"/>
                      <w:sz w:val="18"/>
                      <w:szCs w:val="18"/>
                    </w:rPr>
                    <w:t>-</w:t>
                  </w:r>
                </w:p>
              </w:tc>
              <w:tc>
                <w:tcPr>
                  <w:tcW w:w="651" w:type="dxa"/>
                  <w:vAlign w:val="center"/>
                </w:tcPr>
                <w:p w14:paraId="2CD6D469">
                  <w:pPr>
                    <w:spacing w:line="240" w:lineRule="exact"/>
                    <w:jc w:val="center"/>
                    <w:rPr>
                      <w:color w:val="auto"/>
                      <w:sz w:val="18"/>
                      <w:szCs w:val="18"/>
                    </w:rPr>
                  </w:pPr>
                  <w:r>
                    <w:rPr>
                      <w:color w:val="auto"/>
                      <w:sz w:val="18"/>
                      <w:szCs w:val="18"/>
                    </w:rPr>
                    <w:t>-</w:t>
                  </w:r>
                </w:p>
              </w:tc>
              <w:tc>
                <w:tcPr>
                  <w:tcW w:w="866" w:type="dxa"/>
                  <w:vAlign w:val="center"/>
                </w:tcPr>
                <w:p w14:paraId="678E9EB2">
                  <w:pPr>
                    <w:spacing w:line="240" w:lineRule="exact"/>
                    <w:jc w:val="center"/>
                    <w:rPr>
                      <w:rFonts w:hint="eastAsia" w:eastAsia="宋体"/>
                      <w:color w:val="auto"/>
                      <w:sz w:val="18"/>
                      <w:szCs w:val="18"/>
                      <w:lang w:eastAsia="zh-CN"/>
                    </w:rPr>
                  </w:pPr>
                  <w:r>
                    <w:rPr>
                      <w:color w:val="auto"/>
                      <w:sz w:val="18"/>
                      <w:szCs w:val="18"/>
                    </w:rPr>
                    <w:t>-</w:t>
                  </w:r>
                </w:p>
              </w:tc>
              <w:tc>
                <w:tcPr>
                  <w:tcW w:w="651" w:type="dxa"/>
                  <w:vAlign w:val="center"/>
                </w:tcPr>
                <w:p w14:paraId="0883F429">
                  <w:pPr>
                    <w:spacing w:line="240" w:lineRule="exact"/>
                    <w:jc w:val="center"/>
                    <w:rPr>
                      <w:rFonts w:hint="eastAsia"/>
                      <w:color w:val="auto"/>
                      <w:sz w:val="18"/>
                      <w:szCs w:val="18"/>
                      <w:lang w:val="en-US" w:eastAsia="zh-CN"/>
                    </w:rPr>
                  </w:pPr>
                  <w:r>
                    <w:rPr>
                      <w:color w:val="auto"/>
                      <w:sz w:val="18"/>
                      <w:szCs w:val="18"/>
                    </w:rPr>
                    <w:t>-</w:t>
                  </w:r>
                </w:p>
              </w:tc>
              <w:tc>
                <w:tcPr>
                  <w:tcW w:w="623" w:type="dxa"/>
                  <w:vAlign w:val="center"/>
                </w:tcPr>
                <w:p w14:paraId="2EAC86AE">
                  <w:pPr>
                    <w:spacing w:line="240" w:lineRule="exact"/>
                    <w:jc w:val="center"/>
                    <w:rPr>
                      <w:color w:val="auto"/>
                      <w:sz w:val="18"/>
                      <w:szCs w:val="18"/>
                    </w:rPr>
                  </w:pPr>
                  <w:r>
                    <w:rPr>
                      <w:color w:val="auto"/>
                      <w:sz w:val="18"/>
                      <w:szCs w:val="18"/>
                    </w:rPr>
                    <w:t>--</w:t>
                  </w:r>
                </w:p>
              </w:tc>
              <w:tc>
                <w:tcPr>
                  <w:tcW w:w="776" w:type="dxa"/>
                  <w:vAlign w:val="center"/>
                </w:tcPr>
                <w:p w14:paraId="1DD20D4A">
                  <w:pPr>
                    <w:spacing w:line="240" w:lineRule="exact"/>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0.001</w:t>
                  </w:r>
                </w:p>
              </w:tc>
              <w:tc>
                <w:tcPr>
                  <w:tcW w:w="934" w:type="dxa"/>
                  <w:vAlign w:val="center"/>
                </w:tcPr>
                <w:p w14:paraId="3D9B8278">
                  <w:pPr>
                    <w:spacing w:line="24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w:t>
                  </w:r>
                </w:p>
              </w:tc>
              <w:tc>
                <w:tcPr>
                  <w:tcW w:w="753" w:type="dxa"/>
                  <w:vAlign w:val="center"/>
                </w:tcPr>
                <w:p w14:paraId="54EAB51E">
                  <w:pPr>
                    <w:spacing w:line="240" w:lineRule="exact"/>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0.0006</w:t>
                  </w:r>
                </w:p>
              </w:tc>
              <w:tc>
                <w:tcPr>
                  <w:tcW w:w="785" w:type="dxa"/>
                  <w:vAlign w:val="center"/>
                </w:tcPr>
                <w:p w14:paraId="4C4F3EF3">
                  <w:pPr>
                    <w:spacing w:line="240" w:lineRule="exact"/>
                    <w:jc w:val="center"/>
                    <w:rPr>
                      <w:rFonts w:hint="eastAsia"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2400</w:t>
                  </w:r>
                </w:p>
              </w:tc>
              <w:tc>
                <w:tcPr>
                  <w:tcW w:w="946" w:type="dxa"/>
                  <w:vAlign w:val="center"/>
                </w:tcPr>
                <w:p w14:paraId="34F64F5E">
                  <w:pPr>
                    <w:spacing w:line="240" w:lineRule="exact"/>
                    <w:jc w:val="center"/>
                    <w:rPr>
                      <w:rFonts w:hint="default"/>
                      <w:color w:val="auto"/>
                      <w:sz w:val="18"/>
                      <w:szCs w:val="18"/>
                      <w:lang w:val="en-US" w:eastAsia="zh-CN"/>
                    </w:rPr>
                  </w:pPr>
                  <w:r>
                    <w:rPr>
                      <w:rFonts w:hint="eastAsia"/>
                      <w:color w:val="auto"/>
                      <w:sz w:val="18"/>
                      <w:szCs w:val="18"/>
                      <w:lang w:val="en-US" w:eastAsia="zh-CN"/>
                    </w:rPr>
                    <w:t>0.08</w:t>
                  </w:r>
                </w:p>
              </w:tc>
              <w:tc>
                <w:tcPr>
                  <w:tcW w:w="784" w:type="dxa"/>
                  <w:vAlign w:val="center"/>
                </w:tcPr>
                <w:p w14:paraId="7C4449A4">
                  <w:pPr>
                    <w:spacing w:line="240" w:lineRule="exact"/>
                    <w:jc w:val="center"/>
                    <w:rPr>
                      <w:rFonts w:hint="eastAsia"/>
                      <w:color w:val="auto"/>
                      <w:sz w:val="18"/>
                      <w:szCs w:val="18"/>
                    </w:rPr>
                  </w:pPr>
                  <w:r>
                    <w:rPr>
                      <w:color w:val="auto"/>
                      <w:sz w:val="18"/>
                      <w:szCs w:val="18"/>
                    </w:rPr>
                    <w:t>-</w:t>
                  </w:r>
                </w:p>
              </w:tc>
            </w:tr>
          </w:tbl>
          <w:p w14:paraId="27104F78">
            <w:pPr>
              <w:jc w:val="center"/>
              <w:rPr>
                <w:b/>
                <w:bCs/>
                <w:color w:val="auto"/>
              </w:rPr>
            </w:pPr>
          </w:p>
          <w:p w14:paraId="4B01511C">
            <w:pPr>
              <w:jc w:val="center"/>
              <w:rPr>
                <w:b/>
                <w:bCs/>
                <w:color w:val="auto"/>
              </w:rPr>
            </w:pPr>
          </w:p>
          <w:p w14:paraId="6ACC03C3">
            <w:pPr>
              <w:jc w:val="center"/>
              <w:rPr>
                <w:b/>
                <w:bCs/>
                <w:color w:val="auto"/>
              </w:rPr>
            </w:pPr>
            <w:r>
              <w:rPr>
                <w:b/>
                <w:bCs/>
                <w:color w:val="auto"/>
              </w:rPr>
              <w:t>表4-</w:t>
            </w:r>
            <w:r>
              <w:rPr>
                <w:rFonts w:hint="eastAsia"/>
                <w:b/>
                <w:bCs/>
                <w:color w:val="auto"/>
                <w:lang w:val="en-US" w:eastAsia="zh-CN"/>
              </w:rPr>
              <w:t>2</w:t>
            </w:r>
            <w:r>
              <w:rPr>
                <w:b/>
                <w:bCs/>
                <w:color w:val="auto"/>
              </w:rPr>
              <w:t>大气污染物排放口基本情况表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5"/>
              <w:gridCol w:w="575"/>
              <w:gridCol w:w="672"/>
              <w:gridCol w:w="961"/>
              <w:gridCol w:w="917"/>
              <w:gridCol w:w="814"/>
              <w:gridCol w:w="1243"/>
              <w:gridCol w:w="564"/>
              <w:gridCol w:w="692"/>
              <w:gridCol w:w="567"/>
              <w:gridCol w:w="839"/>
              <w:gridCol w:w="828"/>
              <w:gridCol w:w="980"/>
              <w:gridCol w:w="883"/>
              <w:gridCol w:w="642"/>
              <w:gridCol w:w="849"/>
            </w:tblGrid>
            <w:tr w14:paraId="4385B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dxa"/>
                  <w:vMerge w:val="restart"/>
                  <w:vAlign w:val="center"/>
                </w:tcPr>
                <w:p w14:paraId="0CA6398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序号</w:t>
                  </w:r>
                </w:p>
              </w:tc>
              <w:tc>
                <w:tcPr>
                  <w:tcW w:w="575" w:type="dxa"/>
                  <w:vMerge w:val="restart"/>
                  <w:vAlign w:val="center"/>
                </w:tcPr>
                <w:p w14:paraId="34CE4322">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排放时段</w:t>
                  </w:r>
                </w:p>
              </w:tc>
              <w:tc>
                <w:tcPr>
                  <w:tcW w:w="672" w:type="dxa"/>
                  <w:vMerge w:val="restart"/>
                  <w:vAlign w:val="center"/>
                </w:tcPr>
                <w:p w14:paraId="735C12DE">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排放口</w:t>
                  </w:r>
                </w:p>
                <w:p w14:paraId="25694922">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编号</w:t>
                  </w:r>
                </w:p>
              </w:tc>
              <w:tc>
                <w:tcPr>
                  <w:tcW w:w="961" w:type="dxa"/>
                  <w:vMerge w:val="restart"/>
                  <w:vAlign w:val="center"/>
                </w:tcPr>
                <w:p w14:paraId="60B1337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排放口</w:t>
                  </w:r>
                </w:p>
                <w:p w14:paraId="6826F40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名称</w:t>
                  </w:r>
                </w:p>
              </w:tc>
              <w:tc>
                <w:tcPr>
                  <w:tcW w:w="917" w:type="dxa"/>
                  <w:vMerge w:val="restart"/>
                  <w:vAlign w:val="center"/>
                </w:tcPr>
                <w:p w14:paraId="5205F89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排放口</w:t>
                  </w:r>
                </w:p>
                <w:p w14:paraId="655A427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类型</w:t>
                  </w:r>
                </w:p>
              </w:tc>
              <w:tc>
                <w:tcPr>
                  <w:tcW w:w="814" w:type="dxa"/>
                  <w:vMerge w:val="restart"/>
                  <w:vAlign w:val="center"/>
                </w:tcPr>
                <w:p w14:paraId="5B65B235">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污染物种类</w:t>
                  </w:r>
                </w:p>
              </w:tc>
              <w:tc>
                <w:tcPr>
                  <w:tcW w:w="1243" w:type="dxa"/>
                  <w:vAlign w:val="center"/>
                </w:tcPr>
                <w:p w14:paraId="7BDEFE4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排放口地理坐标</w:t>
                  </w:r>
                </w:p>
              </w:tc>
              <w:tc>
                <w:tcPr>
                  <w:tcW w:w="564" w:type="dxa"/>
                  <w:vMerge w:val="restart"/>
                  <w:vAlign w:val="center"/>
                </w:tcPr>
                <w:p w14:paraId="05339DC4">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排气筒高度（m）</w:t>
                  </w:r>
                </w:p>
              </w:tc>
              <w:tc>
                <w:tcPr>
                  <w:tcW w:w="692" w:type="dxa"/>
                  <w:vMerge w:val="restart"/>
                  <w:vAlign w:val="center"/>
                </w:tcPr>
                <w:p w14:paraId="6A102CB8">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排气筒出口</w:t>
                  </w:r>
                </w:p>
                <w:p w14:paraId="263DB942">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内径（m）</w:t>
                  </w:r>
                </w:p>
              </w:tc>
              <w:tc>
                <w:tcPr>
                  <w:tcW w:w="567" w:type="dxa"/>
                  <w:vMerge w:val="restart"/>
                  <w:vAlign w:val="center"/>
                </w:tcPr>
                <w:p w14:paraId="3DC1B49F">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排气温度（℃）</w:t>
                  </w:r>
                </w:p>
              </w:tc>
              <w:tc>
                <w:tcPr>
                  <w:tcW w:w="839" w:type="dxa"/>
                  <w:vMerge w:val="restart"/>
                  <w:vAlign w:val="center"/>
                </w:tcPr>
                <w:p w14:paraId="0677813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废气排放量（m</w:t>
                  </w:r>
                  <w:r>
                    <w:rPr>
                      <w:b/>
                      <w:bCs/>
                      <w:color w:val="auto"/>
                      <w:sz w:val="18"/>
                      <w:szCs w:val="18"/>
                      <w:vertAlign w:val="superscript"/>
                    </w:rPr>
                    <w:t>3</w:t>
                  </w:r>
                  <w:r>
                    <w:rPr>
                      <w:b/>
                      <w:bCs/>
                      <w:color w:val="auto"/>
                      <w:sz w:val="18"/>
                      <w:szCs w:val="18"/>
                    </w:rPr>
                    <w:t>/h）</w:t>
                  </w:r>
                </w:p>
              </w:tc>
              <w:tc>
                <w:tcPr>
                  <w:tcW w:w="828" w:type="dxa"/>
                  <w:vMerge w:val="restart"/>
                  <w:vAlign w:val="center"/>
                </w:tcPr>
                <w:p w14:paraId="1697177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污染物排放量（t/a）</w:t>
                  </w:r>
                </w:p>
              </w:tc>
              <w:tc>
                <w:tcPr>
                  <w:tcW w:w="980" w:type="dxa"/>
                  <w:vMerge w:val="restart"/>
                  <w:vAlign w:val="center"/>
                </w:tcPr>
                <w:p w14:paraId="16C2ABC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污染物排放</w:t>
                  </w:r>
                </w:p>
                <w:p w14:paraId="1EF23EE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浓度（mg/m</w:t>
                  </w:r>
                  <w:r>
                    <w:rPr>
                      <w:b/>
                      <w:bCs/>
                      <w:color w:val="auto"/>
                      <w:sz w:val="18"/>
                      <w:szCs w:val="18"/>
                      <w:vertAlign w:val="superscript"/>
                    </w:rPr>
                    <w:t>3</w:t>
                  </w:r>
                  <w:r>
                    <w:rPr>
                      <w:b/>
                      <w:bCs/>
                      <w:color w:val="auto"/>
                      <w:sz w:val="18"/>
                      <w:szCs w:val="18"/>
                    </w:rPr>
                    <w:t>）</w:t>
                  </w:r>
                </w:p>
              </w:tc>
              <w:tc>
                <w:tcPr>
                  <w:tcW w:w="883" w:type="dxa"/>
                  <w:vMerge w:val="restart"/>
                  <w:vAlign w:val="center"/>
                </w:tcPr>
                <w:p w14:paraId="1968CAE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排放速率（kg/h）</w:t>
                  </w:r>
                </w:p>
              </w:tc>
              <w:tc>
                <w:tcPr>
                  <w:tcW w:w="642" w:type="dxa"/>
                  <w:vMerge w:val="restart"/>
                  <w:vAlign w:val="center"/>
                </w:tcPr>
                <w:p w14:paraId="16E51E5E">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排放时间（h）</w:t>
                  </w:r>
                </w:p>
              </w:tc>
              <w:tc>
                <w:tcPr>
                  <w:tcW w:w="849" w:type="dxa"/>
                  <w:vMerge w:val="restart"/>
                  <w:vAlign w:val="center"/>
                </w:tcPr>
                <w:p w14:paraId="1DA1D02E">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排放标准限值</w:t>
                  </w:r>
                </w:p>
              </w:tc>
            </w:tr>
            <w:tr w14:paraId="26466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dxa"/>
                  <w:vMerge w:val="continue"/>
                  <w:vAlign w:val="center"/>
                </w:tcPr>
                <w:p w14:paraId="48334485">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75" w:type="dxa"/>
                  <w:vMerge w:val="continue"/>
                  <w:vAlign w:val="center"/>
                </w:tcPr>
                <w:p w14:paraId="67D417B4">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72" w:type="dxa"/>
                  <w:vMerge w:val="continue"/>
                  <w:vAlign w:val="center"/>
                </w:tcPr>
                <w:p w14:paraId="665F05B3">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61" w:type="dxa"/>
                  <w:vMerge w:val="continue"/>
                  <w:vAlign w:val="center"/>
                </w:tcPr>
                <w:p w14:paraId="68AABFC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17" w:type="dxa"/>
                  <w:vMerge w:val="continue"/>
                  <w:vAlign w:val="center"/>
                </w:tcPr>
                <w:p w14:paraId="1D2FF28C">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14" w:type="dxa"/>
                  <w:vMerge w:val="continue"/>
                  <w:vAlign w:val="center"/>
                </w:tcPr>
                <w:p w14:paraId="4DC70F4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1243" w:type="dxa"/>
                  <w:vAlign w:val="center"/>
                </w:tcPr>
                <w:p w14:paraId="6D38CFA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r>
                    <w:rPr>
                      <w:b/>
                      <w:bCs/>
                      <w:color w:val="auto"/>
                      <w:sz w:val="18"/>
                      <w:szCs w:val="18"/>
                    </w:rPr>
                    <w:t>经度、纬度</w:t>
                  </w:r>
                </w:p>
              </w:tc>
              <w:tc>
                <w:tcPr>
                  <w:tcW w:w="564" w:type="dxa"/>
                  <w:vMerge w:val="continue"/>
                  <w:vAlign w:val="center"/>
                </w:tcPr>
                <w:p w14:paraId="27A321A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92" w:type="dxa"/>
                  <w:vMerge w:val="continue"/>
                  <w:vAlign w:val="center"/>
                </w:tcPr>
                <w:p w14:paraId="2FF37C0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67" w:type="dxa"/>
                  <w:vMerge w:val="continue"/>
                  <w:vAlign w:val="center"/>
                </w:tcPr>
                <w:p w14:paraId="6CC0305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39" w:type="dxa"/>
                  <w:vMerge w:val="continue"/>
                  <w:vAlign w:val="center"/>
                </w:tcPr>
                <w:p w14:paraId="739E133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28" w:type="dxa"/>
                  <w:vMerge w:val="continue"/>
                  <w:vAlign w:val="center"/>
                </w:tcPr>
                <w:p w14:paraId="5754F79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80" w:type="dxa"/>
                  <w:vMerge w:val="continue"/>
                  <w:vAlign w:val="center"/>
                </w:tcPr>
                <w:p w14:paraId="5409DE5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83" w:type="dxa"/>
                  <w:vMerge w:val="continue"/>
                  <w:vAlign w:val="center"/>
                </w:tcPr>
                <w:p w14:paraId="2BE4123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42" w:type="dxa"/>
                  <w:vMerge w:val="continue"/>
                  <w:vAlign w:val="center"/>
                </w:tcPr>
                <w:p w14:paraId="61EF6B9F">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49" w:type="dxa"/>
                  <w:vMerge w:val="continue"/>
                  <w:vAlign w:val="center"/>
                </w:tcPr>
                <w:p w14:paraId="6DBA627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r>
            <w:tr w14:paraId="450D3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55" w:type="dxa"/>
                  <w:vAlign w:val="center"/>
                </w:tcPr>
                <w:p w14:paraId="57090D4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color w:val="auto"/>
                      <w:sz w:val="18"/>
                      <w:szCs w:val="18"/>
                      <w:lang w:eastAsia="zh-CN"/>
                    </w:rPr>
                  </w:pPr>
                  <w:r>
                    <w:rPr>
                      <w:rFonts w:hint="eastAsia"/>
                      <w:color w:val="auto"/>
                      <w:sz w:val="18"/>
                      <w:szCs w:val="18"/>
                      <w:lang w:val="en-US" w:eastAsia="zh-CN"/>
                    </w:rPr>
                    <w:t>1</w:t>
                  </w:r>
                </w:p>
              </w:tc>
              <w:tc>
                <w:tcPr>
                  <w:tcW w:w="575" w:type="dxa"/>
                  <w:vAlign w:val="center"/>
                </w:tcPr>
                <w:p w14:paraId="588C3184">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color w:val="auto"/>
                      <w:sz w:val="18"/>
                      <w:szCs w:val="18"/>
                      <w:lang w:eastAsia="zh-CN"/>
                    </w:rPr>
                  </w:pPr>
                  <w:r>
                    <w:rPr>
                      <w:rFonts w:hint="eastAsia"/>
                      <w:color w:val="auto"/>
                      <w:sz w:val="18"/>
                      <w:szCs w:val="18"/>
                      <w:lang w:eastAsia="zh-CN"/>
                    </w:rPr>
                    <w:t>全天</w:t>
                  </w:r>
                </w:p>
              </w:tc>
              <w:tc>
                <w:tcPr>
                  <w:tcW w:w="672" w:type="dxa"/>
                  <w:vAlign w:val="center"/>
                </w:tcPr>
                <w:p w14:paraId="7AC94F6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color w:val="auto"/>
                      <w:sz w:val="18"/>
                      <w:szCs w:val="18"/>
                      <w:lang w:eastAsia="zh-CN"/>
                    </w:rPr>
                  </w:pPr>
                  <w:r>
                    <w:rPr>
                      <w:rFonts w:hint="eastAsia"/>
                      <w:color w:val="auto"/>
                      <w:sz w:val="18"/>
                      <w:szCs w:val="18"/>
                    </w:rPr>
                    <w:t>DA00</w:t>
                  </w:r>
                  <w:r>
                    <w:rPr>
                      <w:rFonts w:hint="eastAsia"/>
                      <w:color w:val="auto"/>
                      <w:sz w:val="18"/>
                      <w:szCs w:val="18"/>
                      <w:lang w:val="en-US" w:eastAsia="zh-CN"/>
                    </w:rPr>
                    <w:t>1</w:t>
                  </w:r>
                </w:p>
              </w:tc>
              <w:tc>
                <w:tcPr>
                  <w:tcW w:w="961" w:type="dxa"/>
                  <w:vAlign w:val="center"/>
                </w:tcPr>
                <w:p w14:paraId="76CEFD8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r>
                    <w:rPr>
                      <w:rFonts w:hint="default" w:cs="Times New Roman"/>
                      <w:bCs/>
                      <w:color w:val="auto"/>
                      <w:sz w:val="18"/>
                      <w:szCs w:val="18"/>
                      <w:highlight w:val="none"/>
                      <w:lang w:val="en-US" w:eastAsia="zh-CN"/>
                    </w:rPr>
                    <w:t>磨边轮生产线配料、筛分、混料</w:t>
                  </w:r>
                  <w:r>
                    <w:rPr>
                      <w:rFonts w:hint="eastAsia" w:cs="Times New Roman"/>
                      <w:bCs/>
                      <w:color w:val="auto"/>
                      <w:sz w:val="18"/>
                      <w:szCs w:val="18"/>
                      <w:highlight w:val="none"/>
                      <w:lang w:val="en-US" w:eastAsia="zh-CN"/>
                    </w:rPr>
                    <w:t>、喷砂</w:t>
                  </w:r>
                  <w:r>
                    <w:rPr>
                      <w:rFonts w:hint="eastAsia"/>
                      <w:color w:val="auto"/>
                      <w:sz w:val="18"/>
                      <w:szCs w:val="18"/>
                    </w:rPr>
                    <w:t>排放口</w:t>
                  </w:r>
                </w:p>
              </w:tc>
              <w:tc>
                <w:tcPr>
                  <w:tcW w:w="917" w:type="dxa"/>
                  <w:vAlign w:val="center"/>
                </w:tcPr>
                <w:p w14:paraId="222577E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r>
                    <w:rPr>
                      <w:color w:val="auto"/>
                      <w:sz w:val="18"/>
                      <w:szCs w:val="18"/>
                    </w:rPr>
                    <w:t>一般排放口</w:t>
                  </w:r>
                </w:p>
              </w:tc>
              <w:tc>
                <w:tcPr>
                  <w:tcW w:w="814" w:type="dxa"/>
                  <w:vAlign w:val="center"/>
                </w:tcPr>
                <w:p w14:paraId="5E749A23">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r>
                    <w:rPr>
                      <w:rFonts w:hint="eastAsia"/>
                      <w:color w:val="auto"/>
                      <w:sz w:val="18"/>
                      <w:szCs w:val="18"/>
                    </w:rPr>
                    <w:t>颗粒物</w:t>
                  </w:r>
                </w:p>
              </w:tc>
              <w:tc>
                <w:tcPr>
                  <w:tcW w:w="1243" w:type="dxa"/>
                  <w:vAlign w:val="center"/>
                </w:tcPr>
                <w:p w14:paraId="712A92C1">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color w:val="auto"/>
                      <w:sz w:val="18"/>
                      <w:szCs w:val="18"/>
                      <w:highlight w:val="none"/>
                    </w:rPr>
                  </w:pPr>
                  <w:r>
                    <w:rPr>
                      <w:rFonts w:hint="eastAsia"/>
                      <w:color w:val="auto"/>
                      <w:sz w:val="18"/>
                      <w:szCs w:val="18"/>
                      <w:highlight w:val="none"/>
                    </w:rPr>
                    <w:t>117.968212</w:t>
                  </w:r>
                  <w:r>
                    <w:rPr>
                      <w:color w:val="auto"/>
                      <w:sz w:val="18"/>
                      <w:szCs w:val="18"/>
                      <w:highlight w:val="none"/>
                    </w:rPr>
                    <w:t>°</w:t>
                  </w:r>
                </w:p>
                <w:p w14:paraId="7BD470F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Cs/>
                      <w:color w:val="auto"/>
                      <w:kern w:val="0"/>
                      <w:sz w:val="18"/>
                      <w:szCs w:val="18"/>
                    </w:rPr>
                  </w:pPr>
                  <w:r>
                    <w:rPr>
                      <w:rFonts w:hint="eastAsia"/>
                      <w:color w:val="auto"/>
                      <w:sz w:val="18"/>
                      <w:szCs w:val="18"/>
                      <w:highlight w:val="none"/>
                    </w:rPr>
                    <w:t>36.59460</w:t>
                  </w:r>
                  <w:r>
                    <w:rPr>
                      <w:rFonts w:hint="eastAsia"/>
                      <w:color w:val="auto"/>
                      <w:sz w:val="18"/>
                      <w:szCs w:val="18"/>
                      <w:highlight w:val="none"/>
                      <w:lang w:val="en-US" w:eastAsia="zh-CN"/>
                    </w:rPr>
                    <w:t>2</w:t>
                  </w:r>
                  <w:r>
                    <w:rPr>
                      <w:color w:val="auto"/>
                      <w:sz w:val="18"/>
                      <w:szCs w:val="18"/>
                      <w:highlight w:val="none"/>
                    </w:rPr>
                    <w:t>°</w:t>
                  </w:r>
                </w:p>
              </w:tc>
              <w:tc>
                <w:tcPr>
                  <w:tcW w:w="564" w:type="dxa"/>
                  <w:vAlign w:val="center"/>
                </w:tcPr>
                <w:p w14:paraId="018ACC11">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color w:val="auto"/>
                      <w:sz w:val="18"/>
                      <w:szCs w:val="18"/>
                    </w:rPr>
                  </w:pPr>
                  <w:r>
                    <w:rPr>
                      <w:color w:val="auto"/>
                      <w:sz w:val="18"/>
                      <w:szCs w:val="18"/>
                    </w:rPr>
                    <w:t>15</w:t>
                  </w:r>
                </w:p>
              </w:tc>
              <w:tc>
                <w:tcPr>
                  <w:tcW w:w="692" w:type="dxa"/>
                  <w:vAlign w:val="center"/>
                </w:tcPr>
                <w:p w14:paraId="63490E25">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eastAsia="宋体"/>
                      <w:color w:val="auto"/>
                      <w:sz w:val="18"/>
                      <w:szCs w:val="18"/>
                      <w:lang w:val="en-US" w:eastAsia="zh-CN"/>
                    </w:rPr>
                  </w:pPr>
                  <w:r>
                    <w:rPr>
                      <w:color w:val="auto"/>
                      <w:sz w:val="18"/>
                      <w:szCs w:val="18"/>
                    </w:rPr>
                    <w:t>0.</w:t>
                  </w:r>
                  <w:r>
                    <w:rPr>
                      <w:rStyle w:val="97"/>
                      <w:rFonts w:hint="eastAsia"/>
                      <w:color w:val="auto"/>
                      <w:kern w:val="0"/>
                      <w:sz w:val="18"/>
                      <w:szCs w:val="18"/>
                      <w:lang w:val="en-US" w:eastAsia="zh-CN"/>
                    </w:rPr>
                    <w:t>3</w:t>
                  </w:r>
                </w:p>
              </w:tc>
              <w:tc>
                <w:tcPr>
                  <w:tcW w:w="567" w:type="dxa"/>
                  <w:vAlign w:val="center"/>
                </w:tcPr>
                <w:p w14:paraId="4FBC26BD">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color w:val="auto"/>
                      <w:sz w:val="18"/>
                      <w:szCs w:val="18"/>
                    </w:rPr>
                  </w:pPr>
                  <w:r>
                    <w:rPr>
                      <w:rFonts w:hint="eastAsia"/>
                      <w:color w:val="auto"/>
                      <w:sz w:val="18"/>
                      <w:szCs w:val="18"/>
                    </w:rPr>
                    <w:t>25</w:t>
                  </w:r>
                </w:p>
              </w:tc>
              <w:tc>
                <w:tcPr>
                  <w:tcW w:w="839" w:type="dxa"/>
                  <w:vAlign w:val="center"/>
                </w:tcPr>
                <w:p w14:paraId="4823AF6E">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color w:val="auto"/>
                      <w:sz w:val="18"/>
                      <w:szCs w:val="18"/>
                    </w:rPr>
                  </w:pPr>
                  <w:r>
                    <w:rPr>
                      <w:rFonts w:hint="eastAsia"/>
                      <w:color w:val="auto"/>
                      <w:sz w:val="18"/>
                      <w:szCs w:val="18"/>
                      <w:lang w:val="en-US" w:eastAsia="zh-CN"/>
                    </w:rPr>
                    <w:t>3</w:t>
                  </w:r>
                  <w:r>
                    <w:rPr>
                      <w:rFonts w:hint="eastAsia"/>
                      <w:color w:val="auto"/>
                      <w:sz w:val="18"/>
                      <w:szCs w:val="18"/>
                    </w:rPr>
                    <w:t>000</w:t>
                  </w:r>
                </w:p>
              </w:tc>
              <w:tc>
                <w:tcPr>
                  <w:tcW w:w="828" w:type="dxa"/>
                  <w:vAlign w:val="center"/>
                </w:tcPr>
                <w:p w14:paraId="4B07D7D1">
                  <w:pPr>
                    <w:keepNext w:val="0"/>
                    <w:keepLines w:val="0"/>
                    <w:widowControl/>
                    <w:suppressLineNumbers w:val="0"/>
                    <w:jc w:val="center"/>
                    <w:textAlignment w:val="auto"/>
                    <w:rPr>
                      <w:rFonts w:hint="default" w:eastAsia="宋体"/>
                      <w:color w:val="auto"/>
                      <w:sz w:val="18"/>
                      <w:szCs w:val="18"/>
                      <w:lang w:val="en-US" w:eastAsia="zh-CN"/>
                    </w:rPr>
                  </w:pPr>
                  <w:r>
                    <w:rPr>
                      <w:rFonts w:hint="eastAsia" w:ascii="Times New Roman" w:hAnsi="Times New Roman" w:eastAsia="宋体" w:cs="Times New Roman"/>
                      <w:i w:val="0"/>
                      <w:iCs w:val="0"/>
                      <w:color w:val="auto"/>
                      <w:kern w:val="2"/>
                      <w:sz w:val="18"/>
                      <w:szCs w:val="18"/>
                      <w:highlight w:val="none"/>
                      <w:u w:val="none"/>
                      <w:lang w:val="en-US" w:eastAsia="zh-CN" w:bidi="ar-SA"/>
                    </w:rPr>
                    <w:t>0.00</w:t>
                  </w:r>
                  <w:r>
                    <w:rPr>
                      <w:rFonts w:hint="eastAsia" w:cs="Times New Roman"/>
                      <w:i w:val="0"/>
                      <w:iCs w:val="0"/>
                      <w:color w:val="auto"/>
                      <w:kern w:val="2"/>
                      <w:sz w:val="18"/>
                      <w:szCs w:val="18"/>
                      <w:highlight w:val="none"/>
                      <w:u w:val="none"/>
                      <w:lang w:val="en-US" w:eastAsia="zh-CN" w:bidi="ar-SA"/>
                    </w:rPr>
                    <w:t>3</w:t>
                  </w:r>
                </w:p>
              </w:tc>
              <w:tc>
                <w:tcPr>
                  <w:tcW w:w="980" w:type="dxa"/>
                  <w:vAlign w:val="center"/>
                </w:tcPr>
                <w:p w14:paraId="033105AE">
                  <w:pPr>
                    <w:keepNext w:val="0"/>
                    <w:keepLines w:val="0"/>
                    <w:widowControl/>
                    <w:suppressLineNumbers w:val="0"/>
                    <w:jc w:val="center"/>
                    <w:textAlignment w:val="auto"/>
                    <w:rPr>
                      <w:rFonts w:hint="default" w:eastAsia="宋体"/>
                      <w:color w:val="auto"/>
                      <w:sz w:val="18"/>
                      <w:szCs w:val="18"/>
                      <w:lang w:val="en-US" w:eastAsia="zh-CN"/>
                    </w:rPr>
                  </w:pPr>
                  <w:r>
                    <w:rPr>
                      <w:rFonts w:hint="eastAsia" w:ascii="Times New Roman" w:hAnsi="Times New Roman" w:eastAsia="宋体" w:cs="Times New Roman"/>
                      <w:i w:val="0"/>
                      <w:iCs w:val="0"/>
                      <w:color w:val="auto"/>
                      <w:kern w:val="2"/>
                      <w:sz w:val="18"/>
                      <w:szCs w:val="18"/>
                      <w:highlight w:val="none"/>
                      <w:u w:val="none"/>
                      <w:lang w:val="en-US" w:eastAsia="zh-CN" w:bidi="ar-SA"/>
                    </w:rPr>
                    <w:t>0.</w:t>
                  </w:r>
                  <w:r>
                    <w:rPr>
                      <w:rFonts w:hint="eastAsia" w:cs="Times New Roman"/>
                      <w:i w:val="0"/>
                      <w:iCs w:val="0"/>
                      <w:color w:val="auto"/>
                      <w:kern w:val="2"/>
                      <w:sz w:val="18"/>
                      <w:szCs w:val="18"/>
                      <w:highlight w:val="none"/>
                      <w:u w:val="none"/>
                      <w:lang w:val="en-US" w:eastAsia="zh-CN" w:bidi="ar-SA"/>
                    </w:rPr>
                    <w:t>93</w:t>
                  </w:r>
                </w:p>
              </w:tc>
              <w:tc>
                <w:tcPr>
                  <w:tcW w:w="883" w:type="dxa"/>
                  <w:vAlign w:val="center"/>
                </w:tcPr>
                <w:p w14:paraId="1764126B">
                  <w:pPr>
                    <w:keepNext w:val="0"/>
                    <w:keepLines w:val="0"/>
                    <w:widowControl/>
                    <w:suppressLineNumbers w:val="0"/>
                    <w:jc w:val="center"/>
                    <w:textAlignment w:val="auto"/>
                    <w:rPr>
                      <w:rFonts w:hint="default" w:eastAsia="宋体"/>
                      <w:color w:val="auto"/>
                      <w:sz w:val="18"/>
                      <w:szCs w:val="18"/>
                      <w:lang w:val="en-US" w:eastAsia="zh-CN"/>
                    </w:rPr>
                  </w:pPr>
                  <w:r>
                    <w:rPr>
                      <w:rFonts w:hint="eastAsia" w:ascii="Times New Roman" w:hAnsi="Times New Roman" w:eastAsia="宋体" w:cs="Times New Roman"/>
                      <w:i w:val="0"/>
                      <w:iCs w:val="0"/>
                      <w:color w:val="auto"/>
                      <w:kern w:val="2"/>
                      <w:sz w:val="18"/>
                      <w:szCs w:val="18"/>
                      <w:highlight w:val="none"/>
                      <w:u w:val="none"/>
                      <w:lang w:val="en-US" w:eastAsia="zh-CN" w:bidi="ar-SA"/>
                    </w:rPr>
                    <w:t>0.0</w:t>
                  </w:r>
                  <w:r>
                    <w:rPr>
                      <w:rFonts w:hint="eastAsia" w:cs="Times New Roman"/>
                      <w:i w:val="0"/>
                      <w:iCs w:val="0"/>
                      <w:color w:val="auto"/>
                      <w:kern w:val="2"/>
                      <w:sz w:val="18"/>
                      <w:szCs w:val="18"/>
                      <w:highlight w:val="none"/>
                      <w:u w:val="none"/>
                      <w:lang w:val="en-US" w:eastAsia="zh-CN" w:bidi="ar-SA"/>
                    </w:rPr>
                    <w:t>03</w:t>
                  </w:r>
                </w:p>
              </w:tc>
              <w:tc>
                <w:tcPr>
                  <w:tcW w:w="642" w:type="dxa"/>
                  <w:vAlign w:val="center"/>
                </w:tcPr>
                <w:p w14:paraId="5DEBE190">
                  <w:pPr>
                    <w:spacing w:line="240" w:lineRule="auto"/>
                    <w:jc w:val="center"/>
                    <w:rPr>
                      <w:rFonts w:hint="default" w:eastAsia="宋体"/>
                      <w:color w:val="auto"/>
                      <w:sz w:val="18"/>
                      <w:szCs w:val="18"/>
                      <w:lang w:val="en-US" w:eastAsia="zh-CN"/>
                    </w:rPr>
                  </w:pPr>
                  <w:r>
                    <w:rPr>
                      <w:rFonts w:hint="eastAsia" w:cs="Times New Roman"/>
                      <w:color w:val="auto"/>
                      <w:sz w:val="18"/>
                      <w:szCs w:val="18"/>
                      <w:highlight w:val="none"/>
                      <w:lang w:val="en-US" w:eastAsia="zh-CN"/>
                    </w:rPr>
                    <w:t>1200</w:t>
                  </w:r>
                </w:p>
              </w:tc>
              <w:tc>
                <w:tcPr>
                  <w:tcW w:w="849" w:type="dxa"/>
                  <w:vAlign w:val="center"/>
                </w:tcPr>
                <w:p w14:paraId="69AFC66C">
                  <w:pPr>
                    <w:spacing w:line="240" w:lineRule="exact"/>
                    <w:jc w:val="center"/>
                    <w:rPr>
                      <w:color w:val="auto"/>
                      <w:sz w:val="18"/>
                      <w:szCs w:val="18"/>
                    </w:rPr>
                  </w:pPr>
                  <w:r>
                    <w:rPr>
                      <w:rFonts w:hint="default" w:ascii="Times New Roman" w:hAnsi="Times New Roman" w:eastAsia="宋体" w:cs="Times New Roman"/>
                      <w:color w:val="auto"/>
                      <w:sz w:val="18"/>
                      <w:szCs w:val="18"/>
                      <w:highlight w:val="none"/>
                    </w:rPr>
                    <w:t>10 mg/m</w:t>
                  </w:r>
                  <w:r>
                    <w:rPr>
                      <w:rFonts w:hint="default" w:ascii="Times New Roman" w:hAnsi="Times New Roman" w:eastAsia="宋体" w:cs="Times New Roman"/>
                      <w:color w:val="auto"/>
                      <w:sz w:val="18"/>
                      <w:szCs w:val="18"/>
                      <w:highlight w:val="none"/>
                      <w:vertAlign w:val="superscript"/>
                    </w:rPr>
                    <w:t>3</w:t>
                  </w:r>
                </w:p>
              </w:tc>
            </w:tr>
            <w:tr w14:paraId="0821F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55" w:type="dxa"/>
                  <w:vAlign w:val="center"/>
                </w:tcPr>
                <w:p w14:paraId="0FD19DE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color w:val="auto"/>
                      <w:sz w:val="18"/>
                      <w:szCs w:val="18"/>
                      <w:lang w:val="en-US" w:eastAsia="zh-CN"/>
                    </w:rPr>
                  </w:pPr>
                  <w:r>
                    <w:rPr>
                      <w:rFonts w:hint="eastAsia"/>
                      <w:color w:val="auto"/>
                      <w:sz w:val="18"/>
                      <w:szCs w:val="18"/>
                      <w:lang w:val="en-US" w:eastAsia="zh-CN"/>
                    </w:rPr>
                    <w:t>2</w:t>
                  </w:r>
                </w:p>
              </w:tc>
              <w:tc>
                <w:tcPr>
                  <w:tcW w:w="575" w:type="dxa"/>
                  <w:vAlign w:val="center"/>
                </w:tcPr>
                <w:p w14:paraId="35D8994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color w:val="auto"/>
                      <w:sz w:val="18"/>
                      <w:szCs w:val="18"/>
                      <w:lang w:eastAsia="zh-CN"/>
                    </w:rPr>
                  </w:pPr>
                  <w:r>
                    <w:rPr>
                      <w:rFonts w:hint="eastAsia"/>
                      <w:color w:val="auto"/>
                      <w:sz w:val="18"/>
                      <w:szCs w:val="18"/>
                      <w:lang w:eastAsia="zh-CN"/>
                    </w:rPr>
                    <w:t>全天</w:t>
                  </w:r>
                </w:p>
              </w:tc>
              <w:tc>
                <w:tcPr>
                  <w:tcW w:w="672" w:type="dxa"/>
                  <w:vAlign w:val="center"/>
                </w:tcPr>
                <w:p w14:paraId="0FBD26C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color w:val="auto"/>
                      <w:sz w:val="18"/>
                      <w:szCs w:val="18"/>
                      <w:lang w:val="en-US" w:eastAsia="zh-CN"/>
                    </w:rPr>
                  </w:pPr>
                  <w:r>
                    <w:rPr>
                      <w:rFonts w:hint="eastAsia"/>
                      <w:color w:val="auto"/>
                      <w:sz w:val="18"/>
                      <w:szCs w:val="18"/>
                    </w:rPr>
                    <w:t>DA00</w:t>
                  </w:r>
                  <w:r>
                    <w:rPr>
                      <w:rFonts w:hint="eastAsia"/>
                      <w:color w:val="auto"/>
                      <w:sz w:val="18"/>
                      <w:szCs w:val="18"/>
                      <w:lang w:val="en-US" w:eastAsia="zh-CN"/>
                    </w:rPr>
                    <w:t>2</w:t>
                  </w:r>
                </w:p>
              </w:tc>
              <w:tc>
                <w:tcPr>
                  <w:tcW w:w="961" w:type="dxa"/>
                  <w:shd w:val="clear" w:color="auto" w:fill="auto"/>
                  <w:vAlign w:val="center"/>
                </w:tcPr>
                <w:p w14:paraId="5B282B3A">
                  <w:pPr>
                    <w:spacing w:line="240" w:lineRule="exact"/>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弹性磨块生产线</w:t>
                  </w:r>
                  <w:r>
                    <w:rPr>
                      <w:rFonts w:hint="default" w:cs="Times New Roman"/>
                      <w:bCs/>
                      <w:color w:val="auto"/>
                      <w:sz w:val="18"/>
                      <w:szCs w:val="18"/>
                      <w:highlight w:val="none"/>
                      <w:lang w:val="en-US" w:eastAsia="zh-CN"/>
                    </w:rPr>
                    <w:t>配料、筛分、混料</w:t>
                  </w:r>
                  <w:r>
                    <w:rPr>
                      <w:rFonts w:hint="eastAsia"/>
                      <w:color w:val="auto"/>
                      <w:sz w:val="18"/>
                      <w:szCs w:val="18"/>
                    </w:rPr>
                    <w:t>排放口</w:t>
                  </w:r>
                </w:p>
              </w:tc>
              <w:tc>
                <w:tcPr>
                  <w:tcW w:w="917" w:type="dxa"/>
                  <w:vAlign w:val="center"/>
                </w:tcPr>
                <w:p w14:paraId="1DDC45D2">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r>
                    <w:rPr>
                      <w:color w:val="auto"/>
                      <w:sz w:val="18"/>
                      <w:szCs w:val="18"/>
                    </w:rPr>
                    <w:t>一般排放口</w:t>
                  </w:r>
                </w:p>
              </w:tc>
              <w:tc>
                <w:tcPr>
                  <w:tcW w:w="814" w:type="dxa"/>
                  <w:vAlign w:val="center"/>
                </w:tcPr>
                <w:p w14:paraId="38A8E80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color w:val="auto"/>
                      <w:sz w:val="18"/>
                      <w:szCs w:val="18"/>
                    </w:rPr>
                  </w:pPr>
                  <w:r>
                    <w:rPr>
                      <w:rFonts w:hint="eastAsia"/>
                      <w:color w:val="auto"/>
                      <w:sz w:val="18"/>
                      <w:szCs w:val="18"/>
                    </w:rPr>
                    <w:t>颗粒物</w:t>
                  </w:r>
                </w:p>
              </w:tc>
              <w:tc>
                <w:tcPr>
                  <w:tcW w:w="1243" w:type="dxa"/>
                  <w:vAlign w:val="center"/>
                </w:tcPr>
                <w:p w14:paraId="567A0547">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color w:val="auto"/>
                      <w:sz w:val="18"/>
                      <w:szCs w:val="18"/>
                      <w:highlight w:val="none"/>
                    </w:rPr>
                  </w:pPr>
                  <w:r>
                    <w:rPr>
                      <w:rFonts w:hint="eastAsia"/>
                      <w:color w:val="auto"/>
                      <w:sz w:val="18"/>
                      <w:szCs w:val="18"/>
                      <w:highlight w:val="none"/>
                    </w:rPr>
                    <w:t>117.967690</w:t>
                  </w:r>
                  <w:r>
                    <w:rPr>
                      <w:color w:val="auto"/>
                      <w:sz w:val="18"/>
                      <w:szCs w:val="18"/>
                      <w:highlight w:val="none"/>
                    </w:rPr>
                    <w:t>°</w:t>
                  </w:r>
                </w:p>
                <w:p w14:paraId="389B3E4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highlight w:val="none"/>
                    </w:rPr>
                  </w:pPr>
                  <w:r>
                    <w:rPr>
                      <w:rFonts w:hint="eastAsia"/>
                      <w:color w:val="auto"/>
                      <w:sz w:val="18"/>
                      <w:szCs w:val="18"/>
                      <w:highlight w:val="none"/>
                    </w:rPr>
                    <w:t>36.59433</w:t>
                  </w:r>
                  <w:r>
                    <w:rPr>
                      <w:rFonts w:hint="eastAsia"/>
                      <w:color w:val="auto"/>
                      <w:sz w:val="18"/>
                      <w:szCs w:val="18"/>
                      <w:highlight w:val="none"/>
                      <w:lang w:val="en-US" w:eastAsia="zh-CN"/>
                    </w:rPr>
                    <w:t>8</w:t>
                  </w:r>
                  <w:r>
                    <w:rPr>
                      <w:color w:val="auto"/>
                      <w:sz w:val="18"/>
                      <w:szCs w:val="18"/>
                      <w:highlight w:val="none"/>
                    </w:rPr>
                    <w:t>°</w:t>
                  </w:r>
                </w:p>
              </w:tc>
              <w:tc>
                <w:tcPr>
                  <w:tcW w:w="564" w:type="dxa"/>
                  <w:vAlign w:val="center"/>
                </w:tcPr>
                <w:p w14:paraId="06D707D9">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color w:val="auto"/>
                      <w:sz w:val="18"/>
                      <w:szCs w:val="18"/>
                    </w:rPr>
                  </w:pPr>
                  <w:r>
                    <w:rPr>
                      <w:color w:val="auto"/>
                      <w:sz w:val="18"/>
                      <w:szCs w:val="18"/>
                    </w:rPr>
                    <w:t>15</w:t>
                  </w:r>
                </w:p>
              </w:tc>
              <w:tc>
                <w:tcPr>
                  <w:tcW w:w="692" w:type="dxa"/>
                  <w:vAlign w:val="center"/>
                </w:tcPr>
                <w:p w14:paraId="12DE8DE3">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color w:val="auto"/>
                      <w:sz w:val="18"/>
                      <w:szCs w:val="18"/>
                    </w:rPr>
                  </w:pPr>
                  <w:r>
                    <w:rPr>
                      <w:color w:val="auto"/>
                      <w:sz w:val="18"/>
                      <w:szCs w:val="18"/>
                    </w:rPr>
                    <w:t>0.</w:t>
                  </w:r>
                  <w:r>
                    <w:rPr>
                      <w:rStyle w:val="97"/>
                      <w:rFonts w:hint="eastAsia"/>
                      <w:color w:val="auto"/>
                      <w:kern w:val="0"/>
                      <w:sz w:val="18"/>
                      <w:szCs w:val="18"/>
                      <w:lang w:val="en-US" w:eastAsia="zh-CN"/>
                    </w:rPr>
                    <w:t>3</w:t>
                  </w:r>
                </w:p>
              </w:tc>
              <w:tc>
                <w:tcPr>
                  <w:tcW w:w="567" w:type="dxa"/>
                  <w:vAlign w:val="center"/>
                </w:tcPr>
                <w:p w14:paraId="09B77134">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color w:val="auto"/>
                      <w:sz w:val="18"/>
                      <w:szCs w:val="18"/>
                    </w:rPr>
                  </w:pPr>
                  <w:r>
                    <w:rPr>
                      <w:rFonts w:hint="eastAsia"/>
                      <w:color w:val="auto"/>
                      <w:sz w:val="18"/>
                      <w:szCs w:val="18"/>
                    </w:rPr>
                    <w:t>25</w:t>
                  </w:r>
                </w:p>
              </w:tc>
              <w:tc>
                <w:tcPr>
                  <w:tcW w:w="839" w:type="dxa"/>
                  <w:vAlign w:val="center"/>
                </w:tcPr>
                <w:p w14:paraId="6861B4E1">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color w:val="auto"/>
                      <w:sz w:val="18"/>
                      <w:szCs w:val="18"/>
                      <w:lang w:val="en-US" w:eastAsia="zh-CN"/>
                    </w:rPr>
                  </w:pPr>
                  <w:r>
                    <w:rPr>
                      <w:rFonts w:hint="eastAsia"/>
                      <w:color w:val="auto"/>
                      <w:sz w:val="18"/>
                      <w:szCs w:val="18"/>
                      <w:lang w:val="en-US" w:eastAsia="zh-CN"/>
                    </w:rPr>
                    <w:t>2500</w:t>
                  </w:r>
                </w:p>
              </w:tc>
              <w:tc>
                <w:tcPr>
                  <w:tcW w:w="828" w:type="dxa"/>
                  <w:vAlign w:val="center"/>
                </w:tcPr>
                <w:p w14:paraId="7A7C6052">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SA"/>
                    </w:rPr>
                    <w:t>0.003</w:t>
                  </w:r>
                </w:p>
              </w:tc>
              <w:tc>
                <w:tcPr>
                  <w:tcW w:w="980" w:type="dxa"/>
                  <w:vAlign w:val="center"/>
                </w:tcPr>
                <w:p w14:paraId="1D2D575F">
                  <w:pPr>
                    <w:keepNext w:val="0"/>
                    <w:keepLines w:val="0"/>
                    <w:widowControl/>
                    <w:suppressLineNumbers w:val="0"/>
                    <w:jc w:val="center"/>
                    <w:textAlignment w:val="auto"/>
                    <w:rPr>
                      <w:rFonts w:hint="eastAsia"/>
                      <w:color w:val="auto"/>
                      <w:sz w:val="18"/>
                      <w:szCs w:val="18"/>
                      <w:lang w:val="en-US" w:eastAsia="zh-CN"/>
                    </w:rPr>
                  </w:pPr>
                  <w:r>
                    <w:rPr>
                      <w:rFonts w:hint="eastAsia" w:ascii="Times New Roman" w:hAnsi="Times New Roman" w:eastAsia="宋体" w:cs="Times New Roman"/>
                      <w:i w:val="0"/>
                      <w:iCs w:val="0"/>
                      <w:color w:val="auto"/>
                      <w:kern w:val="2"/>
                      <w:sz w:val="18"/>
                      <w:szCs w:val="18"/>
                      <w:highlight w:val="none"/>
                      <w:u w:val="none"/>
                      <w:lang w:val="en-US" w:eastAsia="zh-CN" w:bidi="ar-SA"/>
                    </w:rPr>
                    <w:t>1.0</w:t>
                  </w:r>
                </w:p>
              </w:tc>
              <w:tc>
                <w:tcPr>
                  <w:tcW w:w="883" w:type="dxa"/>
                  <w:vAlign w:val="center"/>
                </w:tcPr>
                <w:p w14:paraId="37B032CA">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SA"/>
                    </w:rPr>
                    <w:t>0.0025</w:t>
                  </w:r>
                </w:p>
              </w:tc>
              <w:tc>
                <w:tcPr>
                  <w:tcW w:w="642" w:type="dxa"/>
                  <w:vAlign w:val="center"/>
                </w:tcPr>
                <w:p w14:paraId="33412E09">
                  <w:pPr>
                    <w:spacing w:line="240" w:lineRule="auto"/>
                    <w:jc w:val="center"/>
                    <w:rPr>
                      <w:rFonts w:hint="eastAsia"/>
                      <w:color w:val="auto"/>
                      <w:sz w:val="18"/>
                      <w:szCs w:val="18"/>
                      <w:lang w:val="en-US" w:eastAsia="zh-CN"/>
                    </w:rPr>
                  </w:pPr>
                  <w:r>
                    <w:rPr>
                      <w:rFonts w:hint="eastAsia" w:cs="Times New Roman"/>
                      <w:color w:val="auto"/>
                      <w:sz w:val="18"/>
                      <w:szCs w:val="18"/>
                      <w:highlight w:val="none"/>
                      <w:lang w:val="en-US" w:eastAsia="zh-CN"/>
                    </w:rPr>
                    <w:t>1200</w:t>
                  </w:r>
                </w:p>
              </w:tc>
              <w:tc>
                <w:tcPr>
                  <w:tcW w:w="849" w:type="dxa"/>
                  <w:vAlign w:val="center"/>
                </w:tcPr>
                <w:p w14:paraId="338E4738">
                  <w:pPr>
                    <w:spacing w:line="240" w:lineRule="exact"/>
                    <w:jc w:val="center"/>
                    <w:rPr>
                      <w:rFonts w:hint="eastAsia"/>
                      <w:color w:val="auto"/>
                      <w:sz w:val="18"/>
                      <w:szCs w:val="18"/>
                    </w:rPr>
                  </w:pPr>
                  <w:r>
                    <w:rPr>
                      <w:rFonts w:hint="default" w:ascii="Times New Roman" w:hAnsi="Times New Roman" w:eastAsia="宋体" w:cs="Times New Roman"/>
                      <w:color w:val="auto"/>
                      <w:sz w:val="18"/>
                      <w:szCs w:val="18"/>
                      <w:highlight w:val="none"/>
                    </w:rPr>
                    <w:t>10 mg/m</w:t>
                  </w:r>
                  <w:r>
                    <w:rPr>
                      <w:rFonts w:hint="default" w:ascii="Times New Roman" w:hAnsi="Times New Roman" w:eastAsia="宋体" w:cs="Times New Roman"/>
                      <w:color w:val="auto"/>
                      <w:sz w:val="18"/>
                      <w:szCs w:val="18"/>
                      <w:highlight w:val="none"/>
                      <w:vertAlign w:val="superscript"/>
                    </w:rPr>
                    <w:t>3</w:t>
                  </w:r>
                </w:p>
              </w:tc>
            </w:tr>
            <w:tr w14:paraId="02EC2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55" w:type="dxa"/>
                  <w:vMerge w:val="restart"/>
                  <w:vAlign w:val="center"/>
                </w:tcPr>
                <w:p w14:paraId="7108AC0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color w:val="auto"/>
                      <w:sz w:val="18"/>
                      <w:szCs w:val="18"/>
                      <w:lang w:val="en-US" w:eastAsia="zh-CN"/>
                    </w:rPr>
                  </w:pPr>
                  <w:r>
                    <w:rPr>
                      <w:rFonts w:hint="eastAsia"/>
                      <w:color w:val="auto"/>
                      <w:sz w:val="18"/>
                      <w:szCs w:val="18"/>
                      <w:lang w:val="en-US" w:eastAsia="zh-CN"/>
                    </w:rPr>
                    <w:t>3</w:t>
                  </w:r>
                </w:p>
              </w:tc>
              <w:tc>
                <w:tcPr>
                  <w:tcW w:w="575" w:type="dxa"/>
                  <w:vMerge w:val="restart"/>
                  <w:vAlign w:val="center"/>
                </w:tcPr>
                <w:p w14:paraId="2580042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color w:val="auto"/>
                      <w:sz w:val="18"/>
                      <w:szCs w:val="18"/>
                      <w:lang w:eastAsia="zh-CN"/>
                    </w:rPr>
                  </w:pPr>
                  <w:r>
                    <w:rPr>
                      <w:rFonts w:hint="eastAsia"/>
                      <w:color w:val="auto"/>
                      <w:sz w:val="18"/>
                      <w:szCs w:val="18"/>
                      <w:lang w:eastAsia="zh-CN"/>
                    </w:rPr>
                    <w:t>全天</w:t>
                  </w:r>
                </w:p>
              </w:tc>
              <w:tc>
                <w:tcPr>
                  <w:tcW w:w="672" w:type="dxa"/>
                  <w:vMerge w:val="restart"/>
                  <w:vAlign w:val="center"/>
                </w:tcPr>
                <w:p w14:paraId="31FBCAF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color w:val="auto"/>
                      <w:sz w:val="18"/>
                      <w:szCs w:val="18"/>
                      <w:lang w:val="en-US" w:eastAsia="zh-CN"/>
                    </w:rPr>
                  </w:pPr>
                  <w:r>
                    <w:rPr>
                      <w:rFonts w:hint="eastAsia"/>
                      <w:color w:val="auto"/>
                      <w:sz w:val="18"/>
                      <w:szCs w:val="18"/>
                    </w:rPr>
                    <w:t>DA00</w:t>
                  </w:r>
                  <w:r>
                    <w:rPr>
                      <w:rFonts w:hint="eastAsia"/>
                      <w:color w:val="auto"/>
                      <w:sz w:val="18"/>
                      <w:szCs w:val="18"/>
                      <w:lang w:val="en-US" w:eastAsia="zh-CN"/>
                    </w:rPr>
                    <w:t>3</w:t>
                  </w:r>
                </w:p>
              </w:tc>
              <w:tc>
                <w:tcPr>
                  <w:tcW w:w="961" w:type="dxa"/>
                  <w:vMerge w:val="restart"/>
                  <w:shd w:val="clear" w:color="auto" w:fill="auto"/>
                  <w:vAlign w:val="center"/>
                </w:tcPr>
                <w:p w14:paraId="5C7BA8ED">
                  <w:pPr>
                    <w:spacing w:line="240" w:lineRule="exact"/>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弹性磨块生产线热压、烘干、粘结</w:t>
                  </w:r>
                  <w:r>
                    <w:rPr>
                      <w:rFonts w:hint="eastAsia"/>
                      <w:color w:val="auto"/>
                      <w:sz w:val="18"/>
                      <w:szCs w:val="18"/>
                    </w:rPr>
                    <w:t>排放口</w:t>
                  </w:r>
                </w:p>
              </w:tc>
              <w:tc>
                <w:tcPr>
                  <w:tcW w:w="917" w:type="dxa"/>
                  <w:vMerge w:val="restart"/>
                  <w:vAlign w:val="center"/>
                </w:tcPr>
                <w:p w14:paraId="76BCA72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r>
                    <w:rPr>
                      <w:color w:val="auto"/>
                      <w:sz w:val="18"/>
                      <w:szCs w:val="18"/>
                    </w:rPr>
                    <w:t>一般排放口</w:t>
                  </w:r>
                </w:p>
              </w:tc>
              <w:tc>
                <w:tcPr>
                  <w:tcW w:w="814" w:type="dxa"/>
                  <w:vAlign w:val="center"/>
                </w:tcPr>
                <w:p w14:paraId="1A0C07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18"/>
                      <w:szCs w:val="18"/>
                    </w:rPr>
                  </w:pPr>
                  <w:r>
                    <w:rPr>
                      <w:rFonts w:hint="eastAsia" w:ascii="Times New Roman" w:hAnsi="Times New Roman" w:cs="Times New Roman"/>
                      <w:bCs/>
                      <w:color w:val="auto"/>
                      <w:sz w:val="18"/>
                      <w:szCs w:val="18"/>
                      <w:highlight w:val="none"/>
                      <w:vertAlign w:val="baseline"/>
                      <w:lang w:val="en-US" w:eastAsia="zh-CN"/>
                    </w:rPr>
                    <w:t>VOCs</w:t>
                  </w:r>
                </w:p>
              </w:tc>
              <w:tc>
                <w:tcPr>
                  <w:tcW w:w="1243" w:type="dxa"/>
                  <w:vMerge w:val="restart"/>
                  <w:vAlign w:val="center"/>
                </w:tcPr>
                <w:p w14:paraId="29EA6FEF">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color w:val="auto"/>
                      <w:sz w:val="18"/>
                      <w:szCs w:val="18"/>
                      <w:highlight w:val="none"/>
                    </w:rPr>
                  </w:pPr>
                  <w:r>
                    <w:rPr>
                      <w:rFonts w:hint="eastAsia"/>
                      <w:color w:val="auto"/>
                      <w:sz w:val="18"/>
                      <w:szCs w:val="18"/>
                      <w:highlight w:val="none"/>
                    </w:rPr>
                    <w:t>117.968056</w:t>
                  </w:r>
                  <w:r>
                    <w:rPr>
                      <w:color w:val="auto"/>
                      <w:sz w:val="18"/>
                      <w:szCs w:val="18"/>
                      <w:highlight w:val="none"/>
                    </w:rPr>
                    <w:t>°</w:t>
                  </w:r>
                </w:p>
                <w:p w14:paraId="2F943C68">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highlight w:val="none"/>
                    </w:rPr>
                  </w:pPr>
                  <w:r>
                    <w:rPr>
                      <w:rFonts w:hint="eastAsia"/>
                      <w:color w:val="auto"/>
                      <w:sz w:val="18"/>
                      <w:szCs w:val="18"/>
                      <w:highlight w:val="none"/>
                    </w:rPr>
                    <w:t>36.594429</w:t>
                  </w:r>
                  <w:r>
                    <w:rPr>
                      <w:color w:val="auto"/>
                      <w:sz w:val="18"/>
                      <w:szCs w:val="18"/>
                      <w:highlight w:val="none"/>
                    </w:rPr>
                    <w:t>°</w:t>
                  </w:r>
                </w:p>
              </w:tc>
              <w:tc>
                <w:tcPr>
                  <w:tcW w:w="564" w:type="dxa"/>
                  <w:vMerge w:val="restart"/>
                  <w:shd w:val="clear" w:color="auto" w:fill="auto"/>
                  <w:vAlign w:val="center"/>
                </w:tcPr>
                <w:p w14:paraId="5E45E8AA">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ascii="Times New Roman" w:hAnsi="Times New Roman" w:eastAsia="宋体" w:cs="Times New Roman"/>
                      <w:color w:val="auto"/>
                      <w:kern w:val="2"/>
                      <w:sz w:val="18"/>
                      <w:szCs w:val="18"/>
                      <w:lang w:val="en-US" w:eastAsia="zh-CN" w:bidi="ar-SA"/>
                    </w:rPr>
                  </w:pPr>
                  <w:r>
                    <w:rPr>
                      <w:color w:val="auto"/>
                      <w:sz w:val="18"/>
                      <w:szCs w:val="18"/>
                    </w:rPr>
                    <w:t>15</w:t>
                  </w:r>
                </w:p>
              </w:tc>
              <w:tc>
                <w:tcPr>
                  <w:tcW w:w="692" w:type="dxa"/>
                  <w:vMerge w:val="restart"/>
                  <w:shd w:val="clear" w:color="auto" w:fill="auto"/>
                  <w:vAlign w:val="center"/>
                </w:tcPr>
                <w:p w14:paraId="24944990">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ascii="Times New Roman" w:hAnsi="Times New Roman" w:eastAsia="宋体" w:cs="Times New Roman"/>
                      <w:color w:val="auto"/>
                      <w:kern w:val="2"/>
                      <w:sz w:val="18"/>
                      <w:szCs w:val="18"/>
                      <w:lang w:val="en-US" w:eastAsia="zh-CN" w:bidi="ar-SA"/>
                    </w:rPr>
                  </w:pPr>
                  <w:r>
                    <w:rPr>
                      <w:color w:val="auto"/>
                      <w:sz w:val="18"/>
                      <w:szCs w:val="18"/>
                    </w:rPr>
                    <w:t>0.</w:t>
                  </w:r>
                  <w:r>
                    <w:rPr>
                      <w:rStyle w:val="97"/>
                      <w:rFonts w:hint="eastAsia"/>
                      <w:color w:val="auto"/>
                      <w:kern w:val="0"/>
                      <w:sz w:val="18"/>
                      <w:szCs w:val="18"/>
                      <w:lang w:val="en-US" w:eastAsia="zh-CN"/>
                    </w:rPr>
                    <w:t>3</w:t>
                  </w:r>
                </w:p>
              </w:tc>
              <w:tc>
                <w:tcPr>
                  <w:tcW w:w="567" w:type="dxa"/>
                  <w:vMerge w:val="restart"/>
                  <w:shd w:val="clear" w:color="auto" w:fill="auto"/>
                  <w:vAlign w:val="center"/>
                </w:tcPr>
                <w:p w14:paraId="30D44840">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25</w:t>
                  </w:r>
                </w:p>
              </w:tc>
              <w:tc>
                <w:tcPr>
                  <w:tcW w:w="839" w:type="dxa"/>
                  <w:vMerge w:val="restart"/>
                  <w:vAlign w:val="center"/>
                </w:tcPr>
                <w:p w14:paraId="2E59BC6E">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color w:val="auto"/>
                      <w:sz w:val="18"/>
                      <w:szCs w:val="18"/>
                      <w:lang w:val="en-US" w:eastAsia="zh-CN"/>
                    </w:rPr>
                  </w:pPr>
                  <w:r>
                    <w:rPr>
                      <w:rFonts w:hint="eastAsia"/>
                      <w:color w:val="auto"/>
                      <w:sz w:val="18"/>
                      <w:szCs w:val="18"/>
                      <w:lang w:val="en-US" w:eastAsia="zh-CN"/>
                    </w:rPr>
                    <w:t>4500</w:t>
                  </w:r>
                </w:p>
              </w:tc>
              <w:tc>
                <w:tcPr>
                  <w:tcW w:w="828" w:type="dxa"/>
                  <w:vAlign w:val="center"/>
                </w:tcPr>
                <w:p w14:paraId="26487550">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SA"/>
                    </w:rPr>
                    <w:t>0.0</w:t>
                  </w:r>
                  <w:r>
                    <w:rPr>
                      <w:rFonts w:hint="eastAsia" w:cs="Times New Roman"/>
                      <w:i w:val="0"/>
                      <w:iCs w:val="0"/>
                      <w:color w:val="auto"/>
                      <w:kern w:val="2"/>
                      <w:sz w:val="18"/>
                      <w:szCs w:val="18"/>
                      <w:highlight w:val="none"/>
                      <w:u w:val="none"/>
                      <w:lang w:val="en-US" w:eastAsia="zh-CN" w:bidi="ar-SA"/>
                    </w:rPr>
                    <w:t>17</w:t>
                  </w:r>
                </w:p>
              </w:tc>
              <w:tc>
                <w:tcPr>
                  <w:tcW w:w="980" w:type="dxa"/>
                  <w:vAlign w:val="center"/>
                </w:tcPr>
                <w:p w14:paraId="4AA1CB08">
                  <w:pPr>
                    <w:keepNext w:val="0"/>
                    <w:keepLines w:val="0"/>
                    <w:widowControl/>
                    <w:suppressLineNumbers w:val="0"/>
                    <w:jc w:val="center"/>
                    <w:textAlignment w:val="auto"/>
                    <w:rPr>
                      <w:rFonts w:hint="eastAsia"/>
                      <w:color w:val="auto"/>
                      <w:sz w:val="18"/>
                      <w:szCs w:val="18"/>
                      <w:lang w:val="en-US" w:eastAsia="zh-CN"/>
                    </w:rPr>
                  </w:pPr>
                  <w:r>
                    <w:rPr>
                      <w:rFonts w:hint="eastAsia" w:ascii="Times New Roman" w:hAnsi="Times New Roman" w:eastAsia="宋体" w:cs="Times New Roman"/>
                      <w:i w:val="0"/>
                      <w:iCs w:val="0"/>
                      <w:color w:val="auto"/>
                      <w:kern w:val="2"/>
                      <w:sz w:val="18"/>
                      <w:szCs w:val="18"/>
                      <w:highlight w:val="none"/>
                      <w:u w:val="none"/>
                      <w:lang w:val="en-US" w:eastAsia="zh-CN" w:bidi="ar-SA"/>
                    </w:rPr>
                    <w:t>1.</w:t>
                  </w:r>
                  <w:r>
                    <w:rPr>
                      <w:rFonts w:hint="eastAsia" w:cs="Times New Roman"/>
                      <w:i w:val="0"/>
                      <w:iCs w:val="0"/>
                      <w:color w:val="auto"/>
                      <w:kern w:val="2"/>
                      <w:sz w:val="18"/>
                      <w:szCs w:val="18"/>
                      <w:highlight w:val="none"/>
                      <w:u w:val="none"/>
                      <w:lang w:val="en-US" w:eastAsia="zh-CN" w:bidi="ar-SA"/>
                    </w:rPr>
                    <w:t>6</w:t>
                  </w:r>
                </w:p>
              </w:tc>
              <w:tc>
                <w:tcPr>
                  <w:tcW w:w="883" w:type="dxa"/>
                  <w:vAlign w:val="center"/>
                </w:tcPr>
                <w:p w14:paraId="4CD3E51A">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SA"/>
                    </w:rPr>
                    <w:t>0.00</w:t>
                  </w:r>
                  <w:r>
                    <w:rPr>
                      <w:rFonts w:hint="eastAsia" w:cs="Times New Roman"/>
                      <w:i w:val="0"/>
                      <w:iCs w:val="0"/>
                      <w:color w:val="auto"/>
                      <w:kern w:val="2"/>
                      <w:sz w:val="18"/>
                      <w:szCs w:val="18"/>
                      <w:highlight w:val="none"/>
                      <w:u w:val="none"/>
                      <w:lang w:val="en-US" w:eastAsia="zh-CN" w:bidi="ar-SA"/>
                    </w:rPr>
                    <w:t>7</w:t>
                  </w:r>
                </w:p>
              </w:tc>
              <w:tc>
                <w:tcPr>
                  <w:tcW w:w="642" w:type="dxa"/>
                  <w:vAlign w:val="center"/>
                </w:tcPr>
                <w:p w14:paraId="79426E00">
                  <w:pPr>
                    <w:spacing w:line="240" w:lineRule="exact"/>
                    <w:jc w:val="center"/>
                    <w:rPr>
                      <w:rFonts w:hint="eastAsia"/>
                      <w:color w:val="auto"/>
                      <w:sz w:val="18"/>
                      <w:szCs w:val="18"/>
                      <w:lang w:val="en-US" w:eastAsia="zh-CN"/>
                    </w:rPr>
                  </w:pPr>
                  <w:r>
                    <w:rPr>
                      <w:rFonts w:hint="eastAsia"/>
                      <w:color w:val="auto"/>
                      <w:sz w:val="18"/>
                      <w:szCs w:val="18"/>
                      <w:lang w:val="en-US" w:eastAsia="zh-CN"/>
                    </w:rPr>
                    <w:t>2400</w:t>
                  </w:r>
                </w:p>
              </w:tc>
              <w:tc>
                <w:tcPr>
                  <w:tcW w:w="849" w:type="dxa"/>
                  <w:vAlign w:val="center"/>
                </w:tcPr>
                <w:p w14:paraId="52B0ABDF">
                  <w:pPr>
                    <w:spacing w:line="240" w:lineRule="exact"/>
                    <w:jc w:val="center"/>
                    <w:rPr>
                      <w:rFonts w:hint="eastAsia"/>
                      <w:color w:val="auto"/>
                      <w:sz w:val="18"/>
                      <w:szCs w:val="18"/>
                    </w:rPr>
                  </w:pPr>
                  <w:r>
                    <w:rPr>
                      <w:rFonts w:hint="eastAsia" w:cs="Times New Roman"/>
                      <w:color w:val="auto"/>
                      <w:sz w:val="18"/>
                      <w:szCs w:val="18"/>
                      <w:highlight w:val="none"/>
                      <w:lang w:val="en-US" w:eastAsia="zh-CN"/>
                    </w:rPr>
                    <w:t>20mg</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vertAlign w:val="baseline"/>
                    </w:rPr>
                    <w:t xml:space="preserve">  </w:t>
                  </w:r>
                  <w:r>
                    <w:rPr>
                      <w:rFonts w:hint="eastAsia" w:cs="Times New Roman"/>
                      <w:color w:val="auto"/>
                      <w:sz w:val="18"/>
                      <w:szCs w:val="18"/>
                      <w:highlight w:val="none"/>
                      <w:lang w:val="en-US" w:eastAsia="zh-CN"/>
                    </w:rPr>
                    <w:t>3.0k</w:t>
                  </w:r>
                  <w:r>
                    <w:rPr>
                      <w:rFonts w:hint="default" w:ascii="Times New Roman" w:hAnsi="Times New Roman" w:eastAsia="宋体" w:cs="Times New Roman"/>
                      <w:color w:val="auto"/>
                      <w:sz w:val="18"/>
                      <w:szCs w:val="18"/>
                      <w:highlight w:val="none"/>
                    </w:rPr>
                    <w:t>g/h</w:t>
                  </w:r>
                </w:p>
              </w:tc>
            </w:tr>
            <w:tr w14:paraId="02774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555" w:type="dxa"/>
                  <w:vMerge w:val="continue"/>
                  <w:vAlign w:val="center"/>
                </w:tcPr>
                <w:p w14:paraId="2B5D5B1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75" w:type="dxa"/>
                  <w:vMerge w:val="continue"/>
                  <w:vAlign w:val="center"/>
                </w:tcPr>
                <w:p w14:paraId="1452EF2B">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72" w:type="dxa"/>
                  <w:vMerge w:val="continue"/>
                  <w:vAlign w:val="center"/>
                </w:tcPr>
                <w:p w14:paraId="5C81E69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61" w:type="dxa"/>
                  <w:vMerge w:val="continue"/>
                  <w:shd w:val="clear" w:color="auto" w:fill="auto"/>
                  <w:vAlign w:val="center"/>
                </w:tcPr>
                <w:p w14:paraId="5C96B29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17" w:type="dxa"/>
                  <w:vMerge w:val="continue"/>
                  <w:vAlign w:val="center"/>
                </w:tcPr>
                <w:p w14:paraId="036A19B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14" w:type="dxa"/>
                  <w:vAlign w:val="center"/>
                </w:tcPr>
                <w:p w14:paraId="428547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18"/>
                      <w:szCs w:val="18"/>
                    </w:rPr>
                  </w:pPr>
                  <w:r>
                    <w:rPr>
                      <w:rFonts w:hint="eastAsia" w:ascii="Times New Roman" w:hAnsi="Times New Roman" w:cs="Times New Roman"/>
                      <w:bCs/>
                      <w:color w:val="auto"/>
                      <w:sz w:val="18"/>
                      <w:szCs w:val="18"/>
                      <w:highlight w:val="none"/>
                      <w:vertAlign w:val="baseline"/>
                      <w:lang w:val="en-US" w:eastAsia="zh-CN"/>
                    </w:rPr>
                    <w:t>甲醛</w:t>
                  </w:r>
                </w:p>
              </w:tc>
              <w:tc>
                <w:tcPr>
                  <w:tcW w:w="1243" w:type="dxa"/>
                  <w:vMerge w:val="continue"/>
                  <w:vAlign w:val="center"/>
                </w:tcPr>
                <w:p w14:paraId="44271CC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64" w:type="dxa"/>
                  <w:vMerge w:val="continue"/>
                  <w:shd w:val="clear" w:color="auto" w:fill="auto"/>
                  <w:vAlign w:val="center"/>
                </w:tcPr>
                <w:p w14:paraId="06D1CD3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92" w:type="dxa"/>
                  <w:vMerge w:val="continue"/>
                  <w:shd w:val="clear" w:color="auto" w:fill="auto"/>
                  <w:vAlign w:val="center"/>
                </w:tcPr>
                <w:p w14:paraId="6DF1AEA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67" w:type="dxa"/>
                  <w:vMerge w:val="continue"/>
                  <w:shd w:val="clear" w:color="auto" w:fill="auto"/>
                  <w:vAlign w:val="center"/>
                </w:tcPr>
                <w:p w14:paraId="0E26684C">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39" w:type="dxa"/>
                  <w:vMerge w:val="continue"/>
                  <w:vAlign w:val="center"/>
                </w:tcPr>
                <w:p w14:paraId="594B577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28" w:type="dxa"/>
                  <w:vAlign w:val="center"/>
                </w:tcPr>
                <w:p w14:paraId="67C4AF64">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SA"/>
                    </w:rPr>
                    <w:t>0.006</w:t>
                  </w:r>
                </w:p>
              </w:tc>
              <w:tc>
                <w:tcPr>
                  <w:tcW w:w="980" w:type="dxa"/>
                  <w:vAlign w:val="center"/>
                </w:tcPr>
                <w:p w14:paraId="7E7D7E87">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SA"/>
                    </w:rPr>
                    <w:t>0.6</w:t>
                  </w:r>
                </w:p>
              </w:tc>
              <w:tc>
                <w:tcPr>
                  <w:tcW w:w="883" w:type="dxa"/>
                  <w:vAlign w:val="center"/>
                </w:tcPr>
                <w:p w14:paraId="1F9D9689">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SA"/>
                    </w:rPr>
                    <w:t>0.003</w:t>
                  </w:r>
                </w:p>
              </w:tc>
              <w:tc>
                <w:tcPr>
                  <w:tcW w:w="642" w:type="dxa"/>
                  <w:vAlign w:val="center"/>
                </w:tcPr>
                <w:p w14:paraId="26BF61F0">
                  <w:pPr>
                    <w:spacing w:line="240" w:lineRule="exact"/>
                    <w:jc w:val="center"/>
                    <w:rPr>
                      <w:color w:val="auto"/>
                      <w:sz w:val="18"/>
                      <w:szCs w:val="18"/>
                    </w:rPr>
                  </w:pPr>
                  <w:r>
                    <w:rPr>
                      <w:rFonts w:hint="eastAsia"/>
                      <w:color w:val="auto"/>
                      <w:sz w:val="18"/>
                      <w:szCs w:val="18"/>
                      <w:lang w:val="en-US" w:eastAsia="zh-CN"/>
                    </w:rPr>
                    <w:t>2400</w:t>
                  </w:r>
                </w:p>
              </w:tc>
              <w:tc>
                <w:tcPr>
                  <w:tcW w:w="849" w:type="dxa"/>
                  <w:vAlign w:val="center"/>
                </w:tcPr>
                <w:p w14:paraId="6DA22DAA">
                  <w:pPr>
                    <w:spacing w:line="240" w:lineRule="exact"/>
                    <w:jc w:val="center"/>
                    <w:rPr>
                      <w:color w:val="auto"/>
                      <w:sz w:val="18"/>
                      <w:szCs w:val="18"/>
                    </w:rPr>
                  </w:pPr>
                  <w:r>
                    <w:rPr>
                      <w:rFonts w:hint="eastAsia" w:cs="Times New Roman"/>
                      <w:color w:val="auto"/>
                      <w:sz w:val="18"/>
                      <w:szCs w:val="18"/>
                      <w:highlight w:val="none"/>
                      <w:lang w:val="en-US" w:eastAsia="zh-CN"/>
                    </w:rPr>
                    <w:t>25mg</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vertAlign w:val="baseline"/>
                    </w:rPr>
                    <w:t xml:space="preserve">  </w:t>
                  </w:r>
                  <w:r>
                    <w:rPr>
                      <w:rFonts w:hint="eastAsia" w:ascii="Times New Roman" w:hAnsi="Times New Roman" w:eastAsia="宋体" w:cs="Times New Roman"/>
                      <w:color w:val="auto"/>
                      <w:sz w:val="18"/>
                      <w:szCs w:val="18"/>
                      <w:highlight w:val="none"/>
                      <w:vertAlign w:val="baseline"/>
                      <w:lang w:val="en-US" w:eastAsia="zh-CN"/>
                    </w:rPr>
                    <w:t>0.26</w:t>
                  </w:r>
                  <w:r>
                    <w:rPr>
                      <w:rFonts w:hint="eastAsia" w:cs="Times New Roman"/>
                      <w:color w:val="auto"/>
                      <w:sz w:val="18"/>
                      <w:szCs w:val="18"/>
                      <w:highlight w:val="none"/>
                      <w:lang w:val="en-US" w:eastAsia="zh-CN"/>
                    </w:rPr>
                    <w:t>k</w:t>
                  </w:r>
                  <w:r>
                    <w:rPr>
                      <w:rFonts w:hint="default" w:ascii="Times New Roman" w:hAnsi="Times New Roman" w:eastAsia="宋体" w:cs="Times New Roman"/>
                      <w:color w:val="auto"/>
                      <w:sz w:val="18"/>
                      <w:szCs w:val="18"/>
                      <w:highlight w:val="none"/>
                    </w:rPr>
                    <w:t>g/h</w:t>
                  </w:r>
                </w:p>
              </w:tc>
            </w:tr>
            <w:tr w14:paraId="3038B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55" w:type="dxa"/>
                  <w:vMerge w:val="continue"/>
                  <w:vAlign w:val="center"/>
                </w:tcPr>
                <w:p w14:paraId="644A2F0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75" w:type="dxa"/>
                  <w:vMerge w:val="continue"/>
                  <w:vAlign w:val="center"/>
                </w:tcPr>
                <w:p w14:paraId="7998C285">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72" w:type="dxa"/>
                  <w:vMerge w:val="continue"/>
                  <w:vAlign w:val="center"/>
                </w:tcPr>
                <w:p w14:paraId="4460478C">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61" w:type="dxa"/>
                  <w:vMerge w:val="continue"/>
                  <w:shd w:val="clear" w:color="auto" w:fill="auto"/>
                  <w:vAlign w:val="center"/>
                </w:tcPr>
                <w:p w14:paraId="3085635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17" w:type="dxa"/>
                  <w:vMerge w:val="continue"/>
                  <w:vAlign w:val="center"/>
                </w:tcPr>
                <w:p w14:paraId="4224E88C">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14" w:type="dxa"/>
                  <w:vAlign w:val="center"/>
                </w:tcPr>
                <w:p w14:paraId="7D9976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18"/>
                      <w:szCs w:val="18"/>
                    </w:rPr>
                  </w:pPr>
                  <w:r>
                    <w:rPr>
                      <w:rFonts w:hint="eastAsia" w:ascii="Times New Roman" w:hAnsi="Times New Roman" w:cs="Times New Roman"/>
                      <w:bCs/>
                      <w:color w:val="auto"/>
                      <w:sz w:val="18"/>
                      <w:szCs w:val="18"/>
                      <w:highlight w:val="none"/>
                      <w:vertAlign w:val="baseline"/>
                      <w:lang w:val="en-US" w:eastAsia="zh-CN"/>
                    </w:rPr>
                    <w:t>苯酚</w:t>
                  </w:r>
                </w:p>
              </w:tc>
              <w:tc>
                <w:tcPr>
                  <w:tcW w:w="1243" w:type="dxa"/>
                  <w:vMerge w:val="continue"/>
                  <w:vAlign w:val="center"/>
                </w:tcPr>
                <w:p w14:paraId="1574ECC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64" w:type="dxa"/>
                  <w:vMerge w:val="continue"/>
                  <w:shd w:val="clear" w:color="auto" w:fill="auto"/>
                  <w:vAlign w:val="center"/>
                </w:tcPr>
                <w:p w14:paraId="18C275F2">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92" w:type="dxa"/>
                  <w:vMerge w:val="continue"/>
                  <w:shd w:val="clear" w:color="auto" w:fill="auto"/>
                  <w:vAlign w:val="center"/>
                </w:tcPr>
                <w:p w14:paraId="2B4292AF">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67" w:type="dxa"/>
                  <w:vMerge w:val="continue"/>
                  <w:shd w:val="clear" w:color="auto" w:fill="auto"/>
                  <w:vAlign w:val="center"/>
                </w:tcPr>
                <w:p w14:paraId="1A5D354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39" w:type="dxa"/>
                  <w:vMerge w:val="continue"/>
                  <w:vAlign w:val="center"/>
                </w:tcPr>
                <w:p w14:paraId="407DE62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28" w:type="dxa"/>
                  <w:vAlign w:val="center"/>
                </w:tcPr>
                <w:p w14:paraId="6CA88884">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SA"/>
                    </w:rPr>
                    <w:t>0.008</w:t>
                  </w:r>
                </w:p>
              </w:tc>
              <w:tc>
                <w:tcPr>
                  <w:tcW w:w="980" w:type="dxa"/>
                  <w:vAlign w:val="center"/>
                </w:tcPr>
                <w:p w14:paraId="763FD9E1">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SA"/>
                    </w:rPr>
                    <w:t>0.7</w:t>
                  </w:r>
                </w:p>
              </w:tc>
              <w:tc>
                <w:tcPr>
                  <w:tcW w:w="883" w:type="dxa"/>
                  <w:vAlign w:val="center"/>
                </w:tcPr>
                <w:p w14:paraId="670FEEFC">
                  <w:pPr>
                    <w:keepNext w:val="0"/>
                    <w:keepLines w:val="0"/>
                    <w:widowControl/>
                    <w:suppressLineNumbers w:val="0"/>
                    <w:jc w:val="center"/>
                    <w:textAlignment w:val="auto"/>
                    <w:rPr>
                      <w:color w:val="auto"/>
                      <w:sz w:val="18"/>
                      <w:szCs w:val="18"/>
                    </w:rPr>
                  </w:pPr>
                  <w:r>
                    <w:rPr>
                      <w:rFonts w:hint="eastAsia" w:ascii="Times New Roman" w:hAnsi="Times New Roman" w:eastAsia="宋体" w:cs="Times New Roman"/>
                      <w:i w:val="0"/>
                      <w:iCs w:val="0"/>
                      <w:color w:val="auto"/>
                      <w:kern w:val="2"/>
                      <w:sz w:val="18"/>
                      <w:szCs w:val="18"/>
                      <w:highlight w:val="none"/>
                      <w:u w:val="none"/>
                      <w:lang w:val="en-US" w:eastAsia="zh-CN" w:bidi="ar-SA"/>
                    </w:rPr>
                    <w:t>0.003</w:t>
                  </w:r>
                </w:p>
              </w:tc>
              <w:tc>
                <w:tcPr>
                  <w:tcW w:w="642" w:type="dxa"/>
                  <w:vAlign w:val="center"/>
                </w:tcPr>
                <w:p w14:paraId="3AD9A06A">
                  <w:pPr>
                    <w:spacing w:line="240" w:lineRule="exact"/>
                    <w:jc w:val="center"/>
                    <w:rPr>
                      <w:color w:val="auto"/>
                      <w:sz w:val="18"/>
                      <w:szCs w:val="18"/>
                    </w:rPr>
                  </w:pPr>
                  <w:r>
                    <w:rPr>
                      <w:rFonts w:hint="eastAsia"/>
                      <w:color w:val="auto"/>
                      <w:sz w:val="18"/>
                      <w:szCs w:val="18"/>
                      <w:lang w:val="en-US" w:eastAsia="zh-CN"/>
                    </w:rPr>
                    <w:t>2400</w:t>
                  </w:r>
                </w:p>
              </w:tc>
              <w:tc>
                <w:tcPr>
                  <w:tcW w:w="849" w:type="dxa"/>
                  <w:vAlign w:val="center"/>
                </w:tcPr>
                <w:p w14:paraId="4DBD8C80">
                  <w:pPr>
                    <w:spacing w:line="240" w:lineRule="exact"/>
                    <w:jc w:val="center"/>
                    <w:rPr>
                      <w:color w:val="auto"/>
                      <w:sz w:val="18"/>
                      <w:szCs w:val="18"/>
                    </w:rPr>
                  </w:pPr>
                  <w:r>
                    <w:rPr>
                      <w:rFonts w:hint="eastAsia" w:ascii="Times New Roman" w:hAnsi="Times New Roman" w:eastAsia="宋体" w:cs="Times New Roman"/>
                      <w:color w:val="auto"/>
                      <w:sz w:val="18"/>
                      <w:szCs w:val="18"/>
                      <w:highlight w:val="none"/>
                      <w:lang w:val="en-US" w:eastAsia="zh-CN"/>
                    </w:rPr>
                    <w:t>100mg</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 xml:space="preserve">3 </w:t>
                  </w:r>
                  <w:r>
                    <w:rPr>
                      <w:rFonts w:hint="default" w:ascii="Times New Roman" w:hAnsi="Times New Roman" w:eastAsia="宋体" w:cs="Times New Roman"/>
                      <w:color w:val="auto"/>
                      <w:sz w:val="18"/>
                      <w:szCs w:val="18"/>
                      <w:highlight w:val="none"/>
                    </w:rPr>
                    <w:t xml:space="preserve"> </w:t>
                  </w:r>
                  <w:r>
                    <w:rPr>
                      <w:rFonts w:hint="eastAsia" w:cs="Times New Roman"/>
                      <w:color w:val="auto"/>
                      <w:sz w:val="18"/>
                      <w:szCs w:val="18"/>
                      <w:highlight w:val="none"/>
                      <w:lang w:val="en-US" w:eastAsia="zh-CN"/>
                    </w:rPr>
                    <w:t>0.4k</w:t>
                  </w:r>
                  <w:r>
                    <w:rPr>
                      <w:rFonts w:hint="default" w:ascii="Times New Roman" w:hAnsi="Times New Roman" w:eastAsia="宋体" w:cs="Times New Roman"/>
                      <w:color w:val="auto"/>
                      <w:sz w:val="18"/>
                      <w:szCs w:val="18"/>
                      <w:highlight w:val="none"/>
                    </w:rPr>
                    <w:t>g/h</w:t>
                  </w:r>
                </w:p>
              </w:tc>
            </w:tr>
          </w:tbl>
          <w:p w14:paraId="0BAB5408">
            <w:pPr>
              <w:jc w:val="center"/>
              <w:rPr>
                <w:rFonts w:hint="default"/>
                <w:b/>
                <w:bCs/>
                <w:color w:val="auto"/>
              </w:rPr>
            </w:pPr>
            <w:r>
              <w:rPr>
                <w:rFonts w:hint="default"/>
                <w:b/>
                <w:bCs/>
                <w:color w:val="auto"/>
              </w:rPr>
              <w:t>表4-3 本项目大气污染物排放量汇总表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1"/>
              <w:gridCol w:w="1278"/>
              <w:gridCol w:w="1278"/>
              <w:gridCol w:w="1278"/>
              <w:gridCol w:w="1281"/>
            </w:tblGrid>
            <w:tr w14:paraId="25226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2966" w:type="pct"/>
                  <w:tcBorders>
                    <w:top w:val="single" w:color="auto" w:sz="4" w:space="0"/>
                    <w:left w:val="single" w:color="auto" w:sz="4" w:space="0"/>
                    <w:bottom w:val="single" w:color="auto" w:sz="4" w:space="0"/>
                    <w:right w:val="single" w:color="auto" w:sz="4" w:space="0"/>
                  </w:tcBorders>
                  <w:vAlign w:val="center"/>
                </w:tcPr>
                <w:p w14:paraId="6A92C1BF">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污染源及污染因子</w:t>
                  </w:r>
                </w:p>
              </w:tc>
              <w:tc>
                <w:tcPr>
                  <w:tcW w:w="508" w:type="pct"/>
                  <w:tcBorders>
                    <w:top w:val="single" w:color="auto" w:sz="4" w:space="0"/>
                    <w:left w:val="single" w:color="auto" w:sz="4" w:space="0"/>
                    <w:bottom w:val="single" w:color="auto" w:sz="4" w:space="0"/>
                    <w:right w:val="single" w:color="auto" w:sz="4" w:space="0"/>
                  </w:tcBorders>
                  <w:vAlign w:val="center"/>
                </w:tcPr>
                <w:p w14:paraId="622DDE16">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508" w:type="pct"/>
                  <w:tcBorders>
                    <w:top w:val="single" w:color="auto" w:sz="4" w:space="0"/>
                    <w:left w:val="single" w:color="auto" w:sz="4" w:space="0"/>
                    <w:bottom w:val="single" w:color="auto" w:sz="4" w:space="0"/>
                    <w:right w:val="single" w:color="auto" w:sz="4" w:space="0"/>
                  </w:tcBorders>
                  <w:vAlign w:val="center"/>
                </w:tcPr>
                <w:p w14:paraId="19347472">
                  <w:pPr>
                    <w:adjustRightInd w:val="0"/>
                    <w:snapToGrid w:val="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VOCs</w:t>
                  </w:r>
                </w:p>
              </w:tc>
              <w:tc>
                <w:tcPr>
                  <w:tcW w:w="508" w:type="pct"/>
                  <w:tcBorders>
                    <w:top w:val="single" w:color="auto" w:sz="4" w:space="0"/>
                    <w:left w:val="single" w:color="auto" w:sz="4" w:space="0"/>
                    <w:bottom w:val="single" w:color="auto" w:sz="4" w:space="0"/>
                    <w:right w:val="single" w:color="auto" w:sz="4" w:space="0"/>
                  </w:tcBorders>
                  <w:vAlign w:val="center"/>
                </w:tcPr>
                <w:p w14:paraId="680F9B92">
                  <w:pPr>
                    <w:adjustRightInd w:val="0"/>
                    <w:snapToGrid w:val="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甲醛</w:t>
                  </w:r>
                </w:p>
              </w:tc>
              <w:tc>
                <w:tcPr>
                  <w:tcW w:w="509" w:type="pct"/>
                  <w:tcBorders>
                    <w:top w:val="single" w:color="auto" w:sz="4" w:space="0"/>
                    <w:left w:val="single" w:color="auto" w:sz="4" w:space="0"/>
                    <w:bottom w:val="single" w:color="auto" w:sz="4" w:space="0"/>
                    <w:right w:val="single" w:color="auto" w:sz="4" w:space="0"/>
                  </w:tcBorders>
                  <w:vAlign w:val="center"/>
                </w:tcPr>
                <w:p w14:paraId="2FCEDB9C">
                  <w:pPr>
                    <w:adjustRightInd w:val="0"/>
                    <w:snapToGrid w:val="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苯酚</w:t>
                  </w:r>
                </w:p>
              </w:tc>
            </w:tr>
            <w:tr w14:paraId="5B82B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2966" w:type="pct"/>
                  <w:tcBorders>
                    <w:top w:val="single" w:color="auto" w:sz="4" w:space="0"/>
                    <w:left w:val="single" w:color="auto" w:sz="4" w:space="0"/>
                    <w:bottom w:val="single" w:color="auto" w:sz="4" w:space="0"/>
                    <w:right w:val="single" w:color="auto" w:sz="4" w:space="0"/>
                  </w:tcBorders>
                  <w:vAlign w:val="center"/>
                </w:tcPr>
                <w:p w14:paraId="15B2DB2A">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有组织</w:t>
                  </w:r>
                </w:p>
              </w:tc>
              <w:tc>
                <w:tcPr>
                  <w:tcW w:w="508" w:type="pct"/>
                  <w:tcBorders>
                    <w:top w:val="single" w:color="auto" w:sz="4" w:space="0"/>
                    <w:left w:val="single" w:color="auto" w:sz="4" w:space="0"/>
                    <w:bottom w:val="single" w:color="auto" w:sz="4" w:space="0"/>
                    <w:right w:val="single" w:color="auto" w:sz="4" w:space="0"/>
                  </w:tcBorders>
                  <w:vAlign w:val="center"/>
                </w:tcPr>
                <w:p w14:paraId="54E0825C">
                  <w:pPr>
                    <w:widowControl/>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0.00</w:t>
                  </w:r>
                  <w:r>
                    <w:rPr>
                      <w:rFonts w:hint="eastAsia" w:cs="Times New Roman"/>
                      <w:color w:val="auto"/>
                      <w:sz w:val="18"/>
                      <w:szCs w:val="18"/>
                      <w:highlight w:val="none"/>
                      <w:lang w:val="en-US" w:eastAsia="zh-CN"/>
                    </w:rPr>
                    <w:t>6</w:t>
                  </w:r>
                </w:p>
              </w:tc>
              <w:tc>
                <w:tcPr>
                  <w:tcW w:w="508" w:type="pct"/>
                  <w:tcBorders>
                    <w:top w:val="single" w:color="auto" w:sz="4" w:space="0"/>
                    <w:left w:val="single" w:color="auto" w:sz="4" w:space="0"/>
                    <w:bottom w:val="single" w:color="auto" w:sz="4" w:space="0"/>
                    <w:right w:val="single" w:color="auto" w:sz="4" w:space="0"/>
                  </w:tcBorders>
                  <w:vAlign w:val="center"/>
                </w:tcPr>
                <w:p w14:paraId="09B16F23">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0.017</w:t>
                  </w:r>
                </w:p>
              </w:tc>
              <w:tc>
                <w:tcPr>
                  <w:tcW w:w="508" w:type="pct"/>
                  <w:tcBorders>
                    <w:top w:val="single" w:color="auto" w:sz="4" w:space="0"/>
                    <w:left w:val="single" w:color="auto" w:sz="4" w:space="0"/>
                    <w:bottom w:val="single" w:color="auto" w:sz="4" w:space="0"/>
                    <w:right w:val="single" w:color="auto" w:sz="4" w:space="0"/>
                  </w:tcBorders>
                  <w:vAlign w:val="center"/>
                </w:tcPr>
                <w:p w14:paraId="2CFBD552">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0.006</w:t>
                  </w:r>
                </w:p>
              </w:tc>
              <w:tc>
                <w:tcPr>
                  <w:tcW w:w="509" w:type="pct"/>
                  <w:tcBorders>
                    <w:top w:val="single" w:color="auto" w:sz="4" w:space="0"/>
                    <w:left w:val="single" w:color="auto" w:sz="4" w:space="0"/>
                    <w:bottom w:val="single" w:color="auto" w:sz="4" w:space="0"/>
                    <w:right w:val="single" w:color="auto" w:sz="4" w:space="0"/>
                  </w:tcBorders>
                  <w:vAlign w:val="center"/>
                </w:tcPr>
                <w:p w14:paraId="4CB50837">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0.008</w:t>
                  </w:r>
                </w:p>
              </w:tc>
            </w:tr>
            <w:tr w14:paraId="1C4F8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966" w:type="pct"/>
                  <w:tcBorders>
                    <w:top w:val="single" w:color="auto" w:sz="4" w:space="0"/>
                    <w:left w:val="single" w:color="auto" w:sz="4" w:space="0"/>
                    <w:bottom w:val="single" w:color="auto" w:sz="4" w:space="0"/>
                    <w:right w:val="single" w:color="auto" w:sz="4" w:space="0"/>
                  </w:tcBorders>
                  <w:vAlign w:val="center"/>
                </w:tcPr>
                <w:p w14:paraId="6D93A64B">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w:t>
                  </w:r>
                </w:p>
              </w:tc>
              <w:tc>
                <w:tcPr>
                  <w:tcW w:w="508" w:type="pct"/>
                  <w:tcBorders>
                    <w:top w:val="single" w:color="auto" w:sz="4" w:space="0"/>
                    <w:left w:val="single" w:color="auto" w:sz="4" w:space="0"/>
                    <w:bottom w:val="single" w:color="auto" w:sz="4" w:space="0"/>
                    <w:right w:val="single" w:color="auto" w:sz="4" w:space="0"/>
                  </w:tcBorders>
                  <w:vAlign w:val="center"/>
                </w:tcPr>
                <w:p w14:paraId="51C9225E">
                  <w:pPr>
                    <w:widowControl/>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w:t>
                  </w:r>
                  <w:r>
                    <w:rPr>
                      <w:rFonts w:hint="eastAsia" w:cs="Times New Roman"/>
                      <w:color w:val="auto"/>
                      <w:sz w:val="18"/>
                      <w:szCs w:val="18"/>
                      <w:highlight w:val="none"/>
                      <w:lang w:val="en-US" w:eastAsia="zh-CN"/>
                    </w:rPr>
                    <w:t>1</w:t>
                  </w:r>
                </w:p>
              </w:tc>
              <w:tc>
                <w:tcPr>
                  <w:tcW w:w="508" w:type="pct"/>
                  <w:tcBorders>
                    <w:top w:val="single" w:color="auto" w:sz="4" w:space="0"/>
                    <w:left w:val="single" w:color="auto" w:sz="4" w:space="0"/>
                    <w:bottom w:val="single" w:color="auto" w:sz="4" w:space="0"/>
                    <w:right w:val="single" w:color="auto" w:sz="4" w:space="0"/>
                  </w:tcBorders>
                  <w:vAlign w:val="center"/>
                </w:tcPr>
                <w:p w14:paraId="3E535BAE">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0.003</w:t>
                  </w:r>
                </w:p>
              </w:tc>
              <w:tc>
                <w:tcPr>
                  <w:tcW w:w="508" w:type="pct"/>
                  <w:tcBorders>
                    <w:top w:val="single" w:color="auto" w:sz="4" w:space="0"/>
                    <w:left w:val="single" w:color="auto" w:sz="4" w:space="0"/>
                    <w:bottom w:val="single" w:color="auto" w:sz="4" w:space="0"/>
                    <w:right w:val="single" w:color="auto" w:sz="4" w:space="0"/>
                  </w:tcBorders>
                  <w:vAlign w:val="center"/>
                </w:tcPr>
                <w:p w14:paraId="5DDC6F9F">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0.001</w:t>
                  </w:r>
                </w:p>
              </w:tc>
              <w:tc>
                <w:tcPr>
                  <w:tcW w:w="509" w:type="pct"/>
                  <w:tcBorders>
                    <w:top w:val="single" w:color="auto" w:sz="4" w:space="0"/>
                    <w:left w:val="single" w:color="auto" w:sz="4" w:space="0"/>
                    <w:bottom w:val="single" w:color="auto" w:sz="4" w:space="0"/>
                    <w:right w:val="single" w:color="auto" w:sz="4" w:space="0"/>
                  </w:tcBorders>
                  <w:vAlign w:val="center"/>
                </w:tcPr>
                <w:p w14:paraId="3023D7D6">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0.001</w:t>
                  </w:r>
                </w:p>
              </w:tc>
            </w:tr>
            <w:tr w14:paraId="0FC57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66" w:type="pct"/>
                  <w:tcBorders>
                    <w:top w:val="single" w:color="auto" w:sz="4" w:space="0"/>
                    <w:left w:val="single" w:color="auto" w:sz="4" w:space="0"/>
                    <w:bottom w:val="single" w:color="auto" w:sz="4" w:space="0"/>
                    <w:right w:val="single" w:color="auto" w:sz="4" w:space="0"/>
                  </w:tcBorders>
                  <w:vAlign w:val="center"/>
                </w:tcPr>
                <w:p w14:paraId="22951172">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总计</w:t>
                  </w:r>
                </w:p>
              </w:tc>
              <w:tc>
                <w:tcPr>
                  <w:tcW w:w="508" w:type="pct"/>
                  <w:tcBorders>
                    <w:top w:val="single" w:color="auto" w:sz="4" w:space="0"/>
                    <w:left w:val="single" w:color="auto" w:sz="4" w:space="0"/>
                    <w:bottom w:val="single" w:color="auto" w:sz="4" w:space="0"/>
                    <w:right w:val="single" w:color="auto" w:sz="4" w:space="0"/>
                  </w:tcBorders>
                  <w:vAlign w:val="center"/>
                </w:tcPr>
                <w:p w14:paraId="516DE99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0.016</w:t>
                  </w:r>
                </w:p>
              </w:tc>
              <w:tc>
                <w:tcPr>
                  <w:tcW w:w="508" w:type="pct"/>
                  <w:tcBorders>
                    <w:top w:val="single" w:color="auto" w:sz="4" w:space="0"/>
                    <w:left w:val="single" w:color="auto" w:sz="4" w:space="0"/>
                    <w:bottom w:val="single" w:color="auto" w:sz="4" w:space="0"/>
                    <w:right w:val="single" w:color="auto" w:sz="4" w:space="0"/>
                  </w:tcBorders>
                  <w:vAlign w:val="center"/>
                </w:tcPr>
                <w:p w14:paraId="45D29149">
                  <w:pPr>
                    <w:adjustRightInd w:val="0"/>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0.02</w:t>
                  </w:r>
                </w:p>
              </w:tc>
              <w:tc>
                <w:tcPr>
                  <w:tcW w:w="508" w:type="pct"/>
                  <w:tcBorders>
                    <w:top w:val="single" w:color="auto" w:sz="4" w:space="0"/>
                    <w:left w:val="single" w:color="auto" w:sz="4" w:space="0"/>
                    <w:bottom w:val="single" w:color="auto" w:sz="4" w:space="0"/>
                    <w:right w:val="single" w:color="auto" w:sz="4" w:space="0"/>
                  </w:tcBorders>
                  <w:vAlign w:val="center"/>
                </w:tcPr>
                <w:p w14:paraId="6FBF7DA0">
                  <w:pPr>
                    <w:adjustRightInd w:val="0"/>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0.007</w:t>
                  </w:r>
                </w:p>
              </w:tc>
              <w:tc>
                <w:tcPr>
                  <w:tcW w:w="509" w:type="pct"/>
                  <w:tcBorders>
                    <w:top w:val="single" w:color="auto" w:sz="4" w:space="0"/>
                    <w:left w:val="single" w:color="auto" w:sz="4" w:space="0"/>
                    <w:bottom w:val="single" w:color="auto" w:sz="4" w:space="0"/>
                    <w:right w:val="single" w:color="auto" w:sz="4" w:space="0"/>
                  </w:tcBorders>
                  <w:vAlign w:val="center"/>
                </w:tcPr>
                <w:p w14:paraId="01986CF0">
                  <w:pPr>
                    <w:adjustRightInd w:val="0"/>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0.009</w:t>
                  </w:r>
                </w:p>
              </w:tc>
            </w:tr>
          </w:tbl>
          <w:p w14:paraId="4EC12548">
            <w:pPr>
              <w:rPr>
                <w:rFonts w:hint="eastAsia"/>
                <w:color w:val="FF0000"/>
                <w:lang w:eastAsia="zh-CN"/>
              </w:rPr>
            </w:pPr>
          </w:p>
          <w:p w14:paraId="339AEEEE">
            <w:pPr>
              <w:rPr>
                <w:rFonts w:hint="eastAsia"/>
                <w:color w:val="FF0000"/>
                <w:lang w:eastAsia="zh-CN"/>
              </w:rPr>
            </w:pPr>
          </w:p>
          <w:p w14:paraId="085F4301">
            <w:pPr>
              <w:rPr>
                <w:rFonts w:hint="eastAsia"/>
                <w:color w:val="FF0000"/>
                <w:lang w:eastAsia="zh-CN"/>
              </w:rPr>
            </w:pPr>
          </w:p>
          <w:p w14:paraId="21B0A818">
            <w:pPr>
              <w:rPr>
                <w:rFonts w:hint="eastAsia"/>
                <w:color w:val="FF0000"/>
                <w:lang w:eastAsia="zh-CN"/>
              </w:rPr>
            </w:pPr>
          </w:p>
          <w:p w14:paraId="6EED159F">
            <w:pPr>
              <w:rPr>
                <w:rFonts w:hint="eastAsia"/>
                <w:color w:val="FF0000"/>
                <w:lang w:eastAsia="zh-CN"/>
              </w:rPr>
            </w:pPr>
          </w:p>
          <w:p w14:paraId="2A9FE07D">
            <w:pPr>
              <w:rPr>
                <w:rFonts w:hint="eastAsia" w:eastAsia="宋体"/>
                <w:color w:val="FF0000"/>
                <w:lang w:eastAsia="zh-CN"/>
              </w:rPr>
            </w:pPr>
          </w:p>
        </w:tc>
      </w:tr>
    </w:tbl>
    <w:p w14:paraId="547F2897">
      <w:pPr>
        <w:pStyle w:val="82"/>
        <w:jc w:val="right"/>
        <w:rPr>
          <w:color w:val="FF0000"/>
        </w:rPr>
        <w:sectPr>
          <w:pgSz w:w="16838" w:h="11906" w:orient="landscape"/>
          <w:pgMar w:top="1531" w:right="1701" w:bottom="1531" w:left="1701" w:header="851" w:footer="1247" w:gutter="0"/>
          <w:cols w:space="720" w:num="1"/>
          <w:docGrid w:linePitch="312" w:charSpace="0"/>
        </w:sectPr>
      </w:pP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
        <w:gridCol w:w="8594"/>
      </w:tblGrid>
      <w:tr w14:paraId="35FEA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244" w:hRule="atLeast"/>
          <w:jc w:val="center"/>
        </w:trPr>
        <w:tc>
          <w:tcPr>
            <w:tcW w:w="466" w:type="dxa"/>
            <w:tcBorders>
              <w:top w:val="single" w:color="auto" w:sz="4" w:space="0"/>
              <w:left w:val="single" w:color="auto" w:sz="4" w:space="0"/>
              <w:right w:val="single" w:color="auto" w:sz="4" w:space="0"/>
            </w:tcBorders>
            <w:vAlign w:val="center"/>
          </w:tcPr>
          <w:p w14:paraId="1795FC07">
            <w:pPr>
              <w:adjustRightInd w:val="0"/>
              <w:snapToGrid w:val="0"/>
              <w:spacing w:line="420" w:lineRule="exact"/>
              <w:jc w:val="center"/>
              <w:rPr>
                <w:bCs/>
                <w:color w:val="auto"/>
              </w:rPr>
            </w:pPr>
            <w:r>
              <w:rPr>
                <w:bCs/>
                <w:color w:val="auto"/>
              </w:rPr>
              <w:t>运营</w:t>
            </w:r>
          </w:p>
          <w:p w14:paraId="7D62BDB6">
            <w:pPr>
              <w:adjustRightInd w:val="0"/>
              <w:snapToGrid w:val="0"/>
              <w:spacing w:line="420" w:lineRule="exact"/>
              <w:jc w:val="center"/>
              <w:rPr>
                <w:bCs/>
                <w:color w:val="auto"/>
              </w:rPr>
            </w:pPr>
            <w:r>
              <w:rPr>
                <w:bCs/>
                <w:color w:val="auto"/>
              </w:rPr>
              <w:t>期环</w:t>
            </w:r>
          </w:p>
          <w:p w14:paraId="66A40977">
            <w:pPr>
              <w:adjustRightInd w:val="0"/>
              <w:snapToGrid w:val="0"/>
              <w:spacing w:line="420" w:lineRule="exact"/>
              <w:jc w:val="center"/>
              <w:rPr>
                <w:bCs/>
                <w:color w:val="auto"/>
              </w:rPr>
            </w:pPr>
            <w:r>
              <w:rPr>
                <w:bCs/>
                <w:color w:val="auto"/>
              </w:rPr>
              <w:t>境影</w:t>
            </w:r>
          </w:p>
          <w:p w14:paraId="2A9DAC33">
            <w:pPr>
              <w:adjustRightInd w:val="0"/>
              <w:snapToGrid w:val="0"/>
              <w:spacing w:line="420" w:lineRule="exact"/>
              <w:jc w:val="center"/>
              <w:rPr>
                <w:bCs/>
                <w:color w:val="auto"/>
              </w:rPr>
            </w:pPr>
            <w:r>
              <w:rPr>
                <w:bCs/>
                <w:color w:val="auto"/>
              </w:rPr>
              <w:t>响和</w:t>
            </w:r>
          </w:p>
          <w:p w14:paraId="111F9874">
            <w:pPr>
              <w:adjustRightInd w:val="0"/>
              <w:snapToGrid w:val="0"/>
              <w:spacing w:line="420" w:lineRule="exact"/>
              <w:jc w:val="center"/>
              <w:rPr>
                <w:bCs/>
                <w:color w:val="auto"/>
              </w:rPr>
            </w:pPr>
            <w:r>
              <w:rPr>
                <w:bCs/>
                <w:color w:val="auto"/>
              </w:rPr>
              <w:t>保护</w:t>
            </w:r>
          </w:p>
          <w:p w14:paraId="1B2D4669">
            <w:pPr>
              <w:adjustRightInd w:val="0"/>
              <w:snapToGrid w:val="0"/>
              <w:spacing w:line="420" w:lineRule="exact"/>
              <w:jc w:val="center"/>
              <w:rPr>
                <w:bCs/>
                <w:color w:val="FF0000"/>
              </w:rPr>
            </w:pPr>
            <w:r>
              <w:rPr>
                <w:bCs/>
                <w:color w:val="auto"/>
              </w:rPr>
              <w:t>措施</w:t>
            </w:r>
          </w:p>
        </w:tc>
        <w:tc>
          <w:tcPr>
            <w:tcW w:w="8594" w:type="dxa"/>
            <w:tcBorders>
              <w:top w:val="single" w:color="auto" w:sz="4" w:space="0"/>
              <w:left w:val="single" w:color="auto" w:sz="4" w:space="0"/>
              <w:right w:val="single" w:color="auto" w:sz="4" w:space="0"/>
            </w:tcBorders>
          </w:tcPr>
          <w:p w14:paraId="3A49CFAC">
            <w:pPr>
              <w:pStyle w:val="1042"/>
              <w:adjustRightInd w:val="0"/>
              <w:snapToGrid w:val="0"/>
              <w:spacing w:line="360" w:lineRule="auto"/>
              <w:ind w:firstLine="422"/>
              <w:rPr>
                <w:b/>
                <w:color w:val="auto"/>
                <w:szCs w:val="21"/>
              </w:rPr>
            </w:pPr>
            <w:r>
              <w:rPr>
                <w:b/>
                <w:color w:val="auto"/>
                <w:szCs w:val="21"/>
              </w:rPr>
              <w:t>（</w:t>
            </w:r>
            <w:r>
              <w:rPr>
                <w:rFonts w:hint="eastAsia"/>
                <w:b/>
                <w:color w:val="auto"/>
                <w:szCs w:val="21"/>
                <w:lang w:val="en-US" w:eastAsia="zh-CN"/>
              </w:rPr>
              <w:t>二</w:t>
            </w:r>
            <w:r>
              <w:rPr>
                <w:b/>
                <w:color w:val="auto"/>
                <w:szCs w:val="21"/>
              </w:rPr>
              <w:t>）源强核算过程：</w:t>
            </w:r>
          </w:p>
          <w:p w14:paraId="7E8930A1">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eastAsia" w:cs="Times New Roman"/>
                <w:color w:val="auto"/>
                <w:highlight w:val="none"/>
                <w:lang w:val="en-US" w:eastAsia="zh-CN"/>
              </w:rPr>
              <w:t>产生的</w:t>
            </w:r>
            <w:r>
              <w:rPr>
                <w:rFonts w:hint="default" w:ascii="Times New Roman" w:hAnsi="Times New Roman" w:cs="Times New Roman"/>
                <w:color w:val="auto"/>
                <w:highlight w:val="none"/>
                <w:lang w:val="en-US" w:eastAsia="zh-CN"/>
              </w:rPr>
              <w:t>废气主要包括磨边轮</w:t>
            </w:r>
            <w:r>
              <w:rPr>
                <w:rFonts w:hint="eastAsia" w:cs="Times New Roman"/>
                <w:color w:val="auto"/>
                <w:highlight w:val="none"/>
                <w:lang w:val="en-US" w:eastAsia="zh-CN"/>
              </w:rPr>
              <w:t>生产线配料过程产生的粉尘（G1-1），筛分过程产生的粉尘（G1-2），混料过程产生的粉尘（G1-3），车削过程产生的粉尘（G1-4）、喷砂过程产生的粉尘（G1-5），焊接过程产生的烟尘（G1-6），打磨过程产生的粉尘（G1-7）；弹性磨块生产线配料过程产生的粉尘（G2-1），筛分过程产生的粉尘（G2-2），混料过程产生的粉尘（G2-3），热压过程产生的</w:t>
            </w:r>
            <w:r>
              <w:rPr>
                <w:rFonts w:hint="eastAsia" w:cs="Times New Roman" w:eastAsiaTheme="minorEastAsia"/>
                <w:color w:val="auto"/>
                <w:sz w:val="21"/>
                <w:szCs w:val="21"/>
                <w:highlight w:val="none"/>
                <w:lang w:val="en-US" w:eastAsia="zh-CN"/>
              </w:rPr>
              <w:t>VOCs、甲醛、苯酚（G2-4），</w:t>
            </w:r>
            <w:r>
              <w:rPr>
                <w:rFonts w:hint="eastAsia" w:cs="Times New Roman"/>
                <w:color w:val="auto"/>
                <w:highlight w:val="none"/>
                <w:lang w:val="en-US" w:eastAsia="zh-CN"/>
              </w:rPr>
              <w:t>烘干过程产生的</w:t>
            </w:r>
            <w:r>
              <w:rPr>
                <w:rFonts w:hint="eastAsia" w:cs="Times New Roman" w:eastAsiaTheme="minorEastAsia"/>
                <w:color w:val="auto"/>
                <w:sz w:val="21"/>
                <w:szCs w:val="21"/>
                <w:highlight w:val="none"/>
                <w:lang w:val="en-US" w:eastAsia="zh-CN"/>
              </w:rPr>
              <w:t>VOCs、甲醛、苯酚（G2-5），粘结</w:t>
            </w:r>
            <w:r>
              <w:rPr>
                <w:rFonts w:hint="eastAsia" w:cs="Times New Roman"/>
                <w:color w:val="auto"/>
                <w:highlight w:val="none"/>
                <w:lang w:val="en-US" w:eastAsia="zh-CN"/>
              </w:rPr>
              <w:t>过程产生的</w:t>
            </w:r>
            <w:r>
              <w:rPr>
                <w:rFonts w:hint="eastAsia" w:cs="Times New Roman" w:eastAsiaTheme="minorEastAsia"/>
                <w:color w:val="auto"/>
                <w:sz w:val="21"/>
                <w:szCs w:val="21"/>
                <w:highlight w:val="none"/>
                <w:lang w:val="en-US" w:eastAsia="zh-CN"/>
              </w:rPr>
              <w:t>VOCs（G2-6），维修切割过程产生的粉尘（G3），维修焊接过程产生的烟尘（G4）</w:t>
            </w:r>
            <w:r>
              <w:rPr>
                <w:rFonts w:hint="default" w:ascii="Times New Roman" w:hAnsi="Times New Roman" w:cs="Times New Roman"/>
                <w:bCs/>
                <w:color w:val="auto"/>
                <w:highlight w:val="none"/>
              </w:rPr>
              <w:t>。</w:t>
            </w:r>
          </w:p>
          <w:p w14:paraId="6DBDA2B2">
            <w:pPr>
              <w:pStyle w:val="82"/>
              <w:adjustRightInd w:val="0"/>
              <w:snapToGrid w:val="0"/>
              <w:spacing w:after="0" w:line="360" w:lineRule="auto"/>
              <w:ind w:left="0" w:leftChars="0"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 xml:space="preserve">    </w:t>
            </w:r>
            <w:r>
              <w:rPr>
                <w:rFonts w:hint="default" w:ascii="Times New Roman" w:hAnsi="Times New Roman" w:cs="Times New Roman"/>
                <w:b/>
                <w:bCs/>
                <w:color w:val="auto"/>
                <w:szCs w:val="21"/>
                <w:highlight w:val="none"/>
              </w:rPr>
              <w:t xml:space="preserve">  1、</w:t>
            </w:r>
            <w:r>
              <w:rPr>
                <w:rFonts w:hint="default" w:ascii="Times New Roman" w:hAnsi="Times New Roman" w:cs="Times New Roman"/>
                <w:b/>
                <w:bCs/>
                <w:color w:val="auto"/>
                <w:szCs w:val="21"/>
                <w:highlight w:val="none"/>
                <w:lang w:val="en-US" w:eastAsia="zh-CN"/>
              </w:rPr>
              <w:t>源强分析</w:t>
            </w:r>
          </w:p>
          <w:p w14:paraId="078603E9">
            <w:pPr>
              <w:pStyle w:val="381"/>
              <w:keepNext w:val="0"/>
              <w:keepLines w:val="0"/>
              <w:pageBreakBefore w:val="0"/>
              <w:widowControl w:val="0"/>
              <w:kinsoku/>
              <w:wordWrap/>
              <w:overflowPunct/>
              <w:topLinePunct w:val="0"/>
              <w:autoSpaceDE/>
              <w:autoSpaceDN/>
              <w:bidi w:val="0"/>
              <w:adjustRightInd w:val="0"/>
              <w:snapToGrid w:val="0"/>
              <w:ind w:firstLine="420"/>
              <w:textAlignment w:val="auto"/>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磨边轮生产线：</w:t>
            </w:r>
          </w:p>
          <w:p w14:paraId="7DF968CA">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（1）配料过程产生的粉尘（G1-1）</w:t>
            </w:r>
          </w:p>
          <w:p w14:paraId="3BF05194">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配料</w:t>
            </w:r>
            <w:r>
              <w:rPr>
                <w:rFonts w:hint="eastAsia" w:ascii="Times New Roman" w:hAnsi="Times New Roman" w:eastAsia="宋体" w:cs="Times New Roman"/>
                <w:color w:val="auto"/>
                <w:sz w:val="21"/>
                <w:szCs w:val="21"/>
                <w:highlight w:val="none"/>
                <w:lang w:val="en-US" w:eastAsia="zh-CN"/>
              </w:rPr>
              <w:t>过程产生的粉尘参照《排放源统计调查产排污核算方法和系数手册》“3089 耐火陶瓷制品及其他耐火材料制造行业业系数表”中配料的产污系数为2.6kg/t-产品，本项目磨边轮生产线配料过程</w:t>
            </w:r>
            <w:r>
              <w:rPr>
                <w:rFonts w:hint="default" w:ascii="Times New Roman" w:hAnsi="Times New Roman" w:eastAsia="宋体" w:cs="Times New Roman"/>
                <w:color w:val="auto"/>
                <w:sz w:val="21"/>
                <w:szCs w:val="21"/>
                <w:highlight w:val="none"/>
                <w:lang w:val="en-US" w:eastAsia="zh-CN"/>
              </w:rPr>
              <w:t>原料</w:t>
            </w:r>
            <w:r>
              <w:rPr>
                <w:rFonts w:hint="eastAsia" w:ascii="Times New Roman" w:hAnsi="Times New Roman" w:eastAsia="宋体" w:cs="Times New Roman"/>
                <w:color w:val="auto"/>
                <w:sz w:val="21"/>
                <w:szCs w:val="21"/>
                <w:highlight w:val="none"/>
                <w:lang w:val="en-US" w:eastAsia="zh-CN"/>
              </w:rPr>
              <w:t>用</w:t>
            </w:r>
            <w:r>
              <w:rPr>
                <w:rFonts w:hint="default" w:ascii="Times New Roman" w:hAnsi="Times New Roman" w:eastAsia="宋体" w:cs="Times New Roman"/>
                <w:color w:val="auto"/>
                <w:sz w:val="21"/>
                <w:szCs w:val="21"/>
                <w:highlight w:val="none"/>
                <w:lang w:val="en-US" w:eastAsia="zh-CN"/>
              </w:rPr>
              <w:t>量为</w:t>
            </w:r>
            <w:r>
              <w:rPr>
                <w:rFonts w:hint="eastAsia" w:ascii="Times New Roman" w:hAnsi="Times New Roman" w:eastAsia="宋体" w:cs="Times New Roman"/>
                <w:color w:val="auto"/>
                <w:sz w:val="21"/>
                <w:szCs w:val="21"/>
                <w:highlight w:val="none"/>
                <w:lang w:val="en-US" w:eastAsia="zh-CN"/>
              </w:rPr>
              <w:t>5.6t/a，则配料过程粉尘产生量为0.015</w:t>
            </w:r>
            <w:r>
              <w:rPr>
                <w:rFonts w:hint="default" w:ascii="Times New Roman" w:hAnsi="Times New Roman" w:eastAsia="宋体" w:cs="Times New Roman"/>
                <w:color w:val="auto"/>
                <w:sz w:val="21"/>
                <w:szCs w:val="21"/>
                <w:highlight w:val="none"/>
                <w:lang w:val="en-US" w:eastAsia="en-US"/>
              </w:rPr>
              <w:t>t/a</w:t>
            </w:r>
            <w:r>
              <w:rPr>
                <w:rFonts w:hint="eastAsia" w:ascii="Times New Roman" w:hAnsi="Times New Roman" w:eastAsia="宋体" w:cs="Times New Roman"/>
                <w:color w:val="auto"/>
                <w:sz w:val="21"/>
                <w:szCs w:val="21"/>
                <w:highlight w:val="none"/>
                <w:lang w:val="en-US" w:eastAsia="zh-CN"/>
              </w:rPr>
              <w:t>。</w:t>
            </w:r>
          </w:p>
          <w:p w14:paraId="3148CE3D">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（2）筛分过程产生的粉尘（G1-2）</w:t>
            </w:r>
          </w:p>
          <w:p w14:paraId="4C465403">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筛分</w:t>
            </w:r>
            <w:r>
              <w:rPr>
                <w:rFonts w:hint="eastAsia" w:ascii="Times New Roman" w:hAnsi="Times New Roman" w:eastAsia="宋体" w:cs="Times New Roman"/>
                <w:color w:val="auto"/>
                <w:sz w:val="21"/>
                <w:szCs w:val="21"/>
                <w:highlight w:val="none"/>
                <w:lang w:val="en-US" w:eastAsia="zh-CN"/>
              </w:rPr>
              <w:t>过程产生的粉尘参照《排放源统计调查产排污核算方法和系数手册》“3099 其他非金属矿物制品制造行业系数表”中筛分的产污系数为1.13kg/t-产品，本项目</w:t>
            </w:r>
            <w:r>
              <w:rPr>
                <w:rFonts w:hint="eastAsia" w:cs="Times New Roman"/>
                <w:color w:val="auto"/>
                <w:sz w:val="21"/>
                <w:szCs w:val="21"/>
                <w:highlight w:val="none"/>
                <w:lang w:val="en-US" w:eastAsia="zh-CN"/>
              </w:rPr>
              <w:t>筛分</w:t>
            </w:r>
            <w:r>
              <w:rPr>
                <w:rFonts w:hint="eastAsia" w:ascii="Times New Roman" w:hAnsi="Times New Roman" w:eastAsia="宋体" w:cs="Times New Roman"/>
                <w:color w:val="auto"/>
                <w:sz w:val="21"/>
                <w:szCs w:val="21"/>
                <w:highlight w:val="none"/>
                <w:lang w:val="en-US" w:eastAsia="zh-CN"/>
              </w:rPr>
              <w:t>过程</w:t>
            </w:r>
            <w:r>
              <w:rPr>
                <w:rFonts w:hint="default" w:ascii="Times New Roman" w:hAnsi="Times New Roman" w:eastAsia="宋体" w:cs="Times New Roman"/>
                <w:color w:val="auto"/>
                <w:sz w:val="21"/>
                <w:szCs w:val="21"/>
                <w:highlight w:val="none"/>
                <w:lang w:val="en-US" w:eastAsia="zh-CN"/>
              </w:rPr>
              <w:t>原料</w:t>
            </w:r>
            <w:r>
              <w:rPr>
                <w:rFonts w:hint="eastAsia" w:ascii="Times New Roman" w:hAnsi="Times New Roman" w:eastAsia="宋体" w:cs="Times New Roman"/>
                <w:color w:val="auto"/>
                <w:sz w:val="21"/>
                <w:szCs w:val="21"/>
                <w:highlight w:val="none"/>
                <w:lang w:val="en-US" w:eastAsia="zh-CN"/>
              </w:rPr>
              <w:t>用</w:t>
            </w:r>
            <w:r>
              <w:rPr>
                <w:rFonts w:hint="default" w:ascii="Times New Roman" w:hAnsi="Times New Roman" w:eastAsia="宋体" w:cs="Times New Roman"/>
                <w:color w:val="auto"/>
                <w:sz w:val="21"/>
                <w:szCs w:val="21"/>
                <w:highlight w:val="none"/>
                <w:lang w:val="en-US" w:eastAsia="zh-CN"/>
              </w:rPr>
              <w:t>量为</w:t>
            </w:r>
            <w:r>
              <w:rPr>
                <w:rFonts w:hint="eastAsia" w:ascii="Times New Roman" w:hAnsi="Times New Roman" w:eastAsia="宋体" w:cs="Times New Roman"/>
                <w:color w:val="auto"/>
                <w:sz w:val="21"/>
                <w:szCs w:val="21"/>
                <w:highlight w:val="none"/>
                <w:lang w:val="en-US" w:eastAsia="zh-CN"/>
              </w:rPr>
              <w:t>5.6t/a，则</w:t>
            </w:r>
            <w:r>
              <w:rPr>
                <w:rFonts w:hint="eastAsia" w:cs="Times New Roman"/>
                <w:color w:val="auto"/>
                <w:sz w:val="21"/>
                <w:szCs w:val="21"/>
                <w:highlight w:val="none"/>
                <w:lang w:val="en-US" w:eastAsia="zh-CN"/>
              </w:rPr>
              <w:t>筛分</w:t>
            </w:r>
            <w:r>
              <w:rPr>
                <w:rFonts w:hint="eastAsia" w:ascii="Times New Roman" w:hAnsi="Times New Roman" w:eastAsia="宋体" w:cs="Times New Roman"/>
                <w:color w:val="auto"/>
                <w:sz w:val="21"/>
                <w:szCs w:val="21"/>
                <w:highlight w:val="none"/>
                <w:lang w:val="en-US" w:eastAsia="zh-CN"/>
              </w:rPr>
              <w:t>过程粉尘产生量均为0.006</w:t>
            </w:r>
            <w:r>
              <w:rPr>
                <w:rFonts w:hint="default" w:ascii="Times New Roman" w:hAnsi="Times New Roman" w:eastAsia="宋体" w:cs="Times New Roman"/>
                <w:color w:val="auto"/>
                <w:sz w:val="21"/>
                <w:szCs w:val="21"/>
                <w:highlight w:val="none"/>
                <w:lang w:val="en-US" w:eastAsia="en-US"/>
              </w:rPr>
              <w:t>t/a</w:t>
            </w:r>
            <w:r>
              <w:rPr>
                <w:rFonts w:hint="eastAsia" w:ascii="Times New Roman" w:hAnsi="Times New Roman" w:eastAsia="宋体" w:cs="Times New Roman"/>
                <w:color w:val="auto"/>
                <w:sz w:val="21"/>
                <w:szCs w:val="21"/>
                <w:highlight w:val="none"/>
                <w:lang w:val="en-US" w:eastAsia="zh-CN"/>
              </w:rPr>
              <w:t>。</w:t>
            </w:r>
          </w:p>
          <w:p w14:paraId="14B476C3">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（3）混料过程产生的粉尘（G1-3）</w:t>
            </w:r>
          </w:p>
          <w:p w14:paraId="4627E831">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混料</w:t>
            </w:r>
            <w:r>
              <w:rPr>
                <w:rFonts w:hint="eastAsia" w:ascii="Times New Roman" w:hAnsi="Times New Roman" w:eastAsia="宋体" w:cs="Times New Roman"/>
                <w:color w:val="auto"/>
                <w:sz w:val="21"/>
                <w:szCs w:val="21"/>
                <w:highlight w:val="none"/>
                <w:lang w:val="en-US" w:eastAsia="zh-CN"/>
              </w:rPr>
              <w:t>过程产生的粉尘参照《排放源统计调查产排污核算方法和系数手册》“3089 耐火陶瓷制品及其他耐火材料制造行业业系数表”中</w:t>
            </w:r>
            <w:r>
              <w:rPr>
                <w:rFonts w:hint="eastAsia" w:cs="Times New Roman"/>
                <w:color w:val="auto"/>
                <w:sz w:val="21"/>
                <w:szCs w:val="21"/>
                <w:highlight w:val="none"/>
                <w:lang w:val="en-US" w:eastAsia="zh-CN"/>
              </w:rPr>
              <w:t>混料</w:t>
            </w:r>
            <w:r>
              <w:rPr>
                <w:rFonts w:hint="eastAsia" w:ascii="Times New Roman" w:hAnsi="Times New Roman" w:eastAsia="宋体" w:cs="Times New Roman"/>
                <w:color w:val="auto"/>
                <w:sz w:val="21"/>
                <w:szCs w:val="21"/>
                <w:highlight w:val="none"/>
                <w:lang w:val="en-US" w:eastAsia="zh-CN"/>
              </w:rPr>
              <w:t>的产污系数为2.6kg/t-产品，本项目筛分工序产生筛分废料约0.6t/a，则磨边轮生产线</w:t>
            </w:r>
            <w:r>
              <w:rPr>
                <w:rFonts w:hint="eastAsia" w:cs="Times New Roman"/>
                <w:color w:val="auto"/>
                <w:sz w:val="21"/>
                <w:szCs w:val="21"/>
                <w:highlight w:val="none"/>
                <w:lang w:val="en-US" w:eastAsia="zh-CN"/>
              </w:rPr>
              <w:t>混料</w:t>
            </w:r>
            <w:r>
              <w:rPr>
                <w:rFonts w:hint="eastAsia" w:ascii="Times New Roman" w:hAnsi="Times New Roman" w:eastAsia="宋体" w:cs="Times New Roman"/>
                <w:color w:val="auto"/>
                <w:sz w:val="21"/>
                <w:szCs w:val="21"/>
                <w:highlight w:val="none"/>
                <w:lang w:val="en-US" w:eastAsia="zh-CN"/>
              </w:rPr>
              <w:t>过程</w:t>
            </w:r>
            <w:r>
              <w:rPr>
                <w:rFonts w:hint="default" w:ascii="Times New Roman" w:hAnsi="Times New Roman" w:eastAsia="宋体" w:cs="Times New Roman"/>
                <w:color w:val="auto"/>
                <w:sz w:val="21"/>
                <w:szCs w:val="21"/>
                <w:highlight w:val="none"/>
                <w:lang w:val="en-US" w:eastAsia="zh-CN"/>
              </w:rPr>
              <w:t>原料</w:t>
            </w:r>
            <w:r>
              <w:rPr>
                <w:rFonts w:hint="eastAsia" w:ascii="Times New Roman" w:hAnsi="Times New Roman" w:eastAsia="宋体" w:cs="Times New Roman"/>
                <w:color w:val="auto"/>
                <w:sz w:val="21"/>
                <w:szCs w:val="21"/>
                <w:highlight w:val="none"/>
                <w:lang w:val="en-US" w:eastAsia="zh-CN"/>
              </w:rPr>
              <w:t>用</w:t>
            </w:r>
            <w:r>
              <w:rPr>
                <w:rFonts w:hint="default" w:ascii="Times New Roman" w:hAnsi="Times New Roman" w:eastAsia="宋体" w:cs="Times New Roman"/>
                <w:color w:val="auto"/>
                <w:sz w:val="21"/>
                <w:szCs w:val="21"/>
                <w:highlight w:val="none"/>
                <w:lang w:val="en-US" w:eastAsia="zh-CN"/>
              </w:rPr>
              <w:t>量为</w:t>
            </w:r>
            <w:r>
              <w:rPr>
                <w:rFonts w:hint="eastAsia" w:ascii="Times New Roman" w:hAnsi="Times New Roman" w:eastAsia="宋体" w:cs="Times New Roman"/>
                <w:color w:val="auto"/>
                <w:sz w:val="21"/>
                <w:szCs w:val="21"/>
                <w:highlight w:val="none"/>
                <w:lang w:val="en-US" w:eastAsia="zh-CN"/>
              </w:rPr>
              <w:t>5t/a，则配料过程粉尘产生量为0.013</w:t>
            </w:r>
            <w:r>
              <w:rPr>
                <w:rFonts w:hint="default" w:ascii="Times New Roman" w:hAnsi="Times New Roman" w:eastAsia="宋体" w:cs="Times New Roman"/>
                <w:color w:val="auto"/>
                <w:sz w:val="21"/>
                <w:szCs w:val="21"/>
                <w:highlight w:val="none"/>
                <w:lang w:val="en-US" w:eastAsia="en-US"/>
              </w:rPr>
              <w:t>t/a</w:t>
            </w:r>
            <w:r>
              <w:rPr>
                <w:rFonts w:hint="eastAsia" w:ascii="Times New Roman" w:hAnsi="Times New Roman" w:eastAsia="宋体" w:cs="Times New Roman"/>
                <w:color w:val="auto"/>
                <w:sz w:val="21"/>
                <w:szCs w:val="21"/>
                <w:highlight w:val="none"/>
                <w:lang w:val="en-US" w:eastAsia="zh-CN"/>
              </w:rPr>
              <w:t>。</w:t>
            </w:r>
          </w:p>
          <w:p w14:paraId="2DCF283F">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default" w:ascii="Times New Roman" w:hAnsi="Times New Roman" w:cs="Times New Roman"/>
                <w:bCs/>
                <w:color w:val="auto"/>
                <w:sz w:val="21"/>
                <w:szCs w:val="21"/>
                <w:highlight w:val="none"/>
                <w:lang w:val="en-US" w:eastAsia="zh-CN"/>
              </w:rPr>
            </w:pPr>
            <w:r>
              <w:rPr>
                <w:rFonts w:hint="eastAsia" w:cs="Times New Roman"/>
                <w:color w:val="auto"/>
                <w:sz w:val="21"/>
                <w:szCs w:val="21"/>
                <w:highlight w:val="none"/>
                <w:lang w:val="en-US" w:eastAsia="zh-CN"/>
              </w:rPr>
              <w:t>（4）车削过程和维修切割过程产生的粉尘（G1-4、G3）</w:t>
            </w:r>
          </w:p>
          <w:p w14:paraId="1E6AFA1F">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ascii="Times New Roman" w:hAnsi="Times New Roman" w:cs="Times New Roman"/>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本项目车削</w:t>
            </w:r>
            <w:r>
              <w:rPr>
                <w:rFonts w:hint="eastAsia" w:cs="Times New Roman"/>
                <w:color w:val="auto"/>
                <w:sz w:val="21"/>
                <w:szCs w:val="21"/>
                <w:highlight w:val="none"/>
                <w:lang w:val="en-US" w:eastAsia="zh-CN"/>
              </w:rPr>
              <w:t>和维修切割</w:t>
            </w:r>
            <w:r>
              <w:rPr>
                <w:rFonts w:hint="default" w:ascii="Times New Roman" w:hAnsi="Times New Roman" w:cs="Times New Roman"/>
                <w:bCs/>
                <w:color w:val="auto"/>
                <w:sz w:val="21"/>
                <w:szCs w:val="21"/>
                <w:highlight w:val="none"/>
                <w:lang w:val="en-US" w:eastAsia="zh-CN"/>
              </w:rPr>
              <w:t>过程会产生少量的细小颗粒物，这些颗粒物的主要成分为金属。</w:t>
            </w:r>
            <w:r>
              <w:rPr>
                <w:rFonts w:hint="default" w:ascii="Times New Roman" w:hAnsi="Times New Roman" w:cs="Times New Roman"/>
                <w:color w:val="auto"/>
                <w:sz w:val="21"/>
                <w:szCs w:val="21"/>
                <w:highlight w:val="none"/>
              </w:rPr>
              <w:t>一方面因为其质量较大，沉降较快；另一方面，会有</w:t>
            </w:r>
            <w:r>
              <w:rPr>
                <w:rFonts w:hint="default" w:ascii="Times New Roman" w:hAnsi="Times New Roman" w:cs="Times New Roman"/>
                <w:color w:val="auto"/>
                <w:sz w:val="21"/>
                <w:szCs w:val="21"/>
                <w:highlight w:val="none"/>
                <w:lang w:eastAsia="zh-CN"/>
              </w:rPr>
              <w:t>一小部分</w:t>
            </w:r>
            <w:r>
              <w:rPr>
                <w:rFonts w:hint="default" w:ascii="Times New Roman" w:hAnsi="Times New Roman" w:cs="Times New Roman"/>
                <w:color w:val="auto"/>
                <w:sz w:val="21"/>
                <w:szCs w:val="21"/>
                <w:highlight w:val="none"/>
              </w:rPr>
              <w:t>较细小的颗粒物可能会在空气中停留</w:t>
            </w:r>
            <w:r>
              <w:rPr>
                <w:rFonts w:hint="default" w:ascii="Times New Roman" w:hAnsi="Times New Roman" w:cs="Times New Roman"/>
                <w:color w:val="auto"/>
                <w:sz w:val="21"/>
                <w:szCs w:val="21"/>
                <w:highlight w:val="none"/>
                <w:lang w:eastAsia="zh-CN"/>
              </w:rPr>
              <w:t>短暂</w:t>
            </w:r>
            <w:r>
              <w:rPr>
                <w:rFonts w:hint="default" w:ascii="Times New Roman" w:hAnsi="Times New Roman" w:cs="Times New Roman"/>
                <w:color w:val="auto"/>
                <w:sz w:val="21"/>
                <w:szCs w:val="21"/>
                <w:highlight w:val="none"/>
              </w:rPr>
              <w:t>时间后沉降于地面。由于金属颗粒物质量较重，颗粒物散落范围很小，基本沉降在设备5m范围内，因此，该工序产生的金属粉尘沉降后收集作为下脚料暂存于一般工业固废暂存处，定期外卖</w:t>
            </w:r>
            <w:r>
              <w:rPr>
                <w:rFonts w:hint="eastAsia" w:ascii="Times New Roman" w:hAnsi="Times New Roman" w:cs="Times New Roman"/>
                <w:color w:val="auto"/>
                <w:sz w:val="21"/>
                <w:szCs w:val="21"/>
                <w:highlight w:val="none"/>
                <w:lang w:eastAsia="zh-CN"/>
              </w:rPr>
              <w:t>。</w:t>
            </w:r>
          </w:p>
          <w:p w14:paraId="76E776EA">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（5）喷砂过程产生的粉尘（G1-5）</w:t>
            </w:r>
          </w:p>
          <w:p w14:paraId="0C314BC9">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eastAsia="宋体" w:cs="Times New Roman"/>
                <w:color w:val="auto"/>
                <w:sz w:val="21"/>
                <w:szCs w:val="21"/>
                <w:highlight w:val="none"/>
                <w:lang w:val="en-US" w:eastAsia="zh-CN"/>
              </w:rPr>
            </w:pPr>
            <w:r>
              <w:rPr>
                <w:rFonts w:hint="eastAsia"/>
                <w:color w:val="auto"/>
                <w:sz w:val="21"/>
                <w:szCs w:val="16"/>
              </w:rPr>
              <w:t>本项目</w:t>
            </w:r>
            <w:r>
              <w:rPr>
                <w:rFonts w:hint="eastAsia" w:cs="Times New Roman"/>
                <w:color w:val="auto"/>
                <w:sz w:val="21"/>
                <w:szCs w:val="21"/>
                <w:lang w:val="en-US" w:eastAsia="zh-CN"/>
              </w:rPr>
              <w:t>喷砂</w:t>
            </w:r>
            <w:r>
              <w:rPr>
                <w:rFonts w:hint="eastAsia"/>
                <w:color w:val="auto"/>
                <w:sz w:val="21"/>
                <w:szCs w:val="16"/>
              </w:rPr>
              <w:t>过程</w:t>
            </w:r>
            <w:r>
              <w:rPr>
                <w:rFonts w:hint="eastAsia"/>
                <w:color w:val="auto"/>
                <w:sz w:val="21"/>
                <w:szCs w:val="16"/>
                <w:lang w:val="en-US" w:eastAsia="zh-CN"/>
              </w:rPr>
              <w:t>粉尘</w:t>
            </w:r>
            <w:r>
              <w:rPr>
                <w:rFonts w:hint="eastAsia"/>
                <w:color w:val="auto"/>
                <w:sz w:val="21"/>
                <w:szCs w:val="16"/>
              </w:rPr>
              <w:t>产生量参照</w:t>
            </w:r>
            <w:r>
              <w:rPr>
                <w:rFonts w:hint="eastAsia"/>
                <w:color w:val="auto"/>
                <w:sz w:val="21"/>
                <w:szCs w:val="16"/>
                <w:lang w:val="en-US" w:eastAsia="zh-CN"/>
              </w:rPr>
              <w:t>《排放源统计调查产排污核算方法和系数手册》</w:t>
            </w:r>
            <w:r>
              <w:rPr>
                <w:rFonts w:hint="eastAsia"/>
                <w:color w:val="auto"/>
                <w:sz w:val="21"/>
                <w:szCs w:val="16"/>
              </w:rPr>
              <w:t>中33 金属制品业、34 通用设备制造业、35 专用设备制造业、36 汽车制造业、37 铁路、船舶、航空航天和其他运输设备制造业、431 金属制品修理、432 通用设备修理、433 专用设备修理、434 铁路、船舶、航空航天等运输设备修理（不包括电镀工艺）行业系数手册中</w:t>
            </w:r>
            <w:r>
              <w:rPr>
                <w:rFonts w:hint="eastAsia"/>
                <w:color w:val="auto"/>
                <w:sz w:val="21"/>
                <w:szCs w:val="16"/>
                <w:lang w:val="en-US" w:eastAsia="zh-CN"/>
              </w:rPr>
              <w:t>喷砂</w:t>
            </w:r>
            <w:r>
              <w:rPr>
                <w:rFonts w:hint="eastAsia"/>
                <w:color w:val="auto"/>
                <w:sz w:val="21"/>
                <w:szCs w:val="16"/>
              </w:rPr>
              <w:t>产污系数</w:t>
            </w:r>
            <w:r>
              <w:rPr>
                <w:rFonts w:hint="eastAsia"/>
                <w:color w:val="auto"/>
                <w:sz w:val="21"/>
                <w:szCs w:val="16"/>
                <w:lang w:val="en-US" w:eastAsia="zh-CN"/>
              </w:rPr>
              <w:t>2</w:t>
            </w:r>
            <w:r>
              <w:rPr>
                <w:rFonts w:hint="eastAsia"/>
                <w:color w:val="auto"/>
                <w:sz w:val="21"/>
                <w:szCs w:val="16"/>
              </w:rPr>
              <w:t>.19千克/吨-原料，本项目</w:t>
            </w:r>
            <w:r>
              <w:rPr>
                <w:rFonts w:hint="eastAsia" w:cs="Times New Roman"/>
                <w:color w:val="auto"/>
                <w:sz w:val="21"/>
                <w:szCs w:val="21"/>
                <w:lang w:val="en-US" w:eastAsia="zh-CN"/>
              </w:rPr>
              <w:t>车削后的钢板</w:t>
            </w:r>
            <w:r>
              <w:rPr>
                <w:rFonts w:hint="eastAsia" w:cs="Times New Roman"/>
                <w:b w:val="0"/>
                <w:bCs w:val="0"/>
                <w:color w:val="auto"/>
                <w:kern w:val="2"/>
                <w:sz w:val="21"/>
                <w:szCs w:val="21"/>
                <w:lang w:val="en-US" w:eastAsia="zh-CN" w:bidi="ar-SA"/>
              </w:rPr>
              <w:t>用量为16t/a</w:t>
            </w:r>
            <w:r>
              <w:rPr>
                <w:rFonts w:hint="eastAsia"/>
                <w:color w:val="auto"/>
                <w:sz w:val="21"/>
                <w:szCs w:val="16"/>
              </w:rPr>
              <w:t>，则</w:t>
            </w:r>
            <w:r>
              <w:rPr>
                <w:rFonts w:hint="eastAsia" w:cs="Times New Roman"/>
                <w:color w:val="auto"/>
                <w:sz w:val="21"/>
                <w:szCs w:val="21"/>
                <w:lang w:val="en-US" w:eastAsia="zh-CN"/>
              </w:rPr>
              <w:t>喷砂粉尘</w:t>
            </w:r>
            <w:r>
              <w:rPr>
                <w:rFonts w:hint="eastAsia"/>
                <w:color w:val="auto"/>
                <w:sz w:val="21"/>
                <w:szCs w:val="16"/>
              </w:rPr>
              <w:t>产生量为</w:t>
            </w:r>
            <w:r>
              <w:rPr>
                <w:rFonts w:hint="eastAsia"/>
                <w:color w:val="auto"/>
                <w:sz w:val="21"/>
                <w:szCs w:val="16"/>
                <w:lang w:val="en-US" w:eastAsia="zh-CN"/>
              </w:rPr>
              <w:t>0.035t</w:t>
            </w:r>
            <w:r>
              <w:rPr>
                <w:rFonts w:hint="eastAsia"/>
                <w:color w:val="auto"/>
                <w:sz w:val="21"/>
                <w:szCs w:val="16"/>
              </w:rPr>
              <w:t>/a</w:t>
            </w:r>
            <w:r>
              <w:rPr>
                <w:rFonts w:hint="eastAsia"/>
                <w:color w:val="auto"/>
                <w:sz w:val="21"/>
                <w:szCs w:val="16"/>
                <w:lang w:eastAsia="zh-CN"/>
              </w:rPr>
              <w:t>。</w:t>
            </w:r>
          </w:p>
          <w:p w14:paraId="71AB3B92">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（6）焊接（含维修焊接）过程产生的烟尘（G1-6、G3）</w:t>
            </w:r>
          </w:p>
          <w:p w14:paraId="3F97F19E">
            <w:pPr>
              <w:pStyle w:val="381"/>
              <w:ind w:firstLine="420"/>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 xml:space="preserve">本项目焊接过程使用的为焊条，焊接烟尘参照 </w:t>
            </w:r>
            <w:r>
              <w:rPr>
                <w:rFonts w:hint="eastAsia" w:ascii="Times New Roman" w:hAnsi="Times New Roman" w:eastAsia="宋体" w:cs="Times New Roman"/>
                <w:color w:val="auto"/>
                <w:sz w:val="21"/>
                <w:szCs w:val="21"/>
                <w:highlight w:val="none"/>
                <w:lang w:val="en-US" w:eastAsia="zh-CN"/>
              </w:rPr>
              <w:t>《排放源统计调查产排污核算方法和系数手册》“</w:t>
            </w:r>
            <w:r>
              <w:rPr>
                <w:rFonts w:hint="default" w:ascii="Times New Roman" w:hAnsi="Times New Roman" w:eastAsia="宋体" w:cs="Times New Roman"/>
                <w:color w:val="auto"/>
                <w:sz w:val="21"/>
                <w:szCs w:val="21"/>
                <w:highlight w:val="none"/>
              </w:rPr>
              <w:t>机械行业系数手册</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中焊条的产污系数为20.2kg/t-产品，本项目切焊条用量为0.5</w:t>
            </w:r>
            <w:r>
              <w:rPr>
                <w:rFonts w:hint="default" w:ascii="Times New Roman" w:hAnsi="Times New Roman" w:eastAsia="宋体" w:cs="Times New Roman"/>
                <w:color w:val="auto"/>
                <w:sz w:val="21"/>
                <w:szCs w:val="21"/>
                <w:highlight w:val="none"/>
              </w:rPr>
              <w:t>t</w:t>
            </w:r>
            <w:r>
              <w:rPr>
                <w:rFonts w:hint="default" w:ascii="Times New Roman" w:hAnsi="Times New Roman" w:eastAsia="宋体" w:cs="Times New Roman"/>
                <w:color w:val="auto"/>
                <w:sz w:val="21"/>
                <w:szCs w:val="21"/>
                <w:highlight w:val="none"/>
                <w:lang w:val="en-US" w:eastAsia="zh-CN"/>
              </w:rPr>
              <w:t>/a</w:t>
            </w:r>
            <w:r>
              <w:rPr>
                <w:rFonts w:hint="default" w:ascii="Times New Roman" w:hAnsi="Times New Roman" w:eastAsia="宋体" w:cs="Times New Roman"/>
                <w:color w:val="auto"/>
                <w:sz w:val="21"/>
                <w:szCs w:val="21"/>
                <w:highlight w:val="none"/>
              </w:rPr>
              <w:t>，经计算，</w:t>
            </w:r>
            <w:r>
              <w:rPr>
                <w:rFonts w:hint="eastAsia" w:cs="Times New Roman"/>
                <w:color w:val="auto"/>
                <w:sz w:val="21"/>
                <w:szCs w:val="21"/>
                <w:highlight w:val="none"/>
                <w:lang w:val="en-US" w:eastAsia="zh-CN"/>
              </w:rPr>
              <w:t>焊接</w:t>
            </w:r>
            <w:r>
              <w:rPr>
                <w:rFonts w:hint="default" w:ascii="Times New Roman" w:hAnsi="Times New Roman" w:eastAsia="宋体" w:cs="Times New Roman"/>
                <w:color w:val="auto"/>
                <w:sz w:val="21"/>
                <w:szCs w:val="21"/>
                <w:highlight w:val="none"/>
              </w:rPr>
              <w:t>过程颗粒物产生量</w:t>
            </w:r>
            <w:r>
              <w:rPr>
                <w:rFonts w:hint="eastAsia" w:ascii="Times New Roman" w:hAnsi="Times New Roman" w:eastAsia="宋体" w:cs="Times New Roman"/>
                <w:color w:val="auto"/>
                <w:sz w:val="21"/>
                <w:szCs w:val="21"/>
                <w:highlight w:val="none"/>
                <w:lang w:val="en-US" w:eastAsia="zh-CN"/>
              </w:rPr>
              <w:t>0.01</w:t>
            </w:r>
            <w:r>
              <w:rPr>
                <w:rFonts w:hint="default" w:ascii="Times New Roman" w:hAnsi="Times New Roman" w:eastAsia="宋体" w:cs="Times New Roman"/>
                <w:color w:val="auto"/>
                <w:sz w:val="21"/>
                <w:szCs w:val="21"/>
                <w:highlight w:val="none"/>
              </w:rPr>
              <w:t>t/a。</w:t>
            </w:r>
          </w:p>
          <w:p w14:paraId="7F7DF6C7">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（7）打磨过程产生的粉尘（G1-7）</w:t>
            </w:r>
          </w:p>
          <w:p w14:paraId="69875E03">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rPr>
              <w:t>本项目打磨过程</w:t>
            </w:r>
            <w:r>
              <w:rPr>
                <w:rFonts w:hint="eastAsia"/>
                <w:color w:val="auto"/>
                <w:sz w:val="21"/>
                <w:szCs w:val="21"/>
                <w:highlight w:val="none"/>
                <w:lang w:val="en-US" w:eastAsia="zh-CN"/>
              </w:rPr>
              <w:t>会产生少量的细小颗粒物，参考《环境影响评价实用技术指南》（李爱贞等编著，机械工业出版社）P24页“四、无组织排放源强的确定”，根据估算法来确定无组织颗粒物产生量，一般按原料量的0.1‰计算。根据企业提供资料，本项目需要打磨的原料用量约为21t/a，</w:t>
            </w:r>
            <w:r>
              <w:rPr>
                <w:rFonts w:hint="eastAsia" w:cs="Times New Roman"/>
                <w:color w:val="auto"/>
                <w:sz w:val="21"/>
                <w:szCs w:val="21"/>
                <w:highlight w:val="none"/>
                <w:lang w:val="en-US" w:eastAsia="zh-CN"/>
              </w:rPr>
              <w:t>打磨</w:t>
            </w:r>
            <w:r>
              <w:rPr>
                <w:rFonts w:hint="eastAsia"/>
                <w:color w:val="auto"/>
                <w:sz w:val="21"/>
                <w:szCs w:val="21"/>
                <w:highlight w:val="none"/>
                <w:lang w:val="en-US" w:eastAsia="zh-CN"/>
              </w:rPr>
              <w:t>过程颗粒物产生量为0.002t/a。</w:t>
            </w:r>
          </w:p>
          <w:p w14:paraId="17474661">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2" w:firstLineChars="200"/>
              <w:textAlignment w:val="auto"/>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弹性磨块生产线：</w:t>
            </w:r>
          </w:p>
          <w:p w14:paraId="00627E61">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（1）配料过程产生的粉尘（G2-1）</w:t>
            </w:r>
          </w:p>
          <w:p w14:paraId="20AE90CA">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配料</w:t>
            </w:r>
            <w:r>
              <w:rPr>
                <w:rFonts w:hint="eastAsia" w:ascii="Times New Roman" w:hAnsi="Times New Roman" w:eastAsia="宋体" w:cs="Times New Roman"/>
                <w:color w:val="auto"/>
                <w:sz w:val="21"/>
                <w:szCs w:val="21"/>
                <w:highlight w:val="none"/>
                <w:lang w:val="en-US" w:eastAsia="zh-CN"/>
              </w:rPr>
              <w:t>过程产生的粉尘参照《排放源统计调查产排污核算方法和系数手册》“3089 耐火陶瓷制品及其他耐火材料制造行业业系数表”中配料的产污系数为2.6kg/t-产品，本项目</w:t>
            </w:r>
            <w:r>
              <w:rPr>
                <w:rFonts w:hint="eastAsia" w:cs="Times New Roman"/>
                <w:color w:val="auto"/>
                <w:sz w:val="21"/>
                <w:szCs w:val="21"/>
                <w:highlight w:val="none"/>
                <w:lang w:val="en-US" w:eastAsia="zh-CN"/>
              </w:rPr>
              <w:t>弹性磨块</w:t>
            </w:r>
            <w:r>
              <w:rPr>
                <w:rFonts w:hint="eastAsia" w:ascii="Times New Roman" w:hAnsi="Times New Roman" w:eastAsia="宋体" w:cs="Times New Roman"/>
                <w:color w:val="auto"/>
                <w:sz w:val="21"/>
                <w:szCs w:val="21"/>
                <w:highlight w:val="none"/>
                <w:lang w:val="en-US" w:eastAsia="zh-CN"/>
              </w:rPr>
              <w:t>配料过程</w:t>
            </w:r>
            <w:r>
              <w:rPr>
                <w:rFonts w:hint="default" w:ascii="Times New Roman" w:hAnsi="Times New Roman" w:eastAsia="宋体" w:cs="Times New Roman"/>
                <w:color w:val="auto"/>
                <w:sz w:val="21"/>
                <w:szCs w:val="21"/>
                <w:highlight w:val="none"/>
                <w:lang w:val="en-US" w:eastAsia="zh-CN"/>
              </w:rPr>
              <w:t>原料</w:t>
            </w:r>
            <w:r>
              <w:rPr>
                <w:rFonts w:hint="eastAsia" w:ascii="Times New Roman" w:hAnsi="Times New Roman" w:eastAsia="宋体" w:cs="Times New Roman"/>
                <w:color w:val="auto"/>
                <w:sz w:val="21"/>
                <w:szCs w:val="21"/>
                <w:highlight w:val="none"/>
                <w:lang w:val="en-US" w:eastAsia="zh-CN"/>
              </w:rPr>
              <w:t>用</w:t>
            </w:r>
            <w:r>
              <w:rPr>
                <w:rFonts w:hint="default" w:ascii="Times New Roman" w:hAnsi="Times New Roman" w:eastAsia="宋体" w:cs="Times New Roman"/>
                <w:color w:val="auto"/>
                <w:sz w:val="21"/>
                <w:szCs w:val="21"/>
                <w:highlight w:val="none"/>
                <w:lang w:val="en-US" w:eastAsia="zh-CN"/>
              </w:rPr>
              <w:t>量为</w:t>
            </w:r>
            <w:r>
              <w:rPr>
                <w:rFonts w:hint="eastAsia" w:ascii="Times New Roman" w:hAnsi="Times New Roman" w:eastAsia="宋体" w:cs="Times New Roman"/>
                <w:color w:val="auto"/>
                <w:sz w:val="21"/>
                <w:szCs w:val="21"/>
                <w:highlight w:val="none"/>
                <w:lang w:val="en-US" w:eastAsia="zh-CN"/>
              </w:rPr>
              <w:t>9.6t/a，则配料过程粉尘产生量为0.025</w:t>
            </w:r>
            <w:r>
              <w:rPr>
                <w:rFonts w:hint="default" w:ascii="Times New Roman" w:hAnsi="Times New Roman" w:eastAsia="宋体" w:cs="Times New Roman"/>
                <w:color w:val="auto"/>
                <w:sz w:val="21"/>
                <w:szCs w:val="21"/>
                <w:highlight w:val="none"/>
                <w:lang w:val="en-US" w:eastAsia="en-US"/>
              </w:rPr>
              <w:t>t/a</w:t>
            </w:r>
            <w:r>
              <w:rPr>
                <w:rFonts w:hint="eastAsia" w:cs="Times New Roman"/>
                <w:color w:val="auto"/>
                <w:sz w:val="21"/>
                <w:szCs w:val="21"/>
                <w:highlight w:val="none"/>
                <w:lang w:val="en-US" w:eastAsia="zh-CN"/>
              </w:rPr>
              <w:t>。</w:t>
            </w:r>
          </w:p>
          <w:p w14:paraId="313F22E9">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（2）筛分过程产生的粉尘（G2-2）</w:t>
            </w:r>
          </w:p>
          <w:p w14:paraId="4FAE61A4">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筛分</w:t>
            </w:r>
            <w:r>
              <w:rPr>
                <w:rFonts w:hint="eastAsia" w:ascii="Times New Roman" w:hAnsi="Times New Roman" w:eastAsia="宋体" w:cs="Times New Roman"/>
                <w:color w:val="auto"/>
                <w:sz w:val="21"/>
                <w:szCs w:val="21"/>
                <w:highlight w:val="none"/>
                <w:lang w:val="en-US" w:eastAsia="zh-CN"/>
              </w:rPr>
              <w:t>过程产生的粉尘参照《排放源统计调查产排污核算方法和系数手册》“3099 其他非金属矿物制品制造行业系数表”中筛分的产污系数为1.13kg/t-产品，本项目</w:t>
            </w:r>
            <w:r>
              <w:rPr>
                <w:rFonts w:hint="eastAsia" w:cs="Times New Roman"/>
                <w:color w:val="auto"/>
                <w:sz w:val="21"/>
                <w:szCs w:val="21"/>
                <w:highlight w:val="none"/>
                <w:lang w:val="en-US" w:eastAsia="zh-CN"/>
              </w:rPr>
              <w:t>弹性磨块</w:t>
            </w:r>
            <w:r>
              <w:rPr>
                <w:rFonts w:hint="eastAsia" w:ascii="Times New Roman" w:hAnsi="Times New Roman" w:eastAsia="宋体" w:cs="Times New Roman"/>
                <w:color w:val="auto"/>
                <w:sz w:val="21"/>
                <w:szCs w:val="21"/>
                <w:highlight w:val="none"/>
                <w:lang w:val="en-US" w:eastAsia="zh-CN"/>
              </w:rPr>
              <w:t>生产线</w:t>
            </w:r>
            <w:r>
              <w:rPr>
                <w:rFonts w:hint="eastAsia" w:cs="Times New Roman"/>
                <w:color w:val="auto"/>
                <w:sz w:val="21"/>
                <w:szCs w:val="21"/>
                <w:highlight w:val="none"/>
                <w:lang w:val="en-US" w:eastAsia="zh-CN"/>
              </w:rPr>
              <w:t>筛分</w:t>
            </w:r>
            <w:r>
              <w:rPr>
                <w:rFonts w:hint="eastAsia" w:ascii="Times New Roman" w:hAnsi="Times New Roman" w:eastAsia="宋体" w:cs="Times New Roman"/>
                <w:color w:val="auto"/>
                <w:sz w:val="21"/>
                <w:szCs w:val="21"/>
                <w:highlight w:val="none"/>
                <w:lang w:val="en-US" w:eastAsia="zh-CN"/>
              </w:rPr>
              <w:t>过程</w:t>
            </w:r>
            <w:r>
              <w:rPr>
                <w:rFonts w:hint="default" w:ascii="Times New Roman" w:hAnsi="Times New Roman" w:eastAsia="宋体" w:cs="Times New Roman"/>
                <w:color w:val="auto"/>
                <w:sz w:val="21"/>
                <w:szCs w:val="21"/>
                <w:highlight w:val="none"/>
                <w:lang w:val="en-US" w:eastAsia="zh-CN"/>
              </w:rPr>
              <w:t>原料</w:t>
            </w:r>
            <w:r>
              <w:rPr>
                <w:rFonts w:hint="eastAsia" w:ascii="Times New Roman" w:hAnsi="Times New Roman" w:eastAsia="宋体" w:cs="Times New Roman"/>
                <w:color w:val="auto"/>
                <w:sz w:val="21"/>
                <w:szCs w:val="21"/>
                <w:highlight w:val="none"/>
                <w:lang w:val="en-US" w:eastAsia="zh-CN"/>
              </w:rPr>
              <w:t>用</w:t>
            </w:r>
            <w:r>
              <w:rPr>
                <w:rFonts w:hint="default" w:ascii="Times New Roman" w:hAnsi="Times New Roman" w:eastAsia="宋体" w:cs="Times New Roman"/>
                <w:color w:val="auto"/>
                <w:sz w:val="21"/>
                <w:szCs w:val="21"/>
                <w:highlight w:val="none"/>
                <w:lang w:val="en-US" w:eastAsia="zh-CN"/>
              </w:rPr>
              <w:t>量为</w:t>
            </w:r>
            <w:r>
              <w:rPr>
                <w:rFonts w:hint="eastAsia" w:ascii="Times New Roman" w:hAnsi="Times New Roman" w:eastAsia="宋体" w:cs="Times New Roman"/>
                <w:color w:val="auto"/>
                <w:sz w:val="21"/>
                <w:szCs w:val="21"/>
                <w:highlight w:val="none"/>
                <w:lang w:val="en-US" w:eastAsia="zh-CN"/>
              </w:rPr>
              <w:t>9.6t/a，则</w:t>
            </w:r>
            <w:r>
              <w:rPr>
                <w:rFonts w:hint="eastAsia" w:cs="Times New Roman"/>
                <w:color w:val="auto"/>
                <w:sz w:val="21"/>
                <w:szCs w:val="21"/>
                <w:highlight w:val="none"/>
                <w:lang w:val="en-US" w:eastAsia="zh-CN"/>
              </w:rPr>
              <w:t>筛分</w:t>
            </w:r>
            <w:r>
              <w:rPr>
                <w:rFonts w:hint="eastAsia" w:ascii="Times New Roman" w:hAnsi="Times New Roman" w:eastAsia="宋体" w:cs="Times New Roman"/>
                <w:color w:val="auto"/>
                <w:sz w:val="21"/>
                <w:szCs w:val="21"/>
                <w:highlight w:val="none"/>
                <w:lang w:val="en-US" w:eastAsia="zh-CN"/>
              </w:rPr>
              <w:t>过程粉尘产生量均为0.011</w:t>
            </w:r>
            <w:r>
              <w:rPr>
                <w:rFonts w:hint="default" w:ascii="Times New Roman" w:hAnsi="Times New Roman" w:eastAsia="宋体" w:cs="Times New Roman"/>
                <w:color w:val="auto"/>
                <w:sz w:val="21"/>
                <w:szCs w:val="21"/>
                <w:highlight w:val="none"/>
                <w:lang w:val="en-US" w:eastAsia="en-US"/>
              </w:rPr>
              <w:t>t/a</w:t>
            </w:r>
            <w:r>
              <w:rPr>
                <w:rFonts w:hint="eastAsia" w:cs="Times New Roman"/>
                <w:color w:val="auto"/>
                <w:sz w:val="21"/>
                <w:szCs w:val="21"/>
                <w:highlight w:val="none"/>
                <w:lang w:val="en-US" w:eastAsia="zh-CN"/>
              </w:rPr>
              <w:t>。</w:t>
            </w:r>
          </w:p>
          <w:p w14:paraId="2D658421">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（3）混料过程产生的粉尘（G2-3）</w:t>
            </w:r>
          </w:p>
          <w:p w14:paraId="5BBEDAE3">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混料</w:t>
            </w:r>
            <w:r>
              <w:rPr>
                <w:rFonts w:hint="eastAsia" w:ascii="Times New Roman" w:hAnsi="Times New Roman" w:eastAsia="宋体" w:cs="Times New Roman"/>
                <w:color w:val="auto"/>
                <w:sz w:val="21"/>
                <w:szCs w:val="21"/>
                <w:highlight w:val="none"/>
                <w:lang w:val="en-US" w:eastAsia="zh-CN"/>
              </w:rPr>
              <w:t>过程产生的粉尘参照《排放源统计调查产排污核算方法和系数手册》“3089 耐火陶瓷制品及其他耐火材料制造行业业系数表”中混料的产污系数为2.6kg/t-产品，本项目筛分工序产生筛分废料约0.1t/a，则</w:t>
            </w:r>
            <w:r>
              <w:rPr>
                <w:rFonts w:hint="eastAsia" w:cs="Times New Roman"/>
                <w:color w:val="auto"/>
                <w:sz w:val="21"/>
                <w:szCs w:val="21"/>
                <w:highlight w:val="none"/>
                <w:lang w:val="en-US" w:eastAsia="zh-CN"/>
              </w:rPr>
              <w:t>弹性磨块</w:t>
            </w:r>
            <w:r>
              <w:rPr>
                <w:rFonts w:hint="eastAsia" w:ascii="Times New Roman" w:hAnsi="Times New Roman" w:eastAsia="宋体" w:cs="Times New Roman"/>
                <w:color w:val="auto"/>
                <w:sz w:val="21"/>
                <w:szCs w:val="21"/>
                <w:highlight w:val="none"/>
                <w:lang w:val="en-US" w:eastAsia="zh-CN"/>
              </w:rPr>
              <w:t>生产线</w:t>
            </w:r>
            <w:r>
              <w:rPr>
                <w:rFonts w:hint="eastAsia" w:cs="Times New Roman"/>
                <w:color w:val="auto"/>
                <w:sz w:val="21"/>
                <w:szCs w:val="21"/>
                <w:highlight w:val="none"/>
                <w:lang w:val="en-US" w:eastAsia="zh-CN"/>
              </w:rPr>
              <w:t>混料</w:t>
            </w:r>
            <w:r>
              <w:rPr>
                <w:rFonts w:hint="eastAsia" w:ascii="Times New Roman" w:hAnsi="Times New Roman" w:eastAsia="宋体" w:cs="Times New Roman"/>
                <w:color w:val="auto"/>
                <w:sz w:val="21"/>
                <w:szCs w:val="21"/>
                <w:highlight w:val="none"/>
                <w:lang w:val="en-US" w:eastAsia="zh-CN"/>
              </w:rPr>
              <w:t>过程</w:t>
            </w:r>
            <w:r>
              <w:rPr>
                <w:rFonts w:hint="default" w:ascii="Times New Roman" w:hAnsi="Times New Roman" w:eastAsia="宋体" w:cs="Times New Roman"/>
                <w:color w:val="auto"/>
                <w:sz w:val="21"/>
                <w:szCs w:val="21"/>
                <w:highlight w:val="none"/>
                <w:lang w:val="en-US" w:eastAsia="zh-CN"/>
              </w:rPr>
              <w:t>原料</w:t>
            </w:r>
            <w:r>
              <w:rPr>
                <w:rFonts w:hint="eastAsia" w:ascii="Times New Roman" w:hAnsi="Times New Roman" w:eastAsia="宋体" w:cs="Times New Roman"/>
                <w:color w:val="auto"/>
                <w:sz w:val="21"/>
                <w:szCs w:val="21"/>
                <w:highlight w:val="none"/>
                <w:lang w:val="en-US" w:eastAsia="zh-CN"/>
              </w:rPr>
              <w:t>用</w:t>
            </w:r>
            <w:r>
              <w:rPr>
                <w:rFonts w:hint="default" w:ascii="Times New Roman" w:hAnsi="Times New Roman" w:eastAsia="宋体" w:cs="Times New Roman"/>
                <w:color w:val="auto"/>
                <w:sz w:val="21"/>
                <w:szCs w:val="21"/>
                <w:highlight w:val="none"/>
                <w:lang w:val="en-US" w:eastAsia="zh-CN"/>
              </w:rPr>
              <w:t>量为</w:t>
            </w:r>
            <w:r>
              <w:rPr>
                <w:rFonts w:hint="eastAsia" w:ascii="Times New Roman" w:hAnsi="Times New Roman" w:eastAsia="宋体" w:cs="Times New Roman"/>
                <w:color w:val="auto"/>
                <w:sz w:val="21"/>
                <w:szCs w:val="21"/>
                <w:highlight w:val="none"/>
                <w:lang w:val="en-US" w:eastAsia="zh-CN"/>
              </w:rPr>
              <w:t>9.5t/a，则配料过程粉尘产生量为0.025</w:t>
            </w:r>
            <w:r>
              <w:rPr>
                <w:rFonts w:hint="default" w:ascii="Times New Roman" w:hAnsi="Times New Roman" w:eastAsia="宋体" w:cs="Times New Roman"/>
                <w:color w:val="auto"/>
                <w:sz w:val="21"/>
                <w:szCs w:val="21"/>
                <w:highlight w:val="none"/>
                <w:lang w:val="en-US" w:eastAsia="en-US"/>
              </w:rPr>
              <w:t>t/a</w:t>
            </w:r>
            <w:r>
              <w:rPr>
                <w:rFonts w:hint="eastAsia" w:ascii="Times New Roman" w:hAnsi="Times New Roman" w:eastAsia="宋体" w:cs="Times New Roman"/>
                <w:color w:val="auto"/>
                <w:sz w:val="21"/>
                <w:szCs w:val="21"/>
                <w:highlight w:val="none"/>
                <w:lang w:val="en-US" w:eastAsia="zh-CN"/>
              </w:rPr>
              <w:t>。</w:t>
            </w:r>
          </w:p>
          <w:p w14:paraId="086F5EAC">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（4）热压和烘干过程产生的VOCs、甲醛、苯酚（G2-4）</w:t>
            </w:r>
          </w:p>
          <w:p w14:paraId="088216A1">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热压、烘干过程使用酚醛树脂和蜜胺树脂产生的VOCs、甲醛、苯酚，根据企业提供资料，本项目酚醛树脂为固体，主要成分：聚合树脂≥98%、游离酚≤0.7%、游离甲醛≤0.35%、水分≤0.2%，热压和烘干过程甲醛产生量按0.35%，苯酚产生量按0.7%，酚醛树脂用量为4t/a，则甲醛产生量为0.014t/a，苯酚产生量为0.028t/a，VOCs产生量为0.042t/a。</w:t>
            </w:r>
          </w:p>
          <w:p w14:paraId="2DBE97A7">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本项目密胺树脂用量为6t/a，游离甲醛≤0.1%，则甲醛产生量为0.006t/a，VOCs产生量为0.006t/a。</w:t>
            </w:r>
          </w:p>
          <w:p w14:paraId="3EED5228">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综上，热压和烘干过程甲醛产生量为0.02t/a，苯酚产生量为0.028t/a，VOCs产生量为0.048t/a。</w:t>
            </w:r>
          </w:p>
          <w:p w14:paraId="6BDE5F20">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（5）粘结过程产生的VOCs（G2-6）</w:t>
            </w:r>
          </w:p>
          <w:p w14:paraId="0CD44C88">
            <w:pPr>
              <w:pStyle w:val="381"/>
              <w:keepNext w:val="0"/>
              <w:keepLines w:val="0"/>
              <w:pageBreakBefore w:val="0"/>
              <w:widowControl w:val="0"/>
              <w:kinsoku/>
              <w:wordWrap/>
              <w:overflowPunct/>
              <w:topLinePunct w:val="0"/>
              <w:autoSpaceDE/>
              <w:autoSpaceDN/>
              <w:bidi w:val="0"/>
              <w:adjustRightInd w:val="0"/>
              <w:snapToGrid w:val="0"/>
              <w:ind w:firstLine="42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本项目粘结过程使用的胶水主要成分为2-氰基-2-丙烯酸乙酯90-99.5%，聚甲酯丙烯酸甲酯0-9.5%，氢醌0-0.5%，属于α-氰基丙烯酸类，参照胶粘剂挥发性有机化合物限量（GB 33372-2020）表3可知，α-氰基丙烯酸类胶黏剂VOCs限量值≤20g/kg，本次取值20g/kg，本项目使用量为0.5t/a，则粘结过程VOCs产生量为0.01t/a。</w:t>
            </w:r>
          </w:p>
          <w:p w14:paraId="7F31F2EE">
            <w:pPr>
              <w:pStyle w:val="381"/>
              <w:ind w:firstLine="422"/>
              <w:rPr>
                <w:b/>
                <w:bCs/>
                <w:color w:val="auto"/>
                <w:sz w:val="21"/>
                <w:highlight w:val="none"/>
              </w:rPr>
            </w:pPr>
            <w:r>
              <w:rPr>
                <w:rFonts w:hint="eastAsia"/>
                <w:b/>
                <w:bCs/>
                <w:color w:val="auto"/>
                <w:sz w:val="21"/>
                <w:highlight w:val="none"/>
                <w:lang w:val="en-US" w:eastAsia="zh-CN"/>
              </w:rPr>
              <w:t>2</w:t>
            </w:r>
            <w:r>
              <w:rPr>
                <w:b/>
                <w:bCs/>
                <w:color w:val="auto"/>
                <w:sz w:val="21"/>
                <w:highlight w:val="none"/>
                <w:lang w:val="en-US"/>
              </w:rPr>
              <w:t>、</w:t>
            </w:r>
            <w:r>
              <w:rPr>
                <w:b/>
                <w:bCs/>
                <w:color w:val="auto"/>
                <w:sz w:val="21"/>
                <w:highlight w:val="none"/>
              </w:rPr>
              <w:t>污染物排放情况核算</w:t>
            </w:r>
          </w:p>
          <w:p w14:paraId="53518A58">
            <w:pPr>
              <w:spacing w:line="360" w:lineRule="auto"/>
              <w:ind w:firstLine="420" w:firstLineChars="200"/>
              <w:jc w:val="both"/>
              <w:rPr>
                <w:rFonts w:hint="eastAsia"/>
                <w:bCs/>
                <w:color w:val="auto"/>
                <w:highlight w:val="none"/>
                <w:lang w:eastAsia="zh-CN"/>
              </w:rPr>
            </w:pPr>
            <w:r>
              <w:rPr>
                <w:rFonts w:hint="eastAsia"/>
                <w:bCs/>
                <w:color w:val="auto"/>
                <w:highlight w:val="none"/>
                <w:lang w:eastAsia="zh-CN"/>
              </w:rPr>
              <w:t>（</w:t>
            </w:r>
            <w:r>
              <w:rPr>
                <w:rFonts w:hint="eastAsia"/>
                <w:bCs/>
                <w:color w:val="auto"/>
                <w:highlight w:val="none"/>
                <w:lang w:val="en-US" w:eastAsia="zh-CN"/>
              </w:rPr>
              <w:t>1</w:t>
            </w:r>
            <w:r>
              <w:rPr>
                <w:rFonts w:hint="eastAsia"/>
                <w:bCs/>
                <w:color w:val="auto"/>
                <w:highlight w:val="none"/>
                <w:lang w:eastAsia="zh-CN"/>
              </w:rPr>
              <w:t>）有组织废气</w:t>
            </w:r>
          </w:p>
          <w:p w14:paraId="679BF103">
            <w:pPr>
              <w:adjustRightInd w:val="0"/>
              <w:snapToGrid w:val="0"/>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default" w:ascii="Calibri" w:hAnsi="Calibri" w:eastAsia="宋体" w:cs="Calibri"/>
                <w:color w:val="auto"/>
                <w:szCs w:val="21"/>
                <w:highlight w:val="none"/>
                <w:lang w:val="de-DE" w:eastAsia="zh-CN"/>
              </w:rPr>
              <w:t>①</w:t>
            </w:r>
            <w:r>
              <w:rPr>
                <w:rFonts w:hint="eastAsia" w:ascii="Times New Roman" w:hAnsi="Times New Roman" w:eastAsia="宋体" w:cs="Times New Roman"/>
                <w:color w:val="auto"/>
                <w:szCs w:val="21"/>
                <w:highlight w:val="none"/>
                <w:lang w:val="en-US" w:eastAsia="zh-CN"/>
              </w:rPr>
              <w:t>磨边轮生产线</w:t>
            </w:r>
            <w:r>
              <w:rPr>
                <w:rFonts w:hint="eastAsia" w:cs="Times New Roman"/>
                <w:color w:val="auto"/>
                <w:kern w:val="2"/>
                <w:sz w:val="21"/>
                <w:szCs w:val="24"/>
                <w:highlight w:val="none"/>
                <w:lang w:val="en-US" w:eastAsia="zh-CN" w:bidi="ar-SA"/>
              </w:rPr>
              <w:t>配料、筛分、混料过程</w:t>
            </w:r>
            <w:r>
              <w:rPr>
                <w:rFonts w:hint="eastAsia" w:ascii="Times New Roman" w:hAnsi="Times New Roman" w:eastAsia="宋体" w:cs="Times New Roman"/>
                <w:color w:val="auto"/>
                <w:szCs w:val="21"/>
                <w:highlight w:val="none"/>
                <w:lang w:val="en-US" w:eastAsia="zh-CN"/>
              </w:rPr>
              <w:t>有组织排放</w:t>
            </w:r>
          </w:p>
          <w:p w14:paraId="591396E9">
            <w:pPr>
              <w:adjustRightInd w:val="0"/>
              <w:snapToGrid w:val="0"/>
              <w:spacing w:line="360" w:lineRule="auto"/>
              <w:ind w:firstLine="420" w:firstLineChars="200"/>
              <w:rPr>
                <w:rFonts w:hint="eastAsia" w:ascii="Times New Roman" w:hAnsi="Times New Roman" w:eastAsia="宋体" w:cs="Times New Roman"/>
                <w:color w:val="auto"/>
                <w:szCs w:val="21"/>
                <w:highlight w:val="none"/>
                <w:lang w:val="de-DE" w:eastAsia="zh-CN"/>
              </w:rPr>
            </w:pPr>
            <w:r>
              <w:rPr>
                <w:rFonts w:hint="eastAsia" w:cs="Times New Roman"/>
                <w:color w:val="auto"/>
                <w:kern w:val="2"/>
                <w:sz w:val="21"/>
                <w:szCs w:val="24"/>
                <w:highlight w:val="none"/>
                <w:lang w:val="en-US" w:eastAsia="zh-CN" w:bidi="ar-SA"/>
              </w:rPr>
              <w:t>磨边轮生产线配料、筛分、混料过程产生的粉尘经集气罩收集，1#布袋除尘器处理后由15m高排气筒（DA001）有组织排放；喷砂过程产生的粉尘经自带布袋除尘器处理后由15m高排气筒（DA001）有组织排放</w:t>
            </w:r>
            <w:r>
              <w:rPr>
                <w:rFonts w:hint="eastAsia" w:ascii="Times New Roman" w:hAnsi="Times New Roman" w:eastAsia="宋体" w:cs="Times New Roman"/>
                <w:color w:val="auto"/>
                <w:szCs w:val="21"/>
                <w:highlight w:val="none"/>
                <w:lang w:val="de-DE" w:eastAsia="zh-CN"/>
              </w:rPr>
              <w:t>；</w:t>
            </w:r>
          </w:p>
          <w:p w14:paraId="5791C9F8">
            <w:pPr>
              <w:adjustRightInd w:val="0"/>
              <w:snapToGrid w:val="0"/>
              <w:spacing w:line="360" w:lineRule="auto"/>
              <w:ind w:firstLine="420" w:firstLineChars="200"/>
              <w:rPr>
                <w:rFonts w:hint="default" w:eastAsia="宋体"/>
                <w:color w:val="auto"/>
                <w:highlight w:val="none"/>
                <w:lang w:val="en-US" w:eastAsia="zh-CN"/>
              </w:rPr>
            </w:pPr>
            <w:r>
              <w:rPr>
                <w:rFonts w:hint="eastAsia" w:cs="Times New Roman"/>
                <w:color w:val="auto"/>
                <w:kern w:val="2"/>
                <w:sz w:val="21"/>
                <w:szCs w:val="24"/>
                <w:highlight w:val="none"/>
                <w:lang w:val="en-US" w:eastAsia="zh-CN" w:bidi="ar-SA"/>
              </w:rPr>
              <w:t>磨边轮生产线配料过程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0.015t</w:t>
            </w:r>
            <w:r>
              <w:rPr>
                <w:rFonts w:hint="eastAsia"/>
                <w:color w:val="auto"/>
                <w:sz w:val="21"/>
                <w:szCs w:val="16"/>
                <w:highlight w:val="none"/>
              </w:rPr>
              <w:t>/a</w:t>
            </w:r>
            <w:r>
              <w:rPr>
                <w:rFonts w:hint="eastAsia"/>
                <w:color w:val="auto"/>
                <w:sz w:val="21"/>
                <w:szCs w:val="16"/>
                <w:highlight w:val="none"/>
                <w:lang w:eastAsia="zh-CN"/>
              </w:rPr>
              <w:t>，</w:t>
            </w:r>
            <w:r>
              <w:rPr>
                <w:rFonts w:hint="eastAsia" w:cs="Times New Roman"/>
                <w:color w:val="auto"/>
                <w:kern w:val="2"/>
                <w:sz w:val="21"/>
                <w:szCs w:val="24"/>
                <w:highlight w:val="none"/>
                <w:lang w:val="en-US" w:eastAsia="zh-CN" w:bidi="ar-SA"/>
              </w:rPr>
              <w:t>筛分过程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0.006t</w:t>
            </w:r>
            <w:r>
              <w:rPr>
                <w:rFonts w:hint="eastAsia"/>
                <w:color w:val="auto"/>
                <w:sz w:val="21"/>
                <w:szCs w:val="16"/>
                <w:highlight w:val="none"/>
              </w:rPr>
              <w:t>/a</w:t>
            </w:r>
            <w:r>
              <w:rPr>
                <w:rFonts w:hint="eastAsia"/>
                <w:color w:val="auto"/>
                <w:sz w:val="21"/>
                <w:szCs w:val="16"/>
                <w:highlight w:val="none"/>
                <w:lang w:eastAsia="zh-CN"/>
              </w:rPr>
              <w:t>，</w:t>
            </w:r>
            <w:r>
              <w:rPr>
                <w:rFonts w:hint="eastAsia" w:cs="Times New Roman"/>
                <w:color w:val="auto"/>
                <w:kern w:val="2"/>
                <w:sz w:val="21"/>
                <w:szCs w:val="24"/>
                <w:highlight w:val="none"/>
                <w:lang w:val="en-US" w:eastAsia="zh-CN" w:bidi="ar-SA"/>
              </w:rPr>
              <w:t>混料过程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0.013t</w:t>
            </w:r>
            <w:r>
              <w:rPr>
                <w:rFonts w:hint="eastAsia"/>
                <w:color w:val="auto"/>
                <w:sz w:val="21"/>
                <w:szCs w:val="16"/>
                <w:highlight w:val="none"/>
              </w:rPr>
              <w:t>/a</w:t>
            </w:r>
            <w:r>
              <w:rPr>
                <w:rFonts w:hint="eastAsia" w:cs="Times New Roman"/>
                <w:color w:val="auto"/>
                <w:kern w:val="2"/>
                <w:sz w:val="21"/>
                <w:szCs w:val="24"/>
                <w:highlight w:val="none"/>
                <w:lang w:val="en-US" w:eastAsia="zh-CN" w:bidi="ar-SA"/>
              </w:rPr>
              <w:t>，总计</w:t>
            </w:r>
            <w:r>
              <w:rPr>
                <w:rFonts w:hint="eastAsia"/>
                <w:color w:val="auto"/>
                <w:sz w:val="21"/>
                <w:szCs w:val="16"/>
                <w:highlight w:val="none"/>
                <w:lang w:val="en-US" w:eastAsia="zh-CN"/>
              </w:rPr>
              <w:t>0.034t</w:t>
            </w:r>
            <w:r>
              <w:rPr>
                <w:rFonts w:hint="eastAsia"/>
                <w:color w:val="auto"/>
                <w:sz w:val="21"/>
                <w:szCs w:val="16"/>
                <w:highlight w:val="none"/>
              </w:rPr>
              <w:t>/a</w:t>
            </w:r>
            <w:r>
              <w:rPr>
                <w:rFonts w:hint="eastAsia"/>
                <w:color w:val="auto"/>
                <w:sz w:val="21"/>
                <w:szCs w:val="16"/>
                <w:highlight w:val="none"/>
                <w:lang w:eastAsia="zh-CN"/>
              </w:rPr>
              <w:t>，</w:t>
            </w:r>
            <w:r>
              <w:rPr>
                <w:rFonts w:hint="eastAsia"/>
                <w:color w:val="auto"/>
                <w:sz w:val="21"/>
                <w:szCs w:val="16"/>
                <w:highlight w:val="none"/>
                <w:lang w:val="en-US" w:eastAsia="zh-CN"/>
              </w:rPr>
              <w:t>集气罩收集效率为95%，布袋</w:t>
            </w:r>
            <w:r>
              <w:rPr>
                <w:rFonts w:hint="default" w:ascii="Times New Roman" w:hAnsi="Times New Roman" w:eastAsia="宋体" w:cs="Times New Roman"/>
                <w:color w:val="auto"/>
                <w:szCs w:val="21"/>
                <w:highlight w:val="none"/>
                <w:lang w:val="de-DE" w:eastAsia="zh-CN"/>
              </w:rPr>
              <w:t>除尘器</w:t>
            </w:r>
            <w:r>
              <w:rPr>
                <w:rFonts w:hint="eastAsia" w:ascii="Times New Roman" w:hAnsi="Times New Roman" w:eastAsia="宋体" w:cs="Times New Roman"/>
                <w:color w:val="auto"/>
                <w:szCs w:val="21"/>
                <w:highlight w:val="none"/>
                <w:lang w:val="en-US" w:eastAsia="zh-CN"/>
              </w:rPr>
              <w:t>处理效率为95%，喷砂过程粉尘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0.035t</w:t>
            </w:r>
            <w:r>
              <w:rPr>
                <w:rFonts w:hint="eastAsia"/>
                <w:color w:val="auto"/>
                <w:sz w:val="21"/>
                <w:szCs w:val="16"/>
                <w:highlight w:val="none"/>
              </w:rPr>
              <w:t>/a</w:t>
            </w:r>
            <w:r>
              <w:rPr>
                <w:rFonts w:hint="eastAsia"/>
                <w:color w:val="auto"/>
                <w:sz w:val="21"/>
                <w:szCs w:val="16"/>
                <w:highlight w:val="none"/>
                <w:lang w:eastAsia="zh-CN"/>
              </w:rPr>
              <w:t>，</w:t>
            </w:r>
            <w:r>
              <w:rPr>
                <w:rFonts w:hint="eastAsia"/>
                <w:color w:val="auto"/>
                <w:sz w:val="21"/>
                <w:szCs w:val="16"/>
                <w:highlight w:val="none"/>
                <w:lang w:val="en-US" w:eastAsia="zh-CN"/>
              </w:rPr>
              <w:t>收集效率为100%，</w:t>
            </w:r>
            <w:r>
              <w:rPr>
                <w:rFonts w:hint="eastAsia" w:ascii="Times New Roman" w:hAnsi="Times New Roman" w:eastAsia="宋体" w:cs="Times New Roman"/>
                <w:color w:val="auto"/>
                <w:szCs w:val="21"/>
                <w:highlight w:val="none"/>
                <w:lang w:val="en-US" w:eastAsia="zh-CN"/>
              </w:rPr>
              <w:t>喷砂机自带</w:t>
            </w:r>
            <w:r>
              <w:rPr>
                <w:rFonts w:hint="eastAsia"/>
                <w:color w:val="auto"/>
                <w:sz w:val="21"/>
                <w:szCs w:val="16"/>
                <w:highlight w:val="none"/>
                <w:lang w:val="en-US" w:eastAsia="zh-CN"/>
              </w:rPr>
              <w:t>布袋</w:t>
            </w:r>
            <w:r>
              <w:rPr>
                <w:rFonts w:hint="default" w:ascii="Times New Roman" w:hAnsi="Times New Roman" w:eastAsia="宋体" w:cs="Times New Roman"/>
                <w:color w:val="auto"/>
                <w:szCs w:val="21"/>
                <w:highlight w:val="none"/>
                <w:lang w:val="de-DE" w:eastAsia="zh-CN"/>
              </w:rPr>
              <w:t>除尘器</w:t>
            </w:r>
            <w:r>
              <w:rPr>
                <w:rFonts w:hint="eastAsia" w:ascii="Times New Roman" w:hAnsi="Times New Roman" w:eastAsia="宋体" w:cs="Times New Roman"/>
                <w:color w:val="auto"/>
                <w:szCs w:val="21"/>
                <w:highlight w:val="none"/>
                <w:lang w:val="en-US" w:eastAsia="zh-CN"/>
              </w:rPr>
              <w:t>处理效率为95%，年工作时间为</w:t>
            </w:r>
            <w:r>
              <w:rPr>
                <w:rFonts w:hint="eastAsia" w:cs="Times New Roman"/>
                <w:color w:val="auto"/>
                <w:szCs w:val="21"/>
                <w:highlight w:val="none"/>
                <w:lang w:val="en-US" w:eastAsia="zh-CN"/>
              </w:rPr>
              <w:t>12</w:t>
            </w:r>
            <w:r>
              <w:rPr>
                <w:rFonts w:hint="eastAsia" w:ascii="Times New Roman" w:hAnsi="Times New Roman" w:eastAsia="宋体" w:cs="Times New Roman"/>
                <w:color w:val="auto"/>
                <w:szCs w:val="21"/>
                <w:highlight w:val="none"/>
                <w:lang w:val="en-US" w:eastAsia="zh-CN"/>
              </w:rPr>
              <w:t>00h，则</w:t>
            </w:r>
            <w:r>
              <w:rPr>
                <w:rFonts w:hint="eastAsia" w:cs="Times New Roman"/>
                <w:color w:val="auto"/>
                <w:kern w:val="2"/>
                <w:sz w:val="21"/>
                <w:szCs w:val="24"/>
                <w:highlight w:val="none"/>
                <w:lang w:val="en-US" w:eastAsia="zh-CN" w:bidi="ar-SA"/>
              </w:rPr>
              <w:t>磨边轮生产线配料、筛分、混料过程</w:t>
            </w:r>
            <w:r>
              <w:rPr>
                <w:rFonts w:hint="eastAsia" w:cs="Times New Roman"/>
                <w:bCs/>
                <w:color w:val="auto"/>
                <w:sz w:val="21"/>
                <w:szCs w:val="21"/>
                <w:highlight w:val="none"/>
                <w:vertAlign w:val="baseline"/>
                <w:lang w:val="en-US" w:eastAsia="zh-CN"/>
              </w:rPr>
              <w:t>污染物产生及排放情况见下表。</w:t>
            </w:r>
          </w:p>
          <w:p w14:paraId="4817E9E9">
            <w:pPr>
              <w:pStyle w:val="82"/>
              <w:ind w:left="0" w:leftChars="0" w:firstLine="0" w:firstLineChars="0"/>
              <w:jc w:val="center"/>
              <w:rPr>
                <w:rFonts w:hint="default"/>
                <w:b/>
                <w:bCs w:val="0"/>
                <w:color w:val="auto"/>
                <w:highlight w:val="none"/>
                <w:lang w:val="en-US" w:eastAsia="zh-CN"/>
              </w:rPr>
            </w:pPr>
            <w:r>
              <w:rPr>
                <w:rFonts w:hint="eastAsia" w:cs="Times New Roman"/>
                <w:b/>
                <w:bCs w:val="0"/>
                <w:color w:val="auto"/>
                <w:sz w:val="21"/>
                <w:szCs w:val="21"/>
                <w:highlight w:val="none"/>
                <w:vertAlign w:val="baseline"/>
                <w:lang w:val="en-US" w:eastAsia="zh-CN"/>
              </w:rPr>
              <w:t>表</w:t>
            </w:r>
            <w:r>
              <w:rPr>
                <w:rFonts w:hint="eastAsia" w:ascii="Times New Roman" w:hAnsi="Times New Roman" w:eastAsia="宋体" w:cs="Times New Roman"/>
                <w:b/>
                <w:bCs w:val="0"/>
                <w:color w:val="auto"/>
                <w:sz w:val="21"/>
                <w:szCs w:val="21"/>
                <w:highlight w:val="none"/>
                <w:vertAlign w:val="baseline"/>
                <w:lang w:val="en-US" w:eastAsia="zh-CN"/>
              </w:rPr>
              <w:t>4-</w:t>
            </w:r>
            <w:r>
              <w:rPr>
                <w:rFonts w:hint="eastAsia" w:cs="Times New Roman"/>
                <w:b/>
                <w:bCs w:val="0"/>
                <w:color w:val="auto"/>
                <w:sz w:val="21"/>
                <w:szCs w:val="21"/>
                <w:highlight w:val="none"/>
                <w:vertAlign w:val="baseline"/>
                <w:lang w:val="en-US" w:eastAsia="zh-CN"/>
              </w:rPr>
              <w:t>4</w:t>
            </w:r>
            <w:r>
              <w:rPr>
                <w:rFonts w:hint="eastAsia" w:ascii="Times New Roman" w:hAnsi="Times New Roman" w:eastAsia="宋体" w:cs="Times New Roman"/>
                <w:b/>
                <w:bCs w:val="0"/>
                <w:color w:val="auto"/>
                <w:sz w:val="21"/>
                <w:szCs w:val="21"/>
                <w:highlight w:val="none"/>
                <w:vertAlign w:val="baseline"/>
                <w:lang w:val="en-US" w:eastAsia="zh-CN"/>
              </w:rPr>
              <w:t>磨边轮生产线废气产</w:t>
            </w:r>
            <w:r>
              <w:rPr>
                <w:rFonts w:hint="eastAsia" w:cs="Times New Roman"/>
                <w:b/>
                <w:bCs w:val="0"/>
                <w:color w:val="auto"/>
                <w:sz w:val="21"/>
                <w:szCs w:val="21"/>
                <w:highlight w:val="none"/>
                <w:vertAlign w:val="baseline"/>
                <w:lang w:val="en-US" w:eastAsia="zh-CN"/>
              </w:rPr>
              <w:t>生及排放情况一览表</w:t>
            </w:r>
          </w:p>
          <w:tbl>
            <w:tblPr>
              <w:tblStyle w:val="83"/>
              <w:tblW w:w="84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1"/>
              <w:gridCol w:w="468"/>
              <w:gridCol w:w="855"/>
              <w:gridCol w:w="748"/>
              <w:gridCol w:w="586"/>
              <w:gridCol w:w="693"/>
              <w:gridCol w:w="342"/>
              <w:gridCol w:w="462"/>
              <w:gridCol w:w="341"/>
              <w:gridCol w:w="359"/>
              <w:gridCol w:w="683"/>
              <w:gridCol w:w="748"/>
              <w:gridCol w:w="821"/>
              <w:gridCol w:w="373"/>
              <w:gridCol w:w="550"/>
            </w:tblGrid>
            <w:tr w14:paraId="5F6EB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371" w:type="dxa"/>
                  <w:vMerge w:val="restart"/>
                  <w:tcBorders>
                    <w:top w:val="single" w:color="auto" w:sz="4" w:space="0"/>
                    <w:left w:val="single" w:color="auto" w:sz="4" w:space="0"/>
                    <w:bottom w:val="single" w:color="auto" w:sz="4" w:space="0"/>
                    <w:right w:val="single" w:color="auto" w:sz="4" w:space="0"/>
                  </w:tcBorders>
                  <w:noWrap w:val="0"/>
                  <w:vAlign w:val="center"/>
                </w:tcPr>
                <w:p w14:paraId="457978B4">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产污环节</w:t>
                  </w:r>
                </w:p>
              </w:tc>
              <w:tc>
                <w:tcPr>
                  <w:tcW w:w="468" w:type="dxa"/>
                  <w:vMerge w:val="restart"/>
                  <w:tcBorders>
                    <w:top w:val="single" w:color="auto" w:sz="4" w:space="0"/>
                    <w:left w:val="single" w:color="auto" w:sz="4" w:space="0"/>
                    <w:bottom w:val="single" w:color="auto" w:sz="4" w:space="0"/>
                    <w:right w:val="single" w:color="auto" w:sz="4" w:space="0"/>
                  </w:tcBorders>
                  <w:noWrap w:val="0"/>
                  <w:vAlign w:val="center"/>
                </w:tcPr>
                <w:p w14:paraId="7A6001BF">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p w14:paraId="733534A3">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种类</w:t>
                  </w:r>
                </w:p>
              </w:tc>
              <w:tc>
                <w:tcPr>
                  <w:tcW w:w="2189" w:type="dxa"/>
                  <w:gridSpan w:val="3"/>
                  <w:tcBorders>
                    <w:top w:val="single" w:color="auto" w:sz="4" w:space="0"/>
                    <w:left w:val="single" w:color="auto" w:sz="4" w:space="0"/>
                    <w:bottom w:val="single" w:color="auto" w:sz="4" w:space="0"/>
                    <w:right w:val="single" w:color="auto" w:sz="4" w:space="0"/>
                  </w:tcBorders>
                  <w:noWrap w:val="0"/>
                  <w:vAlign w:val="center"/>
                </w:tcPr>
                <w:p w14:paraId="6EAA975F">
                  <w:pPr>
                    <w:spacing w:line="240" w:lineRule="auto"/>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有组织</w:t>
                  </w:r>
                  <w:r>
                    <w:rPr>
                      <w:rFonts w:hint="default" w:ascii="Times New Roman" w:hAnsi="Times New Roman" w:eastAsia="宋体" w:cs="Times New Roman"/>
                      <w:color w:val="auto"/>
                      <w:sz w:val="18"/>
                      <w:szCs w:val="18"/>
                      <w:highlight w:val="none"/>
                    </w:rPr>
                    <w:t>污染物产生</w:t>
                  </w:r>
                </w:p>
              </w:tc>
              <w:tc>
                <w:tcPr>
                  <w:tcW w:w="2197" w:type="dxa"/>
                  <w:gridSpan w:val="5"/>
                  <w:tcBorders>
                    <w:top w:val="single" w:color="auto" w:sz="4" w:space="0"/>
                    <w:left w:val="single" w:color="auto" w:sz="4" w:space="0"/>
                    <w:bottom w:val="single" w:color="auto" w:sz="4" w:space="0"/>
                    <w:right w:val="single" w:color="auto" w:sz="4" w:space="0"/>
                  </w:tcBorders>
                  <w:noWrap w:val="0"/>
                  <w:vAlign w:val="center"/>
                </w:tcPr>
                <w:p w14:paraId="59F5DE9D">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治理设施</w:t>
                  </w:r>
                </w:p>
              </w:tc>
              <w:tc>
                <w:tcPr>
                  <w:tcW w:w="3175" w:type="dxa"/>
                  <w:gridSpan w:val="5"/>
                  <w:tcBorders>
                    <w:top w:val="single" w:color="auto" w:sz="4" w:space="0"/>
                    <w:left w:val="single" w:color="auto" w:sz="4" w:space="0"/>
                    <w:bottom w:val="single" w:color="auto" w:sz="4" w:space="0"/>
                    <w:right w:val="single" w:color="auto" w:sz="4" w:space="0"/>
                  </w:tcBorders>
                  <w:noWrap w:val="0"/>
                  <w:vAlign w:val="center"/>
                </w:tcPr>
                <w:p w14:paraId="14012E4A">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污染物排放</w:t>
                  </w:r>
                </w:p>
              </w:tc>
            </w:tr>
            <w:tr w14:paraId="348A8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71" w:type="dxa"/>
                  <w:vMerge w:val="continue"/>
                  <w:tcBorders>
                    <w:top w:val="single" w:color="auto" w:sz="4" w:space="0"/>
                    <w:left w:val="single" w:color="auto" w:sz="4" w:space="0"/>
                    <w:bottom w:val="single" w:color="auto" w:sz="4" w:space="0"/>
                    <w:right w:val="single" w:color="auto" w:sz="4" w:space="0"/>
                  </w:tcBorders>
                  <w:noWrap w:val="0"/>
                  <w:vAlign w:val="center"/>
                </w:tcPr>
                <w:p w14:paraId="2431E62F">
                  <w:pPr>
                    <w:spacing w:line="240" w:lineRule="auto"/>
                    <w:jc w:val="center"/>
                    <w:rPr>
                      <w:rFonts w:hint="default" w:ascii="Times New Roman" w:hAnsi="Times New Roman" w:eastAsia="宋体" w:cs="Times New Roman"/>
                      <w:color w:val="auto"/>
                      <w:sz w:val="18"/>
                      <w:szCs w:val="18"/>
                      <w:highlight w:val="none"/>
                    </w:rPr>
                  </w:pPr>
                </w:p>
              </w:tc>
              <w:tc>
                <w:tcPr>
                  <w:tcW w:w="468" w:type="dxa"/>
                  <w:vMerge w:val="continue"/>
                  <w:tcBorders>
                    <w:top w:val="single" w:color="auto" w:sz="4" w:space="0"/>
                    <w:left w:val="single" w:color="auto" w:sz="4" w:space="0"/>
                    <w:bottom w:val="single" w:color="auto" w:sz="4" w:space="0"/>
                    <w:right w:val="single" w:color="auto" w:sz="4" w:space="0"/>
                  </w:tcBorders>
                  <w:noWrap w:val="0"/>
                  <w:vAlign w:val="center"/>
                </w:tcPr>
                <w:p w14:paraId="16F65905">
                  <w:pPr>
                    <w:spacing w:line="240" w:lineRule="auto"/>
                    <w:jc w:val="center"/>
                    <w:rPr>
                      <w:rFonts w:hint="default" w:ascii="Times New Roman" w:hAnsi="Times New Roman" w:eastAsia="宋体" w:cs="Times New Roman"/>
                      <w:color w:val="auto"/>
                      <w:sz w:val="18"/>
                      <w:szCs w:val="18"/>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14:paraId="498900AB">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产生</w:t>
                  </w:r>
                  <w:r>
                    <w:rPr>
                      <w:rFonts w:hint="default" w:ascii="Times New Roman" w:hAnsi="Times New Roman" w:eastAsia="宋体" w:cs="Times New Roman"/>
                      <w:color w:val="auto"/>
                      <w:sz w:val="18"/>
                      <w:szCs w:val="18"/>
                      <w:highlight w:val="none"/>
                    </w:rPr>
                    <w:t>量t/a</w:t>
                  </w:r>
                </w:p>
              </w:tc>
              <w:tc>
                <w:tcPr>
                  <w:tcW w:w="748" w:type="dxa"/>
                  <w:tcBorders>
                    <w:top w:val="single" w:color="auto" w:sz="4" w:space="0"/>
                    <w:left w:val="single" w:color="auto" w:sz="4" w:space="0"/>
                    <w:bottom w:val="single" w:color="auto" w:sz="4" w:space="0"/>
                    <w:right w:val="single" w:color="auto" w:sz="4" w:space="0"/>
                  </w:tcBorders>
                  <w:noWrap w:val="0"/>
                  <w:vAlign w:val="center"/>
                </w:tcPr>
                <w:p w14:paraId="4E0E0D4A">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产生浓度mg/m</w:t>
                  </w:r>
                  <w:r>
                    <w:rPr>
                      <w:rFonts w:hint="default" w:ascii="Times New Roman" w:hAnsi="Times New Roman" w:eastAsia="宋体" w:cs="Times New Roman"/>
                      <w:color w:val="auto"/>
                      <w:sz w:val="18"/>
                      <w:szCs w:val="18"/>
                      <w:highlight w:val="none"/>
                      <w:vertAlign w:val="superscript"/>
                    </w:rPr>
                    <w:t>3</w:t>
                  </w:r>
                </w:p>
              </w:tc>
              <w:tc>
                <w:tcPr>
                  <w:tcW w:w="586" w:type="dxa"/>
                  <w:tcBorders>
                    <w:top w:val="single" w:color="auto" w:sz="4" w:space="0"/>
                    <w:left w:val="single" w:color="auto" w:sz="4" w:space="0"/>
                    <w:bottom w:val="single" w:color="auto" w:sz="4" w:space="0"/>
                    <w:right w:val="single" w:color="auto" w:sz="4" w:space="0"/>
                  </w:tcBorders>
                  <w:noWrap w:val="0"/>
                  <w:vAlign w:val="center"/>
                </w:tcPr>
                <w:p w14:paraId="4DD95D7A">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产生速率</w:t>
                  </w:r>
                  <w:r>
                    <w:rPr>
                      <w:rFonts w:hint="default" w:ascii="Times New Roman" w:hAnsi="Times New Roman" w:eastAsia="宋体" w:cs="Times New Roman"/>
                      <w:color w:val="auto"/>
                      <w:sz w:val="18"/>
                      <w:szCs w:val="18"/>
                      <w:highlight w:val="none"/>
                      <w:lang w:val="en-US" w:eastAsia="zh-CN"/>
                    </w:rPr>
                    <w:t>kg/h</w:t>
                  </w:r>
                </w:p>
              </w:tc>
              <w:tc>
                <w:tcPr>
                  <w:tcW w:w="693" w:type="dxa"/>
                  <w:tcBorders>
                    <w:top w:val="single" w:color="auto" w:sz="4" w:space="0"/>
                    <w:left w:val="single" w:color="auto" w:sz="4" w:space="0"/>
                    <w:bottom w:val="single" w:color="auto" w:sz="4" w:space="0"/>
                    <w:right w:val="single" w:color="auto" w:sz="4" w:space="0"/>
                  </w:tcBorders>
                  <w:noWrap w:val="0"/>
                  <w:vAlign w:val="center"/>
                </w:tcPr>
                <w:p w14:paraId="7E9F04D8">
                  <w:pPr>
                    <w:spacing w:line="240" w:lineRule="auto"/>
                    <w:jc w:val="center"/>
                    <w:rPr>
                      <w:rFonts w:hint="eastAsia"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处理能力m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lang w:val="en-US" w:eastAsia="zh-CN"/>
                    </w:rPr>
                    <w:t>h</w:t>
                  </w:r>
                </w:p>
              </w:tc>
              <w:tc>
                <w:tcPr>
                  <w:tcW w:w="342" w:type="dxa"/>
                  <w:tcBorders>
                    <w:top w:val="single" w:color="auto" w:sz="4" w:space="0"/>
                    <w:left w:val="single" w:color="auto" w:sz="4" w:space="0"/>
                    <w:bottom w:val="single" w:color="auto" w:sz="4" w:space="0"/>
                    <w:right w:val="single" w:color="auto" w:sz="4" w:space="0"/>
                  </w:tcBorders>
                  <w:noWrap w:val="0"/>
                  <w:vAlign w:val="center"/>
                </w:tcPr>
                <w:p w14:paraId="7090AFC6">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收集率%</w:t>
                  </w:r>
                </w:p>
              </w:tc>
              <w:tc>
                <w:tcPr>
                  <w:tcW w:w="462" w:type="dxa"/>
                  <w:tcBorders>
                    <w:top w:val="single" w:color="auto" w:sz="4" w:space="0"/>
                    <w:left w:val="single" w:color="auto" w:sz="4" w:space="0"/>
                    <w:bottom w:val="single" w:color="auto" w:sz="4" w:space="0"/>
                    <w:right w:val="single" w:color="auto" w:sz="4" w:space="0"/>
                  </w:tcBorders>
                  <w:noWrap w:val="0"/>
                  <w:vAlign w:val="center"/>
                </w:tcPr>
                <w:p w14:paraId="3FD10C1C">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治理工艺</w:t>
                  </w:r>
                </w:p>
              </w:tc>
              <w:tc>
                <w:tcPr>
                  <w:tcW w:w="341" w:type="dxa"/>
                  <w:tcBorders>
                    <w:top w:val="single" w:color="auto" w:sz="4" w:space="0"/>
                    <w:left w:val="single" w:color="auto" w:sz="4" w:space="0"/>
                    <w:bottom w:val="single" w:color="auto" w:sz="4" w:space="0"/>
                    <w:right w:val="single" w:color="auto" w:sz="4" w:space="0"/>
                  </w:tcBorders>
                  <w:noWrap w:val="0"/>
                  <w:vAlign w:val="center"/>
                </w:tcPr>
                <w:p w14:paraId="102DBFDC">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去除率%</w:t>
                  </w:r>
                </w:p>
              </w:tc>
              <w:tc>
                <w:tcPr>
                  <w:tcW w:w="359" w:type="dxa"/>
                  <w:tcBorders>
                    <w:top w:val="single" w:color="auto" w:sz="4" w:space="0"/>
                    <w:left w:val="single" w:color="auto" w:sz="4" w:space="0"/>
                    <w:bottom w:val="single" w:color="auto" w:sz="4" w:space="0"/>
                    <w:right w:val="single" w:color="auto" w:sz="4" w:space="0"/>
                  </w:tcBorders>
                  <w:noWrap w:val="0"/>
                  <w:vAlign w:val="center"/>
                </w:tcPr>
                <w:p w14:paraId="73B74FD0">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是否为可行技术</w:t>
                  </w:r>
                </w:p>
              </w:tc>
              <w:tc>
                <w:tcPr>
                  <w:tcW w:w="683" w:type="dxa"/>
                  <w:tcBorders>
                    <w:top w:val="single" w:color="auto" w:sz="4" w:space="0"/>
                    <w:left w:val="single" w:color="auto" w:sz="4" w:space="0"/>
                    <w:bottom w:val="single" w:color="auto" w:sz="4" w:space="0"/>
                    <w:right w:val="single" w:color="auto" w:sz="4" w:space="0"/>
                  </w:tcBorders>
                  <w:noWrap w:val="0"/>
                  <w:vAlign w:val="center"/>
                </w:tcPr>
                <w:p w14:paraId="6CF31ABD">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c>
                <w:tcPr>
                  <w:tcW w:w="748" w:type="dxa"/>
                  <w:tcBorders>
                    <w:top w:val="single" w:color="auto" w:sz="4" w:space="0"/>
                    <w:left w:val="single" w:color="auto" w:sz="4" w:space="0"/>
                    <w:bottom w:val="single" w:color="auto" w:sz="4" w:space="0"/>
                    <w:right w:val="single" w:color="auto" w:sz="4" w:space="0"/>
                  </w:tcBorders>
                  <w:noWrap w:val="0"/>
                  <w:vAlign w:val="center"/>
                </w:tcPr>
                <w:p w14:paraId="5756EC8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排放浓度mg/m</w:t>
                  </w:r>
                  <w:r>
                    <w:rPr>
                      <w:rFonts w:hint="default" w:ascii="Times New Roman" w:hAnsi="Times New Roman" w:eastAsia="宋体" w:cs="Times New Roman"/>
                      <w:color w:val="auto"/>
                      <w:sz w:val="18"/>
                      <w:szCs w:val="18"/>
                      <w:highlight w:val="none"/>
                      <w:vertAlign w:val="superscript"/>
                    </w:rPr>
                    <w:t>3</w:t>
                  </w:r>
                </w:p>
              </w:tc>
              <w:tc>
                <w:tcPr>
                  <w:tcW w:w="821" w:type="dxa"/>
                  <w:tcBorders>
                    <w:top w:val="single" w:color="auto" w:sz="4" w:space="0"/>
                    <w:left w:val="single" w:color="auto" w:sz="4" w:space="0"/>
                    <w:bottom w:val="single" w:color="auto" w:sz="4" w:space="0"/>
                    <w:right w:val="single" w:color="auto" w:sz="4" w:space="0"/>
                  </w:tcBorders>
                  <w:noWrap w:val="0"/>
                  <w:vAlign w:val="center"/>
                </w:tcPr>
                <w:p w14:paraId="78967238">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排放速率kg/h</w:t>
                  </w:r>
                </w:p>
              </w:tc>
              <w:tc>
                <w:tcPr>
                  <w:tcW w:w="373" w:type="dxa"/>
                  <w:tcBorders>
                    <w:top w:val="single" w:color="auto" w:sz="4" w:space="0"/>
                    <w:left w:val="single" w:color="auto" w:sz="4" w:space="0"/>
                    <w:bottom w:val="single" w:color="auto" w:sz="4" w:space="0"/>
                    <w:right w:val="single" w:color="auto" w:sz="4" w:space="0"/>
                  </w:tcBorders>
                  <w:noWrap w:val="0"/>
                  <w:vAlign w:val="center"/>
                </w:tcPr>
                <w:p w14:paraId="250DC4B6">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持续时间</w:t>
                  </w:r>
                </w:p>
                <w:p w14:paraId="6ACBC3AC">
                  <w:pPr>
                    <w:pStyle w:val="82"/>
                    <w:spacing w:line="240" w:lineRule="auto"/>
                    <w:ind w:left="0" w:leftChars="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h/a</w:t>
                  </w:r>
                </w:p>
              </w:tc>
              <w:tc>
                <w:tcPr>
                  <w:tcW w:w="550" w:type="dxa"/>
                  <w:tcBorders>
                    <w:top w:val="single" w:color="auto" w:sz="4" w:space="0"/>
                    <w:left w:val="single" w:color="auto" w:sz="4" w:space="0"/>
                    <w:bottom w:val="single" w:color="auto" w:sz="4" w:space="0"/>
                    <w:right w:val="single" w:color="auto" w:sz="4" w:space="0"/>
                  </w:tcBorders>
                  <w:noWrap w:val="0"/>
                  <w:vAlign w:val="center"/>
                </w:tcPr>
                <w:p w14:paraId="05AA86BB">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排放形式</w:t>
                  </w:r>
                </w:p>
              </w:tc>
            </w:tr>
            <w:tr w14:paraId="2FDEB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71" w:type="dxa"/>
                  <w:tcBorders>
                    <w:top w:val="single" w:color="auto" w:sz="2" w:space="0"/>
                    <w:left w:val="single" w:color="auto" w:sz="4" w:space="0"/>
                    <w:bottom w:val="single" w:color="auto" w:sz="2" w:space="0"/>
                    <w:right w:val="single" w:color="auto" w:sz="4" w:space="0"/>
                  </w:tcBorders>
                  <w:noWrap w:val="0"/>
                  <w:vAlign w:val="center"/>
                </w:tcPr>
                <w:p w14:paraId="4E9EF690">
                  <w:pPr>
                    <w:spacing w:line="240" w:lineRule="auto"/>
                    <w:jc w:val="center"/>
                    <w:rPr>
                      <w:rFonts w:hint="default" w:cs="Times New Roman"/>
                      <w:bCs/>
                      <w:color w:val="auto"/>
                      <w:sz w:val="18"/>
                      <w:szCs w:val="18"/>
                      <w:highlight w:val="none"/>
                      <w:lang w:val="en-US" w:eastAsia="zh-CN"/>
                    </w:rPr>
                  </w:pPr>
                  <w:r>
                    <w:rPr>
                      <w:rFonts w:hint="default" w:cs="Times New Roman"/>
                      <w:bCs/>
                      <w:color w:val="auto"/>
                      <w:sz w:val="18"/>
                      <w:szCs w:val="18"/>
                      <w:highlight w:val="none"/>
                      <w:lang w:val="en-US" w:eastAsia="zh-CN"/>
                    </w:rPr>
                    <w:t>磨边轮生产线配料、筛分、混料</w:t>
                  </w:r>
                </w:p>
              </w:tc>
              <w:tc>
                <w:tcPr>
                  <w:tcW w:w="468" w:type="dxa"/>
                  <w:tcBorders>
                    <w:top w:val="single" w:color="auto" w:sz="4" w:space="0"/>
                    <w:left w:val="single" w:color="auto" w:sz="4" w:space="0"/>
                    <w:bottom w:val="single" w:color="auto" w:sz="4" w:space="0"/>
                    <w:right w:val="single" w:color="auto" w:sz="4" w:space="0"/>
                  </w:tcBorders>
                  <w:noWrap w:val="0"/>
                  <w:vAlign w:val="center"/>
                </w:tcPr>
                <w:p w14:paraId="16982C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8"/>
                      <w:szCs w:val="18"/>
                      <w:highlight w:val="none"/>
                      <w:vertAlign w:val="baseline"/>
                      <w:lang w:val="en-US" w:eastAsia="zh-CN"/>
                    </w:rPr>
                  </w:pPr>
                  <w:r>
                    <w:rPr>
                      <w:rFonts w:hint="eastAsia" w:ascii="Times New Roman" w:hAnsi="Times New Roman" w:cs="Times New Roman"/>
                      <w:bCs/>
                      <w:color w:val="auto"/>
                      <w:sz w:val="18"/>
                      <w:szCs w:val="18"/>
                      <w:highlight w:val="none"/>
                      <w:vertAlign w:val="baseline"/>
                      <w:lang w:val="en-US" w:eastAsia="zh-CN"/>
                    </w:rPr>
                    <w:t>颗粒物</w:t>
                  </w:r>
                </w:p>
              </w:tc>
              <w:tc>
                <w:tcPr>
                  <w:tcW w:w="85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1005268">
                  <w:pPr>
                    <w:keepNext w:val="0"/>
                    <w:keepLines w:val="0"/>
                    <w:widowControl/>
                    <w:suppressLineNumbers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0.0323</w:t>
                  </w:r>
                </w:p>
              </w:tc>
              <w:tc>
                <w:tcPr>
                  <w:tcW w:w="7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01BEDDA">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cs="Times New Roman"/>
                      <w:i w:val="0"/>
                      <w:iCs w:val="0"/>
                      <w:color w:val="auto"/>
                      <w:kern w:val="2"/>
                      <w:sz w:val="18"/>
                      <w:szCs w:val="18"/>
                      <w:highlight w:val="none"/>
                      <w:u w:val="none"/>
                      <w:lang w:val="en-US" w:eastAsia="zh-CN" w:bidi="ar"/>
                    </w:rPr>
                    <w:t>8.97</w:t>
                  </w:r>
                </w:p>
              </w:tc>
              <w:tc>
                <w:tcPr>
                  <w:tcW w:w="586" w:type="dxa"/>
                  <w:tcBorders>
                    <w:top w:val="single" w:color="auto" w:sz="4" w:space="0"/>
                    <w:left w:val="single" w:color="auto" w:sz="4" w:space="0"/>
                    <w:bottom w:val="single" w:color="auto" w:sz="4" w:space="0"/>
                    <w:right w:val="single" w:color="auto" w:sz="4" w:space="0"/>
                  </w:tcBorders>
                  <w:noWrap w:val="0"/>
                  <w:vAlign w:val="center"/>
                </w:tcPr>
                <w:p w14:paraId="61EF5885">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ascii="Times New Roman" w:hAnsi="Times New Roman" w:eastAsia="宋体" w:cs="Times New Roman"/>
                      <w:i w:val="0"/>
                      <w:iCs w:val="0"/>
                      <w:color w:val="auto"/>
                      <w:kern w:val="2"/>
                      <w:sz w:val="18"/>
                      <w:szCs w:val="18"/>
                      <w:highlight w:val="none"/>
                      <w:u w:val="none"/>
                      <w:lang w:val="en-US" w:eastAsia="zh-CN" w:bidi="ar"/>
                    </w:rPr>
                    <w:t>0.03</w:t>
                  </w:r>
                </w:p>
              </w:tc>
              <w:tc>
                <w:tcPr>
                  <w:tcW w:w="693" w:type="dxa"/>
                  <w:vMerge w:val="restart"/>
                  <w:tcBorders>
                    <w:top w:val="single" w:color="auto" w:sz="4" w:space="0"/>
                    <w:left w:val="single" w:color="auto" w:sz="4" w:space="0"/>
                    <w:right w:val="single" w:color="auto" w:sz="4" w:space="0"/>
                  </w:tcBorders>
                  <w:noWrap w:val="0"/>
                  <w:vAlign w:val="center"/>
                </w:tcPr>
                <w:p w14:paraId="0AFF2B88">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3000</w:t>
                  </w:r>
                </w:p>
              </w:tc>
              <w:tc>
                <w:tcPr>
                  <w:tcW w:w="342" w:type="dxa"/>
                  <w:vMerge w:val="restart"/>
                  <w:tcBorders>
                    <w:top w:val="single" w:color="auto" w:sz="4" w:space="0"/>
                    <w:left w:val="single" w:color="auto" w:sz="4" w:space="0"/>
                    <w:right w:val="single" w:color="auto" w:sz="4" w:space="0"/>
                  </w:tcBorders>
                  <w:noWrap w:val="0"/>
                  <w:vAlign w:val="center"/>
                </w:tcPr>
                <w:p w14:paraId="5D3ABCC0">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95</w:t>
                  </w:r>
                </w:p>
              </w:tc>
              <w:tc>
                <w:tcPr>
                  <w:tcW w:w="462" w:type="dxa"/>
                  <w:tcBorders>
                    <w:top w:val="single" w:color="auto" w:sz="4" w:space="0"/>
                    <w:left w:val="single" w:color="auto" w:sz="4" w:space="0"/>
                    <w:bottom w:val="single" w:color="auto" w:sz="4" w:space="0"/>
                    <w:right w:val="single" w:color="auto" w:sz="4" w:space="0"/>
                  </w:tcBorders>
                  <w:noWrap w:val="0"/>
                  <w:vAlign w:val="center"/>
                </w:tcPr>
                <w:p w14:paraId="2AFB083E">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1#布袋除尘器</w:t>
                  </w:r>
                </w:p>
              </w:tc>
              <w:tc>
                <w:tcPr>
                  <w:tcW w:w="341" w:type="dxa"/>
                  <w:vMerge w:val="restart"/>
                  <w:tcBorders>
                    <w:top w:val="single" w:color="auto" w:sz="4" w:space="0"/>
                    <w:left w:val="single" w:color="auto" w:sz="4" w:space="0"/>
                    <w:right w:val="single" w:color="auto" w:sz="4" w:space="0"/>
                  </w:tcBorders>
                  <w:noWrap w:val="0"/>
                  <w:vAlign w:val="center"/>
                </w:tcPr>
                <w:p w14:paraId="30CCDD0B">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59" w:type="dxa"/>
                  <w:vMerge w:val="restart"/>
                  <w:tcBorders>
                    <w:top w:val="single" w:color="auto" w:sz="4" w:space="0"/>
                    <w:left w:val="single" w:color="auto" w:sz="4" w:space="0"/>
                    <w:right w:val="single" w:color="auto" w:sz="4" w:space="0"/>
                  </w:tcBorders>
                  <w:noWrap w:val="0"/>
                  <w:vAlign w:val="center"/>
                </w:tcPr>
                <w:p w14:paraId="5E2C503F">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是</w:t>
                  </w:r>
                </w:p>
              </w:tc>
              <w:tc>
                <w:tcPr>
                  <w:tcW w:w="683" w:type="dxa"/>
                  <w:vMerge w:val="restart"/>
                  <w:tcBorders>
                    <w:top w:val="single" w:color="auto" w:sz="4" w:space="0"/>
                    <w:left w:val="single" w:color="auto" w:sz="4" w:space="0"/>
                    <w:right w:val="single" w:color="auto" w:sz="4" w:space="0"/>
                  </w:tcBorders>
                  <w:shd w:val="clear" w:color="auto" w:fill="auto"/>
                  <w:noWrap w:val="0"/>
                  <w:vAlign w:val="center"/>
                </w:tcPr>
                <w:p w14:paraId="3B025CFD">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w:t>
                  </w:r>
                  <w:r>
                    <w:rPr>
                      <w:rFonts w:hint="eastAsia" w:cs="Times New Roman"/>
                      <w:i w:val="0"/>
                      <w:iCs w:val="0"/>
                      <w:color w:val="auto"/>
                      <w:kern w:val="2"/>
                      <w:sz w:val="18"/>
                      <w:szCs w:val="18"/>
                      <w:highlight w:val="none"/>
                      <w:u w:val="none"/>
                      <w:lang w:val="en-US" w:eastAsia="zh-CN" w:bidi="ar-SA"/>
                    </w:rPr>
                    <w:t>3</w:t>
                  </w:r>
                </w:p>
              </w:tc>
              <w:tc>
                <w:tcPr>
                  <w:tcW w:w="748" w:type="dxa"/>
                  <w:vMerge w:val="restart"/>
                  <w:tcBorders>
                    <w:top w:val="single" w:color="auto" w:sz="4" w:space="0"/>
                    <w:left w:val="single" w:color="auto" w:sz="4" w:space="0"/>
                    <w:right w:val="single" w:color="auto" w:sz="4" w:space="0"/>
                  </w:tcBorders>
                  <w:shd w:val="clear" w:color="auto" w:fill="auto"/>
                  <w:noWrap w:val="0"/>
                  <w:vAlign w:val="center"/>
                </w:tcPr>
                <w:p w14:paraId="3DF4A77D">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w:t>
                  </w:r>
                  <w:r>
                    <w:rPr>
                      <w:rFonts w:hint="eastAsia" w:cs="Times New Roman"/>
                      <w:i w:val="0"/>
                      <w:iCs w:val="0"/>
                      <w:color w:val="auto"/>
                      <w:kern w:val="2"/>
                      <w:sz w:val="18"/>
                      <w:szCs w:val="18"/>
                      <w:highlight w:val="none"/>
                      <w:u w:val="none"/>
                      <w:lang w:val="en-US" w:eastAsia="zh-CN" w:bidi="ar-SA"/>
                    </w:rPr>
                    <w:t>93</w:t>
                  </w:r>
                </w:p>
              </w:tc>
              <w:tc>
                <w:tcPr>
                  <w:tcW w:w="821" w:type="dxa"/>
                  <w:vMerge w:val="restart"/>
                  <w:tcBorders>
                    <w:top w:val="single" w:color="auto" w:sz="4" w:space="0"/>
                    <w:left w:val="single" w:color="auto" w:sz="4" w:space="0"/>
                    <w:right w:val="single" w:color="auto" w:sz="4" w:space="0"/>
                  </w:tcBorders>
                  <w:shd w:val="clear" w:color="auto" w:fill="auto"/>
                  <w:noWrap w:val="0"/>
                  <w:vAlign w:val="center"/>
                </w:tcPr>
                <w:p w14:paraId="4F58F0BB">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w:t>
                  </w:r>
                  <w:r>
                    <w:rPr>
                      <w:rFonts w:hint="eastAsia" w:cs="Times New Roman"/>
                      <w:i w:val="0"/>
                      <w:iCs w:val="0"/>
                      <w:color w:val="auto"/>
                      <w:kern w:val="2"/>
                      <w:sz w:val="18"/>
                      <w:szCs w:val="18"/>
                      <w:highlight w:val="none"/>
                      <w:u w:val="none"/>
                      <w:lang w:val="en-US" w:eastAsia="zh-CN" w:bidi="ar-SA"/>
                    </w:rPr>
                    <w:t>03</w:t>
                  </w:r>
                </w:p>
              </w:tc>
              <w:tc>
                <w:tcPr>
                  <w:tcW w:w="373" w:type="dxa"/>
                  <w:vMerge w:val="restart"/>
                  <w:tcBorders>
                    <w:top w:val="single" w:color="auto" w:sz="4" w:space="0"/>
                    <w:left w:val="single" w:color="auto" w:sz="4" w:space="0"/>
                    <w:right w:val="single" w:color="auto" w:sz="4" w:space="0"/>
                  </w:tcBorders>
                  <w:noWrap w:val="0"/>
                  <w:vAlign w:val="center"/>
                </w:tcPr>
                <w:p w14:paraId="071157F3">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1200</w:t>
                  </w:r>
                </w:p>
              </w:tc>
              <w:tc>
                <w:tcPr>
                  <w:tcW w:w="550" w:type="dxa"/>
                  <w:vMerge w:val="restart"/>
                  <w:tcBorders>
                    <w:top w:val="single" w:color="auto" w:sz="4" w:space="0"/>
                    <w:left w:val="single" w:color="auto" w:sz="4" w:space="0"/>
                    <w:right w:val="single" w:color="auto" w:sz="4" w:space="0"/>
                  </w:tcBorders>
                  <w:noWrap w:val="0"/>
                  <w:vAlign w:val="center"/>
                </w:tcPr>
                <w:p w14:paraId="38696FFF">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DA001</w:t>
                  </w:r>
                </w:p>
              </w:tc>
            </w:tr>
            <w:tr w14:paraId="2BF78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71" w:type="dxa"/>
                  <w:tcBorders>
                    <w:top w:val="single" w:color="auto" w:sz="2" w:space="0"/>
                    <w:left w:val="single" w:color="auto" w:sz="4" w:space="0"/>
                    <w:bottom w:val="single" w:color="auto" w:sz="2" w:space="0"/>
                    <w:right w:val="single" w:color="auto" w:sz="4" w:space="0"/>
                  </w:tcBorders>
                  <w:noWrap w:val="0"/>
                  <w:vAlign w:val="center"/>
                </w:tcPr>
                <w:p w14:paraId="71F58DEE">
                  <w:pPr>
                    <w:spacing w:line="240" w:lineRule="auto"/>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喷砂过程</w:t>
                  </w:r>
                </w:p>
              </w:tc>
              <w:tc>
                <w:tcPr>
                  <w:tcW w:w="468" w:type="dxa"/>
                  <w:tcBorders>
                    <w:top w:val="single" w:color="auto" w:sz="4" w:space="0"/>
                    <w:left w:val="single" w:color="auto" w:sz="4" w:space="0"/>
                    <w:bottom w:val="single" w:color="auto" w:sz="4" w:space="0"/>
                    <w:right w:val="single" w:color="auto" w:sz="4" w:space="0"/>
                  </w:tcBorders>
                  <w:noWrap w:val="0"/>
                  <w:vAlign w:val="center"/>
                </w:tcPr>
                <w:p w14:paraId="6A5EB5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Cs/>
                      <w:color w:val="auto"/>
                      <w:sz w:val="18"/>
                      <w:szCs w:val="18"/>
                      <w:highlight w:val="none"/>
                      <w:vertAlign w:val="baseline"/>
                      <w:lang w:val="en-US" w:eastAsia="zh-CN"/>
                    </w:rPr>
                  </w:pPr>
                  <w:r>
                    <w:rPr>
                      <w:rFonts w:hint="eastAsia" w:ascii="Times New Roman" w:hAnsi="Times New Roman" w:cs="Times New Roman"/>
                      <w:bCs/>
                      <w:color w:val="auto"/>
                      <w:sz w:val="18"/>
                      <w:szCs w:val="18"/>
                      <w:highlight w:val="none"/>
                      <w:vertAlign w:val="baseline"/>
                      <w:lang w:val="en-US" w:eastAsia="zh-CN"/>
                    </w:rPr>
                    <w:t>颗粒物</w:t>
                  </w:r>
                </w:p>
              </w:tc>
              <w:tc>
                <w:tcPr>
                  <w:tcW w:w="85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B0EE1BE">
                  <w:pPr>
                    <w:keepNext w:val="0"/>
                    <w:keepLines w:val="0"/>
                    <w:widowControl/>
                    <w:suppressLineNumbers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0.035</w:t>
                  </w:r>
                </w:p>
              </w:tc>
              <w:tc>
                <w:tcPr>
                  <w:tcW w:w="7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39CE521">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cs="Times New Roman"/>
                      <w:color w:val="auto"/>
                      <w:kern w:val="2"/>
                      <w:sz w:val="18"/>
                      <w:szCs w:val="18"/>
                      <w:highlight w:val="none"/>
                      <w:lang w:val="en-US" w:eastAsia="zh-CN" w:bidi="ar-SA"/>
                    </w:rPr>
                    <w:t>9.72</w:t>
                  </w:r>
                </w:p>
              </w:tc>
              <w:tc>
                <w:tcPr>
                  <w:tcW w:w="586" w:type="dxa"/>
                  <w:tcBorders>
                    <w:top w:val="single" w:color="auto" w:sz="4" w:space="0"/>
                    <w:left w:val="single" w:color="auto" w:sz="4" w:space="0"/>
                    <w:bottom w:val="single" w:color="auto" w:sz="4" w:space="0"/>
                    <w:right w:val="single" w:color="auto" w:sz="4" w:space="0"/>
                  </w:tcBorders>
                  <w:noWrap w:val="0"/>
                  <w:vAlign w:val="center"/>
                </w:tcPr>
                <w:p w14:paraId="57CF229E">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cs="Times New Roman"/>
                      <w:i w:val="0"/>
                      <w:iCs w:val="0"/>
                      <w:color w:val="auto"/>
                      <w:kern w:val="2"/>
                      <w:sz w:val="18"/>
                      <w:szCs w:val="18"/>
                      <w:highlight w:val="none"/>
                      <w:u w:val="none"/>
                      <w:lang w:val="en-US" w:eastAsia="zh-CN" w:bidi="ar"/>
                    </w:rPr>
                    <w:t>0.03</w:t>
                  </w:r>
                </w:p>
              </w:tc>
              <w:tc>
                <w:tcPr>
                  <w:tcW w:w="693" w:type="dxa"/>
                  <w:vMerge w:val="continue"/>
                  <w:tcBorders>
                    <w:left w:val="single" w:color="auto" w:sz="4" w:space="0"/>
                    <w:right w:val="single" w:color="auto" w:sz="4" w:space="0"/>
                  </w:tcBorders>
                  <w:noWrap w:val="0"/>
                  <w:vAlign w:val="center"/>
                </w:tcPr>
                <w:p w14:paraId="50047FF3">
                  <w:pPr>
                    <w:spacing w:line="240" w:lineRule="auto"/>
                    <w:jc w:val="center"/>
                    <w:rPr>
                      <w:rFonts w:hint="eastAsia" w:cs="Times New Roman"/>
                      <w:color w:val="auto"/>
                      <w:sz w:val="18"/>
                      <w:szCs w:val="18"/>
                      <w:highlight w:val="none"/>
                      <w:lang w:val="en-US" w:eastAsia="zh-CN"/>
                    </w:rPr>
                  </w:pPr>
                </w:p>
              </w:tc>
              <w:tc>
                <w:tcPr>
                  <w:tcW w:w="342" w:type="dxa"/>
                  <w:vMerge w:val="continue"/>
                  <w:tcBorders>
                    <w:left w:val="single" w:color="auto" w:sz="4" w:space="0"/>
                    <w:right w:val="single" w:color="auto" w:sz="4" w:space="0"/>
                  </w:tcBorders>
                  <w:noWrap w:val="0"/>
                  <w:vAlign w:val="center"/>
                </w:tcPr>
                <w:p w14:paraId="4F361871">
                  <w:pPr>
                    <w:spacing w:line="240" w:lineRule="auto"/>
                    <w:jc w:val="center"/>
                    <w:rPr>
                      <w:rFonts w:hint="eastAsia" w:ascii="Times New Roman" w:hAnsi="Times New Roman" w:eastAsia="宋体" w:cs="Times New Roman"/>
                      <w:color w:val="auto"/>
                      <w:sz w:val="18"/>
                      <w:szCs w:val="18"/>
                      <w:highlight w:val="none"/>
                      <w:lang w:val="en-US" w:eastAsia="zh-CN"/>
                    </w:rPr>
                  </w:pPr>
                </w:p>
              </w:tc>
              <w:tc>
                <w:tcPr>
                  <w:tcW w:w="462" w:type="dxa"/>
                  <w:tcBorders>
                    <w:top w:val="single" w:color="auto" w:sz="4" w:space="0"/>
                    <w:left w:val="single" w:color="auto" w:sz="4" w:space="0"/>
                    <w:bottom w:val="single" w:color="auto" w:sz="4" w:space="0"/>
                    <w:right w:val="single" w:color="auto" w:sz="4" w:space="0"/>
                  </w:tcBorders>
                  <w:noWrap w:val="0"/>
                  <w:vAlign w:val="center"/>
                </w:tcPr>
                <w:p w14:paraId="46B563AA">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自带布袋除尘器</w:t>
                  </w:r>
                </w:p>
              </w:tc>
              <w:tc>
                <w:tcPr>
                  <w:tcW w:w="341" w:type="dxa"/>
                  <w:vMerge w:val="continue"/>
                  <w:tcBorders>
                    <w:left w:val="single" w:color="auto" w:sz="4" w:space="0"/>
                    <w:bottom w:val="single" w:color="auto" w:sz="4" w:space="0"/>
                    <w:right w:val="single" w:color="auto" w:sz="4" w:space="0"/>
                  </w:tcBorders>
                  <w:noWrap w:val="0"/>
                  <w:vAlign w:val="center"/>
                </w:tcPr>
                <w:p w14:paraId="6813CE87">
                  <w:pPr>
                    <w:spacing w:line="240" w:lineRule="auto"/>
                    <w:jc w:val="center"/>
                    <w:rPr>
                      <w:rFonts w:hint="eastAsia" w:cs="Times New Roman"/>
                      <w:color w:val="auto"/>
                      <w:sz w:val="18"/>
                      <w:szCs w:val="18"/>
                      <w:highlight w:val="none"/>
                      <w:lang w:val="en-US" w:eastAsia="zh-CN"/>
                    </w:rPr>
                  </w:pPr>
                </w:p>
              </w:tc>
              <w:tc>
                <w:tcPr>
                  <w:tcW w:w="359" w:type="dxa"/>
                  <w:vMerge w:val="continue"/>
                  <w:tcBorders>
                    <w:left w:val="single" w:color="auto" w:sz="4" w:space="0"/>
                    <w:bottom w:val="single" w:color="auto" w:sz="4" w:space="0"/>
                    <w:right w:val="single" w:color="auto" w:sz="4" w:space="0"/>
                  </w:tcBorders>
                  <w:noWrap w:val="0"/>
                  <w:vAlign w:val="center"/>
                </w:tcPr>
                <w:p w14:paraId="2D463EEE">
                  <w:pPr>
                    <w:spacing w:line="240" w:lineRule="auto"/>
                    <w:jc w:val="center"/>
                    <w:rPr>
                      <w:rFonts w:hint="eastAsia" w:ascii="Times New Roman" w:hAnsi="Times New Roman" w:eastAsia="宋体" w:cs="Times New Roman"/>
                      <w:color w:val="auto"/>
                      <w:sz w:val="18"/>
                      <w:szCs w:val="18"/>
                      <w:highlight w:val="none"/>
                      <w:lang w:val="en-US" w:eastAsia="zh-CN"/>
                    </w:rPr>
                  </w:pPr>
                </w:p>
              </w:tc>
              <w:tc>
                <w:tcPr>
                  <w:tcW w:w="683" w:type="dxa"/>
                  <w:vMerge w:val="continue"/>
                  <w:tcBorders>
                    <w:left w:val="single" w:color="auto" w:sz="4" w:space="0"/>
                    <w:bottom w:val="single" w:color="auto" w:sz="4" w:space="0"/>
                    <w:right w:val="single" w:color="auto" w:sz="4" w:space="0"/>
                  </w:tcBorders>
                  <w:shd w:val="clear" w:color="auto" w:fill="auto"/>
                  <w:noWrap w:val="0"/>
                  <w:vAlign w:val="center"/>
                </w:tcPr>
                <w:p w14:paraId="2DC4C4F2">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p>
              </w:tc>
              <w:tc>
                <w:tcPr>
                  <w:tcW w:w="748" w:type="dxa"/>
                  <w:vMerge w:val="continue"/>
                  <w:tcBorders>
                    <w:left w:val="single" w:color="auto" w:sz="4" w:space="0"/>
                    <w:bottom w:val="single" w:color="auto" w:sz="4" w:space="0"/>
                    <w:right w:val="single" w:color="auto" w:sz="4" w:space="0"/>
                  </w:tcBorders>
                  <w:shd w:val="clear" w:color="auto" w:fill="auto"/>
                  <w:noWrap w:val="0"/>
                  <w:vAlign w:val="center"/>
                </w:tcPr>
                <w:p w14:paraId="114A11FE">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p>
              </w:tc>
              <w:tc>
                <w:tcPr>
                  <w:tcW w:w="821" w:type="dxa"/>
                  <w:vMerge w:val="continue"/>
                  <w:tcBorders>
                    <w:left w:val="single" w:color="auto" w:sz="4" w:space="0"/>
                    <w:bottom w:val="single" w:color="auto" w:sz="4" w:space="0"/>
                    <w:right w:val="single" w:color="auto" w:sz="4" w:space="0"/>
                  </w:tcBorders>
                  <w:shd w:val="clear" w:color="auto" w:fill="auto"/>
                  <w:noWrap w:val="0"/>
                  <w:vAlign w:val="center"/>
                </w:tcPr>
                <w:p w14:paraId="34533869">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p>
              </w:tc>
              <w:tc>
                <w:tcPr>
                  <w:tcW w:w="373" w:type="dxa"/>
                  <w:vMerge w:val="continue"/>
                  <w:tcBorders>
                    <w:left w:val="single" w:color="auto" w:sz="4" w:space="0"/>
                    <w:right w:val="single" w:color="auto" w:sz="4" w:space="0"/>
                  </w:tcBorders>
                  <w:noWrap w:val="0"/>
                  <w:vAlign w:val="center"/>
                </w:tcPr>
                <w:p w14:paraId="40AAD4C3">
                  <w:pPr>
                    <w:spacing w:line="240" w:lineRule="auto"/>
                    <w:jc w:val="center"/>
                    <w:rPr>
                      <w:rFonts w:hint="eastAsia" w:cs="Times New Roman"/>
                      <w:color w:val="auto"/>
                      <w:sz w:val="18"/>
                      <w:szCs w:val="18"/>
                      <w:highlight w:val="none"/>
                      <w:lang w:val="en-US" w:eastAsia="zh-CN"/>
                    </w:rPr>
                  </w:pPr>
                </w:p>
              </w:tc>
              <w:tc>
                <w:tcPr>
                  <w:tcW w:w="550" w:type="dxa"/>
                  <w:vMerge w:val="continue"/>
                  <w:tcBorders>
                    <w:left w:val="single" w:color="auto" w:sz="4" w:space="0"/>
                    <w:right w:val="single" w:color="auto" w:sz="4" w:space="0"/>
                  </w:tcBorders>
                  <w:noWrap w:val="0"/>
                  <w:vAlign w:val="center"/>
                </w:tcPr>
                <w:p w14:paraId="748B8521">
                  <w:pPr>
                    <w:spacing w:line="240" w:lineRule="auto"/>
                    <w:jc w:val="center"/>
                    <w:rPr>
                      <w:rFonts w:hint="eastAsia" w:cs="Times New Roman"/>
                      <w:color w:val="auto"/>
                      <w:sz w:val="18"/>
                      <w:szCs w:val="18"/>
                      <w:highlight w:val="none"/>
                      <w:lang w:val="en-US" w:eastAsia="zh-CN"/>
                    </w:rPr>
                  </w:pPr>
                </w:p>
              </w:tc>
            </w:tr>
          </w:tbl>
          <w:p w14:paraId="33A2ABC3">
            <w:pPr>
              <w:adjustRightInd w:val="0"/>
              <w:snapToGrid w:val="0"/>
              <w:spacing w:line="360" w:lineRule="auto"/>
              <w:ind w:firstLine="420" w:firstLineChars="200"/>
              <w:rPr>
                <w:rFonts w:hint="eastAsia" w:eastAsia="宋体" w:cs="Times New Roman"/>
                <w:color w:val="auto"/>
                <w:szCs w:val="21"/>
                <w:highlight w:val="none"/>
                <w:lang w:val="en-US" w:eastAsia="zh-CN"/>
              </w:rPr>
            </w:pPr>
            <w:r>
              <w:rPr>
                <w:rFonts w:hint="eastAsia"/>
                <w:color w:val="auto"/>
                <w:highlight w:val="none"/>
                <w:lang w:val="en-US" w:eastAsia="zh-CN"/>
              </w:rPr>
              <w:t>由上表可知，本项目DA001排气筒颗粒物排放浓度满足</w:t>
            </w:r>
            <w:r>
              <w:rPr>
                <w:color w:val="auto"/>
                <w:highlight w:val="none"/>
              </w:rPr>
              <w:t>《区域性大气污染物综合排放标准》（DB37/2376-2019）表1中“重点控制区”标准限值（颗粒物10mg/m</w:t>
            </w:r>
            <w:r>
              <w:rPr>
                <w:color w:val="auto"/>
                <w:highlight w:val="none"/>
                <w:vertAlign w:val="superscript"/>
              </w:rPr>
              <w:t>3</w:t>
            </w:r>
            <w:r>
              <w:rPr>
                <w:color w:val="auto"/>
                <w:highlight w:val="none"/>
              </w:rPr>
              <w:t>）</w:t>
            </w:r>
            <w:r>
              <w:rPr>
                <w:rFonts w:hint="eastAsia"/>
                <w:color w:val="auto"/>
                <w:highlight w:val="none"/>
                <w:lang w:eastAsia="zh-CN"/>
              </w:rPr>
              <w:t>。</w:t>
            </w:r>
          </w:p>
          <w:p w14:paraId="6B307BBC">
            <w:pPr>
              <w:adjustRightInd w:val="0"/>
              <w:snapToGrid w:val="0"/>
              <w:spacing w:line="360" w:lineRule="auto"/>
              <w:ind w:firstLine="420" w:firstLineChars="200"/>
              <w:rPr>
                <w:rFonts w:hint="eastAsia" w:cs="Times New Roman"/>
                <w:color w:val="auto"/>
                <w:szCs w:val="21"/>
                <w:highlight w:val="none"/>
                <w:lang w:val="en-US" w:eastAsia="zh-CN"/>
              </w:rPr>
            </w:pPr>
            <w:r>
              <w:rPr>
                <w:rFonts w:hint="default" w:ascii="Calibri" w:hAnsi="Calibri" w:cs="Calibri"/>
                <w:color w:val="auto"/>
                <w:szCs w:val="21"/>
                <w:highlight w:val="none"/>
                <w:lang w:val="en-US" w:eastAsia="zh-CN"/>
              </w:rPr>
              <w:t>②</w:t>
            </w:r>
            <w:r>
              <w:rPr>
                <w:rFonts w:hint="eastAsia" w:cs="Times New Roman"/>
                <w:color w:val="auto"/>
                <w:kern w:val="2"/>
                <w:sz w:val="21"/>
                <w:szCs w:val="24"/>
                <w:highlight w:val="none"/>
                <w:lang w:val="en-US" w:eastAsia="zh-CN" w:bidi="ar-SA"/>
              </w:rPr>
              <w:t>弹性磨块生产线配料、筛分、混料过程</w:t>
            </w:r>
            <w:r>
              <w:rPr>
                <w:rFonts w:hint="eastAsia" w:ascii="Times New Roman" w:hAnsi="Times New Roman" w:eastAsia="宋体" w:cs="Times New Roman"/>
                <w:color w:val="auto"/>
                <w:szCs w:val="21"/>
                <w:highlight w:val="none"/>
                <w:lang w:val="en-US" w:eastAsia="zh-CN"/>
              </w:rPr>
              <w:t>有组织排放</w:t>
            </w:r>
          </w:p>
          <w:p w14:paraId="297FEA5A">
            <w:pPr>
              <w:adjustRightInd w:val="0"/>
              <w:snapToGrid w:val="0"/>
              <w:spacing w:line="360" w:lineRule="auto"/>
              <w:ind w:firstLine="420" w:firstLineChars="200"/>
              <w:rPr>
                <w:rFonts w:hint="eastAsia" w:ascii="Times New Roman" w:hAnsi="Times New Roman" w:eastAsia="宋体" w:cs="Times New Roman"/>
                <w:color w:val="auto"/>
                <w:szCs w:val="21"/>
                <w:highlight w:val="none"/>
                <w:lang w:val="de-DE" w:eastAsia="zh-CN"/>
              </w:rPr>
            </w:pPr>
            <w:r>
              <w:rPr>
                <w:rFonts w:hint="eastAsia" w:cs="Times New Roman"/>
                <w:color w:val="auto"/>
                <w:kern w:val="2"/>
                <w:sz w:val="21"/>
                <w:szCs w:val="24"/>
                <w:highlight w:val="none"/>
                <w:lang w:val="en-US" w:eastAsia="zh-CN" w:bidi="ar-SA"/>
              </w:rPr>
              <w:t>弹性磨块生产线配料、筛分、混料过程产生的粉尘经集气罩收集，2#布袋除尘器处理后由15m高排气筒（DA002）有组织排放</w:t>
            </w:r>
            <w:r>
              <w:rPr>
                <w:rFonts w:hint="eastAsia" w:ascii="Times New Roman" w:hAnsi="Times New Roman" w:eastAsia="宋体" w:cs="Times New Roman"/>
                <w:color w:val="auto"/>
                <w:szCs w:val="21"/>
                <w:highlight w:val="none"/>
                <w:lang w:val="de-DE" w:eastAsia="zh-CN"/>
              </w:rPr>
              <w:t>；</w:t>
            </w:r>
          </w:p>
          <w:p w14:paraId="104C1F95">
            <w:pPr>
              <w:adjustRightInd w:val="0"/>
              <w:snapToGrid w:val="0"/>
              <w:spacing w:line="360" w:lineRule="auto"/>
              <w:ind w:firstLine="420" w:firstLineChars="200"/>
              <w:rPr>
                <w:rFonts w:hint="default" w:eastAsia="宋体"/>
                <w:color w:val="auto"/>
                <w:highlight w:val="none"/>
                <w:lang w:val="en-US" w:eastAsia="zh-CN"/>
              </w:rPr>
            </w:pPr>
            <w:r>
              <w:rPr>
                <w:rFonts w:hint="eastAsia" w:cs="Times New Roman"/>
                <w:color w:val="auto"/>
                <w:kern w:val="2"/>
                <w:sz w:val="21"/>
                <w:szCs w:val="24"/>
                <w:highlight w:val="none"/>
                <w:lang w:val="en-US" w:eastAsia="zh-CN" w:bidi="ar-SA"/>
              </w:rPr>
              <w:t>弹性磨块生产线配料过程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0.025t</w:t>
            </w:r>
            <w:r>
              <w:rPr>
                <w:rFonts w:hint="eastAsia"/>
                <w:color w:val="auto"/>
                <w:sz w:val="21"/>
                <w:szCs w:val="16"/>
                <w:highlight w:val="none"/>
              </w:rPr>
              <w:t>/a</w:t>
            </w:r>
            <w:r>
              <w:rPr>
                <w:rFonts w:hint="eastAsia"/>
                <w:color w:val="auto"/>
                <w:sz w:val="21"/>
                <w:szCs w:val="16"/>
                <w:highlight w:val="none"/>
                <w:lang w:eastAsia="zh-CN"/>
              </w:rPr>
              <w:t>，</w:t>
            </w:r>
            <w:r>
              <w:rPr>
                <w:rFonts w:hint="eastAsia" w:cs="Times New Roman"/>
                <w:color w:val="auto"/>
                <w:kern w:val="2"/>
                <w:sz w:val="21"/>
                <w:szCs w:val="24"/>
                <w:highlight w:val="none"/>
                <w:lang w:val="en-US" w:eastAsia="zh-CN" w:bidi="ar-SA"/>
              </w:rPr>
              <w:t>筛分过程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0.011t</w:t>
            </w:r>
            <w:r>
              <w:rPr>
                <w:rFonts w:hint="eastAsia"/>
                <w:color w:val="auto"/>
                <w:sz w:val="21"/>
                <w:szCs w:val="16"/>
                <w:highlight w:val="none"/>
              </w:rPr>
              <w:t>/a</w:t>
            </w:r>
            <w:r>
              <w:rPr>
                <w:rFonts w:hint="eastAsia"/>
                <w:color w:val="auto"/>
                <w:sz w:val="21"/>
                <w:szCs w:val="16"/>
                <w:highlight w:val="none"/>
                <w:lang w:eastAsia="zh-CN"/>
              </w:rPr>
              <w:t>，</w:t>
            </w:r>
            <w:r>
              <w:rPr>
                <w:rFonts w:hint="eastAsia" w:cs="Times New Roman"/>
                <w:color w:val="auto"/>
                <w:kern w:val="2"/>
                <w:sz w:val="21"/>
                <w:szCs w:val="24"/>
                <w:highlight w:val="none"/>
                <w:lang w:val="en-US" w:eastAsia="zh-CN" w:bidi="ar-SA"/>
              </w:rPr>
              <w:t>混料过程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0.025t</w:t>
            </w:r>
            <w:r>
              <w:rPr>
                <w:rFonts w:hint="eastAsia"/>
                <w:color w:val="auto"/>
                <w:sz w:val="21"/>
                <w:szCs w:val="16"/>
                <w:highlight w:val="none"/>
              </w:rPr>
              <w:t>/a</w:t>
            </w:r>
            <w:r>
              <w:rPr>
                <w:rFonts w:hint="eastAsia" w:cs="Times New Roman"/>
                <w:color w:val="auto"/>
                <w:kern w:val="2"/>
                <w:sz w:val="21"/>
                <w:szCs w:val="24"/>
                <w:highlight w:val="none"/>
                <w:lang w:val="en-US" w:eastAsia="zh-CN" w:bidi="ar-SA"/>
              </w:rPr>
              <w:t>，总计</w:t>
            </w:r>
            <w:r>
              <w:rPr>
                <w:rFonts w:hint="eastAsia"/>
                <w:color w:val="auto"/>
                <w:sz w:val="21"/>
                <w:szCs w:val="16"/>
                <w:highlight w:val="none"/>
                <w:lang w:val="en-US" w:eastAsia="zh-CN"/>
              </w:rPr>
              <w:t>0.061t</w:t>
            </w:r>
            <w:r>
              <w:rPr>
                <w:rFonts w:hint="eastAsia"/>
                <w:color w:val="auto"/>
                <w:sz w:val="21"/>
                <w:szCs w:val="16"/>
                <w:highlight w:val="none"/>
              </w:rPr>
              <w:t>/a</w:t>
            </w:r>
            <w:r>
              <w:rPr>
                <w:rFonts w:hint="eastAsia"/>
                <w:color w:val="auto"/>
                <w:sz w:val="21"/>
                <w:szCs w:val="16"/>
                <w:highlight w:val="none"/>
                <w:lang w:eastAsia="zh-CN"/>
              </w:rPr>
              <w:t>，</w:t>
            </w:r>
            <w:r>
              <w:rPr>
                <w:rFonts w:hint="eastAsia"/>
                <w:color w:val="auto"/>
                <w:sz w:val="21"/>
                <w:szCs w:val="16"/>
                <w:highlight w:val="none"/>
                <w:lang w:val="en-US" w:eastAsia="zh-CN"/>
              </w:rPr>
              <w:t>集气罩收集效率为95%，布袋</w:t>
            </w:r>
            <w:r>
              <w:rPr>
                <w:rFonts w:hint="default" w:ascii="Times New Roman" w:hAnsi="Times New Roman" w:eastAsia="宋体" w:cs="Times New Roman"/>
                <w:color w:val="auto"/>
                <w:szCs w:val="21"/>
                <w:highlight w:val="none"/>
                <w:lang w:val="de-DE" w:eastAsia="zh-CN"/>
              </w:rPr>
              <w:t>除尘器</w:t>
            </w:r>
            <w:r>
              <w:rPr>
                <w:rFonts w:hint="eastAsia" w:ascii="Times New Roman" w:hAnsi="Times New Roman" w:eastAsia="宋体" w:cs="Times New Roman"/>
                <w:color w:val="auto"/>
                <w:szCs w:val="21"/>
                <w:highlight w:val="none"/>
                <w:lang w:val="en-US" w:eastAsia="zh-CN"/>
              </w:rPr>
              <w:t>处理效率为95%，年工作时间为1200h，则</w:t>
            </w:r>
            <w:r>
              <w:rPr>
                <w:rFonts w:hint="eastAsia" w:cs="Times New Roman"/>
                <w:color w:val="auto"/>
                <w:szCs w:val="21"/>
                <w:highlight w:val="none"/>
                <w:lang w:val="en-US" w:eastAsia="zh-CN"/>
              </w:rPr>
              <w:t>弹性磨块</w:t>
            </w:r>
            <w:r>
              <w:rPr>
                <w:rFonts w:hint="eastAsia" w:cs="Times New Roman"/>
                <w:color w:val="auto"/>
                <w:kern w:val="2"/>
                <w:sz w:val="21"/>
                <w:szCs w:val="24"/>
                <w:highlight w:val="none"/>
                <w:lang w:val="en-US" w:eastAsia="zh-CN" w:bidi="ar-SA"/>
              </w:rPr>
              <w:t>生产线配料、筛分、混料过程</w:t>
            </w:r>
            <w:r>
              <w:rPr>
                <w:rFonts w:hint="eastAsia" w:cs="Times New Roman"/>
                <w:bCs/>
                <w:color w:val="auto"/>
                <w:sz w:val="21"/>
                <w:szCs w:val="21"/>
                <w:highlight w:val="none"/>
                <w:vertAlign w:val="baseline"/>
                <w:lang w:val="en-US" w:eastAsia="zh-CN"/>
              </w:rPr>
              <w:t>污染物产生及排放情况见下表。</w:t>
            </w:r>
          </w:p>
          <w:p w14:paraId="1A81F6FF">
            <w:pPr>
              <w:pStyle w:val="82"/>
              <w:ind w:left="0" w:leftChars="0" w:firstLine="0" w:firstLineChars="0"/>
              <w:jc w:val="center"/>
              <w:rPr>
                <w:rFonts w:hint="default"/>
                <w:b/>
                <w:bCs w:val="0"/>
                <w:color w:val="auto"/>
                <w:highlight w:val="none"/>
                <w:lang w:val="en-US" w:eastAsia="zh-CN"/>
              </w:rPr>
            </w:pPr>
            <w:r>
              <w:rPr>
                <w:rFonts w:hint="eastAsia" w:cs="Times New Roman"/>
                <w:b/>
                <w:bCs w:val="0"/>
                <w:color w:val="auto"/>
                <w:sz w:val="21"/>
                <w:szCs w:val="21"/>
                <w:highlight w:val="none"/>
                <w:vertAlign w:val="baseline"/>
                <w:lang w:val="en-US" w:eastAsia="zh-CN"/>
              </w:rPr>
              <w:t>表</w:t>
            </w:r>
            <w:r>
              <w:rPr>
                <w:rFonts w:hint="eastAsia" w:ascii="Times New Roman" w:hAnsi="Times New Roman" w:eastAsia="宋体" w:cs="Times New Roman"/>
                <w:b/>
                <w:bCs w:val="0"/>
                <w:color w:val="auto"/>
                <w:sz w:val="21"/>
                <w:szCs w:val="21"/>
                <w:highlight w:val="none"/>
                <w:vertAlign w:val="baseline"/>
                <w:lang w:val="en-US" w:eastAsia="zh-CN"/>
              </w:rPr>
              <w:t>4-5</w:t>
            </w:r>
            <w:r>
              <w:rPr>
                <w:rFonts w:hint="eastAsia" w:cs="Times New Roman"/>
                <w:b/>
                <w:bCs w:val="0"/>
                <w:color w:val="auto"/>
                <w:sz w:val="21"/>
                <w:szCs w:val="21"/>
                <w:highlight w:val="none"/>
                <w:vertAlign w:val="baseline"/>
                <w:lang w:val="en-US" w:eastAsia="zh-CN"/>
              </w:rPr>
              <w:t>弹性磨块</w:t>
            </w:r>
            <w:r>
              <w:rPr>
                <w:rFonts w:hint="eastAsia" w:ascii="Times New Roman" w:hAnsi="Times New Roman" w:eastAsia="宋体" w:cs="Times New Roman"/>
                <w:b/>
                <w:bCs w:val="0"/>
                <w:color w:val="auto"/>
                <w:sz w:val="21"/>
                <w:szCs w:val="21"/>
                <w:highlight w:val="none"/>
                <w:vertAlign w:val="baseline"/>
                <w:lang w:val="en-US" w:eastAsia="zh-CN"/>
              </w:rPr>
              <w:t>生产线废气产</w:t>
            </w:r>
            <w:r>
              <w:rPr>
                <w:rFonts w:hint="eastAsia" w:cs="Times New Roman"/>
                <w:b/>
                <w:bCs w:val="0"/>
                <w:color w:val="auto"/>
                <w:sz w:val="21"/>
                <w:szCs w:val="21"/>
                <w:highlight w:val="none"/>
                <w:vertAlign w:val="baseline"/>
                <w:lang w:val="en-US" w:eastAsia="zh-CN"/>
              </w:rPr>
              <w:t>生及排放情况一览表</w:t>
            </w:r>
          </w:p>
          <w:tbl>
            <w:tblPr>
              <w:tblStyle w:val="83"/>
              <w:tblW w:w="84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1"/>
              <w:gridCol w:w="468"/>
              <w:gridCol w:w="855"/>
              <w:gridCol w:w="748"/>
              <w:gridCol w:w="586"/>
              <w:gridCol w:w="693"/>
              <w:gridCol w:w="342"/>
              <w:gridCol w:w="462"/>
              <w:gridCol w:w="341"/>
              <w:gridCol w:w="359"/>
              <w:gridCol w:w="683"/>
              <w:gridCol w:w="748"/>
              <w:gridCol w:w="821"/>
              <w:gridCol w:w="373"/>
              <w:gridCol w:w="550"/>
            </w:tblGrid>
            <w:tr w14:paraId="4CDB0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371" w:type="dxa"/>
                  <w:vMerge w:val="restart"/>
                  <w:tcBorders>
                    <w:top w:val="single" w:color="auto" w:sz="4" w:space="0"/>
                    <w:left w:val="single" w:color="auto" w:sz="4" w:space="0"/>
                    <w:bottom w:val="single" w:color="auto" w:sz="4" w:space="0"/>
                    <w:right w:val="single" w:color="auto" w:sz="4" w:space="0"/>
                  </w:tcBorders>
                  <w:noWrap w:val="0"/>
                  <w:vAlign w:val="center"/>
                </w:tcPr>
                <w:p w14:paraId="48BB3E44">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产污环节</w:t>
                  </w:r>
                </w:p>
              </w:tc>
              <w:tc>
                <w:tcPr>
                  <w:tcW w:w="468" w:type="dxa"/>
                  <w:vMerge w:val="restart"/>
                  <w:tcBorders>
                    <w:top w:val="single" w:color="auto" w:sz="4" w:space="0"/>
                    <w:left w:val="single" w:color="auto" w:sz="4" w:space="0"/>
                    <w:bottom w:val="single" w:color="auto" w:sz="4" w:space="0"/>
                    <w:right w:val="single" w:color="auto" w:sz="4" w:space="0"/>
                  </w:tcBorders>
                  <w:noWrap w:val="0"/>
                  <w:vAlign w:val="center"/>
                </w:tcPr>
                <w:p w14:paraId="7F3879D5">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p w14:paraId="7A83EC19">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种类</w:t>
                  </w:r>
                </w:p>
              </w:tc>
              <w:tc>
                <w:tcPr>
                  <w:tcW w:w="2189" w:type="dxa"/>
                  <w:gridSpan w:val="3"/>
                  <w:tcBorders>
                    <w:top w:val="single" w:color="auto" w:sz="4" w:space="0"/>
                    <w:left w:val="single" w:color="auto" w:sz="4" w:space="0"/>
                    <w:bottom w:val="single" w:color="auto" w:sz="4" w:space="0"/>
                    <w:right w:val="single" w:color="auto" w:sz="4" w:space="0"/>
                  </w:tcBorders>
                  <w:noWrap w:val="0"/>
                  <w:vAlign w:val="center"/>
                </w:tcPr>
                <w:p w14:paraId="23442A27">
                  <w:pPr>
                    <w:spacing w:line="240" w:lineRule="auto"/>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有组织</w:t>
                  </w:r>
                  <w:r>
                    <w:rPr>
                      <w:rFonts w:hint="default" w:ascii="Times New Roman" w:hAnsi="Times New Roman" w:eastAsia="宋体" w:cs="Times New Roman"/>
                      <w:color w:val="auto"/>
                      <w:sz w:val="18"/>
                      <w:szCs w:val="18"/>
                      <w:highlight w:val="none"/>
                    </w:rPr>
                    <w:t>污染物产生</w:t>
                  </w:r>
                </w:p>
              </w:tc>
              <w:tc>
                <w:tcPr>
                  <w:tcW w:w="2197" w:type="dxa"/>
                  <w:gridSpan w:val="5"/>
                  <w:tcBorders>
                    <w:top w:val="single" w:color="auto" w:sz="4" w:space="0"/>
                    <w:left w:val="single" w:color="auto" w:sz="4" w:space="0"/>
                    <w:bottom w:val="single" w:color="auto" w:sz="4" w:space="0"/>
                    <w:right w:val="single" w:color="auto" w:sz="4" w:space="0"/>
                  </w:tcBorders>
                  <w:noWrap w:val="0"/>
                  <w:vAlign w:val="center"/>
                </w:tcPr>
                <w:p w14:paraId="58B2FA19">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治理设施</w:t>
                  </w:r>
                </w:p>
              </w:tc>
              <w:tc>
                <w:tcPr>
                  <w:tcW w:w="3175" w:type="dxa"/>
                  <w:gridSpan w:val="5"/>
                  <w:tcBorders>
                    <w:top w:val="single" w:color="auto" w:sz="4" w:space="0"/>
                    <w:left w:val="single" w:color="auto" w:sz="4" w:space="0"/>
                    <w:bottom w:val="single" w:color="auto" w:sz="4" w:space="0"/>
                    <w:right w:val="single" w:color="auto" w:sz="4" w:space="0"/>
                  </w:tcBorders>
                  <w:noWrap w:val="0"/>
                  <w:vAlign w:val="center"/>
                </w:tcPr>
                <w:p w14:paraId="0B1C0B65">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污染物排放</w:t>
                  </w:r>
                </w:p>
              </w:tc>
            </w:tr>
            <w:tr w14:paraId="38CDC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71" w:type="dxa"/>
                  <w:vMerge w:val="continue"/>
                  <w:tcBorders>
                    <w:top w:val="single" w:color="auto" w:sz="4" w:space="0"/>
                    <w:left w:val="single" w:color="auto" w:sz="4" w:space="0"/>
                    <w:bottom w:val="single" w:color="auto" w:sz="4" w:space="0"/>
                    <w:right w:val="single" w:color="auto" w:sz="4" w:space="0"/>
                  </w:tcBorders>
                  <w:noWrap w:val="0"/>
                  <w:vAlign w:val="center"/>
                </w:tcPr>
                <w:p w14:paraId="7D2CA3F1">
                  <w:pPr>
                    <w:spacing w:line="240" w:lineRule="auto"/>
                    <w:jc w:val="center"/>
                    <w:rPr>
                      <w:rFonts w:hint="default" w:ascii="Times New Roman" w:hAnsi="Times New Roman" w:eastAsia="宋体" w:cs="Times New Roman"/>
                      <w:color w:val="auto"/>
                      <w:sz w:val="18"/>
                      <w:szCs w:val="18"/>
                      <w:highlight w:val="none"/>
                    </w:rPr>
                  </w:pPr>
                </w:p>
              </w:tc>
              <w:tc>
                <w:tcPr>
                  <w:tcW w:w="468" w:type="dxa"/>
                  <w:vMerge w:val="continue"/>
                  <w:tcBorders>
                    <w:top w:val="single" w:color="auto" w:sz="4" w:space="0"/>
                    <w:left w:val="single" w:color="auto" w:sz="4" w:space="0"/>
                    <w:bottom w:val="single" w:color="auto" w:sz="4" w:space="0"/>
                    <w:right w:val="single" w:color="auto" w:sz="4" w:space="0"/>
                  </w:tcBorders>
                  <w:noWrap w:val="0"/>
                  <w:vAlign w:val="center"/>
                </w:tcPr>
                <w:p w14:paraId="731D18D7">
                  <w:pPr>
                    <w:spacing w:line="240" w:lineRule="auto"/>
                    <w:jc w:val="center"/>
                    <w:rPr>
                      <w:rFonts w:hint="default" w:ascii="Times New Roman" w:hAnsi="Times New Roman" w:eastAsia="宋体" w:cs="Times New Roman"/>
                      <w:color w:val="auto"/>
                      <w:sz w:val="18"/>
                      <w:szCs w:val="18"/>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14:paraId="02079851">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产生</w:t>
                  </w:r>
                  <w:r>
                    <w:rPr>
                      <w:rFonts w:hint="default" w:ascii="Times New Roman" w:hAnsi="Times New Roman" w:eastAsia="宋体" w:cs="Times New Roman"/>
                      <w:color w:val="auto"/>
                      <w:sz w:val="18"/>
                      <w:szCs w:val="18"/>
                      <w:highlight w:val="none"/>
                    </w:rPr>
                    <w:t>量t/a</w:t>
                  </w:r>
                </w:p>
              </w:tc>
              <w:tc>
                <w:tcPr>
                  <w:tcW w:w="748" w:type="dxa"/>
                  <w:tcBorders>
                    <w:top w:val="single" w:color="auto" w:sz="4" w:space="0"/>
                    <w:left w:val="single" w:color="auto" w:sz="4" w:space="0"/>
                    <w:bottom w:val="single" w:color="auto" w:sz="4" w:space="0"/>
                    <w:right w:val="single" w:color="auto" w:sz="4" w:space="0"/>
                  </w:tcBorders>
                  <w:noWrap w:val="0"/>
                  <w:vAlign w:val="center"/>
                </w:tcPr>
                <w:p w14:paraId="02D6476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产生浓度mg/m</w:t>
                  </w:r>
                  <w:r>
                    <w:rPr>
                      <w:rFonts w:hint="default" w:ascii="Times New Roman" w:hAnsi="Times New Roman" w:eastAsia="宋体" w:cs="Times New Roman"/>
                      <w:color w:val="auto"/>
                      <w:sz w:val="18"/>
                      <w:szCs w:val="18"/>
                      <w:highlight w:val="none"/>
                      <w:vertAlign w:val="superscript"/>
                    </w:rPr>
                    <w:t>3</w:t>
                  </w:r>
                </w:p>
              </w:tc>
              <w:tc>
                <w:tcPr>
                  <w:tcW w:w="586" w:type="dxa"/>
                  <w:tcBorders>
                    <w:top w:val="single" w:color="auto" w:sz="4" w:space="0"/>
                    <w:left w:val="single" w:color="auto" w:sz="4" w:space="0"/>
                    <w:bottom w:val="single" w:color="auto" w:sz="4" w:space="0"/>
                    <w:right w:val="single" w:color="auto" w:sz="4" w:space="0"/>
                  </w:tcBorders>
                  <w:noWrap w:val="0"/>
                  <w:vAlign w:val="center"/>
                </w:tcPr>
                <w:p w14:paraId="620A7A55">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产生速率</w:t>
                  </w:r>
                  <w:r>
                    <w:rPr>
                      <w:rFonts w:hint="default" w:ascii="Times New Roman" w:hAnsi="Times New Roman" w:eastAsia="宋体" w:cs="Times New Roman"/>
                      <w:color w:val="auto"/>
                      <w:sz w:val="18"/>
                      <w:szCs w:val="18"/>
                      <w:highlight w:val="none"/>
                      <w:lang w:val="en-US" w:eastAsia="zh-CN"/>
                    </w:rPr>
                    <w:t>kg/h</w:t>
                  </w:r>
                </w:p>
              </w:tc>
              <w:tc>
                <w:tcPr>
                  <w:tcW w:w="693" w:type="dxa"/>
                  <w:tcBorders>
                    <w:top w:val="single" w:color="auto" w:sz="4" w:space="0"/>
                    <w:left w:val="single" w:color="auto" w:sz="4" w:space="0"/>
                    <w:bottom w:val="single" w:color="auto" w:sz="4" w:space="0"/>
                    <w:right w:val="single" w:color="auto" w:sz="4" w:space="0"/>
                  </w:tcBorders>
                  <w:noWrap w:val="0"/>
                  <w:vAlign w:val="center"/>
                </w:tcPr>
                <w:p w14:paraId="58817B68">
                  <w:pPr>
                    <w:spacing w:line="240" w:lineRule="auto"/>
                    <w:jc w:val="center"/>
                    <w:rPr>
                      <w:rFonts w:hint="eastAsia"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处理能力m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lang w:val="en-US" w:eastAsia="zh-CN"/>
                    </w:rPr>
                    <w:t>h</w:t>
                  </w:r>
                </w:p>
              </w:tc>
              <w:tc>
                <w:tcPr>
                  <w:tcW w:w="342" w:type="dxa"/>
                  <w:tcBorders>
                    <w:top w:val="single" w:color="auto" w:sz="4" w:space="0"/>
                    <w:left w:val="single" w:color="auto" w:sz="4" w:space="0"/>
                    <w:bottom w:val="single" w:color="auto" w:sz="4" w:space="0"/>
                    <w:right w:val="single" w:color="auto" w:sz="4" w:space="0"/>
                  </w:tcBorders>
                  <w:noWrap w:val="0"/>
                  <w:vAlign w:val="center"/>
                </w:tcPr>
                <w:p w14:paraId="1C7DA0D2">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收集率%</w:t>
                  </w:r>
                </w:p>
              </w:tc>
              <w:tc>
                <w:tcPr>
                  <w:tcW w:w="462" w:type="dxa"/>
                  <w:tcBorders>
                    <w:top w:val="single" w:color="auto" w:sz="4" w:space="0"/>
                    <w:left w:val="single" w:color="auto" w:sz="4" w:space="0"/>
                    <w:bottom w:val="single" w:color="auto" w:sz="4" w:space="0"/>
                    <w:right w:val="single" w:color="auto" w:sz="4" w:space="0"/>
                  </w:tcBorders>
                  <w:noWrap w:val="0"/>
                  <w:vAlign w:val="center"/>
                </w:tcPr>
                <w:p w14:paraId="237AB5DD">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治理工艺</w:t>
                  </w:r>
                </w:p>
              </w:tc>
              <w:tc>
                <w:tcPr>
                  <w:tcW w:w="341" w:type="dxa"/>
                  <w:tcBorders>
                    <w:top w:val="single" w:color="auto" w:sz="4" w:space="0"/>
                    <w:left w:val="single" w:color="auto" w:sz="4" w:space="0"/>
                    <w:bottom w:val="single" w:color="auto" w:sz="4" w:space="0"/>
                    <w:right w:val="single" w:color="auto" w:sz="4" w:space="0"/>
                  </w:tcBorders>
                  <w:noWrap w:val="0"/>
                  <w:vAlign w:val="center"/>
                </w:tcPr>
                <w:p w14:paraId="0D43CD20">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去除率%</w:t>
                  </w:r>
                </w:p>
              </w:tc>
              <w:tc>
                <w:tcPr>
                  <w:tcW w:w="359" w:type="dxa"/>
                  <w:tcBorders>
                    <w:top w:val="single" w:color="auto" w:sz="4" w:space="0"/>
                    <w:left w:val="single" w:color="auto" w:sz="4" w:space="0"/>
                    <w:bottom w:val="single" w:color="auto" w:sz="4" w:space="0"/>
                    <w:right w:val="single" w:color="auto" w:sz="4" w:space="0"/>
                  </w:tcBorders>
                  <w:noWrap w:val="0"/>
                  <w:vAlign w:val="center"/>
                </w:tcPr>
                <w:p w14:paraId="1A1C1E65">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是否为可行技术</w:t>
                  </w:r>
                </w:p>
              </w:tc>
              <w:tc>
                <w:tcPr>
                  <w:tcW w:w="683" w:type="dxa"/>
                  <w:tcBorders>
                    <w:top w:val="single" w:color="auto" w:sz="4" w:space="0"/>
                    <w:left w:val="single" w:color="auto" w:sz="4" w:space="0"/>
                    <w:bottom w:val="single" w:color="auto" w:sz="4" w:space="0"/>
                    <w:right w:val="single" w:color="auto" w:sz="4" w:space="0"/>
                  </w:tcBorders>
                  <w:noWrap w:val="0"/>
                  <w:vAlign w:val="center"/>
                </w:tcPr>
                <w:p w14:paraId="5771745D">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c>
                <w:tcPr>
                  <w:tcW w:w="748" w:type="dxa"/>
                  <w:tcBorders>
                    <w:top w:val="single" w:color="auto" w:sz="4" w:space="0"/>
                    <w:left w:val="single" w:color="auto" w:sz="4" w:space="0"/>
                    <w:bottom w:val="single" w:color="auto" w:sz="4" w:space="0"/>
                    <w:right w:val="single" w:color="auto" w:sz="4" w:space="0"/>
                  </w:tcBorders>
                  <w:noWrap w:val="0"/>
                  <w:vAlign w:val="center"/>
                </w:tcPr>
                <w:p w14:paraId="3B84641F">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排放浓度mg/m</w:t>
                  </w:r>
                  <w:r>
                    <w:rPr>
                      <w:rFonts w:hint="default" w:ascii="Times New Roman" w:hAnsi="Times New Roman" w:eastAsia="宋体" w:cs="Times New Roman"/>
                      <w:color w:val="auto"/>
                      <w:sz w:val="18"/>
                      <w:szCs w:val="18"/>
                      <w:highlight w:val="none"/>
                      <w:vertAlign w:val="superscript"/>
                    </w:rPr>
                    <w:t>3</w:t>
                  </w:r>
                </w:p>
              </w:tc>
              <w:tc>
                <w:tcPr>
                  <w:tcW w:w="821" w:type="dxa"/>
                  <w:tcBorders>
                    <w:top w:val="single" w:color="auto" w:sz="4" w:space="0"/>
                    <w:left w:val="single" w:color="auto" w:sz="4" w:space="0"/>
                    <w:bottom w:val="single" w:color="auto" w:sz="4" w:space="0"/>
                    <w:right w:val="single" w:color="auto" w:sz="4" w:space="0"/>
                  </w:tcBorders>
                  <w:noWrap w:val="0"/>
                  <w:vAlign w:val="center"/>
                </w:tcPr>
                <w:p w14:paraId="52307E1D">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排放速率kg/h</w:t>
                  </w:r>
                </w:p>
              </w:tc>
              <w:tc>
                <w:tcPr>
                  <w:tcW w:w="373" w:type="dxa"/>
                  <w:tcBorders>
                    <w:top w:val="single" w:color="auto" w:sz="4" w:space="0"/>
                    <w:left w:val="single" w:color="auto" w:sz="4" w:space="0"/>
                    <w:bottom w:val="single" w:color="auto" w:sz="4" w:space="0"/>
                    <w:right w:val="single" w:color="auto" w:sz="4" w:space="0"/>
                  </w:tcBorders>
                  <w:noWrap w:val="0"/>
                  <w:vAlign w:val="center"/>
                </w:tcPr>
                <w:p w14:paraId="73A15ACE">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持续时间</w:t>
                  </w:r>
                </w:p>
                <w:p w14:paraId="38FF4B1A">
                  <w:pPr>
                    <w:pStyle w:val="82"/>
                    <w:spacing w:line="240" w:lineRule="auto"/>
                    <w:ind w:left="0" w:leftChars="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h/a</w:t>
                  </w:r>
                </w:p>
              </w:tc>
              <w:tc>
                <w:tcPr>
                  <w:tcW w:w="550" w:type="dxa"/>
                  <w:tcBorders>
                    <w:top w:val="single" w:color="auto" w:sz="4" w:space="0"/>
                    <w:left w:val="single" w:color="auto" w:sz="4" w:space="0"/>
                    <w:bottom w:val="single" w:color="auto" w:sz="4" w:space="0"/>
                    <w:right w:val="single" w:color="auto" w:sz="4" w:space="0"/>
                  </w:tcBorders>
                  <w:noWrap w:val="0"/>
                  <w:vAlign w:val="center"/>
                </w:tcPr>
                <w:p w14:paraId="6CDFA657">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排放形式</w:t>
                  </w:r>
                </w:p>
              </w:tc>
            </w:tr>
            <w:tr w14:paraId="4CEFA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71" w:type="dxa"/>
                  <w:tcBorders>
                    <w:top w:val="single" w:color="auto" w:sz="2" w:space="0"/>
                    <w:left w:val="single" w:color="auto" w:sz="4" w:space="0"/>
                    <w:bottom w:val="single" w:color="auto" w:sz="2" w:space="0"/>
                    <w:right w:val="single" w:color="auto" w:sz="4" w:space="0"/>
                  </w:tcBorders>
                  <w:noWrap w:val="0"/>
                  <w:vAlign w:val="center"/>
                </w:tcPr>
                <w:p w14:paraId="734238E9">
                  <w:pPr>
                    <w:spacing w:line="240" w:lineRule="auto"/>
                    <w:jc w:val="center"/>
                    <w:rPr>
                      <w:rFonts w:hint="default" w:cs="Times New Roman"/>
                      <w:bCs/>
                      <w:color w:val="auto"/>
                      <w:sz w:val="18"/>
                      <w:szCs w:val="18"/>
                      <w:highlight w:val="none"/>
                      <w:lang w:val="en-US" w:eastAsia="zh-CN"/>
                    </w:rPr>
                  </w:pPr>
                  <w:r>
                    <w:rPr>
                      <w:rFonts w:hint="default" w:cs="Times New Roman"/>
                      <w:bCs/>
                      <w:color w:val="auto"/>
                      <w:sz w:val="18"/>
                      <w:szCs w:val="18"/>
                      <w:highlight w:val="none"/>
                      <w:lang w:val="en-US" w:eastAsia="zh-CN"/>
                    </w:rPr>
                    <w:t>配料、筛分、混料</w:t>
                  </w:r>
                </w:p>
              </w:tc>
              <w:tc>
                <w:tcPr>
                  <w:tcW w:w="468" w:type="dxa"/>
                  <w:tcBorders>
                    <w:top w:val="single" w:color="auto" w:sz="4" w:space="0"/>
                    <w:left w:val="single" w:color="auto" w:sz="4" w:space="0"/>
                    <w:bottom w:val="single" w:color="auto" w:sz="4" w:space="0"/>
                    <w:right w:val="single" w:color="auto" w:sz="4" w:space="0"/>
                  </w:tcBorders>
                  <w:noWrap w:val="0"/>
                  <w:vAlign w:val="center"/>
                </w:tcPr>
                <w:p w14:paraId="267ED4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8"/>
                      <w:szCs w:val="18"/>
                      <w:highlight w:val="none"/>
                      <w:vertAlign w:val="baseline"/>
                      <w:lang w:val="en-US" w:eastAsia="zh-CN"/>
                    </w:rPr>
                  </w:pPr>
                  <w:r>
                    <w:rPr>
                      <w:rFonts w:hint="eastAsia" w:ascii="Times New Roman" w:hAnsi="Times New Roman" w:cs="Times New Roman"/>
                      <w:bCs/>
                      <w:color w:val="auto"/>
                      <w:sz w:val="18"/>
                      <w:szCs w:val="18"/>
                      <w:highlight w:val="none"/>
                      <w:vertAlign w:val="baseline"/>
                      <w:lang w:val="en-US" w:eastAsia="zh-CN"/>
                    </w:rPr>
                    <w:t>颗粒物</w:t>
                  </w:r>
                </w:p>
              </w:tc>
              <w:tc>
                <w:tcPr>
                  <w:tcW w:w="85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5FD126C">
                  <w:pPr>
                    <w:keepNext w:val="0"/>
                    <w:keepLines w:val="0"/>
                    <w:widowControl/>
                    <w:suppressLineNumbers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0.058</w:t>
                  </w:r>
                </w:p>
              </w:tc>
              <w:tc>
                <w:tcPr>
                  <w:tcW w:w="7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2754943">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ascii="Times New Roman" w:hAnsi="Times New Roman" w:eastAsia="宋体" w:cs="Times New Roman"/>
                      <w:i w:val="0"/>
                      <w:iCs w:val="0"/>
                      <w:color w:val="auto"/>
                      <w:kern w:val="2"/>
                      <w:sz w:val="18"/>
                      <w:szCs w:val="18"/>
                      <w:highlight w:val="none"/>
                      <w:u w:val="none"/>
                      <w:lang w:val="en-US" w:eastAsia="zh-CN" w:bidi="ar"/>
                    </w:rPr>
                    <w:t>19.33</w:t>
                  </w:r>
                </w:p>
              </w:tc>
              <w:tc>
                <w:tcPr>
                  <w:tcW w:w="586" w:type="dxa"/>
                  <w:tcBorders>
                    <w:top w:val="single" w:color="auto" w:sz="4" w:space="0"/>
                    <w:left w:val="single" w:color="auto" w:sz="4" w:space="0"/>
                    <w:bottom w:val="single" w:color="auto" w:sz="4" w:space="0"/>
                    <w:right w:val="single" w:color="auto" w:sz="4" w:space="0"/>
                  </w:tcBorders>
                  <w:noWrap w:val="0"/>
                  <w:vAlign w:val="center"/>
                </w:tcPr>
                <w:p w14:paraId="3F9979FC">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ascii="Times New Roman" w:hAnsi="Times New Roman" w:eastAsia="宋体" w:cs="Times New Roman"/>
                      <w:i w:val="0"/>
                      <w:iCs w:val="0"/>
                      <w:color w:val="auto"/>
                      <w:kern w:val="2"/>
                      <w:sz w:val="18"/>
                      <w:szCs w:val="18"/>
                      <w:highlight w:val="none"/>
                      <w:u w:val="none"/>
                      <w:lang w:val="en-US" w:eastAsia="zh-CN" w:bidi="ar"/>
                    </w:rPr>
                    <w:t>0.048</w:t>
                  </w:r>
                </w:p>
              </w:tc>
              <w:tc>
                <w:tcPr>
                  <w:tcW w:w="693" w:type="dxa"/>
                  <w:tcBorders>
                    <w:top w:val="single" w:color="auto" w:sz="4" w:space="0"/>
                    <w:left w:val="single" w:color="auto" w:sz="4" w:space="0"/>
                    <w:right w:val="single" w:color="auto" w:sz="4" w:space="0"/>
                  </w:tcBorders>
                  <w:noWrap w:val="0"/>
                  <w:vAlign w:val="center"/>
                </w:tcPr>
                <w:p w14:paraId="3FE7968B">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c>
                <w:tcPr>
                  <w:tcW w:w="342" w:type="dxa"/>
                  <w:tcBorders>
                    <w:top w:val="single" w:color="auto" w:sz="4" w:space="0"/>
                    <w:left w:val="single" w:color="auto" w:sz="4" w:space="0"/>
                    <w:right w:val="single" w:color="auto" w:sz="4" w:space="0"/>
                  </w:tcBorders>
                  <w:noWrap w:val="0"/>
                  <w:vAlign w:val="center"/>
                </w:tcPr>
                <w:p w14:paraId="67C4AD3D">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95</w:t>
                  </w:r>
                </w:p>
              </w:tc>
              <w:tc>
                <w:tcPr>
                  <w:tcW w:w="462" w:type="dxa"/>
                  <w:tcBorders>
                    <w:top w:val="single" w:color="auto" w:sz="4" w:space="0"/>
                    <w:left w:val="single" w:color="auto" w:sz="4" w:space="0"/>
                    <w:bottom w:val="single" w:color="auto" w:sz="4" w:space="0"/>
                    <w:right w:val="single" w:color="auto" w:sz="4" w:space="0"/>
                  </w:tcBorders>
                  <w:noWrap w:val="0"/>
                  <w:vAlign w:val="center"/>
                </w:tcPr>
                <w:p w14:paraId="441DA900">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1#布袋除尘器</w:t>
                  </w:r>
                </w:p>
              </w:tc>
              <w:tc>
                <w:tcPr>
                  <w:tcW w:w="341" w:type="dxa"/>
                  <w:tcBorders>
                    <w:top w:val="single" w:color="auto" w:sz="4" w:space="0"/>
                    <w:left w:val="single" w:color="auto" w:sz="4" w:space="0"/>
                    <w:bottom w:val="single" w:color="auto" w:sz="4" w:space="0"/>
                    <w:right w:val="single" w:color="auto" w:sz="4" w:space="0"/>
                  </w:tcBorders>
                  <w:noWrap w:val="0"/>
                  <w:vAlign w:val="center"/>
                </w:tcPr>
                <w:p w14:paraId="54605AB7">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95</w:t>
                  </w:r>
                </w:p>
              </w:tc>
              <w:tc>
                <w:tcPr>
                  <w:tcW w:w="359" w:type="dxa"/>
                  <w:tcBorders>
                    <w:top w:val="single" w:color="auto" w:sz="4" w:space="0"/>
                    <w:left w:val="single" w:color="auto" w:sz="4" w:space="0"/>
                    <w:bottom w:val="single" w:color="auto" w:sz="4" w:space="0"/>
                    <w:right w:val="single" w:color="auto" w:sz="4" w:space="0"/>
                  </w:tcBorders>
                  <w:noWrap w:val="0"/>
                  <w:vAlign w:val="center"/>
                </w:tcPr>
                <w:p w14:paraId="76403370">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是</w:t>
                  </w:r>
                </w:p>
              </w:tc>
              <w:tc>
                <w:tcPr>
                  <w:tcW w:w="683"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BA0906E">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0.003</w:t>
                  </w:r>
                </w:p>
              </w:tc>
              <w:tc>
                <w:tcPr>
                  <w:tcW w:w="7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5607405">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1.0</w:t>
                  </w:r>
                </w:p>
              </w:tc>
              <w:tc>
                <w:tcPr>
                  <w:tcW w:w="821"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1C7F9EB">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0.0025</w:t>
                  </w:r>
                </w:p>
              </w:tc>
              <w:tc>
                <w:tcPr>
                  <w:tcW w:w="373" w:type="dxa"/>
                  <w:tcBorders>
                    <w:top w:val="single" w:color="auto" w:sz="4" w:space="0"/>
                    <w:left w:val="single" w:color="auto" w:sz="4" w:space="0"/>
                    <w:right w:val="single" w:color="auto" w:sz="4" w:space="0"/>
                  </w:tcBorders>
                  <w:noWrap w:val="0"/>
                  <w:vAlign w:val="center"/>
                </w:tcPr>
                <w:p w14:paraId="4150E53B">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1200</w:t>
                  </w:r>
                </w:p>
              </w:tc>
              <w:tc>
                <w:tcPr>
                  <w:tcW w:w="550" w:type="dxa"/>
                  <w:tcBorders>
                    <w:top w:val="single" w:color="auto" w:sz="4" w:space="0"/>
                    <w:left w:val="single" w:color="auto" w:sz="4" w:space="0"/>
                    <w:right w:val="single" w:color="auto" w:sz="4" w:space="0"/>
                  </w:tcBorders>
                  <w:noWrap w:val="0"/>
                  <w:vAlign w:val="center"/>
                </w:tcPr>
                <w:p w14:paraId="03460E1C">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DA002</w:t>
                  </w:r>
                </w:p>
              </w:tc>
            </w:tr>
          </w:tbl>
          <w:p w14:paraId="5F1817D7">
            <w:pPr>
              <w:adjustRightInd w:val="0"/>
              <w:snapToGrid w:val="0"/>
              <w:spacing w:line="360" w:lineRule="auto"/>
              <w:ind w:firstLine="420" w:firstLineChars="200"/>
              <w:rPr>
                <w:rFonts w:hint="eastAsia" w:cs="Times New Roman"/>
                <w:color w:val="auto"/>
                <w:szCs w:val="21"/>
                <w:highlight w:val="yellow"/>
                <w:lang w:val="en-US" w:eastAsia="zh-CN"/>
              </w:rPr>
            </w:pPr>
            <w:r>
              <w:rPr>
                <w:rFonts w:hint="eastAsia"/>
                <w:color w:val="auto"/>
                <w:highlight w:val="none"/>
                <w:lang w:val="en-US" w:eastAsia="zh-CN"/>
              </w:rPr>
              <w:t>由上表可知，本项目DA002排气筒颗粒物排放浓度满足</w:t>
            </w:r>
            <w:r>
              <w:rPr>
                <w:color w:val="auto"/>
                <w:highlight w:val="none"/>
              </w:rPr>
              <w:t>《区域性大气污染物综合排放标准》（DB37/2376-2019）表1中“重点控制区”标准限值（颗粒物10mg/m</w:t>
            </w:r>
            <w:r>
              <w:rPr>
                <w:color w:val="auto"/>
                <w:highlight w:val="none"/>
                <w:vertAlign w:val="superscript"/>
              </w:rPr>
              <w:t>3</w:t>
            </w:r>
            <w:r>
              <w:rPr>
                <w:color w:val="auto"/>
                <w:highlight w:val="none"/>
              </w:rPr>
              <w:t>）</w:t>
            </w:r>
            <w:r>
              <w:rPr>
                <w:rFonts w:hint="eastAsia"/>
                <w:color w:val="auto"/>
                <w:highlight w:val="none"/>
                <w:lang w:eastAsia="zh-CN"/>
              </w:rPr>
              <w:t>。</w:t>
            </w:r>
          </w:p>
          <w:p w14:paraId="4790481F">
            <w:pPr>
              <w:adjustRightInd w:val="0"/>
              <w:snapToGrid w:val="0"/>
              <w:spacing w:line="360" w:lineRule="auto"/>
              <w:ind w:firstLine="420" w:firstLineChars="200"/>
              <w:rPr>
                <w:rFonts w:hint="eastAsia" w:cs="Times New Roman"/>
                <w:color w:val="auto"/>
                <w:szCs w:val="21"/>
                <w:highlight w:val="none"/>
                <w:lang w:val="en-US" w:eastAsia="zh-CN"/>
              </w:rPr>
            </w:pPr>
            <w:r>
              <w:rPr>
                <w:rFonts w:hint="default" w:ascii="Calibri" w:hAnsi="Calibri" w:cs="Calibri"/>
                <w:color w:val="auto"/>
                <w:szCs w:val="21"/>
                <w:highlight w:val="none"/>
                <w:lang w:val="en-US" w:eastAsia="zh-CN"/>
              </w:rPr>
              <w:t>③</w:t>
            </w:r>
            <w:r>
              <w:rPr>
                <w:rFonts w:hint="eastAsia" w:cs="Times New Roman"/>
                <w:color w:val="auto"/>
                <w:kern w:val="2"/>
                <w:sz w:val="21"/>
                <w:szCs w:val="24"/>
                <w:highlight w:val="none"/>
                <w:lang w:val="en-US" w:eastAsia="zh-CN" w:bidi="ar-SA"/>
              </w:rPr>
              <w:t>弹性磨块生产线热压、烘干、粘结过程</w:t>
            </w:r>
            <w:r>
              <w:rPr>
                <w:rFonts w:hint="eastAsia" w:ascii="Times New Roman" w:hAnsi="Times New Roman" w:eastAsia="宋体" w:cs="Times New Roman"/>
                <w:color w:val="auto"/>
                <w:szCs w:val="21"/>
                <w:highlight w:val="none"/>
                <w:lang w:val="en-US" w:eastAsia="zh-CN"/>
              </w:rPr>
              <w:t>有组织排放</w:t>
            </w:r>
          </w:p>
          <w:p w14:paraId="39218634">
            <w:pPr>
              <w:adjustRightInd w:val="0"/>
              <w:snapToGrid w:val="0"/>
              <w:spacing w:line="360" w:lineRule="auto"/>
              <w:ind w:firstLine="420" w:firstLineChars="200"/>
              <w:rPr>
                <w:rFonts w:hint="eastAsia" w:ascii="Times New Roman" w:hAnsi="Times New Roman" w:eastAsia="宋体" w:cs="Times New Roman"/>
                <w:color w:val="auto"/>
                <w:szCs w:val="21"/>
                <w:highlight w:val="none"/>
                <w:lang w:val="de-DE" w:eastAsia="zh-CN"/>
              </w:rPr>
            </w:pPr>
            <w:r>
              <w:rPr>
                <w:rFonts w:hint="eastAsia" w:cs="Times New Roman"/>
                <w:color w:val="auto"/>
                <w:kern w:val="2"/>
                <w:sz w:val="21"/>
                <w:szCs w:val="24"/>
                <w:highlight w:val="none"/>
                <w:lang w:val="en-US" w:eastAsia="zh-CN" w:bidi="ar-SA"/>
              </w:rPr>
              <w:t>弹性磨块生产线</w:t>
            </w:r>
            <w:r>
              <w:rPr>
                <w:rFonts w:hint="eastAsia" w:ascii="Times New Roman" w:hAnsi="Times New Roman" w:eastAsia="宋体" w:cs="Times New Roman"/>
                <w:color w:val="auto"/>
                <w:kern w:val="2"/>
                <w:sz w:val="21"/>
                <w:szCs w:val="24"/>
                <w:highlight w:val="none"/>
                <w:lang w:val="en-US" w:eastAsia="zh-CN" w:bidi="ar-SA"/>
              </w:rPr>
              <w:t>热压、烘干、粘结过程产生的VOCs、甲醛、苯酚经集气罩收集，二级活性炭吸附装置处理后由15m高排气筒（DA003）有组织排放</w:t>
            </w:r>
            <w:r>
              <w:rPr>
                <w:rFonts w:hint="eastAsia" w:ascii="Times New Roman" w:hAnsi="Times New Roman" w:eastAsia="宋体" w:cs="Times New Roman"/>
                <w:color w:val="auto"/>
                <w:szCs w:val="21"/>
                <w:highlight w:val="none"/>
                <w:lang w:val="de-DE" w:eastAsia="zh-CN"/>
              </w:rPr>
              <w:t>；</w:t>
            </w:r>
          </w:p>
          <w:p w14:paraId="3904DD12">
            <w:pPr>
              <w:adjustRightInd w:val="0"/>
              <w:snapToGrid w:val="0"/>
              <w:spacing w:line="360" w:lineRule="auto"/>
              <w:ind w:firstLine="420" w:firstLineChars="200"/>
              <w:rPr>
                <w:rFonts w:hint="default" w:eastAsia="宋体"/>
                <w:color w:val="auto"/>
                <w:highlight w:val="none"/>
                <w:lang w:val="en-US" w:eastAsia="zh-CN"/>
              </w:rPr>
            </w:pPr>
            <w:r>
              <w:rPr>
                <w:rFonts w:hint="eastAsia" w:cs="Times New Roman"/>
                <w:color w:val="auto"/>
                <w:kern w:val="2"/>
                <w:sz w:val="21"/>
                <w:szCs w:val="24"/>
                <w:highlight w:val="none"/>
                <w:lang w:val="en-US" w:eastAsia="zh-CN" w:bidi="ar-SA"/>
              </w:rPr>
              <w:t>弹性磨块生产线</w:t>
            </w:r>
            <w:r>
              <w:rPr>
                <w:rFonts w:hint="eastAsia" w:cs="Times New Roman"/>
                <w:color w:val="auto"/>
                <w:sz w:val="21"/>
                <w:szCs w:val="21"/>
                <w:highlight w:val="none"/>
                <w:lang w:val="en-US" w:eastAsia="zh-CN"/>
              </w:rPr>
              <w:t>热压和烘干过程VOCs产生量为0.048t/a，甲醛产生量为0.02t/a，苯酚产生量为0.028t/a，粘结过程VOCs产生量为0.01t/a，</w:t>
            </w:r>
            <w:r>
              <w:rPr>
                <w:rFonts w:hint="eastAsia"/>
                <w:color w:val="auto"/>
                <w:sz w:val="21"/>
                <w:szCs w:val="16"/>
                <w:highlight w:val="none"/>
                <w:lang w:val="en-US" w:eastAsia="zh-CN"/>
              </w:rPr>
              <w:t>集气罩收集效率为95%，</w:t>
            </w:r>
            <w:r>
              <w:rPr>
                <w:rFonts w:hint="eastAsia" w:ascii="Times New Roman" w:hAnsi="Times New Roman" w:eastAsia="宋体" w:cs="Times New Roman"/>
                <w:color w:val="auto"/>
                <w:kern w:val="2"/>
                <w:sz w:val="21"/>
                <w:szCs w:val="24"/>
                <w:highlight w:val="none"/>
                <w:lang w:val="en-US" w:eastAsia="zh-CN" w:bidi="ar-SA"/>
              </w:rPr>
              <w:t>二级活性炭吸附装置</w:t>
            </w:r>
            <w:r>
              <w:rPr>
                <w:rFonts w:hint="eastAsia" w:ascii="Times New Roman" w:hAnsi="Times New Roman" w:eastAsia="宋体" w:cs="Times New Roman"/>
                <w:color w:val="auto"/>
                <w:szCs w:val="21"/>
                <w:highlight w:val="none"/>
                <w:lang w:val="en-US" w:eastAsia="zh-CN"/>
              </w:rPr>
              <w:t>处理效率为70%，年工作时间为2400h，则</w:t>
            </w:r>
            <w:r>
              <w:rPr>
                <w:rFonts w:hint="eastAsia" w:cs="Times New Roman"/>
                <w:color w:val="auto"/>
                <w:szCs w:val="21"/>
                <w:highlight w:val="none"/>
                <w:lang w:val="en-US" w:eastAsia="zh-CN"/>
              </w:rPr>
              <w:t>弹性磨块</w:t>
            </w:r>
            <w:r>
              <w:rPr>
                <w:rFonts w:hint="eastAsia" w:cs="Times New Roman"/>
                <w:color w:val="auto"/>
                <w:kern w:val="2"/>
                <w:sz w:val="21"/>
                <w:szCs w:val="24"/>
                <w:highlight w:val="none"/>
                <w:lang w:val="en-US" w:eastAsia="zh-CN" w:bidi="ar-SA"/>
              </w:rPr>
              <w:t>生产线热压、烘干、粘结过程</w:t>
            </w:r>
            <w:r>
              <w:rPr>
                <w:rFonts w:hint="eastAsia" w:cs="Times New Roman"/>
                <w:bCs/>
                <w:color w:val="auto"/>
                <w:sz w:val="21"/>
                <w:szCs w:val="21"/>
                <w:highlight w:val="none"/>
                <w:vertAlign w:val="baseline"/>
                <w:lang w:val="en-US" w:eastAsia="zh-CN"/>
              </w:rPr>
              <w:t>污染物产生及排放情况见下表。</w:t>
            </w:r>
          </w:p>
          <w:p w14:paraId="4123ABA5">
            <w:pPr>
              <w:pStyle w:val="82"/>
              <w:ind w:left="0" w:leftChars="0" w:firstLine="0" w:firstLineChars="0"/>
              <w:jc w:val="center"/>
              <w:rPr>
                <w:rFonts w:hint="default"/>
                <w:b/>
                <w:bCs w:val="0"/>
                <w:color w:val="auto"/>
                <w:highlight w:val="none"/>
                <w:lang w:val="en-US" w:eastAsia="zh-CN"/>
              </w:rPr>
            </w:pPr>
            <w:r>
              <w:rPr>
                <w:rFonts w:hint="eastAsia" w:cs="Times New Roman"/>
                <w:b/>
                <w:bCs w:val="0"/>
                <w:color w:val="auto"/>
                <w:sz w:val="21"/>
                <w:szCs w:val="21"/>
                <w:highlight w:val="none"/>
                <w:vertAlign w:val="baseline"/>
                <w:lang w:val="en-US" w:eastAsia="zh-CN"/>
              </w:rPr>
              <w:t>表</w:t>
            </w:r>
            <w:r>
              <w:rPr>
                <w:rFonts w:hint="eastAsia" w:ascii="Times New Roman" w:hAnsi="Times New Roman" w:eastAsia="宋体" w:cs="Times New Roman"/>
                <w:b/>
                <w:bCs w:val="0"/>
                <w:color w:val="auto"/>
                <w:sz w:val="21"/>
                <w:szCs w:val="21"/>
                <w:highlight w:val="none"/>
                <w:vertAlign w:val="baseline"/>
                <w:lang w:val="en-US" w:eastAsia="zh-CN"/>
              </w:rPr>
              <w:t>4-</w:t>
            </w:r>
            <w:r>
              <w:rPr>
                <w:rFonts w:hint="eastAsia" w:cs="Times New Roman"/>
                <w:b/>
                <w:bCs w:val="0"/>
                <w:color w:val="auto"/>
                <w:sz w:val="21"/>
                <w:szCs w:val="21"/>
                <w:highlight w:val="none"/>
                <w:vertAlign w:val="baseline"/>
                <w:lang w:val="en-US" w:eastAsia="zh-CN"/>
              </w:rPr>
              <w:t>6弹性磨块</w:t>
            </w:r>
            <w:r>
              <w:rPr>
                <w:rFonts w:hint="eastAsia" w:ascii="Times New Roman" w:hAnsi="Times New Roman" w:eastAsia="宋体" w:cs="Times New Roman"/>
                <w:b/>
                <w:bCs w:val="0"/>
                <w:color w:val="auto"/>
                <w:sz w:val="21"/>
                <w:szCs w:val="21"/>
                <w:highlight w:val="none"/>
                <w:vertAlign w:val="baseline"/>
                <w:lang w:val="en-US" w:eastAsia="zh-CN"/>
              </w:rPr>
              <w:t>生产线废气产</w:t>
            </w:r>
            <w:r>
              <w:rPr>
                <w:rFonts w:hint="eastAsia" w:cs="Times New Roman"/>
                <w:b/>
                <w:bCs w:val="0"/>
                <w:color w:val="auto"/>
                <w:sz w:val="21"/>
                <w:szCs w:val="21"/>
                <w:highlight w:val="none"/>
                <w:vertAlign w:val="baseline"/>
                <w:lang w:val="en-US" w:eastAsia="zh-CN"/>
              </w:rPr>
              <w:t>生及排放情况一览表</w:t>
            </w:r>
          </w:p>
          <w:tbl>
            <w:tblPr>
              <w:tblStyle w:val="83"/>
              <w:tblW w:w="84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1"/>
              <w:gridCol w:w="468"/>
              <w:gridCol w:w="855"/>
              <w:gridCol w:w="748"/>
              <w:gridCol w:w="586"/>
              <w:gridCol w:w="693"/>
              <w:gridCol w:w="342"/>
              <w:gridCol w:w="462"/>
              <w:gridCol w:w="341"/>
              <w:gridCol w:w="359"/>
              <w:gridCol w:w="683"/>
              <w:gridCol w:w="748"/>
              <w:gridCol w:w="821"/>
              <w:gridCol w:w="373"/>
              <w:gridCol w:w="550"/>
            </w:tblGrid>
            <w:tr w14:paraId="67303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371" w:type="dxa"/>
                  <w:vMerge w:val="restart"/>
                  <w:tcBorders>
                    <w:top w:val="single" w:color="auto" w:sz="4" w:space="0"/>
                    <w:left w:val="single" w:color="auto" w:sz="4" w:space="0"/>
                    <w:bottom w:val="single" w:color="auto" w:sz="4" w:space="0"/>
                    <w:right w:val="single" w:color="auto" w:sz="4" w:space="0"/>
                  </w:tcBorders>
                  <w:noWrap w:val="0"/>
                  <w:vAlign w:val="center"/>
                </w:tcPr>
                <w:p w14:paraId="1167653E">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产污环节</w:t>
                  </w:r>
                </w:p>
              </w:tc>
              <w:tc>
                <w:tcPr>
                  <w:tcW w:w="468" w:type="dxa"/>
                  <w:vMerge w:val="restart"/>
                  <w:tcBorders>
                    <w:top w:val="single" w:color="auto" w:sz="4" w:space="0"/>
                    <w:left w:val="single" w:color="auto" w:sz="4" w:space="0"/>
                    <w:bottom w:val="single" w:color="auto" w:sz="4" w:space="0"/>
                    <w:right w:val="single" w:color="auto" w:sz="4" w:space="0"/>
                  </w:tcBorders>
                  <w:noWrap w:val="0"/>
                  <w:vAlign w:val="center"/>
                </w:tcPr>
                <w:p w14:paraId="30FDC611">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p w14:paraId="560E00E3">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种类</w:t>
                  </w:r>
                </w:p>
              </w:tc>
              <w:tc>
                <w:tcPr>
                  <w:tcW w:w="2189" w:type="dxa"/>
                  <w:gridSpan w:val="3"/>
                  <w:tcBorders>
                    <w:top w:val="single" w:color="auto" w:sz="4" w:space="0"/>
                    <w:left w:val="single" w:color="auto" w:sz="4" w:space="0"/>
                    <w:bottom w:val="single" w:color="auto" w:sz="4" w:space="0"/>
                    <w:right w:val="single" w:color="auto" w:sz="4" w:space="0"/>
                  </w:tcBorders>
                  <w:noWrap w:val="0"/>
                  <w:vAlign w:val="center"/>
                </w:tcPr>
                <w:p w14:paraId="45717E1C">
                  <w:pPr>
                    <w:spacing w:line="240" w:lineRule="auto"/>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有组织</w:t>
                  </w:r>
                  <w:r>
                    <w:rPr>
                      <w:rFonts w:hint="default" w:ascii="Times New Roman" w:hAnsi="Times New Roman" w:eastAsia="宋体" w:cs="Times New Roman"/>
                      <w:color w:val="auto"/>
                      <w:sz w:val="18"/>
                      <w:szCs w:val="18"/>
                      <w:highlight w:val="none"/>
                    </w:rPr>
                    <w:t>污染物产生</w:t>
                  </w:r>
                </w:p>
              </w:tc>
              <w:tc>
                <w:tcPr>
                  <w:tcW w:w="2197" w:type="dxa"/>
                  <w:gridSpan w:val="5"/>
                  <w:tcBorders>
                    <w:top w:val="single" w:color="auto" w:sz="4" w:space="0"/>
                    <w:left w:val="single" w:color="auto" w:sz="4" w:space="0"/>
                    <w:bottom w:val="single" w:color="auto" w:sz="4" w:space="0"/>
                    <w:right w:val="single" w:color="auto" w:sz="4" w:space="0"/>
                  </w:tcBorders>
                  <w:noWrap w:val="0"/>
                  <w:vAlign w:val="center"/>
                </w:tcPr>
                <w:p w14:paraId="6F7FDBA6">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治理设施</w:t>
                  </w:r>
                </w:p>
              </w:tc>
              <w:tc>
                <w:tcPr>
                  <w:tcW w:w="3175" w:type="dxa"/>
                  <w:gridSpan w:val="5"/>
                  <w:tcBorders>
                    <w:top w:val="single" w:color="auto" w:sz="4" w:space="0"/>
                    <w:left w:val="single" w:color="auto" w:sz="4" w:space="0"/>
                    <w:bottom w:val="single" w:color="auto" w:sz="4" w:space="0"/>
                    <w:right w:val="single" w:color="auto" w:sz="4" w:space="0"/>
                  </w:tcBorders>
                  <w:noWrap w:val="0"/>
                  <w:vAlign w:val="center"/>
                </w:tcPr>
                <w:p w14:paraId="2393B4D9">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污染物排放</w:t>
                  </w:r>
                </w:p>
              </w:tc>
            </w:tr>
            <w:tr w14:paraId="6C63E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71" w:type="dxa"/>
                  <w:vMerge w:val="continue"/>
                  <w:tcBorders>
                    <w:top w:val="single" w:color="auto" w:sz="4" w:space="0"/>
                    <w:left w:val="single" w:color="auto" w:sz="4" w:space="0"/>
                    <w:bottom w:val="single" w:color="auto" w:sz="4" w:space="0"/>
                    <w:right w:val="single" w:color="auto" w:sz="4" w:space="0"/>
                  </w:tcBorders>
                  <w:noWrap w:val="0"/>
                  <w:vAlign w:val="center"/>
                </w:tcPr>
                <w:p w14:paraId="428F2C14">
                  <w:pPr>
                    <w:spacing w:line="240" w:lineRule="auto"/>
                    <w:jc w:val="center"/>
                    <w:rPr>
                      <w:rFonts w:hint="default" w:ascii="Times New Roman" w:hAnsi="Times New Roman" w:eastAsia="宋体" w:cs="Times New Roman"/>
                      <w:color w:val="auto"/>
                      <w:sz w:val="18"/>
                      <w:szCs w:val="18"/>
                      <w:highlight w:val="none"/>
                    </w:rPr>
                  </w:pPr>
                </w:p>
              </w:tc>
              <w:tc>
                <w:tcPr>
                  <w:tcW w:w="468" w:type="dxa"/>
                  <w:vMerge w:val="continue"/>
                  <w:tcBorders>
                    <w:top w:val="single" w:color="auto" w:sz="4" w:space="0"/>
                    <w:left w:val="single" w:color="auto" w:sz="4" w:space="0"/>
                    <w:bottom w:val="single" w:color="auto" w:sz="4" w:space="0"/>
                    <w:right w:val="single" w:color="auto" w:sz="4" w:space="0"/>
                  </w:tcBorders>
                  <w:noWrap w:val="0"/>
                  <w:vAlign w:val="center"/>
                </w:tcPr>
                <w:p w14:paraId="0782B0F4">
                  <w:pPr>
                    <w:spacing w:line="240" w:lineRule="auto"/>
                    <w:jc w:val="center"/>
                    <w:rPr>
                      <w:rFonts w:hint="default" w:ascii="Times New Roman" w:hAnsi="Times New Roman" w:eastAsia="宋体" w:cs="Times New Roman"/>
                      <w:color w:val="auto"/>
                      <w:sz w:val="18"/>
                      <w:szCs w:val="18"/>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14:paraId="0BD168EA">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eastAsia="zh-CN"/>
                    </w:rPr>
                    <w:t>产生</w:t>
                  </w:r>
                  <w:r>
                    <w:rPr>
                      <w:rFonts w:hint="default" w:ascii="Times New Roman" w:hAnsi="Times New Roman" w:eastAsia="宋体" w:cs="Times New Roman"/>
                      <w:color w:val="auto"/>
                      <w:sz w:val="18"/>
                      <w:szCs w:val="18"/>
                      <w:highlight w:val="none"/>
                    </w:rPr>
                    <w:t>量t/a</w:t>
                  </w:r>
                </w:p>
              </w:tc>
              <w:tc>
                <w:tcPr>
                  <w:tcW w:w="748" w:type="dxa"/>
                  <w:tcBorders>
                    <w:top w:val="single" w:color="auto" w:sz="4" w:space="0"/>
                    <w:left w:val="single" w:color="auto" w:sz="4" w:space="0"/>
                    <w:bottom w:val="single" w:color="auto" w:sz="4" w:space="0"/>
                    <w:right w:val="single" w:color="auto" w:sz="4" w:space="0"/>
                  </w:tcBorders>
                  <w:noWrap w:val="0"/>
                  <w:vAlign w:val="center"/>
                </w:tcPr>
                <w:p w14:paraId="506B5E23">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产生浓度mg/m</w:t>
                  </w:r>
                  <w:r>
                    <w:rPr>
                      <w:rFonts w:hint="default" w:ascii="Times New Roman" w:hAnsi="Times New Roman" w:eastAsia="宋体" w:cs="Times New Roman"/>
                      <w:color w:val="auto"/>
                      <w:sz w:val="18"/>
                      <w:szCs w:val="18"/>
                      <w:highlight w:val="none"/>
                      <w:vertAlign w:val="superscript"/>
                    </w:rPr>
                    <w:t>3</w:t>
                  </w:r>
                </w:p>
              </w:tc>
              <w:tc>
                <w:tcPr>
                  <w:tcW w:w="586" w:type="dxa"/>
                  <w:tcBorders>
                    <w:top w:val="single" w:color="auto" w:sz="4" w:space="0"/>
                    <w:left w:val="single" w:color="auto" w:sz="4" w:space="0"/>
                    <w:bottom w:val="single" w:color="auto" w:sz="4" w:space="0"/>
                    <w:right w:val="single" w:color="auto" w:sz="4" w:space="0"/>
                  </w:tcBorders>
                  <w:noWrap w:val="0"/>
                  <w:vAlign w:val="center"/>
                </w:tcPr>
                <w:p w14:paraId="661E9394">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产生速率</w:t>
                  </w:r>
                  <w:r>
                    <w:rPr>
                      <w:rFonts w:hint="default" w:ascii="Times New Roman" w:hAnsi="Times New Roman" w:eastAsia="宋体" w:cs="Times New Roman"/>
                      <w:color w:val="auto"/>
                      <w:sz w:val="18"/>
                      <w:szCs w:val="18"/>
                      <w:highlight w:val="none"/>
                      <w:lang w:val="en-US" w:eastAsia="zh-CN"/>
                    </w:rPr>
                    <w:t>kg/h</w:t>
                  </w:r>
                </w:p>
              </w:tc>
              <w:tc>
                <w:tcPr>
                  <w:tcW w:w="693" w:type="dxa"/>
                  <w:tcBorders>
                    <w:top w:val="single" w:color="auto" w:sz="4" w:space="0"/>
                    <w:left w:val="single" w:color="auto" w:sz="4" w:space="0"/>
                    <w:bottom w:val="single" w:color="auto" w:sz="4" w:space="0"/>
                    <w:right w:val="single" w:color="auto" w:sz="4" w:space="0"/>
                  </w:tcBorders>
                  <w:noWrap w:val="0"/>
                  <w:vAlign w:val="center"/>
                </w:tcPr>
                <w:p w14:paraId="11E4EDD7">
                  <w:pPr>
                    <w:spacing w:line="240" w:lineRule="auto"/>
                    <w:jc w:val="center"/>
                    <w:rPr>
                      <w:rFonts w:hint="eastAsia"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处理能力m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lang w:val="en-US" w:eastAsia="zh-CN"/>
                    </w:rPr>
                    <w:t>h</w:t>
                  </w:r>
                </w:p>
              </w:tc>
              <w:tc>
                <w:tcPr>
                  <w:tcW w:w="342" w:type="dxa"/>
                  <w:tcBorders>
                    <w:top w:val="single" w:color="auto" w:sz="4" w:space="0"/>
                    <w:left w:val="single" w:color="auto" w:sz="4" w:space="0"/>
                    <w:bottom w:val="single" w:color="auto" w:sz="4" w:space="0"/>
                    <w:right w:val="single" w:color="auto" w:sz="4" w:space="0"/>
                  </w:tcBorders>
                  <w:noWrap w:val="0"/>
                  <w:vAlign w:val="center"/>
                </w:tcPr>
                <w:p w14:paraId="51248EEF">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收集率%</w:t>
                  </w:r>
                </w:p>
              </w:tc>
              <w:tc>
                <w:tcPr>
                  <w:tcW w:w="462" w:type="dxa"/>
                  <w:tcBorders>
                    <w:top w:val="single" w:color="auto" w:sz="4" w:space="0"/>
                    <w:left w:val="single" w:color="auto" w:sz="4" w:space="0"/>
                    <w:bottom w:val="single" w:color="auto" w:sz="4" w:space="0"/>
                    <w:right w:val="single" w:color="auto" w:sz="4" w:space="0"/>
                  </w:tcBorders>
                  <w:noWrap w:val="0"/>
                  <w:vAlign w:val="center"/>
                </w:tcPr>
                <w:p w14:paraId="6BF81FC9">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治理工艺</w:t>
                  </w:r>
                </w:p>
              </w:tc>
              <w:tc>
                <w:tcPr>
                  <w:tcW w:w="341" w:type="dxa"/>
                  <w:tcBorders>
                    <w:top w:val="single" w:color="auto" w:sz="4" w:space="0"/>
                    <w:left w:val="single" w:color="auto" w:sz="4" w:space="0"/>
                    <w:bottom w:val="single" w:color="auto" w:sz="4" w:space="0"/>
                    <w:right w:val="single" w:color="auto" w:sz="4" w:space="0"/>
                  </w:tcBorders>
                  <w:noWrap w:val="0"/>
                  <w:vAlign w:val="center"/>
                </w:tcPr>
                <w:p w14:paraId="1C0E000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去除率%</w:t>
                  </w:r>
                </w:p>
              </w:tc>
              <w:tc>
                <w:tcPr>
                  <w:tcW w:w="359" w:type="dxa"/>
                  <w:tcBorders>
                    <w:top w:val="single" w:color="auto" w:sz="4" w:space="0"/>
                    <w:left w:val="single" w:color="auto" w:sz="4" w:space="0"/>
                    <w:bottom w:val="single" w:color="auto" w:sz="4" w:space="0"/>
                    <w:right w:val="single" w:color="auto" w:sz="4" w:space="0"/>
                  </w:tcBorders>
                  <w:noWrap w:val="0"/>
                  <w:vAlign w:val="center"/>
                </w:tcPr>
                <w:p w14:paraId="46D2670A">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是否为可行技术</w:t>
                  </w:r>
                </w:p>
              </w:tc>
              <w:tc>
                <w:tcPr>
                  <w:tcW w:w="683" w:type="dxa"/>
                  <w:tcBorders>
                    <w:top w:val="single" w:color="auto" w:sz="4" w:space="0"/>
                    <w:left w:val="single" w:color="auto" w:sz="4" w:space="0"/>
                    <w:bottom w:val="single" w:color="auto" w:sz="4" w:space="0"/>
                    <w:right w:val="single" w:color="auto" w:sz="4" w:space="0"/>
                  </w:tcBorders>
                  <w:noWrap w:val="0"/>
                  <w:vAlign w:val="center"/>
                </w:tcPr>
                <w:p w14:paraId="0ACBBACC">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c>
                <w:tcPr>
                  <w:tcW w:w="748" w:type="dxa"/>
                  <w:tcBorders>
                    <w:top w:val="single" w:color="auto" w:sz="4" w:space="0"/>
                    <w:left w:val="single" w:color="auto" w:sz="4" w:space="0"/>
                    <w:bottom w:val="single" w:color="auto" w:sz="4" w:space="0"/>
                    <w:right w:val="single" w:color="auto" w:sz="4" w:space="0"/>
                  </w:tcBorders>
                  <w:noWrap w:val="0"/>
                  <w:vAlign w:val="center"/>
                </w:tcPr>
                <w:p w14:paraId="04949C4B">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排放浓度mg/m</w:t>
                  </w:r>
                  <w:r>
                    <w:rPr>
                      <w:rFonts w:hint="default" w:ascii="Times New Roman" w:hAnsi="Times New Roman" w:eastAsia="宋体" w:cs="Times New Roman"/>
                      <w:color w:val="auto"/>
                      <w:sz w:val="18"/>
                      <w:szCs w:val="18"/>
                      <w:highlight w:val="none"/>
                      <w:vertAlign w:val="superscript"/>
                    </w:rPr>
                    <w:t>3</w:t>
                  </w:r>
                </w:p>
              </w:tc>
              <w:tc>
                <w:tcPr>
                  <w:tcW w:w="821" w:type="dxa"/>
                  <w:tcBorders>
                    <w:top w:val="single" w:color="auto" w:sz="4" w:space="0"/>
                    <w:left w:val="single" w:color="auto" w:sz="4" w:space="0"/>
                    <w:bottom w:val="single" w:color="auto" w:sz="4" w:space="0"/>
                    <w:right w:val="single" w:color="auto" w:sz="4" w:space="0"/>
                  </w:tcBorders>
                  <w:noWrap w:val="0"/>
                  <w:vAlign w:val="center"/>
                </w:tcPr>
                <w:p w14:paraId="14931520">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排放速率kg/h</w:t>
                  </w:r>
                </w:p>
              </w:tc>
              <w:tc>
                <w:tcPr>
                  <w:tcW w:w="373" w:type="dxa"/>
                  <w:tcBorders>
                    <w:top w:val="single" w:color="auto" w:sz="4" w:space="0"/>
                    <w:left w:val="single" w:color="auto" w:sz="4" w:space="0"/>
                    <w:bottom w:val="single" w:color="auto" w:sz="4" w:space="0"/>
                    <w:right w:val="single" w:color="auto" w:sz="4" w:space="0"/>
                  </w:tcBorders>
                  <w:noWrap w:val="0"/>
                  <w:vAlign w:val="center"/>
                </w:tcPr>
                <w:p w14:paraId="0BD8A14F">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持续时间</w:t>
                  </w:r>
                </w:p>
                <w:p w14:paraId="5762DF16">
                  <w:pPr>
                    <w:pStyle w:val="82"/>
                    <w:spacing w:line="240" w:lineRule="auto"/>
                    <w:ind w:left="0" w:leftChars="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h/a</w:t>
                  </w:r>
                </w:p>
              </w:tc>
              <w:tc>
                <w:tcPr>
                  <w:tcW w:w="550" w:type="dxa"/>
                  <w:tcBorders>
                    <w:top w:val="single" w:color="auto" w:sz="4" w:space="0"/>
                    <w:left w:val="single" w:color="auto" w:sz="4" w:space="0"/>
                    <w:bottom w:val="single" w:color="auto" w:sz="4" w:space="0"/>
                    <w:right w:val="single" w:color="auto" w:sz="4" w:space="0"/>
                  </w:tcBorders>
                  <w:noWrap w:val="0"/>
                  <w:vAlign w:val="center"/>
                </w:tcPr>
                <w:p w14:paraId="0556888C">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排放形式</w:t>
                  </w:r>
                </w:p>
              </w:tc>
            </w:tr>
            <w:tr w14:paraId="0FC06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71" w:type="dxa"/>
                  <w:vMerge w:val="restart"/>
                  <w:tcBorders>
                    <w:top w:val="single" w:color="auto" w:sz="2" w:space="0"/>
                    <w:left w:val="single" w:color="auto" w:sz="4" w:space="0"/>
                    <w:right w:val="single" w:color="auto" w:sz="4" w:space="0"/>
                  </w:tcBorders>
                  <w:noWrap w:val="0"/>
                  <w:vAlign w:val="center"/>
                </w:tcPr>
                <w:p w14:paraId="5C4FE7E7">
                  <w:pPr>
                    <w:spacing w:line="240" w:lineRule="auto"/>
                    <w:jc w:val="center"/>
                    <w:rPr>
                      <w:rFonts w:hint="default" w:cs="Times New Roman"/>
                      <w:bCs/>
                      <w:color w:val="auto"/>
                      <w:sz w:val="18"/>
                      <w:szCs w:val="18"/>
                      <w:highlight w:val="none"/>
                      <w:lang w:val="en-US" w:eastAsia="zh-CN"/>
                    </w:rPr>
                  </w:pPr>
                  <w:r>
                    <w:rPr>
                      <w:rFonts w:hint="default" w:cs="Times New Roman"/>
                      <w:bCs/>
                      <w:color w:val="auto"/>
                      <w:sz w:val="18"/>
                      <w:szCs w:val="18"/>
                      <w:highlight w:val="none"/>
                      <w:lang w:val="en-US" w:eastAsia="zh-CN"/>
                    </w:rPr>
                    <w:t>热压、烘干、粘结</w:t>
                  </w:r>
                </w:p>
              </w:tc>
              <w:tc>
                <w:tcPr>
                  <w:tcW w:w="468" w:type="dxa"/>
                  <w:tcBorders>
                    <w:top w:val="single" w:color="auto" w:sz="4" w:space="0"/>
                    <w:left w:val="single" w:color="auto" w:sz="4" w:space="0"/>
                    <w:bottom w:val="single" w:color="auto" w:sz="4" w:space="0"/>
                    <w:right w:val="single" w:color="auto" w:sz="4" w:space="0"/>
                  </w:tcBorders>
                  <w:noWrap w:val="0"/>
                  <w:vAlign w:val="center"/>
                </w:tcPr>
                <w:p w14:paraId="5B31B6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8"/>
                      <w:szCs w:val="18"/>
                      <w:highlight w:val="none"/>
                      <w:vertAlign w:val="baseline"/>
                      <w:lang w:val="en-US" w:eastAsia="zh-CN"/>
                    </w:rPr>
                  </w:pPr>
                  <w:r>
                    <w:rPr>
                      <w:rFonts w:hint="eastAsia" w:ascii="Times New Roman" w:hAnsi="Times New Roman" w:cs="Times New Roman"/>
                      <w:bCs/>
                      <w:color w:val="auto"/>
                      <w:sz w:val="18"/>
                      <w:szCs w:val="18"/>
                      <w:highlight w:val="none"/>
                      <w:vertAlign w:val="baseline"/>
                      <w:lang w:val="en-US" w:eastAsia="zh-CN"/>
                    </w:rPr>
                    <w:t>VOCs</w:t>
                  </w:r>
                </w:p>
              </w:tc>
              <w:tc>
                <w:tcPr>
                  <w:tcW w:w="85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BB0383D">
                  <w:pPr>
                    <w:keepNext w:val="0"/>
                    <w:keepLines w:val="0"/>
                    <w:widowControl/>
                    <w:suppressLineNumbers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0.0551</w:t>
                  </w:r>
                </w:p>
              </w:tc>
              <w:tc>
                <w:tcPr>
                  <w:tcW w:w="7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F020B75">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cs="Times New Roman"/>
                      <w:i w:val="0"/>
                      <w:iCs w:val="0"/>
                      <w:color w:val="auto"/>
                      <w:kern w:val="2"/>
                      <w:sz w:val="18"/>
                      <w:szCs w:val="18"/>
                      <w:highlight w:val="none"/>
                      <w:u w:val="none"/>
                      <w:lang w:val="en-US" w:eastAsia="zh-CN" w:bidi="ar"/>
                    </w:rPr>
                    <w:t>5.10</w:t>
                  </w:r>
                </w:p>
              </w:tc>
              <w:tc>
                <w:tcPr>
                  <w:tcW w:w="58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82A9536">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ascii="Times New Roman" w:hAnsi="Times New Roman" w:eastAsia="宋体" w:cs="Times New Roman"/>
                      <w:i w:val="0"/>
                      <w:iCs w:val="0"/>
                      <w:color w:val="auto"/>
                      <w:kern w:val="2"/>
                      <w:sz w:val="18"/>
                      <w:szCs w:val="18"/>
                      <w:highlight w:val="none"/>
                      <w:u w:val="none"/>
                      <w:lang w:val="en-US" w:eastAsia="zh-CN" w:bidi="ar"/>
                    </w:rPr>
                    <w:t>0.</w:t>
                  </w:r>
                  <w:r>
                    <w:rPr>
                      <w:rFonts w:hint="eastAsia" w:cs="Times New Roman"/>
                      <w:i w:val="0"/>
                      <w:iCs w:val="0"/>
                      <w:color w:val="auto"/>
                      <w:kern w:val="2"/>
                      <w:sz w:val="18"/>
                      <w:szCs w:val="18"/>
                      <w:highlight w:val="none"/>
                      <w:u w:val="none"/>
                      <w:lang w:val="en-US" w:eastAsia="zh-CN" w:bidi="ar"/>
                    </w:rPr>
                    <w:t>023</w:t>
                  </w:r>
                </w:p>
              </w:tc>
              <w:tc>
                <w:tcPr>
                  <w:tcW w:w="693" w:type="dxa"/>
                  <w:vMerge w:val="restart"/>
                  <w:tcBorders>
                    <w:top w:val="single" w:color="auto" w:sz="4" w:space="0"/>
                    <w:left w:val="single" w:color="auto" w:sz="4" w:space="0"/>
                    <w:right w:val="single" w:color="auto" w:sz="4" w:space="0"/>
                  </w:tcBorders>
                  <w:noWrap w:val="0"/>
                  <w:vAlign w:val="center"/>
                </w:tcPr>
                <w:p w14:paraId="2A405725">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4500</w:t>
                  </w:r>
                </w:p>
              </w:tc>
              <w:tc>
                <w:tcPr>
                  <w:tcW w:w="342" w:type="dxa"/>
                  <w:vMerge w:val="restart"/>
                  <w:tcBorders>
                    <w:top w:val="single" w:color="auto" w:sz="4" w:space="0"/>
                    <w:left w:val="single" w:color="auto" w:sz="4" w:space="0"/>
                    <w:right w:val="single" w:color="auto" w:sz="4" w:space="0"/>
                  </w:tcBorders>
                  <w:noWrap w:val="0"/>
                  <w:vAlign w:val="center"/>
                </w:tcPr>
                <w:p w14:paraId="23C50A08">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95</w:t>
                  </w:r>
                </w:p>
              </w:tc>
              <w:tc>
                <w:tcPr>
                  <w:tcW w:w="462" w:type="dxa"/>
                  <w:vMerge w:val="restart"/>
                  <w:tcBorders>
                    <w:top w:val="single" w:color="auto" w:sz="4" w:space="0"/>
                    <w:left w:val="single" w:color="auto" w:sz="4" w:space="0"/>
                    <w:right w:val="single" w:color="auto" w:sz="4" w:space="0"/>
                  </w:tcBorders>
                  <w:noWrap w:val="0"/>
                  <w:vAlign w:val="center"/>
                </w:tcPr>
                <w:p w14:paraId="38AC90DA">
                  <w:pPr>
                    <w:spacing w:line="240" w:lineRule="auto"/>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二级活性炭吸附装置</w:t>
                  </w:r>
                </w:p>
              </w:tc>
              <w:tc>
                <w:tcPr>
                  <w:tcW w:w="341" w:type="dxa"/>
                  <w:vMerge w:val="restart"/>
                  <w:tcBorders>
                    <w:top w:val="single" w:color="auto" w:sz="4" w:space="0"/>
                    <w:left w:val="single" w:color="auto" w:sz="4" w:space="0"/>
                    <w:right w:val="single" w:color="auto" w:sz="4" w:space="0"/>
                  </w:tcBorders>
                  <w:noWrap w:val="0"/>
                  <w:vAlign w:val="center"/>
                </w:tcPr>
                <w:p w14:paraId="0EA53360">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70</w:t>
                  </w:r>
                </w:p>
              </w:tc>
              <w:tc>
                <w:tcPr>
                  <w:tcW w:w="359" w:type="dxa"/>
                  <w:vMerge w:val="restart"/>
                  <w:tcBorders>
                    <w:top w:val="single" w:color="auto" w:sz="4" w:space="0"/>
                    <w:left w:val="single" w:color="auto" w:sz="4" w:space="0"/>
                    <w:right w:val="single" w:color="auto" w:sz="4" w:space="0"/>
                  </w:tcBorders>
                  <w:noWrap w:val="0"/>
                  <w:vAlign w:val="center"/>
                </w:tcPr>
                <w:p w14:paraId="24FA4A42">
                  <w:pPr>
                    <w:spacing w:line="240" w:lineRule="auto"/>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是</w:t>
                  </w:r>
                </w:p>
              </w:tc>
              <w:tc>
                <w:tcPr>
                  <w:tcW w:w="683"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099A1AA">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w:t>
                  </w:r>
                  <w:r>
                    <w:rPr>
                      <w:rFonts w:hint="eastAsia" w:cs="Times New Roman"/>
                      <w:i w:val="0"/>
                      <w:iCs w:val="0"/>
                      <w:color w:val="auto"/>
                      <w:kern w:val="2"/>
                      <w:sz w:val="18"/>
                      <w:szCs w:val="18"/>
                      <w:highlight w:val="none"/>
                      <w:u w:val="none"/>
                      <w:lang w:val="en-US" w:eastAsia="zh-CN" w:bidi="ar-SA"/>
                    </w:rPr>
                    <w:t>17</w:t>
                  </w:r>
                </w:p>
              </w:tc>
              <w:tc>
                <w:tcPr>
                  <w:tcW w:w="7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4FE9D78">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1.</w:t>
                  </w:r>
                  <w:r>
                    <w:rPr>
                      <w:rFonts w:hint="eastAsia" w:cs="Times New Roman"/>
                      <w:i w:val="0"/>
                      <w:iCs w:val="0"/>
                      <w:color w:val="auto"/>
                      <w:kern w:val="2"/>
                      <w:sz w:val="18"/>
                      <w:szCs w:val="18"/>
                      <w:highlight w:val="none"/>
                      <w:u w:val="none"/>
                      <w:lang w:val="en-US" w:eastAsia="zh-CN" w:bidi="ar-SA"/>
                    </w:rPr>
                    <w:t>6</w:t>
                  </w:r>
                </w:p>
              </w:tc>
              <w:tc>
                <w:tcPr>
                  <w:tcW w:w="821"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042EEC8">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w:t>
                  </w:r>
                  <w:r>
                    <w:rPr>
                      <w:rFonts w:hint="eastAsia" w:cs="Times New Roman"/>
                      <w:i w:val="0"/>
                      <w:iCs w:val="0"/>
                      <w:color w:val="auto"/>
                      <w:kern w:val="2"/>
                      <w:sz w:val="18"/>
                      <w:szCs w:val="18"/>
                      <w:highlight w:val="none"/>
                      <w:u w:val="none"/>
                      <w:lang w:val="en-US" w:eastAsia="zh-CN" w:bidi="ar-SA"/>
                    </w:rPr>
                    <w:t>7</w:t>
                  </w:r>
                </w:p>
              </w:tc>
              <w:tc>
                <w:tcPr>
                  <w:tcW w:w="373" w:type="dxa"/>
                  <w:vMerge w:val="restart"/>
                  <w:tcBorders>
                    <w:top w:val="single" w:color="auto" w:sz="4" w:space="0"/>
                    <w:left w:val="single" w:color="auto" w:sz="4" w:space="0"/>
                    <w:right w:val="single" w:color="auto" w:sz="4" w:space="0"/>
                  </w:tcBorders>
                  <w:noWrap w:val="0"/>
                  <w:vAlign w:val="center"/>
                </w:tcPr>
                <w:p w14:paraId="51CB0811">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2400</w:t>
                  </w:r>
                </w:p>
              </w:tc>
              <w:tc>
                <w:tcPr>
                  <w:tcW w:w="550" w:type="dxa"/>
                  <w:vMerge w:val="restart"/>
                  <w:tcBorders>
                    <w:top w:val="single" w:color="auto" w:sz="4" w:space="0"/>
                    <w:left w:val="single" w:color="auto" w:sz="4" w:space="0"/>
                    <w:right w:val="single" w:color="auto" w:sz="4" w:space="0"/>
                  </w:tcBorders>
                  <w:noWrap w:val="0"/>
                  <w:vAlign w:val="center"/>
                </w:tcPr>
                <w:p w14:paraId="7FA6352B">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DA003</w:t>
                  </w:r>
                </w:p>
              </w:tc>
            </w:tr>
            <w:tr w14:paraId="695F4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71" w:type="dxa"/>
                  <w:vMerge w:val="continue"/>
                  <w:tcBorders>
                    <w:left w:val="single" w:color="auto" w:sz="4" w:space="0"/>
                    <w:right w:val="single" w:color="auto" w:sz="4" w:space="0"/>
                  </w:tcBorders>
                  <w:noWrap w:val="0"/>
                  <w:vAlign w:val="center"/>
                </w:tcPr>
                <w:p w14:paraId="1DA4400B">
                  <w:pPr>
                    <w:spacing w:line="240" w:lineRule="auto"/>
                    <w:jc w:val="center"/>
                    <w:rPr>
                      <w:rFonts w:hint="default" w:cs="Times New Roman"/>
                      <w:bCs/>
                      <w:color w:val="auto"/>
                      <w:sz w:val="18"/>
                      <w:szCs w:val="18"/>
                      <w:highlight w:val="none"/>
                      <w:lang w:val="en-US" w:eastAsia="zh-CN"/>
                    </w:rPr>
                  </w:pPr>
                </w:p>
              </w:tc>
              <w:tc>
                <w:tcPr>
                  <w:tcW w:w="468" w:type="dxa"/>
                  <w:tcBorders>
                    <w:top w:val="single" w:color="auto" w:sz="4" w:space="0"/>
                    <w:left w:val="single" w:color="auto" w:sz="4" w:space="0"/>
                    <w:bottom w:val="single" w:color="auto" w:sz="4" w:space="0"/>
                    <w:right w:val="single" w:color="auto" w:sz="4" w:space="0"/>
                  </w:tcBorders>
                  <w:noWrap w:val="0"/>
                  <w:vAlign w:val="center"/>
                </w:tcPr>
                <w:p w14:paraId="1F310E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8"/>
                      <w:szCs w:val="18"/>
                      <w:highlight w:val="none"/>
                      <w:vertAlign w:val="baseline"/>
                      <w:lang w:val="en-US" w:eastAsia="zh-CN"/>
                    </w:rPr>
                  </w:pPr>
                  <w:r>
                    <w:rPr>
                      <w:rFonts w:hint="eastAsia" w:ascii="Times New Roman" w:hAnsi="Times New Roman" w:cs="Times New Roman"/>
                      <w:bCs/>
                      <w:color w:val="auto"/>
                      <w:sz w:val="18"/>
                      <w:szCs w:val="18"/>
                      <w:highlight w:val="none"/>
                      <w:vertAlign w:val="baseline"/>
                      <w:lang w:val="en-US" w:eastAsia="zh-CN"/>
                    </w:rPr>
                    <w:t>甲醛</w:t>
                  </w:r>
                </w:p>
              </w:tc>
              <w:tc>
                <w:tcPr>
                  <w:tcW w:w="85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2697658">
                  <w:pPr>
                    <w:keepNext w:val="0"/>
                    <w:keepLines w:val="0"/>
                    <w:widowControl/>
                    <w:suppressLineNumbers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0.019</w:t>
                  </w:r>
                </w:p>
              </w:tc>
              <w:tc>
                <w:tcPr>
                  <w:tcW w:w="7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3E348D5">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ascii="Times New Roman" w:hAnsi="Times New Roman" w:eastAsia="宋体" w:cs="Times New Roman"/>
                      <w:i w:val="0"/>
                      <w:iCs w:val="0"/>
                      <w:color w:val="auto"/>
                      <w:kern w:val="2"/>
                      <w:sz w:val="18"/>
                      <w:szCs w:val="18"/>
                      <w:highlight w:val="none"/>
                      <w:u w:val="none"/>
                      <w:lang w:val="en-US" w:eastAsia="zh-CN" w:bidi="ar"/>
                    </w:rPr>
                    <w:t>1.76</w:t>
                  </w:r>
                </w:p>
              </w:tc>
              <w:tc>
                <w:tcPr>
                  <w:tcW w:w="58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1C0621E">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ascii="Times New Roman" w:hAnsi="Times New Roman" w:eastAsia="宋体" w:cs="Times New Roman"/>
                      <w:i w:val="0"/>
                      <w:iCs w:val="0"/>
                      <w:color w:val="auto"/>
                      <w:kern w:val="2"/>
                      <w:sz w:val="18"/>
                      <w:szCs w:val="18"/>
                      <w:highlight w:val="none"/>
                      <w:u w:val="none"/>
                      <w:lang w:val="en-US" w:eastAsia="zh-CN" w:bidi="ar"/>
                    </w:rPr>
                    <w:t>0.008</w:t>
                  </w:r>
                </w:p>
              </w:tc>
              <w:tc>
                <w:tcPr>
                  <w:tcW w:w="693" w:type="dxa"/>
                  <w:vMerge w:val="continue"/>
                  <w:tcBorders>
                    <w:left w:val="single" w:color="auto" w:sz="4" w:space="0"/>
                    <w:right w:val="single" w:color="auto" w:sz="4" w:space="0"/>
                  </w:tcBorders>
                  <w:noWrap w:val="0"/>
                  <w:vAlign w:val="center"/>
                </w:tcPr>
                <w:p w14:paraId="5BE5D1FD">
                  <w:pPr>
                    <w:spacing w:line="240" w:lineRule="auto"/>
                    <w:jc w:val="center"/>
                    <w:rPr>
                      <w:rFonts w:hint="eastAsia" w:cs="Times New Roman"/>
                      <w:color w:val="auto"/>
                      <w:sz w:val="18"/>
                      <w:szCs w:val="18"/>
                      <w:highlight w:val="none"/>
                      <w:lang w:val="en-US" w:eastAsia="zh-CN"/>
                    </w:rPr>
                  </w:pPr>
                </w:p>
              </w:tc>
              <w:tc>
                <w:tcPr>
                  <w:tcW w:w="342" w:type="dxa"/>
                  <w:vMerge w:val="continue"/>
                  <w:tcBorders>
                    <w:left w:val="single" w:color="auto" w:sz="4" w:space="0"/>
                    <w:right w:val="single" w:color="auto" w:sz="4" w:space="0"/>
                  </w:tcBorders>
                  <w:noWrap w:val="0"/>
                  <w:vAlign w:val="center"/>
                </w:tcPr>
                <w:p w14:paraId="1918C1BA">
                  <w:pPr>
                    <w:spacing w:line="240" w:lineRule="auto"/>
                    <w:jc w:val="center"/>
                    <w:rPr>
                      <w:rFonts w:hint="eastAsia" w:ascii="Times New Roman" w:hAnsi="Times New Roman" w:eastAsia="宋体" w:cs="Times New Roman"/>
                      <w:color w:val="auto"/>
                      <w:sz w:val="18"/>
                      <w:szCs w:val="18"/>
                      <w:highlight w:val="none"/>
                      <w:lang w:val="en-US" w:eastAsia="zh-CN"/>
                    </w:rPr>
                  </w:pPr>
                </w:p>
              </w:tc>
              <w:tc>
                <w:tcPr>
                  <w:tcW w:w="462" w:type="dxa"/>
                  <w:vMerge w:val="continue"/>
                  <w:tcBorders>
                    <w:left w:val="single" w:color="auto" w:sz="4" w:space="0"/>
                    <w:right w:val="single" w:color="auto" w:sz="4" w:space="0"/>
                  </w:tcBorders>
                  <w:noWrap w:val="0"/>
                  <w:vAlign w:val="center"/>
                </w:tcPr>
                <w:p w14:paraId="513C0A2D">
                  <w:pPr>
                    <w:spacing w:line="240" w:lineRule="auto"/>
                    <w:jc w:val="center"/>
                    <w:rPr>
                      <w:rFonts w:hint="eastAsia" w:cs="Times New Roman"/>
                      <w:color w:val="auto"/>
                      <w:sz w:val="18"/>
                      <w:szCs w:val="18"/>
                      <w:highlight w:val="none"/>
                      <w:lang w:val="en-US" w:eastAsia="zh-CN"/>
                    </w:rPr>
                  </w:pPr>
                </w:p>
              </w:tc>
              <w:tc>
                <w:tcPr>
                  <w:tcW w:w="341" w:type="dxa"/>
                  <w:vMerge w:val="continue"/>
                  <w:tcBorders>
                    <w:left w:val="single" w:color="auto" w:sz="4" w:space="0"/>
                    <w:right w:val="single" w:color="auto" w:sz="4" w:space="0"/>
                  </w:tcBorders>
                  <w:noWrap w:val="0"/>
                  <w:vAlign w:val="center"/>
                </w:tcPr>
                <w:p w14:paraId="6D50D513">
                  <w:pPr>
                    <w:spacing w:line="240" w:lineRule="auto"/>
                    <w:jc w:val="center"/>
                    <w:rPr>
                      <w:rFonts w:hint="eastAsia" w:cs="Times New Roman"/>
                      <w:color w:val="auto"/>
                      <w:sz w:val="18"/>
                      <w:szCs w:val="18"/>
                      <w:highlight w:val="none"/>
                      <w:lang w:val="en-US" w:eastAsia="zh-CN"/>
                    </w:rPr>
                  </w:pPr>
                </w:p>
              </w:tc>
              <w:tc>
                <w:tcPr>
                  <w:tcW w:w="359" w:type="dxa"/>
                  <w:vMerge w:val="continue"/>
                  <w:tcBorders>
                    <w:left w:val="single" w:color="auto" w:sz="4" w:space="0"/>
                    <w:right w:val="single" w:color="auto" w:sz="4" w:space="0"/>
                  </w:tcBorders>
                  <w:noWrap w:val="0"/>
                  <w:vAlign w:val="center"/>
                </w:tcPr>
                <w:p w14:paraId="6CA2C106">
                  <w:pPr>
                    <w:spacing w:line="240" w:lineRule="auto"/>
                    <w:jc w:val="center"/>
                    <w:rPr>
                      <w:rFonts w:hint="eastAsia" w:ascii="Times New Roman" w:hAnsi="Times New Roman" w:eastAsia="宋体" w:cs="Times New Roman"/>
                      <w:color w:val="auto"/>
                      <w:sz w:val="18"/>
                      <w:szCs w:val="18"/>
                      <w:highlight w:val="none"/>
                      <w:lang w:val="en-US" w:eastAsia="zh-CN"/>
                    </w:rPr>
                  </w:pPr>
                </w:p>
              </w:tc>
              <w:tc>
                <w:tcPr>
                  <w:tcW w:w="683"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F175EF3">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0.006</w:t>
                  </w:r>
                </w:p>
              </w:tc>
              <w:tc>
                <w:tcPr>
                  <w:tcW w:w="7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71143B2">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0.6</w:t>
                  </w:r>
                </w:p>
              </w:tc>
              <w:tc>
                <w:tcPr>
                  <w:tcW w:w="821"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68A41B7">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0.003</w:t>
                  </w:r>
                </w:p>
              </w:tc>
              <w:tc>
                <w:tcPr>
                  <w:tcW w:w="373" w:type="dxa"/>
                  <w:vMerge w:val="continue"/>
                  <w:tcBorders>
                    <w:left w:val="single" w:color="auto" w:sz="4" w:space="0"/>
                    <w:right w:val="single" w:color="auto" w:sz="4" w:space="0"/>
                  </w:tcBorders>
                  <w:noWrap w:val="0"/>
                  <w:vAlign w:val="center"/>
                </w:tcPr>
                <w:p w14:paraId="0DDBDD46">
                  <w:pPr>
                    <w:spacing w:line="240" w:lineRule="auto"/>
                    <w:jc w:val="center"/>
                    <w:rPr>
                      <w:rFonts w:hint="eastAsia" w:cs="Times New Roman"/>
                      <w:color w:val="auto"/>
                      <w:sz w:val="18"/>
                      <w:szCs w:val="18"/>
                      <w:highlight w:val="none"/>
                      <w:lang w:val="en-US" w:eastAsia="zh-CN"/>
                    </w:rPr>
                  </w:pPr>
                </w:p>
              </w:tc>
              <w:tc>
                <w:tcPr>
                  <w:tcW w:w="550" w:type="dxa"/>
                  <w:vMerge w:val="continue"/>
                  <w:tcBorders>
                    <w:left w:val="single" w:color="auto" w:sz="4" w:space="0"/>
                    <w:right w:val="single" w:color="auto" w:sz="4" w:space="0"/>
                  </w:tcBorders>
                  <w:noWrap w:val="0"/>
                  <w:vAlign w:val="center"/>
                </w:tcPr>
                <w:p w14:paraId="4945D0CD">
                  <w:pPr>
                    <w:spacing w:line="240" w:lineRule="auto"/>
                    <w:jc w:val="center"/>
                    <w:rPr>
                      <w:rFonts w:hint="eastAsia" w:cs="Times New Roman"/>
                      <w:color w:val="auto"/>
                      <w:sz w:val="18"/>
                      <w:szCs w:val="18"/>
                      <w:highlight w:val="none"/>
                      <w:lang w:val="en-US" w:eastAsia="zh-CN"/>
                    </w:rPr>
                  </w:pPr>
                </w:p>
              </w:tc>
            </w:tr>
            <w:tr w14:paraId="4AA21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71" w:type="dxa"/>
                  <w:vMerge w:val="continue"/>
                  <w:tcBorders>
                    <w:left w:val="single" w:color="auto" w:sz="4" w:space="0"/>
                    <w:bottom w:val="single" w:color="auto" w:sz="2" w:space="0"/>
                    <w:right w:val="single" w:color="auto" w:sz="4" w:space="0"/>
                  </w:tcBorders>
                  <w:noWrap w:val="0"/>
                  <w:vAlign w:val="center"/>
                </w:tcPr>
                <w:p w14:paraId="3074EFA0">
                  <w:pPr>
                    <w:spacing w:line="240" w:lineRule="auto"/>
                    <w:jc w:val="center"/>
                    <w:rPr>
                      <w:rFonts w:hint="default" w:cs="Times New Roman"/>
                      <w:bCs/>
                      <w:color w:val="auto"/>
                      <w:sz w:val="18"/>
                      <w:szCs w:val="18"/>
                      <w:highlight w:val="none"/>
                      <w:lang w:val="en-US" w:eastAsia="zh-CN"/>
                    </w:rPr>
                  </w:pPr>
                </w:p>
              </w:tc>
              <w:tc>
                <w:tcPr>
                  <w:tcW w:w="468" w:type="dxa"/>
                  <w:tcBorders>
                    <w:top w:val="single" w:color="auto" w:sz="4" w:space="0"/>
                    <w:left w:val="single" w:color="auto" w:sz="4" w:space="0"/>
                    <w:bottom w:val="single" w:color="auto" w:sz="4" w:space="0"/>
                    <w:right w:val="single" w:color="auto" w:sz="4" w:space="0"/>
                  </w:tcBorders>
                  <w:noWrap w:val="0"/>
                  <w:vAlign w:val="center"/>
                </w:tcPr>
                <w:p w14:paraId="481F02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8"/>
                      <w:szCs w:val="18"/>
                      <w:highlight w:val="none"/>
                      <w:vertAlign w:val="baseline"/>
                      <w:lang w:val="en-US" w:eastAsia="zh-CN"/>
                    </w:rPr>
                  </w:pPr>
                  <w:r>
                    <w:rPr>
                      <w:rFonts w:hint="eastAsia" w:ascii="Times New Roman" w:hAnsi="Times New Roman" w:cs="Times New Roman"/>
                      <w:bCs/>
                      <w:color w:val="auto"/>
                      <w:sz w:val="18"/>
                      <w:szCs w:val="18"/>
                      <w:highlight w:val="none"/>
                      <w:vertAlign w:val="baseline"/>
                      <w:lang w:val="en-US" w:eastAsia="zh-CN"/>
                    </w:rPr>
                    <w:t>苯酚</w:t>
                  </w:r>
                </w:p>
              </w:tc>
              <w:tc>
                <w:tcPr>
                  <w:tcW w:w="85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92259D2">
                  <w:pPr>
                    <w:keepNext w:val="0"/>
                    <w:keepLines w:val="0"/>
                    <w:widowControl/>
                    <w:suppressLineNumbers w:val="0"/>
                    <w:jc w:val="center"/>
                    <w:textAlignment w:val="auto"/>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0.027</w:t>
                  </w:r>
                </w:p>
              </w:tc>
              <w:tc>
                <w:tcPr>
                  <w:tcW w:w="7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119604A">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ascii="Times New Roman" w:hAnsi="Times New Roman" w:eastAsia="宋体" w:cs="Times New Roman"/>
                      <w:i w:val="0"/>
                      <w:iCs w:val="0"/>
                      <w:color w:val="auto"/>
                      <w:kern w:val="2"/>
                      <w:sz w:val="18"/>
                      <w:szCs w:val="18"/>
                      <w:highlight w:val="none"/>
                      <w:u w:val="none"/>
                      <w:lang w:val="en-US" w:eastAsia="zh-CN" w:bidi="ar"/>
                    </w:rPr>
                    <w:t>2.50</w:t>
                  </w:r>
                </w:p>
              </w:tc>
              <w:tc>
                <w:tcPr>
                  <w:tcW w:w="58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562527F">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ascii="Times New Roman" w:hAnsi="Times New Roman" w:eastAsia="宋体" w:cs="Times New Roman"/>
                      <w:i w:val="0"/>
                      <w:iCs w:val="0"/>
                      <w:color w:val="auto"/>
                      <w:kern w:val="2"/>
                      <w:sz w:val="18"/>
                      <w:szCs w:val="18"/>
                      <w:highlight w:val="none"/>
                      <w:u w:val="none"/>
                      <w:lang w:val="en-US" w:eastAsia="zh-CN" w:bidi="ar"/>
                    </w:rPr>
                    <w:t>0.011</w:t>
                  </w:r>
                </w:p>
              </w:tc>
              <w:tc>
                <w:tcPr>
                  <w:tcW w:w="693" w:type="dxa"/>
                  <w:vMerge w:val="continue"/>
                  <w:tcBorders>
                    <w:left w:val="single" w:color="auto" w:sz="4" w:space="0"/>
                    <w:right w:val="single" w:color="auto" w:sz="4" w:space="0"/>
                  </w:tcBorders>
                  <w:noWrap w:val="0"/>
                  <w:vAlign w:val="center"/>
                </w:tcPr>
                <w:p w14:paraId="12813705">
                  <w:pPr>
                    <w:spacing w:line="240" w:lineRule="auto"/>
                    <w:jc w:val="center"/>
                    <w:rPr>
                      <w:rFonts w:hint="eastAsia" w:cs="Times New Roman"/>
                      <w:color w:val="auto"/>
                      <w:sz w:val="18"/>
                      <w:szCs w:val="18"/>
                      <w:highlight w:val="none"/>
                      <w:lang w:val="en-US" w:eastAsia="zh-CN"/>
                    </w:rPr>
                  </w:pPr>
                </w:p>
              </w:tc>
              <w:tc>
                <w:tcPr>
                  <w:tcW w:w="342" w:type="dxa"/>
                  <w:vMerge w:val="continue"/>
                  <w:tcBorders>
                    <w:left w:val="single" w:color="auto" w:sz="4" w:space="0"/>
                    <w:right w:val="single" w:color="auto" w:sz="4" w:space="0"/>
                  </w:tcBorders>
                  <w:noWrap w:val="0"/>
                  <w:vAlign w:val="center"/>
                </w:tcPr>
                <w:p w14:paraId="05C21690">
                  <w:pPr>
                    <w:spacing w:line="240" w:lineRule="auto"/>
                    <w:jc w:val="center"/>
                    <w:rPr>
                      <w:rFonts w:hint="eastAsia" w:ascii="Times New Roman" w:hAnsi="Times New Roman" w:eastAsia="宋体" w:cs="Times New Roman"/>
                      <w:color w:val="auto"/>
                      <w:sz w:val="18"/>
                      <w:szCs w:val="18"/>
                      <w:highlight w:val="none"/>
                      <w:lang w:val="en-US" w:eastAsia="zh-CN"/>
                    </w:rPr>
                  </w:pPr>
                </w:p>
              </w:tc>
              <w:tc>
                <w:tcPr>
                  <w:tcW w:w="462" w:type="dxa"/>
                  <w:vMerge w:val="continue"/>
                  <w:tcBorders>
                    <w:left w:val="single" w:color="auto" w:sz="4" w:space="0"/>
                    <w:bottom w:val="single" w:color="auto" w:sz="4" w:space="0"/>
                    <w:right w:val="single" w:color="auto" w:sz="4" w:space="0"/>
                  </w:tcBorders>
                  <w:noWrap w:val="0"/>
                  <w:vAlign w:val="center"/>
                </w:tcPr>
                <w:p w14:paraId="16A03388">
                  <w:pPr>
                    <w:spacing w:line="240" w:lineRule="auto"/>
                    <w:jc w:val="center"/>
                    <w:rPr>
                      <w:rFonts w:hint="eastAsia" w:cs="Times New Roman"/>
                      <w:color w:val="auto"/>
                      <w:sz w:val="18"/>
                      <w:szCs w:val="18"/>
                      <w:highlight w:val="none"/>
                      <w:lang w:val="en-US" w:eastAsia="zh-CN"/>
                    </w:rPr>
                  </w:pPr>
                </w:p>
              </w:tc>
              <w:tc>
                <w:tcPr>
                  <w:tcW w:w="341" w:type="dxa"/>
                  <w:vMerge w:val="continue"/>
                  <w:tcBorders>
                    <w:left w:val="single" w:color="auto" w:sz="4" w:space="0"/>
                    <w:bottom w:val="single" w:color="auto" w:sz="4" w:space="0"/>
                    <w:right w:val="single" w:color="auto" w:sz="4" w:space="0"/>
                  </w:tcBorders>
                  <w:noWrap w:val="0"/>
                  <w:vAlign w:val="center"/>
                </w:tcPr>
                <w:p w14:paraId="4964E239">
                  <w:pPr>
                    <w:spacing w:line="240" w:lineRule="auto"/>
                    <w:jc w:val="center"/>
                    <w:rPr>
                      <w:rFonts w:hint="eastAsia" w:cs="Times New Roman"/>
                      <w:color w:val="auto"/>
                      <w:sz w:val="18"/>
                      <w:szCs w:val="18"/>
                      <w:highlight w:val="none"/>
                      <w:lang w:val="en-US" w:eastAsia="zh-CN"/>
                    </w:rPr>
                  </w:pPr>
                </w:p>
              </w:tc>
              <w:tc>
                <w:tcPr>
                  <w:tcW w:w="359" w:type="dxa"/>
                  <w:vMerge w:val="continue"/>
                  <w:tcBorders>
                    <w:left w:val="single" w:color="auto" w:sz="4" w:space="0"/>
                    <w:bottom w:val="single" w:color="auto" w:sz="4" w:space="0"/>
                    <w:right w:val="single" w:color="auto" w:sz="4" w:space="0"/>
                  </w:tcBorders>
                  <w:noWrap w:val="0"/>
                  <w:vAlign w:val="center"/>
                </w:tcPr>
                <w:p w14:paraId="4E8E2CBB">
                  <w:pPr>
                    <w:spacing w:line="240" w:lineRule="auto"/>
                    <w:jc w:val="center"/>
                    <w:rPr>
                      <w:rFonts w:hint="eastAsia" w:ascii="Times New Roman" w:hAnsi="Times New Roman" w:eastAsia="宋体" w:cs="Times New Roman"/>
                      <w:color w:val="auto"/>
                      <w:sz w:val="18"/>
                      <w:szCs w:val="18"/>
                      <w:highlight w:val="none"/>
                      <w:lang w:val="en-US" w:eastAsia="zh-CN"/>
                    </w:rPr>
                  </w:pPr>
                </w:p>
              </w:tc>
              <w:tc>
                <w:tcPr>
                  <w:tcW w:w="683"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1ED4EF5">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0.008</w:t>
                  </w:r>
                </w:p>
              </w:tc>
              <w:tc>
                <w:tcPr>
                  <w:tcW w:w="74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132E982">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0.7</w:t>
                  </w:r>
                </w:p>
              </w:tc>
              <w:tc>
                <w:tcPr>
                  <w:tcW w:w="821"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A4913D8">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ascii="Times New Roman" w:hAnsi="Times New Roman" w:eastAsia="宋体" w:cs="Times New Roman"/>
                      <w:i w:val="0"/>
                      <w:iCs w:val="0"/>
                      <w:color w:val="auto"/>
                      <w:kern w:val="2"/>
                      <w:sz w:val="18"/>
                      <w:szCs w:val="18"/>
                      <w:highlight w:val="none"/>
                      <w:u w:val="none"/>
                      <w:lang w:val="en-US" w:eastAsia="zh-CN" w:bidi="ar-SA"/>
                    </w:rPr>
                    <w:t>0.003</w:t>
                  </w:r>
                </w:p>
              </w:tc>
              <w:tc>
                <w:tcPr>
                  <w:tcW w:w="373" w:type="dxa"/>
                  <w:vMerge w:val="continue"/>
                  <w:tcBorders>
                    <w:left w:val="single" w:color="auto" w:sz="4" w:space="0"/>
                    <w:right w:val="single" w:color="auto" w:sz="4" w:space="0"/>
                  </w:tcBorders>
                  <w:noWrap w:val="0"/>
                  <w:vAlign w:val="center"/>
                </w:tcPr>
                <w:p w14:paraId="6A87452B">
                  <w:pPr>
                    <w:spacing w:line="240" w:lineRule="auto"/>
                    <w:jc w:val="center"/>
                    <w:rPr>
                      <w:rFonts w:hint="eastAsia" w:cs="Times New Roman"/>
                      <w:color w:val="auto"/>
                      <w:sz w:val="18"/>
                      <w:szCs w:val="18"/>
                      <w:highlight w:val="none"/>
                      <w:lang w:val="en-US" w:eastAsia="zh-CN"/>
                    </w:rPr>
                  </w:pPr>
                </w:p>
              </w:tc>
              <w:tc>
                <w:tcPr>
                  <w:tcW w:w="550" w:type="dxa"/>
                  <w:vMerge w:val="continue"/>
                  <w:tcBorders>
                    <w:left w:val="single" w:color="auto" w:sz="4" w:space="0"/>
                    <w:right w:val="single" w:color="auto" w:sz="4" w:space="0"/>
                  </w:tcBorders>
                  <w:noWrap w:val="0"/>
                  <w:vAlign w:val="center"/>
                </w:tcPr>
                <w:p w14:paraId="26C3355D">
                  <w:pPr>
                    <w:spacing w:line="240" w:lineRule="auto"/>
                    <w:jc w:val="center"/>
                    <w:rPr>
                      <w:rFonts w:hint="eastAsia" w:cs="Times New Roman"/>
                      <w:color w:val="auto"/>
                      <w:sz w:val="18"/>
                      <w:szCs w:val="18"/>
                      <w:highlight w:val="none"/>
                      <w:lang w:val="en-US" w:eastAsia="zh-CN"/>
                    </w:rPr>
                  </w:pPr>
                </w:p>
              </w:tc>
            </w:tr>
          </w:tbl>
          <w:p w14:paraId="7BA57BC5">
            <w:pPr>
              <w:adjustRightInd w:val="0"/>
              <w:snapToGrid w:val="0"/>
              <w:spacing w:line="360" w:lineRule="auto"/>
              <w:ind w:firstLine="420" w:firstLineChars="200"/>
              <w:rPr>
                <w:rFonts w:hint="eastAsia" w:cs="Times New Roman"/>
                <w:color w:val="auto"/>
                <w:szCs w:val="21"/>
                <w:highlight w:val="none"/>
                <w:lang w:val="en-US" w:eastAsia="zh-CN"/>
              </w:rPr>
            </w:pPr>
            <w:r>
              <w:rPr>
                <w:rFonts w:hint="eastAsia"/>
                <w:color w:val="auto"/>
                <w:highlight w:val="none"/>
                <w:lang w:val="en-US" w:eastAsia="zh-CN"/>
              </w:rPr>
              <w:t>由上表可知，本项目DA003排气筒</w:t>
            </w:r>
            <w:r>
              <w:rPr>
                <w:rFonts w:hint="default" w:ascii="Times New Roman" w:hAnsi="Times New Roman" w:cs="Times New Roman"/>
                <w:color w:val="auto"/>
                <w:highlight w:val="none"/>
              </w:rPr>
              <w:t>VOCs</w:t>
            </w:r>
            <w:r>
              <w:rPr>
                <w:rFonts w:hint="eastAsia"/>
                <w:color w:val="auto"/>
                <w:highlight w:val="none"/>
                <w:lang w:val="en-US" w:eastAsia="zh-CN"/>
              </w:rPr>
              <w:t>排放浓度满足</w:t>
            </w:r>
            <w:r>
              <w:rPr>
                <w:rFonts w:hint="default" w:ascii="Times New Roman" w:hAnsi="Times New Roman" w:cs="Times New Roman"/>
                <w:color w:val="auto"/>
                <w:szCs w:val="21"/>
                <w:highlight w:val="none"/>
              </w:rPr>
              <w:t>《挥发性有机物排放标准 第</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部分：</w:t>
            </w:r>
            <w:r>
              <w:rPr>
                <w:rFonts w:hint="eastAsia" w:cs="Times New Roman"/>
                <w:color w:val="auto"/>
                <w:szCs w:val="21"/>
                <w:highlight w:val="none"/>
                <w:lang w:eastAsia="zh-CN"/>
              </w:rPr>
              <w:t>其他</w:t>
            </w:r>
            <w:r>
              <w:rPr>
                <w:rFonts w:hint="default" w:ascii="Times New Roman" w:hAnsi="Times New Roman" w:cs="Times New Roman"/>
                <w:color w:val="auto"/>
                <w:szCs w:val="21"/>
                <w:highlight w:val="none"/>
              </w:rPr>
              <w:t>行业》（DB37/2801.</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-201</w:t>
            </w:r>
            <w:r>
              <w:rPr>
                <w:rFonts w:hint="eastAsia" w:cs="Times New Roman"/>
                <w:color w:val="auto"/>
                <w:szCs w:val="21"/>
                <w:highlight w:val="none"/>
                <w:lang w:val="en-US" w:eastAsia="zh-CN"/>
              </w:rPr>
              <w:t>9</w:t>
            </w:r>
            <w:r>
              <w:rPr>
                <w:rFonts w:hint="default" w:ascii="Times New Roman" w:hAnsi="Times New Roman" w:cs="Times New Roman"/>
                <w:color w:val="auto"/>
                <w:szCs w:val="21"/>
                <w:highlight w:val="none"/>
              </w:rPr>
              <w:t>）表</w:t>
            </w:r>
            <w:r>
              <w:rPr>
                <w:rFonts w:hint="eastAsia" w:cs="Times New Roman"/>
                <w:color w:val="auto"/>
                <w:szCs w:val="21"/>
                <w:highlight w:val="none"/>
                <w:lang w:val="en-US" w:eastAsia="zh-CN"/>
              </w:rPr>
              <w:t>1中“非金属矿物制品业”Ⅱ时段</w:t>
            </w:r>
            <w:r>
              <w:rPr>
                <w:rFonts w:hint="default" w:ascii="Times New Roman" w:hAnsi="Times New Roman" w:cs="Times New Roman"/>
                <w:color w:val="auto"/>
                <w:szCs w:val="21"/>
                <w:highlight w:val="none"/>
              </w:rPr>
              <w:t>VOCs排放限值</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highlight w:val="none"/>
              </w:rPr>
              <w:t>VOCs</w:t>
            </w:r>
            <w:r>
              <w:rPr>
                <w:rFonts w:hint="eastAsia" w:ascii="Times New Roman" w:hAnsi="Times New Roman" w:cs="Times New Roman"/>
                <w:color w:val="auto"/>
                <w:szCs w:val="21"/>
                <w:highlight w:val="none"/>
                <w:lang w:val="en-US" w:eastAsia="zh-CN"/>
              </w:rPr>
              <w:t>排放浓度20</w:t>
            </w:r>
            <w:r>
              <w:rPr>
                <w:color w:val="auto"/>
                <w:highlight w:val="none"/>
              </w:rPr>
              <w:t>mg/m</w:t>
            </w:r>
            <w:r>
              <w:rPr>
                <w:color w:val="auto"/>
                <w:highlight w:val="none"/>
                <w:vertAlign w:val="superscript"/>
              </w:rPr>
              <w:t>3</w:t>
            </w:r>
            <w:r>
              <w:rPr>
                <w:rFonts w:hint="eastAsia"/>
                <w:color w:val="auto"/>
                <w:highlight w:val="none"/>
                <w:vertAlign w:val="baseline"/>
                <w:lang w:eastAsia="zh-CN"/>
              </w:rPr>
              <w:t>、</w:t>
            </w:r>
            <w:r>
              <w:rPr>
                <w:rFonts w:hint="eastAsia"/>
                <w:color w:val="auto"/>
                <w:highlight w:val="none"/>
                <w:vertAlign w:val="baseline"/>
                <w:lang w:val="en-US" w:eastAsia="zh-CN"/>
              </w:rPr>
              <w:t>排放速率3.0kg/h</w:t>
            </w:r>
            <w:r>
              <w:rPr>
                <w:rFonts w:hint="eastAsia" w:ascii="Times New Roman" w:hAnsi="Times New Roman" w:cs="Times New Roman"/>
                <w:color w:val="auto"/>
                <w:szCs w:val="21"/>
                <w:highlight w:val="none"/>
                <w:lang w:eastAsia="zh-CN"/>
              </w:rPr>
              <w:t>）；</w:t>
            </w:r>
            <w:r>
              <w:rPr>
                <w:rFonts w:hint="eastAsia" w:cs="Times New Roman"/>
                <w:color w:val="auto"/>
                <w:highlight w:val="none"/>
                <w:lang w:eastAsia="zh-CN"/>
              </w:rPr>
              <w:t>酚类、甲醛</w:t>
            </w:r>
            <w:r>
              <w:rPr>
                <w:rFonts w:hint="eastAsia"/>
                <w:color w:val="auto"/>
                <w:highlight w:val="none"/>
                <w:lang w:val="en-US" w:eastAsia="zh-CN"/>
              </w:rPr>
              <w:t>满足</w:t>
            </w:r>
            <w:r>
              <w:rPr>
                <w:rFonts w:hint="default" w:ascii="Times New Roman" w:hAnsi="Times New Roman" w:cs="Times New Roman"/>
                <w:color w:val="auto"/>
                <w:szCs w:val="21"/>
                <w:highlight w:val="none"/>
              </w:rPr>
              <w:t>《</w:t>
            </w:r>
            <w:r>
              <w:rPr>
                <w:rFonts w:hint="eastAsia" w:cs="Times New Roman"/>
                <w:color w:val="auto"/>
                <w:szCs w:val="21"/>
                <w:highlight w:val="none"/>
                <w:lang w:eastAsia="zh-CN"/>
              </w:rPr>
              <w:t>大气污染物综合排放标准</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GB16297-1996</w:t>
            </w:r>
            <w:r>
              <w:rPr>
                <w:rFonts w:hint="default" w:ascii="Times New Roman" w:hAnsi="Times New Roman" w:cs="Times New Roman"/>
                <w:color w:val="auto"/>
                <w:szCs w:val="21"/>
                <w:highlight w:val="none"/>
              </w:rPr>
              <w:t>）表</w:t>
            </w:r>
            <w:r>
              <w:rPr>
                <w:rFonts w:hint="eastAsia" w:cs="Times New Roman"/>
                <w:color w:val="auto"/>
                <w:szCs w:val="21"/>
                <w:highlight w:val="none"/>
                <w:lang w:val="en-US" w:eastAsia="zh-CN"/>
              </w:rPr>
              <w:t>2中酚类、甲醛15m有组织</w:t>
            </w:r>
            <w:r>
              <w:rPr>
                <w:rFonts w:hint="default" w:ascii="Times New Roman" w:hAnsi="Times New Roman" w:cs="Times New Roman"/>
                <w:color w:val="auto"/>
                <w:szCs w:val="21"/>
                <w:highlight w:val="none"/>
              </w:rPr>
              <w:t>排放限值</w:t>
            </w:r>
            <w:r>
              <w:rPr>
                <w:rFonts w:hint="eastAsia" w:ascii="Times New Roman" w:hAnsi="Times New Roman" w:cs="Times New Roman"/>
                <w:color w:val="auto"/>
                <w:szCs w:val="21"/>
                <w:highlight w:val="none"/>
                <w:lang w:eastAsia="zh-CN"/>
              </w:rPr>
              <w:t>（</w:t>
            </w:r>
            <w:r>
              <w:rPr>
                <w:rFonts w:hint="eastAsia" w:cs="Times New Roman"/>
                <w:color w:val="auto"/>
                <w:highlight w:val="none"/>
                <w:lang w:eastAsia="zh-CN"/>
              </w:rPr>
              <w:t>酚类</w:t>
            </w:r>
            <w:r>
              <w:rPr>
                <w:rFonts w:hint="eastAsia" w:ascii="Times New Roman" w:hAnsi="Times New Roman" w:cs="Times New Roman"/>
                <w:color w:val="auto"/>
                <w:szCs w:val="21"/>
                <w:highlight w:val="none"/>
                <w:lang w:val="en-US" w:eastAsia="zh-CN"/>
              </w:rPr>
              <w:t>排放浓度100</w:t>
            </w:r>
            <w:r>
              <w:rPr>
                <w:color w:val="auto"/>
                <w:highlight w:val="none"/>
              </w:rPr>
              <w:t>mg/m</w:t>
            </w:r>
            <w:r>
              <w:rPr>
                <w:color w:val="auto"/>
                <w:highlight w:val="none"/>
                <w:vertAlign w:val="superscript"/>
              </w:rPr>
              <w:t>3</w:t>
            </w:r>
            <w:r>
              <w:rPr>
                <w:rFonts w:hint="eastAsia"/>
                <w:color w:val="auto"/>
                <w:highlight w:val="none"/>
                <w:vertAlign w:val="baseline"/>
                <w:lang w:eastAsia="zh-CN"/>
              </w:rPr>
              <w:t>、</w:t>
            </w:r>
            <w:r>
              <w:rPr>
                <w:rFonts w:hint="eastAsia"/>
                <w:color w:val="auto"/>
                <w:highlight w:val="none"/>
                <w:vertAlign w:val="baseline"/>
                <w:lang w:val="en-US" w:eastAsia="zh-CN"/>
              </w:rPr>
              <w:t>排放速率0.1kg/h</w:t>
            </w:r>
            <w:r>
              <w:rPr>
                <w:rFonts w:hint="eastAsia" w:cs="Times New Roman"/>
                <w:color w:val="auto"/>
                <w:highlight w:val="none"/>
                <w:lang w:eastAsia="zh-CN"/>
              </w:rPr>
              <w:t>；甲醛</w:t>
            </w:r>
            <w:r>
              <w:rPr>
                <w:rFonts w:hint="eastAsia" w:ascii="Times New Roman" w:hAnsi="Times New Roman" w:cs="Times New Roman"/>
                <w:color w:val="auto"/>
                <w:szCs w:val="21"/>
                <w:highlight w:val="none"/>
                <w:lang w:val="en-US" w:eastAsia="zh-CN"/>
              </w:rPr>
              <w:t>排放浓度25</w:t>
            </w:r>
            <w:r>
              <w:rPr>
                <w:color w:val="auto"/>
                <w:highlight w:val="none"/>
              </w:rPr>
              <w:t>mg/m</w:t>
            </w:r>
            <w:r>
              <w:rPr>
                <w:color w:val="auto"/>
                <w:highlight w:val="none"/>
                <w:vertAlign w:val="superscript"/>
              </w:rPr>
              <w:t>3</w:t>
            </w:r>
            <w:r>
              <w:rPr>
                <w:rFonts w:hint="eastAsia"/>
                <w:color w:val="auto"/>
                <w:highlight w:val="none"/>
                <w:vertAlign w:val="baseline"/>
                <w:lang w:eastAsia="zh-CN"/>
              </w:rPr>
              <w:t>、</w:t>
            </w:r>
            <w:r>
              <w:rPr>
                <w:rFonts w:hint="eastAsia"/>
                <w:color w:val="auto"/>
                <w:highlight w:val="none"/>
                <w:vertAlign w:val="baseline"/>
                <w:lang w:val="en-US" w:eastAsia="zh-CN"/>
              </w:rPr>
              <w:t>排放速率0.26kg/h</w:t>
            </w:r>
            <w:r>
              <w:rPr>
                <w:rFonts w:hint="eastAsia" w:ascii="Times New Roman" w:hAnsi="Times New Roman" w:cs="Times New Roman"/>
                <w:color w:val="auto"/>
                <w:szCs w:val="21"/>
                <w:highlight w:val="none"/>
                <w:lang w:eastAsia="zh-CN"/>
              </w:rPr>
              <w:t>）</w:t>
            </w:r>
            <w:r>
              <w:rPr>
                <w:rFonts w:hint="eastAsia"/>
                <w:color w:val="auto"/>
                <w:highlight w:val="none"/>
                <w:lang w:eastAsia="zh-CN"/>
              </w:rPr>
              <w:t>。</w:t>
            </w:r>
          </w:p>
          <w:p w14:paraId="12844502">
            <w:pPr>
              <w:numPr>
                <w:ilvl w:val="0"/>
                <w:numId w:val="0"/>
              </w:numPr>
              <w:adjustRightInd w:val="0"/>
              <w:snapToGrid w:val="0"/>
              <w:spacing w:line="360" w:lineRule="auto"/>
              <w:ind w:leftChars="200"/>
              <w:rPr>
                <w:rFonts w:hint="eastAsia"/>
                <w:color w:val="auto"/>
                <w:highlight w:val="none"/>
                <w:lang w:val="en-US" w:eastAsia="zh-CN"/>
              </w:rPr>
            </w:pPr>
            <w:r>
              <w:rPr>
                <w:rFonts w:hint="eastAsia"/>
                <w:color w:val="auto"/>
                <w:highlight w:val="none"/>
                <w:lang w:val="en-US" w:eastAsia="zh-CN"/>
              </w:rPr>
              <w:t>（2）无组织废气</w:t>
            </w:r>
          </w:p>
          <w:p w14:paraId="155A696F">
            <w:pPr>
              <w:numPr>
                <w:ilvl w:val="0"/>
                <w:numId w:val="0"/>
              </w:numPr>
              <w:adjustRightInd w:val="0"/>
              <w:snapToGrid w:val="0"/>
              <w:spacing w:line="360" w:lineRule="auto"/>
              <w:ind w:firstLine="420" w:firstLineChars="200"/>
              <w:rPr>
                <w:rFonts w:hint="default" w:eastAsia="宋体"/>
                <w:color w:val="auto"/>
                <w:highlight w:val="none"/>
                <w:lang w:val="en-US" w:eastAsia="zh-CN"/>
              </w:rPr>
            </w:pPr>
            <w:r>
              <w:rPr>
                <w:rFonts w:hint="eastAsia"/>
                <w:color w:val="auto"/>
                <w:highlight w:val="none"/>
                <w:lang w:val="en-US" w:eastAsia="zh-CN"/>
              </w:rPr>
              <w:t>无组织废气主要为</w:t>
            </w:r>
            <w:r>
              <w:rPr>
                <w:rFonts w:hint="eastAsia" w:cs="Times New Roman"/>
                <w:color w:val="auto"/>
                <w:highlight w:val="none"/>
                <w:lang w:val="en-US" w:eastAsia="zh-CN"/>
              </w:rPr>
              <w:t>维修切割过程产生的</w:t>
            </w:r>
            <w:r>
              <w:rPr>
                <w:rFonts w:hint="eastAsia" w:cs="Times New Roman"/>
                <w:bCs/>
                <w:color w:val="auto"/>
                <w:sz w:val="21"/>
                <w:szCs w:val="21"/>
                <w:highlight w:val="none"/>
                <w:lang w:val="en-US" w:eastAsia="zh-CN"/>
              </w:rPr>
              <w:t>颗粒物</w:t>
            </w:r>
            <w:r>
              <w:rPr>
                <w:rFonts w:hint="eastAsia" w:cs="Times New Roman"/>
                <w:color w:val="auto"/>
                <w:highlight w:val="none"/>
                <w:lang w:val="en-US" w:eastAsia="zh-CN"/>
              </w:rPr>
              <w:t>，车削过程产生的</w:t>
            </w:r>
            <w:r>
              <w:rPr>
                <w:rFonts w:hint="eastAsia" w:cs="Times New Roman"/>
                <w:bCs/>
                <w:color w:val="auto"/>
                <w:sz w:val="21"/>
                <w:szCs w:val="21"/>
                <w:highlight w:val="none"/>
                <w:lang w:val="en-US" w:eastAsia="zh-CN"/>
              </w:rPr>
              <w:t>颗粒物</w:t>
            </w:r>
            <w:r>
              <w:rPr>
                <w:rFonts w:hint="eastAsia" w:cs="Times New Roman"/>
                <w:color w:val="auto"/>
                <w:highlight w:val="none"/>
                <w:lang w:val="en-US" w:eastAsia="zh-CN"/>
              </w:rPr>
              <w:t>、焊接（含维修）过程产生的</w:t>
            </w:r>
            <w:r>
              <w:rPr>
                <w:rFonts w:hint="eastAsia" w:cs="Times New Roman"/>
                <w:bCs/>
                <w:color w:val="auto"/>
                <w:sz w:val="21"/>
                <w:szCs w:val="21"/>
                <w:highlight w:val="none"/>
                <w:lang w:val="en-US" w:eastAsia="zh-CN"/>
              </w:rPr>
              <w:t>颗粒物</w:t>
            </w:r>
            <w:r>
              <w:rPr>
                <w:rFonts w:hint="eastAsia" w:cs="Times New Roman"/>
                <w:color w:val="auto"/>
                <w:highlight w:val="none"/>
                <w:lang w:val="en-US" w:eastAsia="zh-CN"/>
              </w:rPr>
              <w:t>，打磨过程产生的</w:t>
            </w:r>
            <w:r>
              <w:rPr>
                <w:rFonts w:hint="eastAsia" w:cs="Times New Roman"/>
                <w:bCs/>
                <w:color w:val="auto"/>
                <w:sz w:val="21"/>
                <w:szCs w:val="21"/>
                <w:highlight w:val="none"/>
                <w:lang w:val="en-US" w:eastAsia="zh-CN"/>
              </w:rPr>
              <w:t>颗粒物</w:t>
            </w:r>
            <w:r>
              <w:rPr>
                <w:rFonts w:hint="eastAsia" w:cs="Times New Roman"/>
                <w:color w:val="auto"/>
                <w:highlight w:val="none"/>
                <w:lang w:val="en-US" w:eastAsia="zh-CN"/>
              </w:rPr>
              <w:t>，集气罩未收集的颗粒物、</w:t>
            </w:r>
            <w:r>
              <w:rPr>
                <w:rFonts w:hint="eastAsia" w:cs="Times New Roman" w:eastAsiaTheme="minorEastAsia"/>
                <w:color w:val="auto"/>
                <w:sz w:val="21"/>
                <w:szCs w:val="21"/>
                <w:highlight w:val="none"/>
                <w:lang w:val="en-US" w:eastAsia="zh-CN"/>
              </w:rPr>
              <w:t>VOCs、甲醛、苯酚</w:t>
            </w:r>
            <w:r>
              <w:rPr>
                <w:rFonts w:hint="eastAsia" w:ascii="Times New Roman" w:hAnsi="Times New Roman" w:cs="Times New Roman"/>
                <w:bCs/>
                <w:color w:val="auto"/>
                <w:highlight w:val="none"/>
                <w:lang w:val="en-US" w:eastAsia="zh-CN"/>
              </w:rPr>
              <w:t>。</w:t>
            </w:r>
          </w:p>
          <w:p w14:paraId="0F01F2DB">
            <w:pPr>
              <w:adjustRightInd w:val="0"/>
              <w:snapToGrid w:val="0"/>
              <w:spacing w:line="360" w:lineRule="auto"/>
              <w:ind w:firstLine="420" w:firstLineChars="20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①</w:t>
            </w:r>
            <w:r>
              <w:rPr>
                <w:rFonts w:hint="eastAsia" w:cs="Times New Roman"/>
                <w:color w:val="auto"/>
                <w:sz w:val="21"/>
                <w:szCs w:val="21"/>
                <w:highlight w:val="none"/>
                <w:lang w:val="en-US" w:eastAsia="zh-CN"/>
              </w:rPr>
              <w:t>车削过程和维修切割过程</w:t>
            </w:r>
            <w:r>
              <w:rPr>
                <w:rFonts w:hint="eastAsia" w:cs="Times New Roman"/>
                <w:bCs/>
                <w:color w:val="auto"/>
                <w:sz w:val="21"/>
                <w:szCs w:val="21"/>
                <w:highlight w:val="none"/>
                <w:lang w:val="en-US" w:eastAsia="zh-CN"/>
              </w:rPr>
              <w:t>无组织排放的颗粒物</w:t>
            </w:r>
          </w:p>
          <w:p w14:paraId="7E795B65">
            <w:pPr>
              <w:adjustRightInd w:val="0"/>
              <w:snapToGrid w:val="0"/>
              <w:spacing w:line="360" w:lineRule="auto"/>
              <w:ind w:firstLine="420" w:firstLineChars="200"/>
              <w:rPr>
                <w:rFonts w:hint="default" w:ascii="宋体" w:hAnsi="宋体" w:eastAsia="宋体" w:cs="宋体"/>
                <w:color w:val="auto"/>
                <w:highlight w:val="none"/>
                <w:lang w:val="en-US" w:eastAsia="zh-CN"/>
              </w:rPr>
            </w:pPr>
            <w:r>
              <w:rPr>
                <w:rFonts w:hint="default" w:ascii="Times New Roman" w:hAnsi="Times New Roman" w:cs="Times New Roman"/>
                <w:bCs/>
                <w:color w:val="auto"/>
                <w:sz w:val="21"/>
                <w:szCs w:val="21"/>
                <w:highlight w:val="none"/>
                <w:lang w:val="en-US" w:eastAsia="zh-CN"/>
              </w:rPr>
              <w:t>本项目</w:t>
            </w:r>
            <w:r>
              <w:rPr>
                <w:rFonts w:hint="eastAsia" w:cs="Times New Roman"/>
                <w:color w:val="auto"/>
                <w:sz w:val="21"/>
                <w:szCs w:val="21"/>
                <w:highlight w:val="none"/>
                <w:lang w:val="en-US" w:eastAsia="zh-CN"/>
              </w:rPr>
              <w:t>车削过程和维修切割过程</w:t>
            </w:r>
            <w:r>
              <w:rPr>
                <w:rFonts w:hint="default" w:ascii="Times New Roman" w:hAnsi="Times New Roman" w:cs="Times New Roman"/>
                <w:bCs/>
                <w:color w:val="auto"/>
                <w:sz w:val="21"/>
                <w:szCs w:val="21"/>
                <w:highlight w:val="none"/>
                <w:lang w:val="en-US" w:eastAsia="zh-CN"/>
              </w:rPr>
              <w:t>会产生少量的细小颗粒物，这些颗粒物的主要成分为金属。</w:t>
            </w:r>
            <w:r>
              <w:rPr>
                <w:rFonts w:hint="default" w:ascii="Times New Roman" w:hAnsi="Times New Roman" w:cs="Times New Roman"/>
                <w:color w:val="auto"/>
                <w:sz w:val="21"/>
                <w:szCs w:val="21"/>
                <w:highlight w:val="none"/>
              </w:rPr>
              <w:t>一方面因为其质量较大，沉降较快；另一方面，会有</w:t>
            </w:r>
            <w:r>
              <w:rPr>
                <w:rFonts w:hint="default" w:ascii="Times New Roman" w:hAnsi="Times New Roman" w:cs="Times New Roman"/>
                <w:color w:val="auto"/>
                <w:sz w:val="21"/>
                <w:szCs w:val="21"/>
                <w:highlight w:val="none"/>
                <w:lang w:eastAsia="zh-CN"/>
              </w:rPr>
              <w:t>一小部分</w:t>
            </w:r>
            <w:r>
              <w:rPr>
                <w:rFonts w:hint="default" w:ascii="Times New Roman" w:hAnsi="Times New Roman" w:cs="Times New Roman"/>
                <w:color w:val="auto"/>
                <w:sz w:val="21"/>
                <w:szCs w:val="21"/>
                <w:highlight w:val="none"/>
              </w:rPr>
              <w:t>较细小的颗粒物可能会在空气中停留</w:t>
            </w:r>
            <w:r>
              <w:rPr>
                <w:rFonts w:hint="default" w:ascii="Times New Roman" w:hAnsi="Times New Roman" w:cs="Times New Roman"/>
                <w:color w:val="auto"/>
                <w:sz w:val="21"/>
                <w:szCs w:val="21"/>
                <w:highlight w:val="none"/>
                <w:lang w:eastAsia="zh-CN"/>
              </w:rPr>
              <w:t>短暂</w:t>
            </w:r>
            <w:r>
              <w:rPr>
                <w:rFonts w:hint="default" w:ascii="Times New Roman" w:hAnsi="Times New Roman" w:cs="Times New Roman"/>
                <w:color w:val="auto"/>
                <w:sz w:val="21"/>
                <w:szCs w:val="21"/>
                <w:highlight w:val="none"/>
              </w:rPr>
              <w:t>时间后沉降于地面。由于金属颗粒物质量较重，颗粒物散落范围很小，基本沉降在设备5m范围内，因此，该工序产生的金属粉尘沉降后收集作为下脚料暂存于一般工业固废暂存处，定期外卖</w:t>
            </w:r>
            <w:r>
              <w:rPr>
                <w:rFonts w:hint="eastAsia" w:cs="Times New Roman"/>
                <w:color w:val="auto"/>
                <w:szCs w:val="21"/>
                <w:highlight w:val="none"/>
                <w:lang w:val="en-US" w:eastAsia="zh-CN"/>
              </w:rPr>
              <w:t>。</w:t>
            </w:r>
          </w:p>
          <w:p w14:paraId="470EBDB6">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cs="Times New Roman"/>
                <w:color w:val="auto"/>
                <w:sz w:val="21"/>
                <w:szCs w:val="21"/>
                <w:highlight w:val="none"/>
                <w:lang w:val="en-US" w:eastAsia="zh-CN"/>
              </w:rPr>
            </w:pPr>
            <w:r>
              <w:rPr>
                <w:rFonts w:hint="eastAsia" w:ascii="宋体" w:hAnsi="宋体" w:eastAsia="宋体" w:cs="宋体"/>
                <w:color w:val="auto"/>
                <w:highlight w:val="none"/>
                <w:lang w:eastAsia="zh-CN"/>
              </w:rPr>
              <w:t>②</w:t>
            </w:r>
            <w:r>
              <w:rPr>
                <w:rFonts w:hint="eastAsia" w:cs="Times New Roman"/>
                <w:color w:val="auto"/>
                <w:highlight w:val="none"/>
                <w:lang w:val="en-US" w:eastAsia="zh-CN"/>
              </w:rPr>
              <w:t>焊接（含维修</w:t>
            </w:r>
            <w:r>
              <w:rPr>
                <w:rFonts w:hint="eastAsia" w:cs="Times New Roman"/>
                <w:color w:val="auto"/>
                <w:sz w:val="21"/>
                <w:szCs w:val="21"/>
                <w:highlight w:val="none"/>
                <w:lang w:val="en-US" w:eastAsia="zh-CN"/>
              </w:rPr>
              <w:t>）过程无组织排放的颗粒物</w:t>
            </w:r>
          </w:p>
          <w:p w14:paraId="439C4C89">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ascii="Times New Roman" w:hAnsi="Times New Roman" w:cs="Times New Roman"/>
                <w:color w:val="auto"/>
                <w:sz w:val="21"/>
                <w:szCs w:val="21"/>
                <w:highlight w:val="none"/>
                <w:lang w:eastAsia="zh-CN"/>
              </w:rPr>
            </w:pPr>
            <w:r>
              <w:rPr>
                <w:rFonts w:hint="eastAsia" w:cs="Times New Roman"/>
                <w:color w:val="auto"/>
                <w:sz w:val="21"/>
                <w:szCs w:val="21"/>
                <w:highlight w:val="none"/>
                <w:lang w:val="de-DE" w:eastAsia="zh-CN"/>
              </w:rPr>
              <w:t>本项目</w:t>
            </w:r>
            <w:r>
              <w:rPr>
                <w:rFonts w:hint="eastAsia" w:cs="Times New Roman"/>
                <w:color w:val="auto"/>
                <w:sz w:val="21"/>
                <w:szCs w:val="21"/>
                <w:highlight w:val="none"/>
                <w:lang w:val="en-US" w:eastAsia="zh-CN"/>
              </w:rPr>
              <w:t>焊接（含维修）过程</w:t>
            </w:r>
            <w:r>
              <w:rPr>
                <w:rFonts w:hint="eastAsia" w:cs="Times New Roman"/>
                <w:color w:val="auto"/>
                <w:sz w:val="21"/>
                <w:szCs w:val="21"/>
                <w:highlight w:val="none"/>
                <w:lang w:val="de-DE" w:eastAsia="zh-CN"/>
              </w:rPr>
              <w:t>烟尘产生量为</w:t>
            </w:r>
            <w:r>
              <w:rPr>
                <w:rFonts w:hint="eastAsia" w:cs="Times New Roman"/>
                <w:color w:val="auto"/>
                <w:sz w:val="21"/>
                <w:szCs w:val="21"/>
                <w:highlight w:val="none"/>
                <w:lang w:val="en-US" w:eastAsia="zh-CN"/>
              </w:rPr>
              <w:t>0.01t</w:t>
            </w:r>
            <w:r>
              <w:rPr>
                <w:rFonts w:hint="eastAsia" w:cs="Times New Roman"/>
                <w:color w:val="auto"/>
                <w:sz w:val="21"/>
                <w:szCs w:val="21"/>
                <w:highlight w:val="none"/>
                <w:lang w:val="de-DE" w:eastAsia="zh-CN"/>
              </w:rPr>
              <w:t>/a，经集气罩收集后，移动式焊接烟尘净化器处理无组织排放，</w:t>
            </w:r>
            <w:r>
              <w:rPr>
                <w:rFonts w:hint="eastAsia" w:cs="Times New Roman"/>
                <w:color w:val="auto"/>
                <w:sz w:val="21"/>
                <w:szCs w:val="21"/>
                <w:highlight w:val="none"/>
                <w:lang w:val="en-US" w:eastAsia="zh-CN"/>
              </w:rPr>
              <w:t>集气罩收集效率为90%，烟尘净化器处理效率为80%</w:t>
            </w:r>
            <w:r>
              <w:rPr>
                <w:rFonts w:hint="eastAsia" w:cs="Times New Roman"/>
                <w:sz w:val="21"/>
                <w:szCs w:val="21"/>
                <w:highlight w:val="none"/>
                <w:lang w:val="en-US" w:eastAsia="zh-CN"/>
              </w:rPr>
              <w:t>，</w:t>
            </w:r>
            <w:r>
              <w:rPr>
                <w:rFonts w:hint="eastAsia" w:cs="Times New Roman"/>
                <w:color w:val="auto"/>
                <w:sz w:val="21"/>
                <w:szCs w:val="21"/>
                <w:highlight w:val="none"/>
                <w:lang w:val="en-US" w:eastAsia="zh-CN"/>
              </w:rPr>
              <w:t>则颗粒物无组织排放量为0.003t/a</w:t>
            </w:r>
            <w:r>
              <w:rPr>
                <w:rFonts w:hint="eastAsia" w:ascii="Times New Roman" w:hAnsi="Times New Roman" w:cs="Times New Roman"/>
                <w:color w:val="auto"/>
                <w:sz w:val="21"/>
                <w:szCs w:val="21"/>
                <w:highlight w:val="none"/>
                <w:lang w:eastAsia="zh-CN"/>
              </w:rPr>
              <w:t>。</w:t>
            </w:r>
          </w:p>
          <w:p w14:paraId="6A931D24">
            <w:pPr>
              <w:adjustRightInd w:val="0"/>
              <w:snapToGrid w:val="0"/>
              <w:spacing w:line="360" w:lineRule="auto"/>
              <w:ind w:firstLine="420" w:firstLineChars="200"/>
              <w:rPr>
                <w:rFonts w:hint="default"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③</w:t>
            </w:r>
            <w:r>
              <w:rPr>
                <w:rFonts w:hint="eastAsia" w:cs="Times New Roman"/>
                <w:color w:val="auto"/>
                <w:sz w:val="21"/>
                <w:szCs w:val="21"/>
                <w:highlight w:val="none"/>
                <w:lang w:val="en-US" w:eastAsia="zh-CN"/>
              </w:rPr>
              <w:t>打磨过程产生的</w:t>
            </w:r>
            <w:r>
              <w:rPr>
                <w:rFonts w:hint="eastAsia" w:cs="Times New Roman"/>
                <w:bCs/>
                <w:color w:val="auto"/>
                <w:sz w:val="21"/>
                <w:szCs w:val="21"/>
                <w:highlight w:val="none"/>
                <w:lang w:val="en-US" w:eastAsia="zh-CN"/>
              </w:rPr>
              <w:t>颗粒物</w:t>
            </w:r>
          </w:p>
          <w:p w14:paraId="2745651A">
            <w:pPr>
              <w:pStyle w:val="82"/>
              <w:adjustRightInd w:val="0"/>
              <w:snapToGrid w:val="0"/>
              <w:spacing w:after="0" w:line="360" w:lineRule="auto"/>
              <w:ind w:left="0" w:leftChars="0"/>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rPr>
              <w:t>本项目打磨过程</w:t>
            </w:r>
            <w:r>
              <w:rPr>
                <w:rFonts w:hint="eastAsia"/>
                <w:color w:val="auto"/>
                <w:sz w:val="21"/>
                <w:szCs w:val="21"/>
                <w:highlight w:val="none"/>
                <w:lang w:val="en-US" w:eastAsia="zh-CN"/>
              </w:rPr>
              <w:t>会产生少量的细小颗粒物，参考《环境影响评价实用技术指南》（李爱贞等编著，机械工业出版社）P24页“四、无组织排放源强的确定”，根据估算法来确定无组织颗粒物产生量，一般按原料量的0.1‰计算。根据企业提供资料，本项目需要打磨的原料用量约为21t/a，</w:t>
            </w:r>
            <w:r>
              <w:rPr>
                <w:rFonts w:hint="eastAsia" w:cs="Times New Roman"/>
                <w:color w:val="auto"/>
                <w:sz w:val="21"/>
                <w:szCs w:val="21"/>
                <w:highlight w:val="none"/>
                <w:lang w:val="en-US" w:eastAsia="zh-CN"/>
              </w:rPr>
              <w:t>打磨</w:t>
            </w:r>
            <w:r>
              <w:rPr>
                <w:rFonts w:hint="eastAsia"/>
                <w:color w:val="auto"/>
                <w:sz w:val="21"/>
                <w:szCs w:val="21"/>
                <w:highlight w:val="none"/>
                <w:lang w:val="en-US" w:eastAsia="zh-CN"/>
              </w:rPr>
              <w:t>过程颗粒物产生量为0.002t/a</w:t>
            </w:r>
            <w:r>
              <w:rPr>
                <w:rFonts w:hint="eastAsia" w:cs="Times New Roman"/>
                <w:color w:val="auto"/>
                <w:sz w:val="21"/>
                <w:szCs w:val="21"/>
                <w:highlight w:val="none"/>
                <w:lang w:val="en-US" w:eastAsia="zh-CN"/>
              </w:rPr>
              <w:t>。</w:t>
            </w:r>
          </w:p>
          <w:p w14:paraId="57B2818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outlineLvl w:val="9"/>
              <w:rPr>
                <w:rFonts w:hint="default" w:ascii="Times New Roman" w:hAnsi="Times New Roman" w:eastAsia="宋体" w:cs="Times New Roman"/>
                <w:color w:val="auto"/>
                <w:sz w:val="21"/>
                <w:szCs w:val="21"/>
                <w:highlight w:val="none"/>
                <w:lang w:eastAsia="zh-CN"/>
              </w:rPr>
            </w:pPr>
            <w:r>
              <w:rPr>
                <w:rFonts w:hint="eastAsia" w:ascii="宋体" w:hAnsi="宋体" w:eastAsia="宋体" w:cs="宋体"/>
                <w:color w:val="auto"/>
                <w:sz w:val="21"/>
                <w:szCs w:val="21"/>
                <w:highlight w:val="none"/>
                <w:lang w:eastAsia="zh-CN"/>
              </w:rPr>
              <w:t>④</w:t>
            </w:r>
            <w:r>
              <w:rPr>
                <w:rFonts w:hint="eastAsia" w:cs="Times New Roman"/>
                <w:color w:val="auto"/>
                <w:highlight w:val="none"/>
                <w:lang w:val="en-US" w:eastAsia="zh-CN"/>
              </w:rPr>
              <w:t>集气罩未收集的颗粒物、</w:t>
            </w:r>
            <w:r>
              <w:rPr>
                <w:rFonts w:hint="eastAsia" w:cs="Times New Roman" w:eastAsiaTheme="minorEastAsia"/>
                <w:color w:val="auto"/>
                <w:sz w:val="21"/>
                <w:szCs w:val="21"/>
                <w:highlight w:val="none"/>
                <w:lang w:val="en-US" w:eastAsia="zh-CN"/>
              </w:rPr>
              <w:t>VOCs、甲醛、苯酚</w:t>
            </w:r>
          </w:p>
          <w:p w14:paraId="7C75399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outlineLvl w:val="9"/>
              <w:rPr>
                <w:rFonts w:hint="eastAsia" w:ascii="Times New Roman" w:hAnsi="Times New Roman" w:eastAsia="宋体" w:cs="Times New Roman"/>
                <w:b w:val="0"/>
                <w:i w:val="0"/>
                <w:color w:val="auto"/>
                <w:kern w:val="0"/>
                <w:sz w:val="21"/>
                <w:szCs w:val="21"/>
                <w:highlight w:val="none"/>
                <w:lang w:eastAsia="zh-CN"/>
              </w:rPr>
            </w:pPr>
            <w:r>
              <w:rPr>
                <w:rFonts w:hint="eastAsia" w:cs="Times New Roman"/>
                <w:color w:val="auto"/>
                <w:kern w:val="2"/>
                <w:sz w:val="21"/>
                <w:szCs w:val="24"/>
                <w:highlight w:val="none"/>
                <w:lang w:val="en-US" w:eastAsia="zh-CN" w:bidi="ar-SA"/>
              </w:rPr>
              <w:t>磨边轮生产线配料过程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0.015t</w:t>
            </w:r>
            <w:r>
              <w:rPr>
                <w:rFonts w:hint="eastAsia"/>
                <w:color w:val="auto"/>
                <w:sz w:val="21"/>
                <w:szCs w:val="16"/>
                <w:highlight w:val="none"/>
              </w:rPr>
              <w:t>/a</w:t>
            </w:r>
            <w:r>
              <w:rPr>
                <w:rFonts w:hint="eastAsia"/>
                <w:color w:val="auto"/>
                <w:sz w:val="21"/>
                <w:szCs w:val="16"/>
                <w:highlight w:val="none"/>
                <w:lang w:eastAsia="zh-CN"/>
              </w:rPr>
              <w:t>，</w:t>
            </w:r>
            <w:r>
              <w:rPr>
                <w:rFonts w:hint="eastAsia" w:cs="Times New Roman"/>
                <w:color w:val="auto"/>
                <w:kern w:val="2"/>
                <w:sz w:val="21"/>
                <w:szCs w:val="24"/>
                <w:highlight w:val="none"/>
                <w:lang w:val="en-US" w:eastAsia="zh-CN" w:bidi="ar-SA"/>
              </w:rPr>
              <w:t>筛分过程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0.006t</w:t>
            </w:r>
            <w:r>
              <w:rPr>
                <w:rFonts w:hint="eastAsia"/>
                <w:color w:val="auto"/>
                <w:sz w:val="21"/>
                <w:szCs w:val="16"/>
                <w:highlight w:val="none"/>
              </w:rPr>
              <w:t>/a</w:t>
            </w:r>
            <w:r>
              <w:rPr>
                <w:rFonts w:hint="eastAsia"/>
                <w:color w:val="auto"/>
                <w:sz w:val="21"/>
                <w:szCs w:val="16"/>
                <w:highlight w:val="none"/>
                <w:lang w:eastAsia="zh-CN"/>
              </w:rPr>
              <w:t>，</w:t>
            </w:r>
            <w:r>
              <w:rPr>
                <w:rFonts w:hint="eastAsia" w:cs="Times New Roman"/>
                <w:color w:val="auto"/>
                <w:kern w:val="2"/>
                <w:sz w:val="21"/>
                <w:szCs w:val="24"/>
                <w:highlight w:val="none"/>
                <w:lang w:val="en-US" w:eastAsia="zh-CN" w:bidi="ar-SA"/>
              </w:rPr>
              <w:t>混料过程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0.013t</w:t>
            </w:r>
            <w:r>
              <w:rPr>
                <w:rFonts w:hint="eastAsia"/>
                <w:color w:val="auto"/>
                <w:sz w:val="21"/>
                <w:szCs w:val="16"/>
                <w:highlight w:val="none"/>
              </w:rPr>
              <w:t>/a</w:t>
            </w:r>
            <w:r>
              <w:rPr>
                <w:rFonts w:hint="eastAsia" w:cs="Times New Roman"/>
                <w:color w:val="auto"/>
                <w:kern w:val="2"/>
                <w:sz w:val="21"/>
                <w:szCs w:val="24"/>
                <w:highlight w:val="none"/>
                <w:lang w:val="en-US" w:eastAsia="zh-CN" w:bidi="ar-SA"/>
              </w:rPr>
              <w:t>，弹性磨块生产线配料过程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0.025t</w:t>
            </w:r>
            <w:r>
              <w:rPr>
                <w:rFonts w:hint="eastAsia"/>
                <w:color w:val="auto"/>
                <w:sz w:val="21"/>
                <w:szCs w:val="16"/>
                <w:highlight w:val="none"/>
              </w:rPr>
              <w:t>/a</w:t>
            </w:r>
            <w:r>
              <w:rPr>
                <w:rFonts w:hint="eastAsia"/>
                <w:color w:val="auto"/>
                <w:sz w:val="21"/>
                <w:szCs w:val="16"/>
                <w:highlight w:val="none"/>
                <w:lang w:eastAsia="zh-CN"/>
              </w:rPr>
              <w:t>，</w:t>
            </w:r>
            <w:r>
              <w:rPr>
                <w:rFonts w:hint="eastAsia" w:cs="Times New Roman"/>
                <w:color w:val="auto"/>
                <w:kern w:val="2"/>
                <w:sz w:val="21"/>
                <w:szCs w:val="24"/>
                <w:highlight w:val="none"/>
                <w:lang w:val="en-US" w:eastAsia="zh-CN" w:bidi="ar-SA"/>
              </w:rPr>
              <w:t>筛分过程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0.011t</w:t>
            </w:r>
            <w:r>
              <w:rPr>
                <w:rFonts w:hint="eastAsia"/>
                <w:color w:val="auto"/>
                <w:sz w:val="21"/>
                <w:szCs w:val="16"/>
                <w:highlight w:val="none"/>
              </w:rPr>
              <w:t>/a</w:t>
            </w:r>
            <w:r>
              <w:rPr>
                <w:rFonts w:hint="eastAsia"/>
                <w:color w:val="auto"/>
                <w:sz w:val="21"/>
                <w:szCs w:val="16"/>
                <w:highlight w:val="none"/>
                <w:lang w:eastAsia="zh-CN"/>
              </w:rPr>
              <w:t>，</w:t>
            </w:r>
            <w:r>
              <w:rPr>
                <w:rFonts w:hint="eastAsia" w:cs="Times New Roman"/>
                <w:color w:val="auto"/>
                <w:kern w:val="2"/>
                <w:sz w:val="21"/>
                <w:szCs w:val="24"/>
                <w:highlight w:val="none"/>
                <w:lang w:val="en-US" w:eastAsia="zh-CN" w:bidi="ar-SA"/>
              </w:rPr>
              <w:t>混料过程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0.025t</w:t>
            </w:r>
            <w:r>
              <w:rPr>
                <w:rFonts w:hint="eastAsia"/>
                <w:color w:val="auto"/>
                <w:sz w:val="21"/>
                <w:szCs w:val="16"/>
                <w:highlight w:val="none"/>
              </w:rPr>
              <w:t>/a</w:t>
            </w:r>
            <w:r>
              <w:rPr>
                <w:rFonts w:hint="eastAsia"/>
                <w:color w:val="auto"/>
                <w:sz w:val="21"/>
                <w:szCs w:val="16"/>
                <w:highlight w:val="none"/>
                <w:lang w:eastAsia="zh-CN"/>
              </w:rPr>
              <w:t>，</w:t>
            </w:r>
            <w:r>
              <w:rPr>
                <w:rFonts w:hint="eastAsia" w:cs="Times New Roman"/>
                <w:color w:val="auto"/>
                <w:sz w:val="21"/>
                <w:szCs w:val="21"/>
                <w:highlight w:val="none"/>
                <w:lang w:val="en-US" w:eastAsia="zh-CN"/>
              </w:rPr>
              <w:t>热压和烘干过程VOCs产生量为0.048t/a，甲醛产生量为0.02t/a，苯酚产生量为0.028t/a，粘结过程VOCs产生量为0.01t/a，</w:t>
            </w:r>
            <w:r>
              <w:rPr>
                <w:rFonts w:hint="eastAsia"/>
                <w:color w:val="auto"/>
                <w:sz w:val="21"/>
                <w:szCs w:val="16"/>
                <w:highlight w:val="none"/>
                <w:lang w:val="en-US" w:eastAsia="zh-CN"/>
              </w:rPr>
              <w:t>集气罩收集效率为95%</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5%未收集，则</w:t>
            </w:r>
            <w:r>
              <w:rPr>
                <w:rFonts w:hint="eastAsia"/>
                <w:bCs/>
                <w:color w:val="auto"/>
                <w:highlight w:val="none"/>
                <w:lang w:val="en-US" w:eastAsia="zh-CN"/>
              </w:rPr>
              <w:t>颗粒物无组织排放量为0.005t/a，VOCs无组织排放量为0.003t/a，</w:t>
            </w:r>
            <w:r>
              <w:rPr>
                <w:rFonts w:hint="eastAsia" w:cs="Times New Roman"/>
                <w:color w:val="auto"/>
                <w:sz w:val="21"/>
                <w:szCs w:val="21"/>
                <w:highlight w:val="none"/>
                <w:lang w:val="en-US" w:eastAsia="zh-CN"/>
              </w:rPr>
              <w:t>甲醛</w:t>
            </w:r>
            <w:r>
              <w:rPr>
                <w:rFonts w:hint="eastAsia"/>
                <w:bCs/>
                <w:color w:val="auto"/>
                <w:highlight w:val="none"/>
                <w:lang w:val="en-US" w:eastAsia="zh-CN"/>
              </w:rPr>
              <w:t>无组织排放量为0.001t/a，</w:t>
            </w:r>
            <w:r>
              <w:rPr>
                <w:rFonts w:hint="eastAsia" w:cs="Times New Roman"/>
                <w:color w:val="auto"/>
                <w:sz w:val="21"/>
                <w:szCs w:val="21"/>
                <w:highlight w:val="none"/>
                <w:lang w:val="en-US" w:eastAsia="zh-CN"/>
              </w:rPr>
              <w:t>苯酚</w:t>
            </w:r>
            <w:r>
              <w:rPr>
                <w:rFonts w:hint="eastAsia"/>
                <w:bCs/>
                <w:color w:val="auto"/>
                <w:highlight w:val="none"/>
                <w:lang w:val="en-US" w:eastAsia="zh-CN"/>
              </w:rPr>
              <w:t>无组织排放量为0.001t/a</w:t>
            </w:r>
            <w:r>
              <w:rPr>
                <w:rFonts w:hint="eastAsia" w:ascii="Times New Roman" w:hAnsi="Times New Roman" w:eastAsia="宋体" w:cs="Times New Roman"/>
                <w:b w:val="0"/>
                <w:i w:val="0"/>
                <w:color w:val="auto"/>
                <w:kern w:val="0"/>
                <w:sz w:val="21"/>
                <w:szCs w:val="21"/>
                <w:highlight w:val="none"/>
                <w:lang w:eastAsia="zh-CN"/>
              </w:rPr>
              <w:t>。</w:t>
            </w:r>
          </w:p>
          <w:p w14:paraId="5F03C38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outlineLvl w:val="9"/>
              <w:rPr>
                <w:rFonts w:hint="eastAsia"/>
                <w:color w:val="auto"/>
                <w:highlight w:val="none"/>
                <w:lang w:eastAsia="zh-CN"/>
              </w:rPr>
            </w:pPr>
            <w:r>
              <w:rPr>
                <w:rFonts w:hint="eastAsia" w:ascii="Times New Roman" w:hAnsi="Times New Roman" w:eastAsia="宋体" w:cs="Times New Roman"/>
                <w:b w:val="0"/>
                <w:i w:val="0"/>
                <w:color w:val="auto"/>
                <w:kern w:val="0"/>
                <w:sz w:val="21"/>
                <w:szCs w:val="21"/>
                <w:highlight w:val="none"/>
                <w:lang w:val="en-US" w:eastAsia="zh-CN"/>
              </w:rPr>
              <w:t>综上所述，全厂</w:t>
            </w:r>
            <w:r>
              <w:rPr>
                <w:rFonts w:hint="eastAsia"/>
                <w:bCs/>
                <w:color w:val="auto"/>
                <w:highlight w:val="none"/>
                <w:lang w:val="en-US" w:eastAsia="zh-CN"/>
              </w:rPr>
              <w:t>颗粒物无组织排放量为0.01t/a，VOCs无组织排放量为0.003t/a，</w:t>
            </w:r>
            <w:r>
              <w:rPr>
                <w:rFonts w:hint="eastAsia" w:cs="Times New Roman"/>
                <w:color w:val="auto"/>
                <w:sz w:val="21"/>
                <w:szCs w:val="21"/>
                <w:highlight w:val="none"/>
                <w:lang w:val="en-US" w:eastAsia="zh-CN"/>
              </w:rPr>
              <w:t>甲醛</w:t>
            </w:r>
            <w:r>
              <w:rPr>
                <w:rFonts w:hint="eastAsia"/>
                <w:bCs/>
                <w:color w:val="auto"/>
                <w:highlight w:val="none"/>
                <w:lang w:val="en-US" w:eastAsia="zh-CN"/>
              </w:rPr>
              <w:t>无组织排放量为0.001t/a，</w:t>
            </w:r>
            <w:r>
              <w:rPr>
                <w:rFonts w:hint="eastAsia" w:cs="Times New Roman"/>
                <w:color w:val="auto"/>
                <w:sz w:val="21"/>
                <w:szCs w:val="21"/>
                <w:highlight w:val="none"/>
                <w:lang w:val="en-US" w:eastAsia="zh-CN"/>
              </w:rPr>
              <w:t>苯酚</w:t>
            </w:r>
            <w:r>
              <w:rPr>
                <w:rFonts w:hint="eastAsia"/>
                <w:bCs/>
                <w:color w:val="auto"/>
                <w:highlight w:val="none"/>
                <w:lang w:val="en-US" w:eastAsia="zh-CN"/>
              </w:rPr>
              <w:t>无组织排放量为0.001t/a，</w:t>
            </w:r>
            <w:r>
              <w:rPr>
                <w:rFonts w:hint="eastAsia"/>
                <w:color w:val="auto"/>
                <w:highlight w:val="none"/>
              </w:rPr>
              <w:t>年工作时间为</w:t>
            </w:r>
            <w:r>
              <w:rPr>
                <w:rFonts w:hint="eastAsia"/>
                <w:color w:val="auto"/>
                <w:highlight w:val="none"/>
                <w:lang w:val="en-US" w:eastAsia="zh-CN"/>
              </w:rPr>
              <w:t>24</w:t>
            </w:r>
            <w:r>
              <w:rPr>
                <w:rFonts w:hint="eastAsia"/>
                <w:color w:val="auto"/>
                <w:highlight w:val="none"/>
              </w:rPr>
              <w:t>00h</w:t>
            </w:r>
            <w:r>
              <w:rPr>
                <w:rFonts w:hint="eastAsia"/>
                <w:color w:val="auto"/>
                <w:highlight w:val="none"/>
                <w:lang w:eastAsia="zh-CN"/>
              </w:rPr>
              <w:t>。</w:t>
            </w:r>
            <w:r>
              <w:rPr>
                <w:rFonts w:hint="eastAsia"/>
                <w:color w:val="auto"/>
                <w:highlight w:val="none"/>
              </w:rPr>
              <w:t>则</w:t>
            </w:r>
            <w:r>
              <w:rPr>
                <w:rFonts w:hint="eastAsia"/>
                <w:color w:val="auto"/>
                <w:highlight w:val="none"/>
                <w:lang w:val="en-US" w:eastAsia="zh-CN"/>
              </w:rPr>
              <w:t>颗粒物</w:t>
            </w:r>
            <w:r>
              <w:rPr>
                <w:rFonts w:hint="eastAsia"/>
                <w:color w:val="auto"/>
                <w:highlight w:val="none"/>
              </w:rPr>
              <w:t>排放速率为0.</w:t>
            </w:r>
            <w:r>
              <w:rPr>
                <w:rFonts w:hint="eastAsia"/>
                <w:color w:val="auto"/>
                <w:highlight w:val="none"/>
                <w:lang w:val="en-US" w:eastAsia="zh-CN"/>
              </w:rPr>
              <w:t>004</w:t>
            </w:r>
            <w:r>
              <w:rPr>
                <w:rFonts w:hint="eastAsia"/>
                <w:color w:val="auto"/>
                <w:highlight w:val="none"/>
              </w:rPr>
              <w:t>kg/h</w:t>
            </w:r>
            <w:r>
              <w:rPr>
                <w:rFonts w:hint="eastAsia"/>
                <w:color w:val="auto"/>
                <w:highlight w:val="none"/>
                <w:lang w:eastAsia="zh-CN"/>
              </w:rPr>
              <w:t>，</w:t>
            </w:r>
            <w:r>
              <w:rPr>
                <w:rFonts w:hint="eastAsia"/>
                <w:bCs/>
                <w:color w:val="auto"/>
                <w:highlight w:val="none"/>
                <w:lang w:val="en-US" w:eastAsia="zh-CN"/>
              </w:rPr>
              <w:t>VOCs</w:t>
            </w:r>
            <w:r>
              <w:rPr>
                <w:rFonts w:hint="eastAsia"/>
                <w:color w:val="auto"/>
                <w:highlight w:val="none"/>
              </w:rPr>
              <w:t>排放速率为0.</w:t>
            </w:r>
            <w:r>
              <w:rPr>
                <w:rFonts w:hint="eastAsia"/>
                <w:color w:val="auto"/>
                <w:highlight w:val="none"/>
                <w:lang w:val="en-US" w:eastAsia="zh-CN"/>
              </w:rPr>
              <w:t>001</w:t>
            </w:r>
            <w:r>
              <w:rPr>
                <w:rFonts w:hint="eastAsia"/>
                <w:color w:val="auto"/>
                <w:highlight w:val="none"/>
              </w:rPr>
              <w:t>kg/h</w:t>
            </w:r>
            <w:r>
              <w:rPr>
                <w:rFonts w:hint="eastAsia"/>
                <w:color w:val="auto"/>
                <w:highlight w:val="none"/>
                <w:lang w:eastAsia="zh-CN"/>
              </w:rPr>
              <w:t>，</w:t>
            </w:r>
            <w:r>
              <w:rPr>
                <w:rFonts w:hint="eastAsia" w:cs="Times New Roman"/>
                <w:color w:val="auto"/>
                <w:sz w:val="21"/>
                <w:szCs w:val="21"/>
                <w:highlight w:val="none"/>
                <w:lang w:val="en-US" w:eastAsia="zh-CN"/>
              </w:rPr>
              <w:t>甲醛</w:t>
            </w:r>
            <w:r>
              <w:rPr>
                <w:rFonts w:hint="eastAsia"/>
                <w:color w:val="auto"/>
                <w:highlight w:val="none"/>
              </w:rPr>
              <w:t>排放速率为0.</w:t>
            </w:r>
            <w:r>
              <w:rPr>
                <w:rFonts w:hint="eastAsia"/>
                <w:color w:val="auto"/>
                <w:highlight w:val="none"/>
                <w:lang w:val="en-US" w:eastAsia="zh-CN"/>
              </w:rPr>
              <w:t>0004</w:t>
            </w:r>
            <w:r>
              <w:rPr>
                <w:rFonts w:hint="eastAsia"/>
                <w:color w:val="auto"/>
                <w:highlight w:val="none"/>
              </w:rPr>
              <w:t>kg/h</w:t>
            </w:r>
            <w:r>
              <w:rPr>
                <w:rFonts w:hint="eastAsia"/>
                <w:color w:val="auto"/>
                <w:highlight w:val="none"/>
                <w:lang w:eastAsia="zh-CN"/>
              </w:rPr>
              <w:t>，</w:t>
            </w:r>
            <w:r>
              <w:rPr>
                <w:rFonts w:hint="eastAsia" w:cs="Times New Roman"/>
                <w:color w:val="auto"/>
                <w:sz w:val="21"/>
                <w:szCs w:val="21"/>
                <w:highlight w:val="none"/>
                <w:lang w:val="en-US" w:eastAsia="zh-CN"/>
              </w:rPr>
              <w:t>苯酚</w:t>
            </w:r>
            <w:r>
              <w:rPr>
                <w:rFonts w:hint="eastAsia"/>
                <w:color w:val="auto"/>
                <w:highlight w:val="none"/>
              </w:rPr>
              <w:t>排放速率为0.</w:t>
            </w:r>
            <w:r>
              <w:rPr>
                <w:rFonts w:hint="eastAsia"/>
                <w:color w:val="auto"/>
                <w:highlight w:val="none"/>
                <w:lang w:val="en-US" w:eastAsia="zh-CN"/>
              </w:rPr>
              <w:t>0006</w:t>
            </w:r>
            <w:r>
              <w:rPr>
                <w:rFonts w:hint="eastAsia"/>
                <w:color w:val="auto"/>
                <w:highlight w:val="none"/>
              </w:rPr>
              <w:t>kg/h</w:t>
            </w:r>
            <w:r>
              <w:rPr>
                <w:rFonts w:hint="eastAsia"/>
                <w:color w:val="auto"/>
                <w:highlight w:val="none"/>
                <w:lang w:eastAsia="zh-CN"/>
              </w:rPr>
              <w:t>。</w:t>
            </w:r>
          </w:p>
          <w:p w14:paraId="1306CB7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outlineLvl w:val="9"/>
              <w:rPr>
                <w:rFonts w:hint="eastAsia" w:ascii="Times New Roman" w:hAnsi="Times New Roman" w:eastAsia="宋体" w:cs="Times New Roman"/>
                <w:b w:val="0"/>
                <w:i w:val="0"/>
                <w:color w:val="auto"/>
                <w:kern w:val="0"/>
                <w:sz w:val="21"/>
                <w:szCs w:val="21"/>
                <w:highlight w:val="none"/>
                <w:lang w:eastAsia="zh-CN"/>
              </w:rPr>
            </w:pPr>
            <w:r>
              <w:rPr>
                <w:rFonts w:hint="eastAsia"/>
                <w:color w:val="auto"/>
                <w:highlight w:val="none"/>
                <w:lang w:val="en-US" w:eastAsia="zh-CN"/>
              </w:rPr>
              <w:t>经估算，</w:t>
            </w:r>
            <w:r>
              <w:rPr>
                <w:rFonts w:hint="default" w:ascii="Times New Roman" w:hAnsi="Times New Roman" w:eastAsia="宋体" w:cs="Times New Roman"/>
                <w:color w:val="auto"/>
                <w:highlight w:val="none"/>
              </w:rPr>
              <w:t>厂界</w:t>
            </w:r>
            <w:r>
              <w:rPr>
                <w:rFonts w:hint="default" w:ascii="Times New Roman" w:hAnsi="Times New Roman" w:eastAsia="宋体" w:cs="Times New Roman"/>
                <w:color w:val="auto"/>
                <w:szCs w:val="21"/>
                <w:highlight w:val="none"/>
              </w:rPr>
              <w:t>无组织颗粒物</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苯酚</w:t>
            </w:r>
            <w:r>
              <w:rPr>
                <w:rFonts w:hint="default" w:ascii="Times New Roman" w:hAnsi="Times New Roman" w:eastAsia="宋体" w:cs="Times New Roman"/>
                <w:color w:val="auto"/>
                <w:szCs w:val="21"/>
                <w:highlight w:val="none"/>
              </w:rPr>
              <w:t>排放浓度</w:t>
            </w:r>
            <w:r>
              <w:rPr>
                <w:rFonts w:hint="eastAsia" w:ascii="Times New Roman" w:hAnsi="Times New Roman" w:eastAsia="宋体" w:cs="Times New Roman"/>
                <w:color w:val="auto"/>
                <w:szCs w:val="21"/>
                <w:highlight w:val="none"/>
                <w:lang w:val="en-US" w:eastAsia="zh-CN"/>
              </w:rPr>
              <w:t>满足</w:t>
            </w:r>
            <w:r>
              <w:rPr>
                <w:rFonts w:hint="default" w:ascii="Times New Roman" w:hAnsi="Times New Roman" w:eastAsia="宋体" w:cs="Times New Roman"/>
                <w:color w:val="auto"/>
                <w:szCs w:val="21"/>
                <w:highlight w:val="none"/>
              </w:rPr>
              <w:t>《大气污染物综合排放标准》（GB16297-1996）表2厂界监控点浓度限值（颗粒物1.0mg/m</w:t>
            </w:r>
            <w:r>
              <w:rPr>
                <w:rFonts w:hint="default" w:ascii="Times New Roman" w:hAnsi="Times New Roman" w:eastAsia="宋体" w:cs="Times New Roman"/>
                <w:color w:val="auto"/>
                <w:szCs w:val="21"/>
                <w:highlight w:val="none"/>
                <w:vertAlign w:val="superscript"/>
              </w:rPr>
              <w:t>3</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苯酚0.08</w:t>
            </w: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highlight w:val="none"/>
              </w:rPr>
              <w:t>无组织VOCs</w:t>
            </w:r>
            <w:r>
              <w:rPr>
                <w:rFonts w:hint="eastAsia" w:cs="Times New Roman"/>
                <w:color w:val="auto"/>
                <w:highlight w:val="none"/>
                <w:lang w:val="en-US" w:eastAsia="zh-CN"/>
              </w:rPr>
              <w:t>和甲醛</w:t>
            </w:r>
            <w:r>
              <w:rPr>
                <w:rFonts w:hint="default" w:ascii="Times New Roman" w:hAnsi="Times New Roman" w:eastAsia="宋体" w:cs="Times New Roman"/>
                <w:color w:val="auto"/>
                <w:szCs w:val="21"/>
                <w:highlight w:val="none"/>
              </w:rPr>
              <w:t>排放浓度</w:t>
            </w:r>
            <w:r>
              <w:rPr>
                <w:rFonts w:hint="eastAsia" w:ascii="Times New Roman" w:hAnsi="Times New Roman" w:eastAsia="宋体" w:cs="Times New Roman"/>
                <w:color w:val="auto"/>
                <w:szCs w:val="21"/>
                <w:highlight w:val="none"/>
                <w:lang w:val="en-US" w:eastAsia="zh-CN"/>
              </w:rPr>
              <w:t>满足</w:t>
            </w:r>
            <w:r>
              <w:rPr>
                <w:rFonts w:hint="default" w:eastAsiaTheme="minorEastAsia"/>
                <w:color w:val="auto"/>
                <w:highlight w:val="none"/>
              </w:rPr>
              <w:t>《挥发性有机物排放标准 第</w:t>
            </w:r>
            <w:r>
              <w:rPr>
                <w:rFonts w:hint="eastAsia" w:eastAsiaTheme="minorEastAsia"/>
                <w:color w:val="auto"/>
                <w:highlight w:val="none"/>
                <w:lang w:val="en-US" w:eastAsia="zh-CN"/>
              </w:rPr>
              <w:t>7</w:t>
            </w:r>
            <w:r>
              <w:rPr>
                <w:rFonts w:hint="default" w:eastAsiaTheme="minorEastAsia"/>
                <w:color w:val="auto"/>
                <w:highlight w:val="none"/>
              </w:rPr>
              <w:t>部分：</w:t>
            </w:r>
            <w:r>
              <w:rPr>
                <w:rFonts w:hint="eastAsia" w:eastAsiaTheme="minorEastAsia"/>
                <w:color w:val="auto"/>
                <w:highlight w:val="none"/>
                <w:lang w:eastAsia="zh-CN"/>
              </w:rPr>
              <w:t>其他</w:t>
            </w:r>
            <w:r>
              <w:rPr>
                <w:rFonts w:hint="default" w:eastAsiaTheme="minorEastAsia"/>
                <w:color w:val="auto"/>
                <w:highlight w:val="none"/>
              </w:rPr>
              <w:t>行业》（DB37/2801.</w:t>
            </w:r>
            <w:r>
              <w:rPr>
                <w:rFonts w:hint="eastAsia" w:eastAsiaTheme="minorEastAsia"/>
                <w:color w:val="auto"/>
                <w:highlight w:val="none"/>
                <w:lang w:val="en-US" w:eastAsia="zh-CN"/>
              </w:rPr>
              <w:t>7</w:t>
            </w:r>
            <w:r>
              <w:rPr>
                <w:rFonts w:hint="default" w:eastAsiaTheme="minorEastAsia"/>
                <w:color w:val="auto"/>
                <w:highlight w:val="none"/>
              </w:rPr>
              <w:t>-201</w:t>
            </w:r>
            <w:r>
              <w:rPr>
                <w:rFonts w:hint="eastAsia" w:eastAsiaTheme="minorEastAsia"/>
                <w:color w:val="auto"/>
                <w:highlight w:val="none"/>
                <w:lang w:val="en-US" w:eastAsia="zh-CN"/>
              </w:rPr>
              <w:t>9</w:t>
            </w:r>
            <w:r>
              <w:rPr>
                <w:rFonts w:hint="default" w:eastAsiaTheme="minorEastAsia"/>
                <w:color w:val="auto"/>
                <w:highlight w:val="none"/>
              </w:rPr>
              <w:t>）表</w:t>
            </w:r>
            <w:r>
              <w:rPr>
                <w:rFonts w:hint="eastAsia" w:eastAsiaTheme="minorEastAsia"/>
                <w:color w:val="auto"/>
                <w:highlight w:val="none"/>
                <w:lang w:val="en-US" w:eastAsia="zh-CN"/>
              </w:rPr>
              <w:t>2、表3</w:t>
            </w:r>
            <w:r>
              <w:rPr>
                <w:rFonts w:hint="default" w:eastAsiaTheme="minorEastAsia"/>
                <w:color w:val="auto"/>
                <w:highlight w:val="none"/>
              </w:rPr>
              <w:t>厂界监控点浓度限值</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highlight w:val="none"/>
              </w:rPr>
              <w:t>VOCs</w:t>
            </w:r>
            <w:r>
              <w:rPr>
                <w:rFonts w:hint="eastAsia" w:ascii="Times New Roman" w:hAnsi="Times New Roman" w:eastAsia="宋体" w:cs="Times New Roman"/>
                <w:color w:val="auto"/>
                <w:szCs w:val="21"/>
                <w:highlight w:val="none"/>
                <w:lang w:val="en-US" w:eastAsia="zh-CN"/>
              </w:rPr>
              <w:t>2.0</w:t>
            </w: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r>
              <w:rPr>
                <w:rFonts w:hint="eastAsia" w:ascii="Times New Roman" w:hAnsi="Times New Roman" w:eastAsia="宋体" w:cs="Times New Roman"/>
                <w:color w:val="auto"/>
                <w:szCs w:val="21"/>
                <w:highlight w:val="none"/>
                <w:lang w:eastAsia="zh-CN"/>
              </w:rPr>
              <w:t>、</w:t>
            </w:r>
            <w:r>
              <w:rPr>
                <w:rFonts w:hint="eastAsia" w:cs="Times New Roman"/>
                <w:color w:val="auto"/>
                <w:highlight w:val="none"/>
                <w:lang w:val="en-US" w:eastAsia="zh-CN"/>
              </w:rPr>
              <w:t>甲醛</w:t>
            </w:r>
            <w:r>
              <w:rPr>
                <w:rFonts w:hint="eastAsia" w:ascii="Times New Roman" w:hAnsi="Times New Roman" w:eastAsia="宋体" w:cs="Times New Roman"/>
                <w:color w:val="auto"/>
                <w:szCs w:val="21"/>
                <w:highlight w:val="none"/>
                <w:lang w:val="en-US" w:eastAsia="zh-CN"/>
              </w:rPr>
              <w:t>0.05</w:t>
            </w: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）；厂区内无组织VOCs（以非甲烷总烃表征）</w:t>
            </w:r>
            <w:r>
              <w:rPr>
                <w:rFonts w:hint="eastAsia" w:ascii="Times New Roman" w:hAnsi="Times New Roman" w:eastAsia="宋体" w:cs="Times New Roman"/>
                <w:color w:val="auto"/>
                <w:szCs w:val="21"/>
                <w:highlight w:val="none"/>
                <w:lang w:val="en-US" w:eastAsia="zh-CN"/>
              </w:rPr>
              <w:t>满足</w:t>
            </w:r>
            <w:r>
              <w:rPr>
                <w:rFonts w:hint="default" w:ascii="Times New Roman" w:hAnsi="Times New Roman" w:eastAsia="宋体" w:cs="Times New Roman"/>
                <w:color w:val="auto"/>
                <w:highlight w:val="none"/>
              </w:rPr>
              <w:t>《挥发性有机物无组织排放控制标准》</w:t>
            </w:r>
            <w:r>
              <w:rPr>
                <w:rFonts w:hint="default" w:ascii="Times New Roman" w:hAnsi="Times New Roman" w:eastAsia="宋体" w:cs="Times New Roman"/>
                <w:color w:val="auto"/>
                <w:sz w:val="21"/>
                <w:szCs w:val="21"/>
                <w:highlight w:val="none"/>
              </w:rPr>
              <w:t>（GB37822-2019）附录A中表A.1厂区内无组织排放限值</w:t>
            </w:r>
            <w:r>
              <w:rPr>
                <w:rFonts w:hint="eastAsia"/>
                <w:color w:val="auto"/>
                <w:sz w:val="21"/>
                <w:szCs w:val="21"/>
                <w:highlight w:val="none"/>
                <w:lang w:eastAsia="zh-CN"/>
              </w:rPr>
              <w:t>。</w:t>
            </w:r>
          </w:p>
          <w:p w14:paraId="461E9BD1">
            <w:pPr>
              <w:spacing w:line="360" w:lineRule="auto"/>
              <w:ind w:firstLine="422" w:firstLineChars="200"/>
              <w:rPr>
                <w:rFonts w:hint="default" w:eastAsia="宋体"/>
                <w:b/>
                <w:bCs/>
                <w:color w:val="auto"/>
                <w:highlight w:val="none"/>
                <w:lang w:val="en-US" w:eastAsia="zh-CN"/>
              </w:rPr>
            </w:pPr>
            <w:r>
              <w:rPr>
                <w:rFonts w:hint="eastAsia"/>
                <w:b/>
                <w:bCs/>
                <w:color w:val="auto"/>
                <w:sz w:val="21"/>
                <w:szCs w:val="21"/>
                <w:highlight w:val="none"/>
                <w:lang w:val="en-US" w:eastAsia="zh-CN"/>
              </w:rPr>
              <w:t>3</w:t>
            </w:r>
            <w:r>
              <w:rPr>
                <w:rFonts w:hint="eastAsia"/>
                <w:b/>
                <w:bCs/>
                <w:color w:val="auto"/>
                <w:highlight w:val="none"/>
              </w:rPr>
              <w:t>、</w:t>
            </w:r>
            <w:r>
              <w:rPr>
                <w:rFonts w:hint="eastAsia"/>
                <w:b/>
                <w:bCs/>
                <w:color w:val="auto"/>
                <w:highlight w:val="none"/>
                <w:lang w:val="en-US" w:eastAsia="zh-CN"/>
              </w:rPr>
              <w:t>排气筒内径</w:t>
            </w:r>
          </w:p>
          <w:p w14:paraId="27C33AC7">
            <w:pPr>
              <w:spacing w:line="360" w:lineRule="auto"/>
              <w:ind w:firstLine="420" w:firstLineChars="200"/>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DA001</w:t>
            </w:r>
            <w:r>
              <w:rPr>
                <w:rFonts w:hint="default" w:ascii="Times New Roman" w:hAnsi="Times New Roman" w:eastAsia="宋体" w:cs="Times New Roman"/>
                <w:color w:val="auto"/>
                <w:sz w:val="21"/>
                <w:szCs w:val="21"/>
                <w:highlight w:val="none"/>
                <w:lang w:val="en-US" w:eastAsia="zh-CN"/>
              </w:rPr>
              <w:t>排气筒配套风机</w:t>
            </w:r>
            <w:r>
              <w:rPr>
                <w:rFonts w:hint="default" w:ascii="Times New Roman" w:hAnsi="Times New Roman" w:cs="Times New Roman"/>
                <w:color w:val="auto"/>
                <w:sz w:val="21"/>
                <w:szCs w:val="21"/>
                <w:highlight w:val="none"/>
                <w:lang w:val="en-US" w:eastAsia="zh-CN"/>
              </w:rPr>
              <w:t>最大</w:t>
            </w:r>
            <w:r>
              <w:rPr>
                <w:rFonts w:hint="default" w:ascii="Times New Roman" w:hAnsi="Times New Roman" w:eastAsia="宋体" w:cs="Times New Roman"/>
                <w:color w:val="auto"/>
                <w:sz w:val="21"/>
                <w:szCs w:val="21"/>
                <w:highlight w:val="none"/>
                <w:lang w:val="en-US" w:eastAsia="zh-CN"/>
              </w:rPr>
              <w:t>风量为</w:t>
            </w:r>
            <w:r>
              <w:rPr>
                <w:rFonts w:hint="eastAsia" w:cs="Times New Roman"/>
                <w:color w:val="auto"/>
                <w:sz w:val="21"/>
                <w:szCs w:val="21"/>
                <w:highlight w:val="none"/>
                <w:lang w:val="en-US" w:eastAsia="zh-CN"/>
              </w:rPr>
              <w:t>3000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/h</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出口流速</w:t>
            </w:r>
            <w:r>
              <w:rPr>
                <w:rFonts w:hint="default" w:ascii="Times New Roman" w:hAnsi="Times New Roman" w:cs="Times New Roman"/>
                <w:color w:val="auto"/>
                <w:sz w:val="21"/>
                <w:szCs w:val="21"/>
                <w:highlight w:val="none"/>
              </w:rPr>
              <w:t>按照</w:t>
            </w:r>
            <w:r>
              <w:rPr>
                <w:rFonts w:hint="eastAsia"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m/s设计，则</w:t>
            </w:r>
            <w:r>
              <w:rPr>
                <w:rFonts w:hint="eastAsia" w:cs="Times New Roman"/>
                <w:color w:val="auto"/>
                <w:sz w:val="21"/>
                <w:szCs w:val="21"/>
                <w:highlight w:val="none"/>
                <w:lang w:val="en-US" w:eastAsia="zh-CN"/>
              </w:rPr>
              <w:t>DA001</w:t>
            </w:r>
            <w:r>
              <w:rPr>
                <w:rFonts w:hint="default" w:ascii="Times New Roman" w:hAnsi="Times New Roman" w:cs="Times New Roman"/>
                <w:color w:val="auto"/>
                <w:sz w:val="21"/>
                <w:szCs w:val="21"/>
                <w:highlight w:val="none"/>
              </w:rPr>
              <w:t>排气筒内径</w:t>
            </w:r>
            <w:r>
              <w:rPr>
                <w:rFonts w:hint="eastAsia" w:ascii="Times New Roman" w:hAnsi="Times New Roman" w:eastAsia="宋体" w:cs="Times New Roman"/>
                <w:color w:val="auto"/>
                <w:sz w:val="21"/>
                <w:szCs w:val="21"/>
                <w:highlight w:val="none"/>
                <w:lang w:val="en-US" w:eastAsia="zh-CN"/>
              </w:rPr>
              <w:t>至少</w:t>
            </w:r>
            <w:r>
              <w:rPr>
                <w:rFonts w:hint="default" w:ascii="Times New Roman" w:hAnsi="Times New Roman" w:cs="Times New Roman"/>
                <w:color w:val="auto"/>
                <w:sz w:val="21"/>
                <w:szCs w:val="21"/>
                <w:highlight w:val="none"/>
              </w:rPr>
              <w:t>为</w:t>
            </w:r>
            <w:r>
              <w:rPr>
                <w:rFonts w:hint="eastAsia" w:cs="Times New Roman"/>
                <w:color w:val="auto"/>
                <w:sz w:val="21"/>
                <w:szCs w:val="21"/>
                <w:highlight w:val="none"/>
                <w:lang w:val="en-US" w:eastAsia="zh-CN"/>
              </w:rPr>
              <w:t>0.27</w:t>
            </w:r>
            <w:r>
              <w:rPr>
                <w:rFonts w:hint="default"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本项目拟设置排气筒内径为0.</w:t>
            </w:r>
            <w:r>
              <w:rPr>
                <w:rFonts w:hint="eastAsia"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val="en-US" w:eastAsia="zh-CN"/>
              </w:rPr>
              <w:t>m，可满足要求。</w:t>
            </w:r>
          </w:p>
          <w:p w14:paraId="34F478ED">
            <w:pPr>
              <w:spacing w:line="360" w:lineRule="auto"/>
              <w:ind w:firstLine="420" w:firstLineChars="200"/>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DA002</w:t>
            </w:r>
            <w:r>
              <w:rPr>
                <w:rFonts w:hint="default" w:ascii="Times New Roman" w:hAnsi="Times New Roman" w:eastAsia="宋体" w:cs="Times New Roman"/>
                <w:color w:val="auto"/>
                <w:sz w:val="21"/>
                <w:szCs w:val="21"/>
                <w:highlight w:val="none"/>
                <w:lang w:val="en-US" w:eastAsia="zh-CN"/>
              </w:rPr>
              <w:t>排气筒配套风机</w:t>
            </w:r>
            <w:r>
              <w:rPr>
                <w:rFonts w:hint="default" w:ascii="Times New Roman" w:hAnsi="Times New Roman" w:cs="Times New Roman"/>
                <w:color w:val="auto"/>
                <w:sz w:val="21"/>
                <w:szCs w:val="21"/>
                <w:highlight w:val="none"/>
                <w:lang w:val="en-US" w:eastAsia="zh-CN"/>
              </w:rPr>
              <w:t>最大</w:t>
            </w:r>
            <w:r>
              <w:rPr>
                <w:rFonts w:hint="default" w:ascii="Times New Roman" w:hAnsi="Times New Roman" w:eastAsia="宋体" w:cs="Times New Roman"/>
                <w:color w:val="auto"/>
                <w:sz w:val="21"/>
                <w:szCs w:val="21"/>
                <w:highlight w:val="none"/>
                <w:lang w:val="en-US" w:eastAsia="zh-CN"/>
              </w:rPr>
              <w:t>风量为</w:t>
            </w:r>
            <w:r>
              <w:rPr>
                <w:rFonts w:hint="eastAsia" w:cs="Times New Roman"/>
                <w:color w:val="auto"/>
                <w:sz w:val="21"/>
                <w:szCs w:val="21"/>
                <w:highlight w:val="none"/>
                <w:lang w:val="en-US" w:eastAsia="zh-CN"/>
              </w:rPr>
              <w:t>2500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/h</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出口流速</w:t>
            </w:r>
            <w:r>
              <w:rPr>
                <w:rFonts w:hint="default" w:ascii="Times New Roman" w:hAnsi="Times New Roman" w:cs="Times New Roman"/>
                <w:color w:val="auto"/>
                <w:sz w:val="21"/>
                <w:szCs w:val="21"/>
                <w:highlight w:val="none"/>
              </w:rPr>
              <w:t>按照</w:t>
            </w:r>
            <w:r>
              <w:rPr>
                <w:rFonts w:hint="eastAsia"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m/s设计，则</w:t>
            </w:r>
            <w:r>
              <w:rPr>
                <w:rFonts w:hint="eastAsia" w:cs="Times New Roman"/>
                <w:color w:val="auto"/>
                <w:sz w:val="21"/>
                <w:szCs w:val="21"/>
                <w:highlight w:val="none"/>
                <w:lang w:val="en-US" w:eastAsia="zh-CN"/>
              </w:rPr>
              <w:t>DA002</w:t>
            </w:r>
            <w:r>
              <w:rPr>
                <w:rFonts w:hint="default" w:ascii="Times New Roman" w:hAnsi="Times New Roman" w:cs="Times New Roman"/>
                <w:color w:val="auto"/>
                <w:sz w:val="21"/>
                <w:szCs w:val="21"/>
                <w:highlight w:val="none"/>
              </w:rPr>
              <w:t>排气筒内径</w:t>
            </w:r>
            <w:r>
              <w:rPr>
                <w:rFonts w:hint="eastAsia" w:ascii="Times New Roman" w:hAnsi="Times New Roman" w:eastAsia="宋体" w:cs="Times New Roman"/>
                <w:color w:val="auto"/>
                <w:sz w:val="21"/>
                <w:szCs w:val="21"/>
                <w:highlight w:val="none"/>
                <w:lang w:val="en-US" w:eastAsia="zh-CN"/>
              </w:rPr>
              <w:t>至少</w:t>
            </w:r>
            <w:r>
              <w:rPr>
                <w:rFonts w:hint="default" w:ascii="Times New Roman" w:hAnsi="Times New Roman" w:cs="Times New Roman"/>
                <w:color w:val="auto"/>
                <w:sz w:val="21"/>
                <w:szCs w:val="21"/>
                <w:highlight w:val="none"/>
              </w:rPr>
              <w:t>为</w:t>
            </w:r>
            <w:r>
              <w:rPr>
                <w:rFonts w:hint="eastAsia" w:cs="Times New Roman"/>
                <w:color w:val="auto"/>
                <w:sz w:val="21"/>
                <w:szCs w:val="21"/>
                <w:highlight w:val="none"/>
                <w:lang w:val="en-US" w:eastAsia="zh-CN"/>
              </w:rPr>
              <w:t>0.24</w:t>
            </w:r>
            <w:r>
              <w:rPr>
                <w:rFonts w:hint="default"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本项目拟设置排气筒内径为0.</w:t>
            </w:r>
            <w:r>
              <w:rPr>
                <w:rFonts w:hint="eastAsia"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val="en-US" w:eastAsia="zh-CN"/>
              </w:rPr>
              <w:t>m，可满足要求。</w:t>
            </w:r>
          </w:p>
          <w:p w14:paraId="6FB702DA">
            <w:pPr>
              <w:spacing w:line="360" w:lineRule="auto"/>
              <w:ind w:firstLine="420" w:firstLineChars="200"/>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DA003</w:t>
            </w:r>
            <w:r>
              <w:rPr>
                <w:rFonts w:hint="default" w:ascii="Times New Roman" w:hAnsi="Times New Roman" w:eastAsia="宋体" w:cs="Times New Roman"/>
                <w:color w:val="auto"/>
                <w:sz w:val="21"/>
                <w:szCs w:val="21"/>
                <w:highlight w:val="none"/>
                <w:lang w:val="en-US" w:eastAsia="zh-CN"/>
              </w:rPr>
              <w:t>排气筒配套风机</w:t>
            </w:r>
            <w:r>
              <w:rPr>
                <w:rFonts w:hint="default" w:ascii="Times New Roman" w:hAnsi="Times New Roman" w:cs="Times New Roman"/>
                <w:color w:val="auto"/>
                <w:sz w:val="21"/>
                <w:szCs w:val="21"/>
                <w:highlight w:val="none"/>
                <w:lang w:val="en-US" w:eastAsia="zh-CN"/>
              </w:rPr>
              <w:t>最大</w:t>
            </w:r>
            <w:r>
              <w:rPr>
                <w:rFonts w:hint="default" w:ascii="Times New Roman" w:hAnsi="Times New Roman" w:eastAsia="宋体" w:cs="Times New Roman"/>
                <w:color w:val="auto"/>
                <w:sz w:val="21"/>
                <w:szCs w:val="21"/>
                <w:highlight w:val="none"/>
                <w:lang w:val="en-US" w:eastAsia="zh-CN"/>
              </w:rPr>
              <w:t>风量为</w:t>
            </w:r>
            <w:r>
              <w:rPr>
                <w:rFonts w:hint="eastAsia" w:cs="Times New Roman"/>
                <w:color w:val="auto"/>
                <w:sz w:val="21"/>
                <w:szCs w:val="21"/>
                <w:highlight w:val="none"/>
                <w:lang w:val="en-US" w:eastAsia="zh-CN"/>
              </w:rPr>
              <w:t>4500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/h</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出口流速</w:t>
            </w:r>
            <w:r>
              <w:rPr>
                <w:rFonts w:hint="default" w:ascii="Times New Roman" w:hAnsi="Times New Roman" w:cs="Times New Roman"/>
                <w:color w:val="auto"/>
                <w:sz w:val="21"/>
                <w:szCs w:val="21"/>
                <w:highlight w:val="none"/>
              </w:rPr>
              <w:t>按照</w:t>
            </w:r>
            <w:r>
              <w:rPr>
                <w:rFonts w:hint="eastAsia"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m/s设计，则</w:t>
            </w:r>
            <w:r>
              <w:rPr>
                <w:rFonts w:hint="eastAsia" w:cs="Times New Roman"/>
                <w:color w:val="auto"/>
                <w:sz w:val="21"/>
                <w:szCs w:val="21"/>
                <w:highlight w:val="none"/>
                <w:lang w:val="en-US" w:eastAsia="zh-CN"/>
              </w:rPr>
              <w:t>DA003</w:t>
            </w:r>
            <w:r>
              <w:rPr>
                <w:rFonts w:hint="default" w:ascii="Times New Roman" w:hAnsi="Times New Roman" w:cs="Times New Roman"/>
                <w:color w:val="auto"/>
                <w:sz w:val="21"/>
                <w:szCs w:val="21"/>
                <w:highlight w:val="none"/>
              </w:rPr>
              <w:t>排气筒内径</w:t>
            </w:r>
            <w:r>
              <w:rPr>
                <w:rFonts w:hint="eastAsia" w:ascii="Times New Roman" w:hAnsi="Times New Roman" w:eastAsia="宋体" w:cs="Times New Roman"/>
                <w:color w:val="auto"/>
                <w:sz w:val="21"/>
                <w:szCs w:val="21"/>
                <w:highlight w:val="none"/>
                <w:lang w:val="en-US" w:eastAsia="zh-CN"/>
              </w:rPr>
              <w:t>至少</w:t>
            </w:r>
            <w:r>
              <w:rPr>
                <w:rFonts w:hint="default" w:ascii="Times New Roman" w:hAnsi="Times New Roman" w:cs="Times New Roman"/>
                <w:color w:val="auto"/>
                <w:sz w:val="21"/>
                <w:szCs w:val="21"/>
                <w:highlight w:val="none"/>
              </w:rPr>
              <w:t>为</w:t>
            </w:r>
            <w:r>
              <w:rPr>
                <w:rFonts w:hint="eastAsia" w:cs="Times New Roman"/>
                <w:color w:val="auto"/>
                <w:sz w:val="21"/>
                <w:szCs w:val="21"/>
                <w:highlight w:val="none"/>
                <w:lang w:val="en-US" w:eastAsia="zh-CN"/>
              </w:rPr>
              <w:t>0.32</w:t>
            </w:r>
            <w:r>
              <w:rPr>
                <w:rFonts w:hint="default"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本项目拟设置排气筒内径为0.</w:t>
            </w:r>
            <w:r>
              <w:rPr>
                <w:rFonts w:hint="eastAsia" w:cs="Times New Roman"/>
                <w:color w:val="auto"/>
                <w:sz w:val="21"/>
                <w:szCs w:val="21"/>
                <w:highlight w:val="none"/>
                <w:lang w:val="en-US" w:eastAsia="zh-CN"/>
              </w:rPr>
              <w:t>35</w:t>
            </w:r>
            <w:r>
              <w:rPr>
                <w:rFonts w:hint="eastAsia" w:ascii="Times New Roman" w:hAnsi="Times New Roman" w:cs="Times New Roman"/>
                <w:color w:val="auto"/>
                <w:sz w:val="21"/>
                <w:szCs w:val="21"/>
                <w:highlight w:val="none"/>
                <w:lang w:val="en-US" w:eastAsia="zh-CN"/>
              </w:rPr>
              <w:t>m，可满足要求。</w:t>
            </w:r>
          </w:p>
          <w:p w14:paraId="7FED60D3">
            <w:pPr>
              <w:spacing w:line="360" w:lineRule="auto"/>
              <w:ind w:firstLine="422" w:firstLineChars="200"/>
              <w:rPr>
                <w:rFonts w:hint="eastAsia"/>
                <w:b/>
                <w:bCs/>
                <w:color w:val="auto"/>
                <w:highlight w:val="none"/>
              </w:rPr>
            </w:pPr>
            <w:r>
              <w:rPr>
                <w:rFonts w:hint="eastAsia"/>
                <w:b/>
                <w:bCs/>
                <w:color w:val="auto"/>
                <w:highlight w:val="none"/>
                <w:lang w:val="en-US" w:eastAsia="zh-CN"/>
              </w:rPr>
              <w:t>4</w:t>
            </w:r>
            <w:r>
              <w:rPr>
                <w:rFonts w:hint="eastAsia"/>
                <w:b/>
                <w:bCs/>
                <w:color w:val="auto"/>
                <w:highlight w:val="none"/>
              </w:rPr>
              <w:t>、结论</w:t>
            </w:r>
          </w:p>
          <w:p w14:paraId="7A610827">
            <w:pPr>
              <w:widowControl/>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color w:val="auto"/>
                <w:highlight w:val="none"/>
                <w:lang w:eastAsia="zh-CN"/>
              </w:rPr>
              <w:t>本项目</w:t>
            </w:r>
            <w:r>
              <w:rPr>
                <w:rFonts w:hint="eastAsia"/>
                <w:color w:val="auto"/>
                <w:highlight w:val="none"/>
                <w:lang w:val="en-US" w:eastAsia="zh-CN"/>
              </w:rPr>
              <w:t>DA001排气筒和DA002排气筒颗粒物排放浓度满足</w:t>
            </w:r>
            <w:r>
              <w:rPr>
                <w:color w:val="auto"/>
                <w:highlight w:val="none"/>
              </w:rPr>
              <w:t>《区域性大气污染物综合排放标准》（DB37/2376-2019）表1中“重点控制区”标准限值（颗粒物10mg/m</w:t>
            </w:r>
            <w:r>
              <w:rPr>
                <w:color w:val="auto"/>
                <w:highlight w:val="none"/>
                <w:vertAlign w:val="superscript"/>
              </w:rPr>
              <w:t>3</w:t>
            </w:r>
            <w:r>
              <w:rPr>
                <w:color w:val="auto"/>
                <w:highlight w:val="none"/>
              </w:rPr>
              <w:t>）</w:t>
            </w:r>
            <w:r>
              <w:rPr>
                <w:rFonts w:hint="eastAsia"/>
                <w:color w:val="auto"/>
                <w:highlight w:val="none"/>
                <w:lang w:eastAsia="zh-CN"/>
              </w:rPr>
              <w:t>，</w:t>
            </w:r>
            <w:r>
              <w:rPr>
                <w:rFonts w:hint="eastAsia"/>
                <w:color w:val="auto"/>
                <w:highlight w:val="none"/>
                <w:lang w:val="en-US" w:eastAsia="zh-CN"/>
              </w:rPr>
              <w:t>DA003排气筒</w:t>
            </w:r>
            <w:r>
              <w:rPr>
                <w:rFonts w:hint="default" w:ascii="Times New Roman" w:hAnsi="Times New Roman" w:cs="Times New Roman"/>
                <w:color w:val="auto"/>
                <w:highlight w:val="none"/>
              </w:rPr>
              <w:t>VOCs</w:t>
            </w:r>
            <w:r>
              <w:rPr>
                <w:rFonts w:hint="eastAsia"/>
                <w:color w:val="auto"/>
                <w:highlight w:val="none"/>
                <w:lang w:val="en-US" w:eastAsia="zh-CN"/>
              </w:rPr>
              <w:t>排放浓度满足</w:t>
            </w:r>
            <w:r>
              <w:rPr>
                <w:rFonts w:hint="default" w:ascii="Times New Roman" w:hAnsi="Times New Roman" w:cs="Times New Roman"/>
                <w:color w:val="auto"/>
                <w:szCs w:val="21"/>
                <w:highlight w:val="none"/>
              </w:rPr>
              <w:t>《挥发性有机物排放标准 第</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部分：</w:t>
            </w:r>
            <w:r>
              <w:rPr>
                <w:rFonts w:hint="eastAsia" w:cs="Times New Roman"/>
                <w:color w:val="auto"/>
                <w:szCs w:val="21"/>
                <w:highlight w:val="none"/>
                <w:lang w:eastAsia="zh-CN"/>
              </w:rPr>
              <w:t>其他</w:t>
            </w:r>
            <w:r>
              <w:rPr>
                <w:rFonts w:hint="default" w:ascii="Times New Roman" w:hAnsi="Times New Roman" w:cs="Times New Roman"/>
                <w:color w:val="auto"/>
                <w:szCs w:val="21"/>
                <w:highlight w:val="none"/>
              </w:rPr>
              <w:t>行业》（DB37/2801.</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-201</w:t>
            </w:r>
            <w:r>
              <w:rPr>
                <w:rFonts w:hint="eastAsia" w:cs="Times New Roman"/>
                <w:color w:val="auto"/>
                <w:szCs w:val="21"/>
                <w:highlight w:val="none"/>
                <w:lang w:val="en-US" w:eastAsia="zh-CN"/>
              </w:rPr>
              <w:t>9</w:t>
            </w:r>
            <w:r>
              <w:rPr>
                <w:rFonts w:hint="default" w:ascii="Times New Roman" w:hAnsi="Times New Roman" w:cs="Times New Roman"/>
                <w:color w:val="auto"/>
                <w:szCs w:val="21"/>
                <w:highlight w:val="none"/>
              </w:rPr>
              <w:t>）表</w:t>
            </w:r>
            <w:r>
              <w:rPr>
                <w:rFonts w:hint="eastAsia" w:cs="Times New Roman"/>
                <w:color w:val="auto"/>
                <w:szCs w:val="21"/>
                <w:highlight w:val="none"/>
                <w:lang w:val="en-US" w:eastAsia="zh-CN"/>
              </w:rPr>
              <w:t>1中“非金属矿物制品业”Ⅱ时段</w:t>
            </w:r>
            <w:r>
              <w:rPr>
                <w:rFonts w:hint="default" w:ascii="Times New Roman" w:hAnsi="Times New Roman" w:cs="Times New Roman"/>
                <w:color w:val="auto"/>
                <w:szCs w:val="21"/>
                <w:highlight w:val="none"/>
              </w:rPr>
              <w:t>VOCs排放限值</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highlight w:val="none"/>
              </w:rPr>
              <w:t>VOCs</w:t>
            </w:r>
            <w:r>
              <w:rPr>
                <w:rFonts w:hint="eastAsia" w:ascii="Times New Roman" w:hAnsi="Times New Roman" w:cs="Times New Roman"/>
                <w:color w:val="auto"/>
                <w:szCs w:val="21"/>
                <w:highlight w:val="none"/>
                <w:lang w:val="en-US" w:eastAsia="zh-CN"/>
              </w:rPr>
              <w:t>排放浓度20</w:t>
            </w:r>
            <w:r>
              <w:rPr>
                <w:color w:val="auto"/>
                <w:highlight w:val="none"/>
              </w:rPr>
              <w:t>mg/m</w:t>
            </w:r>
            <w:r>
              <w:rPr>
                <w:color w:val="auto"/>
                <w:highlight w:val="none"/>
                <w:vertAlign w:val="superscript"/>
              </w:rPr>
              <w:t>3</w:t>
            </w:r>
            <w:r>
              <w:rPr>
                <w:rFonts w:hint="eastAsia"/>
                <w:color w:val="auto"/>
                <w:highlight w:val="none"/>
                <w:vertAlign w:val="baseline"/>
                <w:lang w:eastAsia="zh-CN"/>
              </w:rPr>
              <w:t>、</w:t>
            </w:r>
            <w:r>
              <w:rPr>
                <w:rFonts w:hint="eastAsia"/>
                <w:color w:val="auto"/>
                <w:highlight w:val="none"/>
                <w:vertAlign w:val="baseline"/>
                <w:lang w:val="en-US" w:eastAsia="zh-CN"/>
              </w:rPr>
              <w:t>排放速率3.0kg/h</w:t>
            </w:r>
            <w:r>
              <w:rPr>
                <w:rFonts w:hint="eastAsia" w:ascii="Times New Roman" w:hAnsi="Times New Roman" w:cs="Times New Roman"/>
                <w:color w:val="auto"/>
                <w:szCs w:val="21"/>
                <w:highlight w:val="none"/>
                <w:lang w:eastAsia="zh-CN"/>
              </w:rPr>
              <w:t>）；</w:t>
            </w:r>
            <w:r>
              <w:rPr>
                <w:rFonts w:hint="eastAsia" w:cs="Times New Roman"/>
                <w:color w:val="auto"/>
                <w:highlight w:val="none"/>
                <w:lang w:eastAsia="zh-CN"/>
              </w:rPr>
              <w:t>酚类、甲醛</w:t>
            </w:r>
            <w:r>
              <w:rPr>
                <w:rFonts w:hint="eastAsia"/>
                <w:color w:val="auto"/>
                <w:highlight w:val="none"/>
                <w:lang w:val="en-US" w:eastAsia="zh-CN"/>
              </w:rPr>
              <w:t>满足</w:t>
            </w:r>
            <w:r>
              <w:rPr>
                <w:rFonts w:hint="default" w:ascii="Times New Roman" w:hAnsi="Times New Roman" w:cs="Times New Roman"/>
                <w:color w:val="auto"/>
                <w:szCs w:val="21"/>
                <w:highlight w:val="none"/>
              </w:rPr>
              <w:t>《</w:t>
            </w:r>
            <w:r>
              <w:rPr>
                <w:rFonts w:hint="eastAsia" w:cs="Times New Roman"/>
                <w:color w:val="auto"/>
                <w:szCs w:val="21"/>
                <w:highlight w:val="none"/>
                <w:lang w:eastAsia="zh-CN"/>
              </w:rPr>
              <w:t>大气污染物综合排放标准</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GB16297-1996</w:t>
            </w:r>
            <w:r>
              <w:rPr>
                <w:rFonts w:hint="default" w:ascii="Times New Roman" w:hAnsi="Times New Roman" w:cs="Times New Roman"/>
                <w:color w:val="auto"/>
                <w:szCs w:val="21"/>
                <w:highlight w:val="none"/>
              </w:rPr>
              <w:t>）表</w:t>
            </w:r>
            <w:r>
              <w:rPr>
                <w:rFonts w:hint="eastAsia" w:cs="Times New Roman"/>
                <w:color w:val="auto"/>
                <w:szCs w:val="21"/>
                <w:highlight w:val="none"/>
                <w:lang w:val="en-US" w:eastAsia="zh-CN"/>
              </w:rPr>
              <w:t>2中酚类、甲醛15m有组织</w:t>
            </w:r>
            <w:r>
              <w:rPr>
                <w:rFonts w:hint="default" w:ascii="Times New Roman" w:hAnsi="Times New Roman" w:cs="Times New Roman"/>
                <w:color w:val="auto"/>
                <w:szCs w:val="21"/>
                <w:highlight w:val="none"/>
              </w:rPr>
              <w:t>排放限值</w:t>
            </w:r>
            <w:r>
              <w:rPr>
                <w:rFonts w:hint="eastAsia" w:ascii="Times New Roman" w:hAnsi="Times New Roman" w:cs="Times New Roman"/>
                <w:color w:val="auto"/>
                <w:szCs w:val="21"/>
                <w:highlight w:val="none"/>
                <w:lang w:eastAsia="zh-CN"/>
              </w:rPr>
              <w:t>（</w:t>
            </w:r>
            <w:r>
              <w:rPr>
                <w:rFonts w:hint="eastAsia" w:cs="Times New Roman"/>
                <w:color w:val="auto"/>
                <w:highlight w:val="none"/>
                <w:lang w:eastAsia="zh-CN"/>
              </w:rPr>
              <w:t>酚类</w:t>
            </w:r>
            <w:r>
              <w:rPr>
                <w:rFonts w:hint="eastAsia" w:ascii="Times New Roman" w:hAnsi="Times New Roman" w:cs="Times New Roman"/>
                <w:color w:val="auto"/>
                <w:szCs w:val="21"/>
                <w:highlight w:val="none"/>
                <w:lang w:val="en-US" w:eastAsia="zh-CN"/>
              </w:rPr>
              <w:t>排放浓度100</w:t>
            </w:r>
            <w:r>
              <w:rPr>
                <w:color w:val="auto"/>
                <w:highlight w:val="none"/>
              </w:rPr>
              <w:t>mg/m</w:t>
            </w:r>
            <w:r>
              <w:rPr>
                <w:color w:val="auto"/>
                <w:highlight w:val="none"/>
                <w:vertAlign w:val="superscript"/>
              </w:rPr>
              <w:t>3</w:t>
            </w:r>
            <w:r>
              <w:rPr>
                <w:rFonts w:hint="eastAsia"/>
                <w:color w:val="auto"/>
                <w:highlight w:val="none"/>
                <w:vertAlign w:val="baseline"/>
                <w:lang w:eastAsia="zh-CN"/>
              </w:rPr>
              <w:t>、</w:t>
            </w:r>
            <w:r>
              <w:rPr>
                <w:rFonts w:hint="eastAsia"/>
                <w:color w:val="auto"/>
                <w:highlight w:val="none"/>
                <w:vertAlign w:val="baseline"/>
                <w:lang w:val="en-US" w:eastAsia="zh-CN"/>
              </w:rPr>
              <w:t>排放速率0.1kg/h</w:t>
            </w:r>
            <w:r>
              <w:rPr>
                <w:rFonts w:hint="eastAsia" w:cs="Times New Roman"/>
                <w:color w:val="auto"/>
                <w:highlight w:val="none"/>
                <w:lang w:eastAsia="zh-CN"/>
              </w:rPr>
              <w:t>；甲醛</w:t>
            </w:r>
            <w:r>
              <w:rPr>
                <w:rFonts w:hint="eastAsia" w:ascii="Times New Roman" w:hAnsi="Times New Roman" w:cs="Times New Roman"/>
                <w:color w:val="auto"/>
                <w:szCs w:val="21"/>
                <w:highlight w:val="none"/>
                <w:lang w:val="en-US" w:eastAsia="zh-CN"/>
              </w:rPr>
              <w:t>排放浓度25</w:t>
            </w:r>
            <w:r>
              <w:rPr>
                <w:color w:val="auto"/>
                <w:highlight w:val="none"/>
              </w:rPr>
              <w:t>mg/m</w:t>
            </w:r>
            <w:r>
              <w:rPr>
                <w:color w:val="auto"/>
                <w:highlight w:val="none"/>
                <w:vertAlign w:val="superscript"/>
              </w:rPr>
              <w:t>3</w:t>
            </w:r>
            <w:r>
              <w:rPr>
                <w:rFonts w:hint="eastAsia"/>
                <w:color w:val="auto"/>
                <w:highlight w:val="none"/>
                <w:vertAlign w:val="baseline"/>
                <w:lang w:eastAsia="zh-CN"/>
              </w:rPr>
              <w:t>、</w:t>
            </w:r>
            <w:r>
              <w:rPr>
                <w:rFonts w:hint="eastAsia"/>
                <w:color w:val="auto"/>
                <w:highlight w:val="none"/>
                <w:vertAlign w:val="baseline"/>
                <w:lang w:val="en-US" w:eastAsia="zh-CN"/>
              </w:rPr>
              <w:t>排放速率0.26kg/h</w:t>
            </w:r>
            <w:r>
              <w:rPr>
                <w:rFonts w:hint="eastAsia" w:ascii="Times New Roman" w:hAnsi="Times New Roman" w:cs="Times New Roman"/>
                <w:color w:val="auto"/>
                <w:szCs w:val="21"/>
                <w:highlight w:val="none"/>
                <w:lang w:eastAsia="zh-CN"/>
              </w:rPr>
              <w:t>）</w:t>
            </w:r>
            <w:r>
              <w:rPr>
                <w:rFonts w:hint="eastAsia" w:ascii="Times New Roman" w:hAnsi="Times New Roman" w:eastAsia="宋体" w:cs="Times New Roman"/>
                <w:color w:val="auto"/>
                <w:sz w:val="21"/>
                <w:szCs w:val="21"/>
                <w:highlight w:val="none"/>
                <w:lang w:val="en-US" w:eastAsia="zh-CN"/>
              </w:rPr>
              <w:t>。</w:t>
            </w:r>
          </w:p>
          <w:p w14:paraId="032595B3">
            <w:pPr>
              <w:widowControl/>
              <w:adjustRightInd w:val="0"/>
              <w:snapToGrid w:val="0"/>
              <w:spacing w:line="360" w:lineRule="auto"/>
              <w:ind w:firstLine="420" w:firstLineChars="200"/>
              <w:rPr>
                <w:rFonts w:hint="eastAsia" w:cs="Times New Roman"/>
                <w:color w:val="auto"/>
                <w:sz w:val="21"/>
                <w:szCs w:val="21"/>
                <w:highlight w:val="none"/>
                <w:lang w:eastAsia="zh-CN"/>
              </w:rPr>
            </w:pPr>
            <w:r>
              <w:rPr>
                <w:rFonts w:hint="eastAsia"/>
                <w:color w:val="auto"/>
                <w:highlight w:val="none"/>
                <w:lang w:val="en-US" w:eastAsia="zh-CN"/>
              </w:rPr>
              <w:t>经估算，</w:t>
            </w:r>
            <w:r>
              <w:rPr>
                <w:rFonts w:hint="default" w:ascii="Times New Roman" w:hAnsi="Times New Roman" w:eastAsia="宋体" w:cs="Times New Roman"/>
                <w:color w:val="auto"/>
                <w:highlight w:val="none"/>
              </w:rPr>
              <w:t>厂界</w:t>
            </w:r>
            <w:r>
              <w:rPr>
                <w:rFonts w:hint="default" w:ascii="Times New Roman" w:hAnsi="Times New Roman" w:eastAsia="宋体" w:cs="Times New Roman"/>
                <w:color w:val="auto"/>
                <w:szCs w:val="21"/>
                <w:highlight w:val="none"/>
              </w:rPr>
              <w:t>无组织颗粒物</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苯酚</w:t>
            </w:r>
            <w:r>
              <w:rPr>
                <w:rFonts w:hint="default" w:ascii="Times New Roman" w:hAnsi="Times New Roman" w:eastAsia="宋体" w:cs="Times New Roman"/>
                <w:color w:val="auto"/>
                <w:szCs w:val="21"/>
                <w:highlight w:val="none"/>
              </w:rPr>
              <w:t>排放浓度</w:t>
            </w:r>
            <w:r>
              <w:rPr>
                <w:rFonts w:hint="eastAsia" w:ascii="Times New Roman" w:hAnsi="Times New Roman" w:eastAsia="宋体" w:cs="Times New Roman"/>
                <w:color w:val="auto"/>
                <w:szCs w:val="21"/>
                <w:highlight w:val="none"/>
                <w:lang w:val="en-US" w:eastAsia="zh-CN"/>
              </w:rPr>
              <w:t>满足</w:t>
            </w:r>
            <w:r>
              <w:rPr>
                <w:rFonts w:hint="default" w:ascii="Times New Roman" w:hAnsi="Times New Roman" w:eastAsia="宋体" w:cs="Times New Roman"/>
                <w:color w:val="auto"/>
                <w:szCs w:val="21"/>
                <w:highlight w:val="none"/>
              </w:rPr>
              <w:t>《大气污染物综合排放标准》（GB16297-1996）表2厂界监控点浓度限值（颗粒物1.0mg/m</w:t>
            </w:r>
            <w:r>
              <w:rPr>
                <w:rFonts w:hint="default" w:ascii="Times New Roman" w:hAnsi="Times New Roman" w:eastAsia="宋体" w:cs="Times New Roman"/>
                <w:color w:val="auto"/>
                <w:szCs w:val="21"/>
                <w:highlight w:val="none"/>
                <w:vertAlign w:val="superscript"/>
              </w:rPr>
              <w:t>3</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苯酚0.08</w:t>
            </w: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highlight w:val="none"/>
              </w:rPr>
              <w:t>无组织VOCs</w:t>
            </w:r>
            <w:r>
              <w:rPr>
                <w:rFonts w:hint="eastAsia" w:cs="Times New Roman"/>
                <w:color w:val="auto"/>
                <w:highlight w:val="none"/>
                <w:lang w:val="en-US" w:eastAsia="zh-CN"/>
              </w:rPr>
              <w:t>和甲醛</w:t>
            </w:r>
            <w:r>
              <w:rPr>
                <w:rFonts w:hint="default" w:ascii="Times New Roman" w:hAnsi="Times New Roman" w:eastAsia="宋体" w:cs="Times New Roman"/>
                <w:color w:val="auto"/>
                <w:szCs w:val="21"/>
                <w:highlight w:val="none"/>
              </w:rPr>
              <w:t>排放浓度</w:t>
            </w:r>
            <w:r>
              <w:rPr>
                <w:rFonts w:hint="eastAsia" w:ascii="Times New Roman" w:hAnsi="Times New Roman" w:eastAsia="宋体" w:cs="Times New Roman"/>
                <w:color w:val="auto"/>
                <w:szCs w:val="21"/>
                <w:highlight w:val="none"/>
                <w:lang w:val="en-US" w:eastAsia="zh-CN"/>
              </w:rPr>
              <w:t>满足</w:t>
            </w:r>
            <w:r>
              <w:rPr>
                <w:rFonts w:hint="default" w:eastAsiaTheme="minorEastAsia"/>
                <w:color w:val="auto"/>
                <w:highlight w:val="none"/>
              </w:rPr>
              <w:t>《挥发性有机物排放标准 第</w:t>
            </w:r>
            <w:r>
              <w:rPr>
                <w:rFonts w:hint="eastAsia" w:eastAsiaTheme="minorEastAsia"/>
                <w:color w:val="auto"/>
                <w:highlight w:val="none"/>
                <w:lang w:val="en-US" w:eastAsia="zh-CN"/>
              </w:rPr>
              <w:t>7</w:t>
            </w:r>
            <w:r>
              <w:rPr>
                <w:rFonts w:hint="default" w:eastAsiaTheme="minorEastAsia"/>
                <w:color w:val="auto"/>
                <w:highlight w:val="none"/>
              </w:rPr>
              <w:t>部分：</w:t>
            </w:r>
            <w:r>
              <w:rPr>
                <w:rFonts w:hint="eastAsia" w:eastAsiaTheme="minorEastAsia"/>
                <w:color w:val="auto"/>
                <w:highlight w:val="none"/>
                <w:lang w:eastAsia="zh-CN"/>
              </w:rPr>
              <w:t>其他</w:t>
            </w:r>
            <w:r>
              <w:rPr>
                <w:rFonts w:hint="default" w:eastAsiaTheme="minorEastAsia"/>
                <w:color w:val="auto"/>
                <w:highlight w:val="none"/>
              </w:rPr>
              <w:t>行业》（DB37/2801.</w:t>
            </w:r>
            <w:r>
              <w:rPr>
                <w:rFonts w:hint="eastAsia" w:eastAsiaTheme="minorEastAsia"/>
                <w:color w:val="auto"/>
                <w:highlight w:val="none"/>
                <w:lang w:val="en-US" w:eastAsia="zh-CN"/>
              </w:rPr>
              <w:t>7</w:t>
            </w:r>
            <w:r>
              <w:rPr>
                <w:rFonts w:hint="default" w:eastAsiaTheme="minorEastAsia"/>
                <w:color w:val="auto"/>
                <w:highlight w:val="none"/>
              </w:rPr>
              <w:t>-201</w:t>
            </w:r>
            <w:r>
              <w:rPr>
                <w:rFonts w:hint="eastAsia" w:eastAsiaTheme="minorEastAsia"/>
                <w:color w:val="auto"/>
                <w:highlight w:val="none"/>
                <w:lang w:val="en-US" w:eastAsia="zh-CN"/>
              </w:rPr>
              <w:t>9</w:t>
            </w:r>
            <w:r>
              <w:rPr>
                <w:rFonts w:hint="default" w:eastAsiaTheme="minorEastAsia"/>
                <w:color w:val="auto"/>
                <w:highlight w:val="none"/>
              </w:rPr>
              <w:t>）表</w:t>
            </w:r>
            <w:r>
              <w:rPr>
                <w:rFonts w:hint="eastAsia" w:eastAsiaTheme="minorEastAsia"/>
                <w:color w:val="auto"/>
                <w:highlight w:val="none"/>
                <w:lang w:val="en-US" w:eastAsia="zh-CN"/>
              </w:rPr>
              <w:t>2、表3</w:t>
            </w:r>
            <w:r>
              <w:rPr>
                <w:rFonts w:hint="default" w:eastAsiaTheme="minorEastAsia"/>
                <w:color w:val="auto"/>
                <w:highlight w:val="none"/>
              </w:rPr>
              <w:t>厂界监控点浓度限值</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highlight w:val="none"/>
              </w:rPr>
              <w:t>VOCs</w:t>
            </w:r>
            <w:r>
              <w:rPr>
                <w:rFonts w:hint="eastAsia" w:ascii="Times New Roman" w:hAnsi="Times New Roman" w:eastAsia="宋体" w:cs="Times New Roman"/>
                <w:color w:val="auto"/>
                <w:szCs w:val="21"/>
                <w:highlight w:val="none"/>
                <w:lang w:val="en-US" w:eastAsia="zh-CN"/>
              </w:rPr>
              <w:t>2.0</w:t>
            </w: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r>
              <w:rPr>
                <w:rFonts w:hint="eastAsia" w:ascii="Times New Roman" w:hAnsi="Times New Roman" w:eastAsia="宋体" w:cs="Times New Roman"/>
                <w:color w:val="auto"/>
                <w:szCs w:val="21"/>
                <w:highlight w:val="none"/>
                <w:lang w:eastAsia="zh-CN"/>
              </w:rPr>
              <w:t>、</w:t>
            </w:r>
            <w:r>
              <w:rPr>
                <w:rFonts w:hint="eastAsia" w:cs="Times New Roman"/>
                <w:color w:val="auto"/>
                <w:highlight w:val="none"/>
                <w:lang w:val="en-US" w:eastAsia="zh-CN"/>
              </w:rPr>
              <w:t>甲醛</w:t>
            </w:r>
            <w:r>
              <w:rPr>
                <w:rFonts w:hint="eastAsia" w:ascii="Times New Roman" w:hAnsi="Times New Roman" w:eastAsia="宋体" w:cs="Times New Roman"/>
                <w:color w:val="auto"/>
                <w:szCs w:val="21"/>
                <w:highlight w:val="none"/>
                <w:lang w:val="en-US" w:eastAsia="zh-CN"/>
              </w:rPr>
              <w:t>0.05</w:t>
            </w: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）；厂区内无组织VOCs（以非甲烷总烃表征）</w:t>
            </w:r>
            <w:r>
              <w:rPr>
                <w:rFonts w:hint="eastAsia" w:ascii="Times New Roman" w:hAnsi="Times New Roman" w:eastAsia="宋体" w:cs="Times New Roman"/>
                <w:color w:val="auto"/>
                <w:szCs w:val="21"/>
                <w:highlight w:val="none"/>
                <w:lang w:val="en-US" w:eastAsia="zh-CN"/>
              </w:rPr>
              <w:t>满足</w:t>
            </w:r>
            <w:r>
              <w:rPr>
                <w:rFonts w:hint="default" w:ascii="Times New Roman" w:hAnsi="Times New Roman" w:eastAsia="宋体" w:cs="Times New Roman"/>
                <w:color w:val="auto"/>
                <w:highlight w:val="none"/>
              </w:rPr>
              <w:t>《挥发性有机物无组织排放控制标准》</w:t>
            </w:r>
            <w:r>
              <w:rPr>
                <w:rFonts w:hint="default" w:ascii="Times New Roman" w:hAnsi="Times New Roman" w:eastAsia="宋体" w:cs="Times New Roman"/>
                <w:color w:val="auto"/>
                <w:sz w:val="21"/>
                <w:szCs w:val="21"/>
                <w:highlight w:val="none"/>
              </w:rPr>
              <w:t>（GB37822-2019）附录A中表A.1厂区内无组织排放限值</w:t>
            </w:r>
            <w:r>
              <w:rPr>
                <w:rFonts w:hint="eastAsia" w:cs="Times New Roman"/>
                <w:color w:val="auto"/>
                <w:sz w:val="21"/>
                <w:szCs w:val="21"/>
                <w:highlight w:val="none"/>
                <w:lang w:eastAsia="zh-CN"/>
              </w:rPr>
              <w:t>。</w:t>
            </w:r>
          </w:p>
          <w:p w14:paraId="66780291">
            <w:pPr>
              <w:widowControl/>
              <w:adjustRightInd w:val="0"/>
              <w:snapToGrid w:val="0"/>
              <w:spacing w:line="360" w:lineRule="auto"/>
              <w:ind w:firstLine="420" w:firstLineChars="200"/>
              <w:rPr>
                <w:rFonts w:hint="eastAsia" w:eastAsia="宋体"/>
                <w:color w:val="auto"/>
                <w:highlight w:val="none"/>
                <w:lang w:eastAsia="zh-CN"/>
              </w:rPr>
            </w:pPr>
            <w:r>
              <w:rPr>
                <w:rFonts w:hint="default" w:ascii="Times New Roman" w:hAnsi="Times New Roman" w:cs="Times New Roman"/>
                <w:color w:val="auto"/>
                <w:sz w:val="21"/>
                <w:szCs w:val="21"/>
                <w:highlight w:val="none"/>
              </w:rPr>
              <w:t>经上文分析，本项目废气经过治理后有组织废气和无组织废气均能达标排放，污染物最大落地浓度较小，均满足相应的环境质量标准，在落实污染物治理方案后和总量倍量替代后，对大气环境影响较小</w:t>
            </w:r>
            <w:r>
              <w:rPr>
                <w:rFonts w:hint="eastAsia" w:ascii="Times New Roman" w:hAnsi="Times New Roman" w:eastAsia="宋体" w:cs="Times New Roman"/>
                <w:color w:val="auto"/>
                <w:highlight w:val="none"/>
                <w:lang w:eastAsia="zh-CN"/>
              </w:rPr>
              <w:t>。</w:t>
            </w:r>
          </w:p>
          <w:p w14:paraId="5AB7E601">
            <w:pPr>
              <w:tabs>
                <w:tab w:val="left" w:pos="1800"/>
              </w:tabs>
              <w:adjustRightInd w:val="0"/>
              <w:snapToGrid w:val="0"/>
              <w:spacing w:line="360" w:lineRule="auto"/>
              <w:ind w:firstLine="422" w:firstLineChars="200"/>
              <w:rPr>
                <w:b/>
                <w:bCs/>
                <w:color w:val="auto"/>
                <w:kern w:val="24"/>
                <w:highlight w:val="none"/>
              </w:rPr>
            </w:pPr>
            <w:r>
              <w:rPr>
                <w:b/>
                <w:bCs/>
                <w:color w:val="auto"/>
                <w:kern w:val="24"/>
                <w:highlight w:val="none"/>
              </w:rPr>
              <w:t>二、废水</w:t>
            </w:r>
          </w:p>
          <w:p w14:paraId="61B236EE">
            <w:pPr>
              <w:adjustRightInd w:val="0"/>
              <w:snapToGrid w:val="0"/>
              <w:spacing w:line="360" w:lineRule="auto"/>
              <w:ind w:firstLine="420" w:firstLineChars="200"/>
              <w:rPr>
                <w:color w:val="auto"/>
              </w:rPr>
            </w:pPr>
            <w:r>
              <w:rPr>
                <w:color w:val="auto"/>
                <w:kern w:val="24"/>
                <w:highlight w:val="none"/>
              </w:rPr>
              <w:t>本项目废水主要为</w:t>
            </w:r>
            <w:r>
              <w:rPr>
                <w:color w:val="auto"/>
                <w:highlight w:val="none"/>
              </w:rPr>
              <w:t>职工生活污水，</w:t>
            </w:r>
            <w:r>
              <w:rPr>
                <w:color w:val="auto"/>
                <w:highlight w:val="none"/>
                <w:lang w:val="de-DE"/>
              </w:rPr>
              <w:t>生活污水</w:t>
            </w:r>
            <w:r>
              <w:rPr>
                <w:color w:val="auto"/>
                <w:lang w:val="de-DE"/>
              </w:rPr>
              <w:t>经</w:t>
            </w:r>
            <w:r>
              <w:rPr>
                <w:color w:val="auto"/>
              </w:rPr>
              <w:t>化粪池预处理后由环卫部门进行清运。</w:t>
            </w:r>
            <w:r>
              <w:rPr>
                <w:color w:val="auto"/>
                <w:kern w:val="24"/>
                <w:lang w:bidi="ar"/>
              </w:rPr>
              <w:t>项目生活污水产生量按生活用水量</w:t>
            </w:r>
            <w:r>
              <w:rPr>
                <w:color w:val="auto"/>
              </w:rPr>
              <w:t>80%计</w:t>
            </w:r>
            <w:r>
              <w:rPr>
                <w:color w:val="auto"/>
                <w:kern w:val="24"/>
                <w:lang w:bidi="ar"/>
              </w:rPr>
              <w:t>算，</w:t>
            </w:r>
            <w:r>
              <w:rPr>
                <w:color w:val="auto"/>
              </w:rPr>
              <w:t>则生活污水量为</w:t>
            </w:r>
            <w:r>
              <w:rPr>
                <w:rFonts w:hint="eastAsia"/>
                <w:color w:val="auto"/>
                <w:lang w:val="en-US" w:eastAsia="zh-CN"/>
              </w:rPr>
              <w:t>144</w:t>
            </w:r>
            <w:r>
              <w:rPr>
                <w:color w:val="auto"/>
              </w:rPr>
              <w:t>m</w:t>
            </w:r>
            <w:r>
              <w:rPr>
                <w:color w:val="auto"/>
                <w:vertAlign w:val="superscript"/>
              </w:rPr>
              <w:t>3</w:t>
            </w:r>
            <w:r>
              <w:rPr>
                <w:color w:val="auto"/>
              </w:rPr>
              <w:t>/a，主要污染因子为COD、BOD</w:t>
            </w:r>
            <w:r>
              <w:rPr>
                <w:color w:val="auto"/>
                <w:vertAlign w:val="subscript"/>
              </w:rPr>
              <w:t>5</w:t>
            </w:r>
            <w:r>
              <w:rPr>
                <w:color w:val="auto"/>
              </w:rPr>
              <w:t>、NH</w:t>
            </w:r>
            <w:r>
              <w:rPr>
                <w:color w:val="auto"/>
                <w:vertAlign w:val="subscript"/>
              </w:rPr>
              <w:t>3</w:t>
            </w:r>
            <w:r>
              <w:rPr>
                <w:color w:val="auto"/>
              </w:rPr>
              <w:t>-N、SS等。类比可知，生活污水水质COD：350mg/L、BOD</w:t>
            </w:r>
            <w:r>
              <w:rPr>
                <w:color w:val="auto"/>
                <w:vertAlign w:val="subscript"/>
              </w:rPr>
              <w:t>5</w:t>
            </w:r>
            <w:r>
              <w:rPr>
                <w:color w:val="auto"/>
              </w:rPr>
              <w:t>：250 mg/L、SS：300 mg/L、氨氮：30 mg/L，化粪池对COD、BOD</w:t>
            </w:r>
            <w:r>
              <w:rPr>
                <w:color w:val="auto"/>
                <w:vertAlign w:val="subscript"/>
              </w:rPr>
              <w:t>5</w:t>
            </w:r>
            <w:r>
              <w:rPr>
                <w:color w:val="auto"/>
              </w:rPr>
              <w:t>、SS、氨氮的去除率为15%、9%、30%、3%。</w:t>
            </w:r>
            <w:r>
              <w:rPr>
                <w:snapToGrid w:val="0"/>
                <w:color w:val="auto"/>
                <w:kern w:val="0"/>
              </w:rPr>
              <w:t>废水污染物主要指标见表4-</w:t>
            </w:r>
            <w:r>
              <w:rPr>
                <w:rFonts w:hint="eastAsia"/>
                <w:snapToGrid w:val="0"/>
                <w:color w:val="auto"/>
                <w:kern w:val="0"/>
                <w:lang w:val="en-US" w:eastAsia="zh-CN"/>
              </w:rPr>
              <w:t>7</w:t>
            </w:r>
            <w:r>
              <w:rPr>
                <w:color w:val="auto"/>
              </w:rPr>
              <w:t>。</w:t>
            </w:r>
          </w:p>
          <w:p w14:paraId="09EB8704">
            <w:pPr>
              <w:adjustRightInd w:val="0"/>
              <w:snapToGrid w:val="0"/>
              <w:spacing w:line="360" w:lineRule="auto"/>
              <w:jc w:val="center"/>
              <w:rPr>
                <w:b/>
                <w:color w:val="auto"/>
              </w:rPr>
            </w:pPr>
            <w:r>
              <w:rPr>
                <w:b/>
                <w:color w:val="auto"/>
              </w:rPr>
              <w:t>表4-</w:t>
            </w:r>
            <w:r>
              <w:rPr>
                <w:rFonts w:hint="eastAsia"/>
                <w:b/>
                <w:color w:val="auto"/>
                <w:lang w:val="en-US" w:eastAsia="zh-CN"/>
              </w:rPr>
              <w:t>7生活污水</w:t>
            </w:r>
            <w:r>
              <w:rPr>
                <w:b/>
                <w:color w:val="auto"/>
              </w:rPr>
              <w:t>污染物产生、排放情况一览表</w:t>
            </w:r>
          </w:p>
          <w:tbl>
            <w:tblPr>
              <w:tblStyle w:val="83"/>
              <w:tblW w:w="5000" w:type="pct"/>
              <w:jc w:val="center"/>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fixed"/>
              <w:tblCellMar>
                <w:top w:w="0" w:type="dxa"/>
                <w:left w:w="0" w:type="dxa"/>
                <w:bottom w:w="0" w:type="dxa"/>
                <w:right w:w="0" w:type="dxa"/>
              </w:tblCellMar>
            </w:tblPr>
            <w:tblGrid>
              <w:gridCol w:w="1279"/>
              <w:gridCol w:w="1811"/>
              <w:gridCol w:w="1836"/>
              <w:gridCol w:w="1648"/>
              <w:gridCol w:w="1789"/>
            </w:tblGrid>
            <w:tr w14:paraId="0C14D9CD">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7DB4212C">
                  <w:pPr>
                    <w:widowControl/>
                    <w:jc w:val="center"/>
                    <w:rPr>
                      <w:b/>
                      <w:caps/>
                      <w:color w:val="auto"/>
                      <w:sz w:val="18"/>
                      <w:szCs w:val="18"/>
                    </w:rPr>
                  </w:pPr>
                  <w:r>
                    <w:rPr>
                      <w:b/>
                      <w:caps/>
                      <w:color w:val="auto"/>
                      <w:sz w:val="18"/>
                      <w:szCs w:val="18"/>
                    </w:rPr>
                    <w:t>污染物</w:t>
                  </w:r>
                </w:p>
              </w:tc>
              <w:tc>
                <w:tcPr>
                  <w:tcW w:w="1766" w:type="dxa"/>
                  <w:tcBorders>
                    <w:top w:val="single" w:color="000000" w:sz="6" w:space="0"/>
                    <w:left w:val="single" w:color="000000" w:sz="6" w:space="0"/>
                    <w:bottom w:val="single" w:color="000000" w:sz="6" w:space="0"/>
                    <w:right w:val="single" w:color="000000" w:sz="6" w:space="0"/>
                  </w:tcBorders>
                  <w:vAlign w:val="center"/>
                </w:tcPr>
                <w:p w14:paraId="53F72058">
                  <w:pPr>
                    <w:widowControl/>
                    <w:jc w:val="center"/>
                    <w:rPr>
                      <w:b/>
                      <w:caps/>
                      <w:color w:val="auto"/>
                      <w:sz w:val="18"/>
                      <w:szCs w:val="18"/>
                    </w:rPr>
                  </w:pPr>
                  <w:r>
                    <w:rPr>
                      <w:b/>
                      <w:caps/>
                      <w:color w:val="auto"/>
                      <w:sz w:val="18"/>
                      <w:szCs w:val="18"/>
                    </w:rPr>
                    <w:t>产生浓度（</w:t>
                  </w:r>
                  <w:r>
                    <w:rPr>
                      <w:b/>
                      <w:color w:val="auto"/>
                      <w:sz w:val="18"/>
                      <w:szCs w:val="18"/>
                    </w:rPr>
                    <w:t>mg/L</w:t>
                  </w:r>
                  <w:r>
                    <w:rPr>
                      <w:b/>
                      <w:caps/>
                      <w:color w:val="auto"/>
                      <w:sz w:val="18"/>
                      <w:szCs w:val="18"/>
                    </w:rPr>
                    <w:t>）</w:t>
                  </w:r>
                </w:p>
              </w:tc>
              <w:tc>
                <w:tcPr>
                  <w:tcW w:w="1790" w:type="dxa"/>
                  <w:tcBorders>
                    <w:top w:val="single" w:color="000000" w:sz="6" w:space="0"/>
                    <w:left w:val="single" w:color="000000" w:sz="6" w:space="0"/>
                    <w:bottom w:val="single" w:color="000000" w:sz="6" w:space="0"/>
                    <w:right w:val="single" w:color="000000" w:sz="6" w:space="0"/>
                  </w:tcBorders>
                  <w:vAlign w:val="center"/>
                </w:tcPr>
                <w:p w14:paraId="7DB3C644">
                  <w:pPr>
                    <w:widowControl/>
                    <w:jc w:val="center"/>
                    <w:rPr>
                      <w:b/>
                      <w:caps/>
                      <w:color w:val="auto"/>
                      <w:sz w:val="18"/>
                      <w:szCs w:val="18"/>
                    </w:rPr>
                  </w:pPr>
                  <w:r>
                    <w:rPr>
                      <w:b/>
                      <w:caps/>
                      <w:color w:val="auto"/>
                      <w:sz w:val="18"/>
                      <w:szCs w:val="18"/>
                    </w:rPr>
                    <w:t>产生量（</w:t>
                  </w:r>
                  <w:r>
                    <w:rPr>
                      <w:b/>
                      <w:color w:val="auto"/>
                      <w:sz w:val="18"/>
                    </w:rPr>
                    <w:t>t/a</w:t>
                  </w:r>
                  <w:r>
                    <w:rPr>
                      <w:b/>
                      <w:caps/>
                      <w:color w:val="auto"/>
                      <w:sz w:val="18"/>
                      <w:szCs w:val="18"/>
                    </w:rPr>
                    <w:t>）</w:t>
                  </w:r>
                </w:p>
              </w:tc>
              <w:tc>
                <w:tcPr>
                  <w:tcW w:w="1607" w:type="dxa"/>
                  <w:tcBorders>
                    <w:top w:val="single" w:color="000000" w:sz="6" w:space="0"/>
                    <w:left w:val="single" w:color="000000" w:sz="6" w:space="0"/>
                    <w:bottom w:val="single" w:color="000000" w:sz="6" w:space="0"/>
                    <w:right w:val="single" w:color="auto" w:sz="4" w:space="0"/>
                  </w:tcBorders>
                  <w:vAlign w:val="center"/>
                </w:tcPr>
                <w:p w14:paraId="2DBC3445">
                  <w:pPr>
                    <w:widowControl/>
                    <w:jc w:val="center"/>
                    <w:rPr>
                      <w:b/>
                      <w:caps/>
                      <w:color w:val="auto"/>
                      <w:sz w:val="18"/>
                      <w:szCs w:val="18"/>
                    </w:rPr>
                  </w:pPr>
                  <w:r>
                    <w:rPr>
                      <w:b/>
                      <w:caps/>
                      <w:color w:val="auto"/>
                      <w:sz w:val="18"/>
                      <w:szCs w:val="18"/>
                    </w:rPr>
                    <w:t>排放浓度（</w:t>
                  </w:r>
                  <w:r>
                    <w:rPr>
                      <w:b/>
                      <w:color w:val="auto"/>
                      <w:sz w:val="18"/>
                      <w:szCs w:val="18"/>
                    </w:rPr>
                    <w:t>mg/L</w:t>
                  </w:r>
                  <w:r>
                    <w:rPr>
                      <w:b/>
                      <w:caps/>
                      <w:color w:val="auto"/>
                      <w:sz w:val="18"/>
                      <w:szCs w:val="18"/>
                    </w:rPr>
                    <w:t>）</w:t>
                  </w:r>
                </w:p>
              </w:tc>
              <w:tc>
                <w:tcPr>
                  <w:tcW w:w="1744" w:type="dxa"/>
                  <w:tcBorders>
                    <w:top w:val="single" w:color="000000" w:sz="6" w:space="0"/>
                    <w:left w:val="single" w:color="auto" w:sz="4" w:space="0"/>
                    <w:bottom w:val="single" w:color="000000" w:sz="6" w:space="0"/>
                    <w:right w:val="single" w:color="000000" w:sz="6" w:space="0"/>
                  </w:tcBorders>
                  <w:vAlign w:val="center"/>
                </w:tcPr>
                <w:p w14:paraId="1A261D03">
                  <w:pPr>
                    <w:jc w:val="center"/>
                    <w:rPr>
                      <w:b/>
                      <w:caps/>
                      <w:color w:val="auto"/>
                      <w:sz w:val="18"/>
                      <w:szCs w:val="18"/>
                    </w:rPr>
                  </w:pPr>
                  <w:r>
                    <w:rPr>
                      <w:b/>
                      <w:caps/>
                      <w:color w:val="auto"/>
                      <w:sz w:val="18"/>
                      <w:szCs w:val="18"/>
                    </w:rPr>
                    <w:t>排放量（</w:t>
                  </w:r>
                  <w:r>
                    <w:rPr>
                      <w:b/>
                      <w:color w:val="auto"/>
                      <w:sz w:val="18"/>
                    </w:rPr>
                    <w:t>t/a</w:t>
                  </w:r>
                  <w:r>
                    <w:rPr>
                      <w:b/>
                      <w:caps/>
                      <w:color w:val="auto"/>
                      <w:sz w:val="18"/>
                      <w:szCs w:val="18"/>
                    </w:rPr>
                    <w:t>）</w:t>
                  </w:r>
                </w:p>
              </w:tc>
            </w:tr>
            <w:tr w14:paraId="341402B6">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8154" w:type="dxa"/>
                  <w:gridSpan w:val="5"/>
                  <w:tcBorders>
                    <w:top w:val="single" w:color="000000" w:sz="6" w:space="0"/>
                    <w:left w:val="single" w:color="000000" w:sz="6" w:space="0"/>
                    <w:bottom w:val="single" w:color="000000" w:sz="6" w:space="0"/>
                    <w:right w:val="single" w:color="000000" w:sz="6" w:space="0"/>
                  </w:tcBorders>
                  <w:vAlign w:val="center"/>
                </w:tcPr>
                <w:p w14:paraId="0D7DD4FC">
                  <w:pPr>
                    <w:jc w:val="center"/>
                    <w:rPr>
                      <w:color w:val="auto"/>
                      <w:sz w:val="18"/>
                      <w:szCs w:val="18"/>
                    </w:rPr>
                  </w:pPr>
                  <w:r>
                    <w:rPr>
                      <w:color w:val="auto"/>
                      <w:sz w:val="18"/>
                      <w:szCs w:val="18"/>
                    </w:rPr>
                    <w:t>生活污水量</w:t>
                  </w:r>
                  <w:r>
                    <w:rPr>
                      <w:rFonts w:hint="eastAsia"/>
                      <w:color w:val="auto"/>
                      <w:sz w:val="18"/>
                      <w:szCs w:val="18"/>
                      <w:lang w:val="en-US" w:eastAsia="zh-CN"/>
                    </w:rPr>
                    <w:t>144</w:t>
                  </w:r>
                  <w:r>
                    <w:rPr>
                      <w:bCs/>
                      <w:color w:val="auto"/>
                      <w:sz w:val="18"/>
                      <w:szCs w:val="18"/>
                    </w:rPr>
                    <w:t>m</w:t>
                  </w:r>
                  <w:r>
                    <w:rPr>
                      <w:bCs/>
                      <w:color w:val="auto"/>
                      <w:sz w:val="18"/>
                      <w:szCs w:val="18"/>
                      <w:vertAlign w:val="superscript"/>
                    </w:rPr>
                    <w:t>3</w:t>
                  </w:r>
                  <w:r>
                    <w:rPr>
                      <w:bCs/>
                      <w:color w:val="auto"/>
                      <w:sz w:val="18"/>
                      <w:szCs w:val="18"/>
                    </w:rPr>
                    <w:t>/a</w:t>
                  </w:r>
                  <w:r>
                    <w:rPr>
                      <w:color w:val="auto"/>
                      <w:sz w:val="18"/>
                      <w:szCs w:val="18"/>
                    </w:rPr>
                    <w:t xml:space="preserve"> </w:t>
                  </w:r>
                </w:p>
              </w:tc>
            </w:tr>
            <w:tr w14:paraId="5FE7C03A">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25C899C5">
                  <w:pPr>
                    <w:jc w:val="center"/>
                    <w:rPr>
                      <w:color w:val="auto"/>
                      <w:sz w:val="18"/>
                      <w:szCs w:val="18"/>
                    </w:rPr>
                  </w:pPr>
                  <w:r>
                    <w:rPr>
                      <w:color w:val="auto"/>
                      <w:sz w:val="18"/>
                      <w:szCs w:val="18"/>
                    </w:rPr>
                    <w:t>COD</w:t>
                  </w:r>
                </w:p>
              </w:tc>
              <w:tc>
                <w:tcPr>
                  <w:tcW w:w="1766" w:type="dxa"/>
                  <w:tcBorders>
                    <w:top w:val="single" w:color="000000" w:sz="6" w:space="0"/>
                    <w:left w:val="single" w:color="000000" w:sz="6" w:space="0"/>
                    <w:bottom w:val="single" w:color="000000" w:sz="6" w:space="0"/>
                    <w:right w:val="single" w:color="000000" w:sz="6" w:space="0"/>
                  </w:tcBorders>
                  <w:vAlign w:val="center"/>
                </w:tcPr>
                <w:p w14:paraId="2719C58C">
                  <w:pPr>
                    <w:jc w:val="center"/>
                    <w:rPr>
                      <w:color w:val="auto"/>
                      <w:sz w:val="18"/>
                      <w:szCs w:val="18"/>
                    </w:rPr>
                  </w:pPr>
                  <w:r>
                    <w:rPr>
                      <w:color w:val="auto"/>
                      <w:sz w:val="18"/>
                      <w:szCs w:val="18"/>
                    </w:rPr>
                    <w:t>350</w:t>
                  </w:r>
                </w:p>
              </w:tc>
              <w:tc>
                <w:tcPr>
                  <w:tcW w:w="1790" w:type="dxa"/>
                  <w:tcBorders>
                    <w:top w:val="single" w:color="000000" w:sz="6" w:space="0"/>
                    <w:left w:val="single" w:color="000000" w:sz="6" w:space="0"/>
                    <w:bottom w:val="single" w:color="000000" w:sz="6" w:space="0"/>
                    <w:right w:val="single" w:color="000000" w:sz="6" w:space="0"/>
                  </w:tcBorders>
                  <w:vAlign w:val="center"/>
                </w:tcPr>
                <w:p w14:paraId="2184E6C8">
                  <w:pPr>
                    <w:widowControl/>
                    <w:jc w:val="center"/>
                    <w:textAlignment w:val="bottom"/>
                    <w:rPr>
                      <w:rFonts w:hint="default" w:eastAsia="宋体"/>
                      <w:color w:val="auto"/>
                      <w:sz w:val="18"/>
                      <w:szCs w:val="18"/>
                      <w:lang w:val="en-US" w:eastAsia="zh-CN"/>
                    </w:rPr>
                  </w:pPr>
                  <w:r>
                    <w:rPr>
                      <w:rFonts w:hint="eastAsia"/>
                      <w:color w:val="auto"/>
                      <w:sz w:val="18"/>
                      <w:szCs w:val="18"/>
                      <w:lang w:val="en-US" w:eastAsia="zh-CN"/>
                    </w:rPr>
                    <w:t>0.0504</w:t>
                  </w:r>
                </w:p>
              </w:tc>
              <w:tc>
                <w:tcPr>
                  <w:tcW w:w="1607" w:type="dxa"/>
                  <w:tcBorders>
                    <w:top w:val="single" w:color="000000" w:sz="6" w:space="0"/>
                    <w:left w:val="single" w:color="000000" w:sz="6" w:space="0"/>
                    <w:bottom w:val="single" w:color="000000" w:sz="6" w:space="0"/>
                    <w:right w:val="single" w:color="auto" w:sz="4" w:space="0"/>
                  </w:tcBorders>
                  <w:vAlign w:val="center"/>
                </w:tcPr>
                <w:p w14:paraId="3D014F09">
                  <w:pPr>
                    <w:jc w:val="center"/>
                    <w:rPr>
                      <w:color w:val="auto"/>
                      <w:sz w:val="18"/>
                      <w:szCs w:val="18"/>
                    </w:rPr>
                  </w:pPr>
                  <w:r>
                    <w:rPr>
                      <w:color w:val="auto"/>
                      <w:sz w:val="18"/>
                      <w:szCs w:val="18"/>
                    </w:rPr>
                    <w:t>298</w:t>
                  </w:r>
                </w:p>
              </w:tc>
              <w:tc>
                <w:tcPr>
                  <w:tcW w:w="1744" w:type="dxa"/>
                  <w:tcBorders>
                    <w:top w:val="single" w:color="000000" w:sz="6" w:space="0"/>
                    <w:left w:val="single" w:color="auto" w:sz="4" w:space="0"/>
                    <w:bottom w:val="single" w:color="000000" w:sz="6" w:space="0"/>
                    <w:right w:val="single" w:color="000000" w:sz="6" w:space="0"/>
                  </w:tcBorders>
                  <w:vAlign w:val="center"/>
                </w:tcPr>
                <w:p w14:paraId="314DBC05">
                  <w:pPr>
                    <w:widowControl/>
                    <w:jc w:val="center"/>
                    <w:textAlignment w:val="bottom"/>
                    <w:rPr>
                      <w:rFonts w:hint="default" w:eastAsia="宋体"/>
                      <w:color w:val="auto"/>
                      <w:sz w:val="18"/>
                      <w:szCs w:val="18"/>
                      <w:lang w:val="en-US" w:eastAsia="zh-CN"/>
                    </w:rPr>
                  </w:pPr>
                  <w:r>
                    <w:rPr>
                      <w:rFonts w:hint="eastAsia"/>
                      <w:color w:val="auto"/>
                      <w:sz w:val="18"/>
                      <w:szCs w:val="18"/>
                      <w:lang w:val="en-US" w:eastAsia="zh-CN"/>
                    </w:rPr>
                    <w:t>0.0429</w:t>
                  </w:r>
                </w:p>
              </w:tc>
            </w:tr>
            <w:tr w14:paraId="101C11EC">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292"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310733D7">
                  <w:pPr>
                    <w:jc w:val="center"/>
                    <w:rPr>
                      <w:color w:val="auto"/>
                      <w:sz w:val="18"/>
                      <w:szCs w:val="18"/>
                    </w:rPr>
                  </w:pPr>
                  <w:r>
                    <w:rPr>
                      <w:color w:val="auto"/>
                      <w:sz w:val="18"/>
                      <w:szCs w:val="18"/>
                    </w:rPr>
                    <w:t>BOD</w:t>
                  </w:r>
                  <w:r>
                    <w:rPr>
                      <w:color w:val="auto"/>
                      <w:sz w:val="18"/>
                      <w:szCs w:val="18"/>
                      <w:vertAlign w:val="subscript"/>
                    </w:rPr>
                    <w:t>5</w:t>
                  </w:r>
                </w:p>
              </w:tc>
              <w:tc>
                <w:tcPr>
                  <w:tcW w:w="1766" w:type="dxa"/>
                  <w:tcBorders>
                    <w:top w:val="single" w:color="000000" w:sz="6" w:space="0"/>
                    <w:left w:val="single" w:color="000000" w:sz="6" w:space="0"/>
                    <w:bottom w:val="single" w:color="000000" w:sz="6" w:space="0"/>
                    <w:right w:val="single" w:color="000000" w:sz="6" w:space="0"/>
                  </w:tcBorders>
                  <w:vAlign w:val="center"/>
                </w:tcPr>
                <w:p w14:paraId="73FF0316">
                  <w:pPr>
                    <w:jc w:val="center"/>
                    <w:rPr>
                      <w:color w:val="auto"/>
                      <w:sz w:val="18"/>
                      <w:szCs w:val="18"/>
                    </w:rPr>
                  </w:pPr>
                  <w:r>
                    <w:rPr>
                      <w:color w:val="auto"/>
                      <w:sz w:val="18"/>
                      <w:szCs w:val="18"/>
                    </w:rPr>
                    <w:t>250</w:t>
                  </w:r>
                </w:p>
              </w:tc>
              <w:tc>
                <w:tcPr>
                  <w:tcW w:w="1790" w:type="dxa"/>
                  <w:tcBorders>
                    <w:top w:val="single" w:color="000000" w:sz="6" w:space="0"/>
                    <w:left w:val="single" w:color="000000" w:sz="6" w:space="0"/>
                    <w:bottom w:val="single" w:color="000000" w:sz="6" w:space="0"/>
                    <w:right w:val="single" w:color="000000" w:sz="6" w:space="0"/>
                  </w:tcBorders>
                  <w:vAlign w:val="center"/>
                </w:tcPr>
                <w:p w14:paraId="59FAD5D4">
                  <w:pPr>
                    <w:widowControl/>
                    <w:jc w:val="center"/>
                    <w:textAlignment w:val="bottom"/>
                    <w:rPr>
                      <w:rFonts w:hint="default" w:eastAsia="宋体"/>
                      <w:color w:val="auto"/>
                      <w:sz w:val="18"/>
                      <w:szCs w:val="18"/>
                      <w:lang w:val="en-US" w:eastAsia="zh-CN"/>
                    </w:rPr>
                  </w:pPr>
                  <w:r>
                    <w:rPr>
                      <w:rFonts w:hint="eastAsia"/>
                      <w:color w:val="auto"/>
                      <w:sz w:val="18"/>
                      <w:szCs w:val="18"/>
                      <w:lang w:val="en-US" w:eastAsia="zh-CN"/>
                    </w:rPr>
                    <w:t>0.036</w:t>
                  </w:r>
                </w:p>
              </w:tc>
              <w:tc>
                <w:tcPr>
                  <w:tcW w:w="1607" w:type="dxa"/>
                  <w:tcBorders>
                    <w:top w:val="single" w:color="000000" w:sz="6" w:space="0"/>
                    <w:left w:val="single" w:color="000000" w:sz="6" w:space="0"/>
                    <w:bottom w:val="single" w:color="000000" w:sz="6" w:space="0"/>
                    <w:right w:val="single" w:color="auto" w:sz="4" w:space="0"/>
                  </w:tcBorders>
                  <w:vAlign w:val="center"/>
                </w:tcPr>
                <w:p w14:paraId="742C6A66">
                  <w:pPr>
                    <w:jc w:val="center"/>
                    <w:rPr>
                      <w:color w:val="auto"/>
                      <w:sz w:val="18"/>
                      <w:szCs w:val="18"/>
                    </w:rPr>
                  </w:pPr>
                  <w:r>
                    <w:rPr>
                      <w:color w:val="auto"/>
                      <w:sz w:val="18"/>
                      <w:szCs w:val="18"/>
                    </w:rPr>
                    <w:t>228</w:t>
                  </w:r>
                </w:p>
              </w:tc>
              <w:tc>
                <w:tcPr>
                  <w:tcW w:w="1744" w:type="dxa"/>
                  <w:tcBorders>
                    <w:top w:val="single" w:color="000000" w:sz="6" w:space="0"/>
                    <w:left w:val="single" w:color="auto" w:sz="4" w:space="0"/>
                    <w:bottom w:val="single" w:color="000000" w:sz="6" w:space="0"/>
                    <w:right w:val="single" w:color="000000" w:sz="6" w:space="0"/>
                  </w:tcBorders>
                  <w:vAlign w:val="center"/>
                </w:tcPr>
                <w:p w14:paraId="2231441E">
                  <w:pPr>
                    <w:widowControl/>
                    <w:jc w:val="center"/>
                    <w:textAlignment w:val="bottom"/>
                    <w:rPr>
                      <w:rFonts w:hint="default" w:eastAsia="宋体"/>
                      <w:color w:val="auto"/>
                      <w:sz w:val="18"/>
                      <w:szCs w:val="18"/>
                      <w:lang w:val="en-US" w:eastAsia="zh-CN"/>
                    </w:rPr>
                  </w:pPr>
                  <w:r>
                    <w:rPr>
                      <w:rFonts w:hint="eastAsia"/>
                      <w:color w:val="auto"/>
                      <w:sz w:val="18"/>
                      <w:szCs w:val="18"/>
                      <w:lang w:val="en-US" w:eastAsia="zh-CN"/>
                    </w:rPr>
                    <w:t>0.033</w:t>
                  </w:r>
                </w:p>
              </w:tc>
            </w:tr>
            <w:tr w14:paraId="1D3C96BC">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52003538">
                  <w:pPr>
                    <w:jc w:val="center"/>
                    <w:rPr>
                      <w:color w:val="auto"/>
                      <w:sz w:val="18"/>
                      <w:szCs w:val="18"/>
                    </w:rPr>
                  </w:pPr>
                  <w:r>
                    <w:rPr>
                      <w:color w:val="auto"/>
                      <w:sz w:val="18"/>
                      <w:szCs w:val="18"/>
                    </w:rPr>
                    <w:t>SS</w:t>
                  </w:r>
                </w:p>
              </w:tc>
              <w:tc>
                <w:tcPr>
                  <w:tcW w:w="1766" w:type="dxa"/>
                  <w:tcBorders>
                    <w:top w:val="single" w:color="000000" w:sz="6" w:space="0"/>
                    <w:left w:val="single" w:color="000000" w:sz="6" w:space="0"/>
                    <w:bottom w:val="single" w:color="000000" w:sz="6" w:space="0"/>
                    <w:right w:val="single" w:color="000000" w:sz="6" w:space="0"/>
                  </w:tcBorders>
                  <w:vAlign w:val="center"/>
                </w:tcPr>
                <w:p w14:paraId="3A44E43D">
                  <w:pPr>
                    <w:jc w:val="center"/>
                    <w:rPr>
                      <w:color w:val="auto"/>
                      <w:sz w:val="18"/>
                      <w:szCs w:val="18"/>
                    </w:rPr>
                  </w:pPr>
                  <w:r>
                    <w:rPr>
                      <w:color w:val="auto"/>
                      <w:sz w:val="18"/>
                      <w:szCs w:val="18"/>
                    </w:rPr>
                    <w:t>300</w:t>
                  </w:r>
                </w:p>
              </w:tc>
              <w:tc>
                <w:tcPr>
                  <w:tcW w:w="1790" w:type="dxa"/>
                  <w:tcBorders>
                    <w:top w:val="single" w:color="000000" w:sz="6" w:space="0"/>
                    <w:left w:val="single" w:color="000000" w:sz="6" w:space="0"/>
                    <w:bottom w:val="single" w:color="000000" w:sz="6" w:space="0"/>
                    <w:right w:val="single" w:color="000000" w:sz="6" w:space="0"/>
                  </w:tcBorders>
                  <w:vAlign w:val="center"/>
                </w:tcPr>
                <w:p w14:paraId="256ED062">
                  <w:pPr>
                    <w:widowControl/>
                    <w:jc w:val="center"/>
                    <w:textAlignment w:val="bottom"/>
                    <w:rPr>
                      <w:rFonts w:hint="default" w:eastAsia="宋体"/>
                      <w:color w:val="auto"/>
                      <w:sz w:val="18"/>
                      <w:szCs w:val="18"/>
                      <w:lang w:val="en-US" w:eastAsia="zh-CN"/>
                    </w:rPr>
                  </w:pPr>
                  <w:r>
                    <w:rPr>
                      <w:rFonts w:hint="eastAsia"/>
                      <w:color w:val="auto"/>
                      <w:sz w:val="18"/>
                      <w:szCs w:val="18"/>
                      <w:lang w:val="en-US" w:eastAsia="zh-CN"/>
                    </w:rPr>
                    <w:t>0.0432</w:t>
                  </w:r>
                </w:p>
              </w:tc>
              <w:tc>
                <w:tcPr>
                  <w:tcW w:w="1607" w:type="dxa"/>
                  <w:tcBorders>
                    <w:top w:val="single" w:color="000000" w:sz="6" w:space="0"/>
                    <w:left w:val="single" w:color="000000" w:sz="6" w:space="0"/>
                    <w:bottom w:val="single" w:color="000000" w:sz="6" w:space="0"/>
                    <w:right w:val="single" w:color="auto" w:sz="4" w:space="0"/>
                  </w:tcBorders>
                  <w:vAlign w:val="center"/>
                </w:tcPr>
                <w:p w14:paraId="53406149">
                  <w:pPr>
                    <w:jc w:val="center"/>
                    <w:rPr>
                      <w:color w:val="auto"/>
                      <w:sz w:val="18"/>
                      <w:szCs w:val="18"/>
                    </w:rPr>
                  </w:pPr>
                  <w:r>
                    <w:rPr>
                      <w:color w:val="auto"/>
                      <w:sz w:val="18"/>
                      <w:szCs w:val="18"/>
                    </w:rPr>
                    <w:t>212</w:t>
                  </w:r>
                </w:p>
              </w:tc>
              <w:tc>
                <w:tcPr>
                  <w:tcW w:w="1744" w:type="dxa"/>
                  <w:tcBorders>
                    <w:top w:val="single" w:color="000000" w:sz="6" w:space="0"/>
                    <w:left w:val="single" w:color="auto" w:sz="4" w:space="0"/>
                    <w:bottom w:val="single" w:color="000000" w:sz="6" w:space="0"/>
                    <w:right w:val="single" w:color="000000" w:sz="6" w:space="0"/>
                  </w:tcBorders>
                  <w:vAlign w:val="center"/>
                </w:tcPr>
                <w:p w14:paraId="4F617B27">
                  <w:pPr>
                    <w:widowControl/>
                    <w:jc w:val="center"/>
                    <w:textAlignment w:val="bottom"/>
                    <w:rPr>
                      <w:rFonts w:hint="default" w:eastAsia="宋体"/>
                      <w:color w:val="auto"/>
                      <w:sz w:val="18"/>
                      <w:szCs w:val="18"/>
                      <w:lang w:val="en-US" w:eastAsia="zh-CN"/>
                    </w:rPr>
                  </w:pPr>
                  <w:r>
                    <w:rPr>
                      <w:rFonts w:hint="eastAsia"/>
                      <w:color w:val="auto"/>
                      <w:sz w:val="18"/>
                      <w:szCs w:val="18"/>
                      <w:lang w:val="en-US" w:eastAsia="zh-CN"/>
                    </w:rPr>
                    <w:t>0.0305</w:t>
                  </w:r>
                </w:p>
              </w:tc>
            </w:tr>
            <w:tr w14:paraId="5110228F">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9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2F58EFCF">
                  <w:pPr>
                    <w:jc w:val="center"/>
                    <w:rPr>
                      <w:color w:val="auto"/>
                      <w:sz w:val="18"/>
                      <w:szCs w:val="18"/>
                    </w:rPr>
                  </w:pPr>
                  <w:r>
                    <w:rPr>
                      <w:color w:val="auto"/>
                      <w:sz w:val="18"/>
                      <w:szCs w:val="18"/>
                    </w:rPr>
                    <w:t>氨氮</w:t>
                  </w:r>
                </w:p>
              </w:tc>
              <w:tc>
                <w:tcPr>
                  <w:tcW w:w="1766" w:type="dxa"/>
                  <w:tcBorders>
                    <w:top w:val="single" w:color="000000" w:sz="6" w:space="0"/>
                    <w:left w:val="single" w:color="000000" w:sz="6" w:space="0"/>
                    <w:bottom w:val="single" w:color="000000" w:sz="6" w:space="0"/>
                    <w:right w:val="single" w:color="000000" w:sz="6" w:space="0"/>
                  </w:tcBorders>
                  <w:vAlign w:val="center"/>
                </w:tcPr>
                <w:p w14:paraId="6D385472">
                  <w:pPr>
                    <w:jc w:val="center"/>
                    <w:rPr>
                      <w:color w:val="auto"/>
                      <w:sz w:val="18"/>
                      <w:szCs w:val="18"/>
                    </w:rPr>
                  </w:pPr>
                  <w:r>
                    <w:rPr>
                      <w:color w:val="auto"/>
                      <w:sz w:val="18"/>
                      <w:szCs w:val="18"/>
                    </w:rPr>
                    <w:t>30</w:t>
                  </w:r>
                </w:p>
              </w:tc>
              <w:tc>
                <w:tcPr>
                  <w:tcW w:w="1790" w:type="dxa"/>
                  <w:tcBorders>
                    <w:top w:val="single" w:color="000000" w:sz="6" w:space="0"/>
                    <w:left w:val="single" w:color="000000" w:sz="6" w:space="0"/>
                    <w:bottom w:val="single" w:color="000000" w:sz="6" w:space="0"/>
                    <w:right w:val="single" w:color="000000" w:sz="6" w:space="0"/>
                  </w:tcBorders>
                  <w:vAlign w:val="center"/>
                </w:tcPr>
                <w:p w14:paraId="20D97D65">
                  <w:pPr>
                    <w:widowControl/>
                    <w:jc w:val="center"/>
                    <w:textAlignment w:val="bottom"/>
                    <w:rPr>
                      <w:rFonts w:hint="default" w:eastAsia="宋体"/>
                      <w:color w:val="auto"/>
                      <w:sz w:val="18"/>
                      <w:szCs w:val="18"/>
                      <w:lang w:val="en-US" w:eastAsia="zh-CN"/>
                    </w:rPr>
                  </w:pPr>
                  <w:r>
                    <w:rPr>
                      <w:rFonts w:hint="eastAsia"/>
                      <w:color w:val="auto"/>
                      <w:sz w:val="18"/>
                      <w:szCs w:val="18"/>
                      <w:lang w:val="en-US" w:eastAsia="zh-CN"/>
                    </w:rPr>
                    <w:t>0.00432</w:t>
                  </w:r>
                </w:p>
              </w:tc>
              <w:tc>
                <w:tcPr>
                  <w:tcW w:w="1607" w:type="dxa"/>
                  <w:tcBorders>
                    <w:top w:val="single" w:color="000000" w:sz="6" w:space="0"/>
                    <w:left w:val="single" w:color="000000" w:sz="6" w:space="0"/>
                    <w:bottom w:val="single" w:color="000000" w:sz="6" w:space="0"/>
                    <w:right w:val="single" w:color="auto" w:sz="4" w:space="0"/>
                  </w:tcBorders>
                  <w:vAlign w:val="center"/>
                </w:tcPr>
                <w:p w14:paraId="7A837B87">
                  <w:pPr>
                    <w:jc w:val="center"/>
                    <w:rPr>
                      <w:color w:val="auto"/>
                      <w:sz w:val="18"/>
                      <w:szCs w:val="18"/>
                    </w:rPr>
                  </w:pPr>
                  <w:r>
                    <w:rPr>
                      <w:color w:val="auto"/>
                      <w:sz w:val="18"/>
                      <w:szCs w:val="18"/>
                    </w:rPr>
                    <w:t>29</w:t>
                  </w:r>
                </w:p>
              </w:tc>
              <w:tc>
                <w:tcPr>
                  <w:tcW w:w="1744" w:type="dxa"/>
                  <w:tcBorders>
                    <w:top w:val="single" w:color="000000" w:sz="6" w:space="0"/>
                    <w:left w:val="single" w:color="auto" w:sz="4" w:space="0"/>
                    <w:bottom w:val="single" w:color="000000" w:sz="6" w:space="0"/>
                    <w:right w:val="single" w:color="000000" w:sz="6" w:space="0"/>
                  </w:tcBorders>
                  <w:vAlign w:val="center"/>
                </w:tcPr>
                <w:p w14:paraId="17F783AA">
                  <w:pPr>
                    <w:widowControl/>
                    <w:jc w:val="center"/>
                    <w:textAlignment w:val="bottom"/>
                    <w:rPr>
                      <w:rFonts w:hint="default" w:eastAsia="宋体"/>
                      <w:color w:val="auto"/>
                      <w:sz w:val="18"/>
                      <w:szCs w:val="18"/>
                      <w:lang w:val="en-US" w:eastAsia="zh-CN"/>
                    </w:rPr>
                  </w:pPr>
                  <w:r>
                    <w:rPr>
                      <w:rFonts w:hint="eastAsia"/>
                      <w:color w:val="auto"/>
                      <w:sz w:val="18"/>
                      <w:szCs w:val="18"/>
                      <w:lang w:val="en-US" w:eastAsia="zh-CN"/>
                    </w:rPr>
                    <w:t>0.0042</w:t>
                  </w:r>
                </w:p>
              </w:tc>
            </w:tr>
          </w:tbl>
          <w:p w14:paraId="4DB65121">
            <w:pPr>
              <w:pStyle w:val="732"/>
              <w:snapToGrid w:val="0"/>
              <w:spacing w:before="120" w:beforeLines="50" w:line="360" w:lineRule="auto"/>
              <w:ind w:firstLine="420" w:firstLineChars="200"/>
              <w:rPr>
                <w:color w:val="auto"/>
                <w:sz w:val="21"/>
                <w:szCs w:val="21"/>
              </w:rPr>
            </w:pPr>
            <w:r>
              <w:rPr>
                <w:color w:val="auto"/>
                <w:sz w:val="21"/>
                <w:szCs w:val="21"/>
              </w:rPr>
              <w:t>本项目生活污水治理及排放信息汇总如下：</w:t>
            </w:r>
          </w:p>
          <w:p w14:paraId="07F7472F">
            <w:pPr>
              <w:adjustRightInd w:val="0"/>
              <w:snapToGrid w:val="0"/>
              <w:spacing w:line="360" w:lineRule="auto"/>
              <w:jc w:val="center"/>
              <w:rPr>
                <w:b/>
                <w:color w:val="auto"/>
              </w:rPr>
            </w:pPr>
            <w:r>
              <w:rPr>
                <w:b/>
                <w:color w:val="auto"/>
              </w:rPr>
              <w:t>表4-</w:t>
            </w:r>
            <w:r>
              <w:rPr>
                <w:rFonts w:hint="eastAsia"/>
                <w:b/>
                <w:color w:val="auto"/>
                <w:lang w:val="en-US" w:eastAsia="zh-CN"/>
              </w:rPr>
              <w:t>8</w:t>
            </w:r>
            <w:r>
              <w:rPr>
                <w:b/>
                <w:color w:val="auto"/>
              </w:rPr>
              <w:t>废水类别、污染物及污染治理设施信息表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7"/>
              <w:gridCol w:w="899"/>
              <w:gridCol w:w="470"/>
              <w:gridCol w:w="532"/>
              <w:gridCol w:w="505"/>
              <w:gridCol w:w="643"/>
              <w:gridCol w:w="686"/>
              <w:gridCol w:w="485"/>
              <w:gridCol w:w="600"/>
              <w:gridCol w:w="592"/>
              <w:gridCol w:w="585"/>
              <w:gridCol w:w="608"/>
              <w:gridCol w:w="653"/>
              <w:gridCol w:w="608"/>
            </w:tblGrid>
            <w:tr w14:paraId="7C310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67" w:type="dxa"/>
                  <w:vMerge w:val="restart"/>
                  <w:vAlign w:val="center"/>
                </w:tcPr>
                <w:p w14:paraId="4A1D8DBF">
                  <w:pPr>
                    <w:jc w:val="center"/>
                    <w:rPr>
                      <w:b/>
                      <w:bCs/>
                      <w:color w:val="auto"/>
                      <w:sz w:val="18"/>
                      <w:szCs w:val="18"/>
                    </w:rPr>
                  </w:pPr>
                  <w:r>
                    <w:rPr>
                      <w:b/>
                      <w:bCs/>
                      <w:color w:val="auto"/>
                      <w:sz w:val="18"/>
                      <w:szCs w:val="18"/>
                    </w:rPr>
                    <w:t>产污环节</w:t>
                  </w:r>
                </w:p>
              </w:tc>
              <w:tc>
                <w:tcPr>
                  <w:tcW w:w="899" w:type="dxa"/>
                  <w:vMerge w:val="restart"/>
                  <w:vAlign w:val="center"/>
                </w:tcPr>
                <w:p w14:paraId="268403BA">
                  <w:pPr>
                    <w:jc w:val="center"/>
                    <w:rPr>
                      <w:b/>
                      <w:bCs/>
                      <w:color w:val="auto"/>
                      <w:sz w:val="18"/>
                      <w:szCs w:val="18"/>
                    </w:rPr>
                  </w:pPr>
                  <w:r>
                    <w:rPr>
                      <w:b/>
                      <w:bCs/>
                      <w:color w:val="auto"/>
                      <w:sz w:val="18"/>
                      <w:szCs w:val="18"/>
                    </w:rPr>
                    <w:t>污染物</w:t>
                  </w:r>
                </w:p>
                <w:p w14:paraId="325A65AA">
                  <w:pPr>
                    <w:jc w:val="center"/>
                    <w:rPr>
                      <w:b/>
                      <w:bCs/>
                      <w:color w:val="auto"/>
                      <w:sz w:val="18"/>
                      <w:szCs w:val="18"/>
                    </w:rPr>
                  </w:pPr>
                  <w:r>
                    <w:rPr>
                      <w:b/>
                      <w:bCs/>
                      <w:color w:val="auto"/>
                      <w:sz w:val="18"/>
                      <w:szCs w:val="18"/>
                    </w:rPr>
                    <w:t>种类</w:t>
                  </w:r>
                </w:p>
              </w:tc>
              <w:tc>
                <w:tcPr>
                  <w:tcW w:w="470" w:type="dxa"/>
                  <w:vMerge w:val="restart"/>
                  <w:vAlign w:val="center"/>
                </w:tcPr>
                <w:p w14:paraId="0BDF32A6">
                  <w:pPr>
                    <w:jc w:val="center"/>
                    <w:rPr>
                      <w:b/>
                      <w:bCs/>
                      <w:color w:val="auto"/>
                      <w:sz w:val="18"/>
                      <w:szCs w:val="18"/>
                    </w:rPr>
                  </w:pPr>
                  <w:r>
                    <w:rPr>
                      <w:b/>
                      <w:bCs/>
                      <w:color w:val="auto"/>
                      <w:sz w:val="18"/>
                      <w:szCs w:val="18"/>
                    </w:rPr>
                    <w:t>废水类别</w:t>
                  </w:r>
                </w:p>
              </w:tc>
              <w:tc>
                <w:tcPr>
                  <w:tcW w:w="2851" w:type="dxa"/>
                  <w:gridSpan w:val="5"/>
                  <w:vAlign w:val="center"/>
                </w:tcPr>
                <w:p w14:paraId="022B4D59">
                  <w:pPr>
                    <w:jc w:val="center"/>
                    <w:rPr>
                      <w:b/>
                      <w:bCs/>
                      <w:color w:val="auto"/>
                      <w:sz w:val="18"/>
                      <w:szCs w:val="18"/>
                    </w:rPr>
                  </w:pPr>
                  <w:r>
                    <w:rPr>
                      <w:b/>
                      <w:bCs/>
                      <w:color w:val="auto"/>
                      <w:sz w:val="18"/>
                      <w:szCs w:val="18"/>
                    </w:rPr>
                    <w:t>污染治理设施</w:t>
                  </w:r>
                </w:p>
              </w:tc>
              <w:tc>
                <w:tcPr>
                  <w:tcW w:w="600" w:type="dxa"/>
                  <w:vMerge w:val="restart"/>
                  <w:vAlign w:val="center"/>
                </w:tcPr>
                <w:p w14:paraId="4D3757C2">
                  <w:pPr>
                    <w:jc w:val="center"/>
                    <w:rPr>
                      <w:b/>
                      <w:bCs/>
                      <w:color w:val="auto"/>
                      <w:sz w:val="18"/>
                      <w:szCs w:val="18"/>
                    </w:rPr>
                  </w:pPr>
                  <w:r>
                    <w:rPr>
                      <w:b/>
                      <w:bCs/>
                      <w:color w:val="auto"/>
                      <w:sz w:val="18"/>
                      <w:szCs w:val="18"/>
                    </w:rPr>
                    <w:t>排放</w:t>
                  </w:r>
                </w:p>
                <w:p w14:paraId="4167FBBE">
                  <w:pPr>
                    <w:jc w:val="center"/>
                    <w:rPr>
                      <w:b/>
                      <w:bCs/>
                      <w:color w:val="auto"/>
                      <w:sz w:val="18"/>
                      <w:szCs w:val="18"/>
                    </w:rPr>
                  </w:pPr>
                  <w:r>
                    <w:rPr>
                      <w:b/>
                      <w:bCs/>
                      <w:color w:val="auto"/>
                      <w:sz w:val="18"/>
                      <w:szCs w:val="18"/>
                    </w:rPr>
                    <w:t>去向</w:t>
                  </w:r>
                </w:p>
              </w:tc>
              <w:tc>
                <w:tcPr>
                  <w:tcW w:w="592" w:type="dxa"/>
                  <w:vMerge w:val="restart"/>
                  <w:vAlign w:val="center"/>
                </w:tcPr>
                <w:p w14:paraId="6B6E00E0">
                  <w:pPr>
                    <w:jc w:val="center"/>
                    <w:rPr>
                      <w:b/>
                      <w:bCs/>
                      <w:color w:val="auto"/>
                      <w:sz w:val="18"/>
                      <w:szCs w:val="18"/>
                    </w:rPr>
                  </w:pPr>
                  <w:r>
                    <w:rPr>
                      <w:b/>
                      <w:bCs/>
                      <w:color w:val="auto"/>
                      <w:sz w:val="18"/>
                      <w:szCs w:val="18"/>
                    </w:rPr>
                    <w:t>排放</w:t>
                  </w:r>
                </w:p>
                <w:p w14:paraId="49EB960B">
                  <w:pPr>
                    <w:jc w:val="center"/>
                    <w:rPr>
                      <w:b/>
                      <w:bCs/>
                      <w:color w:val="auto"/>
                      <w:sz w:val="18"/>
                      <w:szCs w:val="18"/>
                    </w:rPr>
                  </w:pPr>
                  <w:r>
                    <w:rPr>
                      <w:b/>
                      <w:bCs/>
                      <w:color w:val="auto"/>
                      <w:sz w:val="18"/>
                      <w:szCs w:val="18"/>
                    </w:rPr>
                    <w:t>方式</w:t>
                  </w:r>
                </w:p>
              </w:tc>
              <w:tc>
                <w:tcPr>
                  <w:tcW w:w="585" w:type="dxa"/>
                  <w:vMerge w:val="restart"/>
                  <w:vAlign w:val="center"/>
                </w:tcPr>
                <w:p w14:paraId="6099BFBA">
                  <w:pPr>
                    <w:jc w:val="center"/>
                    <w:rPr>
                      <w:b/>
                      <w:bCs/>
                      <w:color w:val="auto"/>
                      <w:sz w:val="18"/>
                      <w:szCs w:val="18"/>
                    </w:rPr>
                  </w:pPr>
                  <w:r>
                    <w:rPr>
                      <w:b/>
                      <w:bCs/>
                      <w:color w:val="auto"/>
                      <w:sz w:val="18"/>
                      <w:szCs w:val="18"/>
                    </w:rPr>
                    <w:t>排放</w:t>
                  </w:r>
                </w:p>
                <w:p w14:paraId="46ED5047">
                  <w:pPr>
                    <w:jc w:val="center"/>
                    <w:rPr>
                      <w:b/>
                      <w:bCs/>
                      <w:color w:val="auto"/>
                      <w:sz w:val="18"/>
                      <w:szCs w:val="18"/>
                    </w:rPr>
                  </w:pPr>
                  <w:r>
                    <w:rPr>
                      <w:b/>
                      <w:bCs/>
                      <w:color w:val="auto"/>
                      <w:sz w:val="18"/>
                      <w:szCs w:val="18"/>
                    </w:rPr>
                    <w:t>规律</w:t>
                  </w:r>
                </w:p>
              </w:tc>
              <w:tc>
                <w:tcPr>
                  <w:tcW w:w="608" w:type="dxa"/>
                  <w:vMerge w:val="restart"/>
                  <w:vAlign w:val="center"/>
                </w:tcPr>
                <w:p w14:paraId="0E60B525">
                  <w:pPr>
                    <w:jc w:val="center"/>
                    <w:rPr>
                      <w:b/>
                      <w:bCs/>
                      <w:color w:val="auto"/>
                      <w:sz w:val="18"/>
                      <w:szCs w:val="18"/>
                    </w:rPr>
                  </w:pPr>
                  <w:r>
                    <w:rPr>
                      <w:b/>
                      <w:bCs/>
                      <w:color w:val="auto"/>
                      <w:sz w:val="18"/>
                      <w:szCs w:val="18"/>
                    </w:rPr>
                    <w:t>排放口编号</w:t>
                  </w:r>
                </w:p>
              </w:tc>
              <w:tc>
                <w:tcPr>
                  <w:tcW w:w="653" w:type="dxa"/>
                  <w:vMerge w:val="restart"/>
                  <w:vAlign w:val="center"/>
                </w:tcPr>
                <w:p w14:paraId="0E84F21A">
                  <w:pPr>
                    <w:jc w:val="center"/>
                    <w:rPr>
                      <w:b/>
                      <w:bCs/>
                      <w:color w:val="auto"/>
                      <w:sz w:val="18"/>
                      <w:szCs w:val="18"/>
                    </w:rPr>
                  </w:pPr>
                  <w:r>
                    <w:rPr>
                      <w:b/>
                      <w:bCs/>
                      <w:color w:val="auto"/>
                      <w:sz w:val="18"/>
                      <w:szCs w:val="18"/>
                    </w:rPr>
                    <w:t>排放口名称</w:t>
                  </w:r>
                </w:p>
              </w:tc>
              <w:tc>
                <w:tcPr>
                  <w:tcW w:w="608" w:type="dxa"/>
                  <w:vMerge w:val="restart"/>
                  <w:vAlign w:val="center"/>
                </w:tcPr>
                <w:p w14:paraId="5996314F">
                  <w:pPr>
                    <w:jc w:val="center"/>
                    <w:rPr>
                      <w:b/>
                      <w:bCs/>
                      <w:color w:val="auto"/>
                      <w:sz w:val="18"/>
                      <w:szCs w:val="18"/>
                    </w:rPr>
                  </w:pPr>
                  <w:r>
                    <w:rPr>
                      <w:b/>
                      <w:bCs/>
                      <w:color w:val="auto"/>
                      <w:sz w:val="18"/>
                      <w:szCs w:val="18"/>
                    </w:rPr>
                    <w:t>排放口类型</w:t>
                  </w:r>
                </w:p>
              </w:tc>
            </w:tr>
            <w:tr w14:paraId="2B8E3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67" w:type="dxa"/>
                  <w:vMerge w:val="continue"/>
                  <w:vAlign w:val="center"/>
                </w:tcPr>
                <w:p w14:paraId="574FC449">
                  <w:pPr>
                    <w:jc w:val="center"/>
                    <w:rPr>
                      <w:color w:val="auto"/>
                      <w:sz w:val="18"/>
                      <w:szCs w:val="18"/>
                    </w:rPr>
                  </w:pPr>
                </w:p>
              </w:tc>
              <w:tc>
                <w:tcPr>
                  <w:tcW w:w="899" w:type="dxa"/>
                  <w:vMerge w:val="continue"/>
                  <w:vAlign w:val="center"/>
                </w:tcPr>
                <w:p w14:paraId="6074B949">
                  <w:pPr>
                    <w:jc w:val="center"/>
                    <w:rPr>
                      <w:color w:val="auto"/>
                      <w:sz w:val="18"/>
                      <w:szCs w:val="18"/>
                    </w:rPr>
                  </w:pPr>
                </w:p>
              </w:tc>
              <w:tc>
                <w:tcPr>
                  <w:tcW w:w="470" w:type="dxa"/>
                  <w:vMerge w:val="continue"/>
                  <w:vAlign w:val="center"/>
                </w:tcPr>
                <w:p w14:paraId="49FE74D2">
                  <w:pPr>
                    <w:jc w:val="center"/>
                    <w:rPr>
                      <w:color w:val="auto"/>
                      <w:sz w:val="18"/>
                      <w:szCs w:val="18"/>
                    </w:rPr>
                  </w:pPr>
                </w:p>
              </w:tc>
              <w:tc>
                <w:tcPr>
                  <w:tcW w:w="532" w:type="dxa"/>
                  <w:vAlign w:val="center"/>
                </w:tcPr>
                <w:p w14:paraId="33B7D9B3">
                  <w:pPr>
                    <w:jc w:val="center"/>
                    <w:rPr>
                      <w:b/>
                      <w:bCs/>
                      <w:color w:val="auto"/>
                      <w:sz w:val="18"/>
                      <w:szCs w:val="18"/>
                    </w:rPr>
                  </w:pPr>
                  <w:r>
                    <w:rPr>
                      <w:b/>
                      <w:bCs/>
                      <w:color w:val="auto"/>
                      <w:sz w:val="18"/>
                      <w:szCs w:val="18"/>
                    </w:rPr>
                    <w:t>设施类型</w:t>
                  </w:r>
                </w:p>
              </w:tc>
              <w:tc>
                <w:tcPr>
                  <w:tcW w:w="505" w:type="dxa"/>
                  <w:vAlign w:val="center"/>
                </w:tcPr>
                <w:p w14:paraId="49AE586F">
                  <w:pPr>
                    <w:jc w:val="center"/>
                    <w:rPr>
                      <w:b/>
                      <w:bCs/>
                      <w:color w:val="auto"/>
                      <w:sz w:val="18"/>
                      <w:szCs w:val="18"/>
                    </w:rPr>
                  </w:pPr>
                  <w:r>
                    <w:rPr>
                      <w:b/>
                      <w:bCs/>
                      <w:color w:val="auto"/>
                      <w:sz w:val="18"/>
                      <w:szCs w:val="18"/>
                    </w:rPr>
                    <w:t>处理</w:t>
                  </w:r>
                </w:p>
                <w:p w14:paraId="03F23088">
                  <w:pPr>
                    <w:jc w:val="center"/>
                    <w:rPr>
                      <w:b/>
                      <w:bCs/>
                      <w:color w:val="auto"/>
                      <w:sz w:val="18"/>
                      <w:szCs w:val="18"/>
                    </w:rPr>
                  </w:pPr>
                  <w:r>
                    <w:rPr>
                      <w:b/>
                      <w:bCs/>
                      <w:color w:val="auto"/>
                      <w:sz w:val="18"/>
                      <w:szCs w:val="18"/>
                    </w:rPr>
                    <w:t>工艺</w:t>
                  </w:r>
                </w:p>
              </w:tc>
              <w:tc>
                <w:tcPr>
                  <w:tcW w:w="643" w:type="dxa"/>
                  <w:vAlign w:val="center"/>
                </w:tcPr>
                <w:p w14:paraId="7EE308DA">
                  <w:pPr>
                    <w:jc w:val="center"/>
                    <w:rPr>
                      <w:b/>
                      <w:bCs/>
                      <w:color w:val="auto"/>
                      <w:sz w:val="18"/>
                      <w:szCs w:val="18"/>
                    </w:rPr>
                  </w:pPr>
                  <w:r>
                    <w:rPr>
                      <w:b/>
                      <w:bCs/>
                      <w:color w:val="auto"/>
                      <w:sz w:val="18"/>
                      <w:szCs w:val="18"/>
                    </w:rPr>
                    <w:t>处理</w:t>
                  </w:r>
                </w:p>
                <w:p w14:paraId="048A1072">
                  <w:pPr>
                    <w:jc w:val="center"/>
                    <w:rPr>
                      <w:b/>
                      <w:bCs/>
                      <w:color w:val="auto"/>
                      <w:sz w:val="18"/>
                      <w:szCs w:val="18"/>
                    </w:rPr>
                  </w:pPr>
                  <w:r>
                    <w:rPr>
                      <w:b/>
                      <w:bCs/>
                      <w:color w:val="auto"/>
                      <w:sz w:val="18"/>
                      <w:szCs w:val="18"/>
                    </w:rPr>
                    <w:t>能力（t/h）</w:t>
                  </w:r>
                </w:p>
              </w:tc>
              <w:tc>
                <w:tcPr>
                  <w:tcW w:w="686" w:type="dxa"/>
                  <w:vAlign w:val="center"/>
                </w:tcPr>
                <w:p w14:paraId="20C69903">
                  <w:pPr>
                    <w:jc w:val="center"/>
                    <w:rPr>
                      <w:b/>
                      <w:bCs/>
                      <w:color w:val="auto"/>
                      <w:sz w:val="18"/>
                      <w:szCs w:val="18"/>
                    </w:rPr>
                  </w:pPr>
                  <w:r>
                    <w:rPr>
                      <w:b/>
                      <w:bCs/>
                      <w:color w:val="auto"/>
                      <w:sz w:val="18"/>
                      <w:szCs w:val="18"/>
                    </w:rPr>
                    <w:t>是否为可行技术</w:t>
                  </w:r>
                </w:p>
              </w:tc>
              <w:tc>
                <w:tcPr>
                  <w:tcW w:w="485" w:type="dxa"/>
                  <w:vAlign w:val="center"/>
                </w:tcPr>
                <w:p w14:paraId="558135E5">
                  <w:pPr>
                    <w:jc w:val="center"/>
                    <w:rPr>
                      <w:b/>
                      <w:bCs/>
                      <w:color w:val="auto"/>
                      <w:sz w:val="18"/>
                      <w:szCs w:val="18"/>
                    </w:rPr>
                  </w:pPr>
                  <w:r>
                    <w:rPr>
                      <w:b/>
                      <w:bCs/>
                      <w:color w:val="auto"/>
                      <w:sz w:val="18"/>
                      <w:szCs w:val="18"/>
                    </w:rPr>
                    <w:t>设施名称</w:t>
                  </w:r>
                </w:p>
              </w:tc>
              <w:tc>
                <w:tcPr>
                  <w:tcW w:w="600" w:type="dxa"/>
                  <w:vMerge w:val="continue"/>
                  <w:vAlign w:val="center"/>
                </w:tcPr>
                <w:p w14:paraId="221E4B56">
                  <w:pPr>
                    <w:jc w:val="center"/>
                    <w:rPr>
                      <w:color w:val="auto"/>
                      <w:sz w:val="18"/>
                      <w:szCs w:val="18"/>
                    </w:rPr>
                  </w:pPr>
                </w:p>
              </w:tc>
              <w:tc>
                <w:tcPr>
                  <w:tcW w:w="592" w:type="dxa"/>
                  <w:vMerge w:val="continue"/>
                  <w:vAlign w:val="center"/>
                </w:tcPr>
                <w:p w14:paraId="63090A24">
                  <w:pPr>
                    <w:jc w:val="center"/>
                    <w:rPr>
                      <w:color w:val="auto"/>
                      <w:sz w:val="18"/>
                      <w:szCs w:val="18"/>
                    </w:rPr>
                  </w:pPr>
                </w:p>
              </w:tc>
              <w:tc>
                <w:tcPr>
                  <w:tcW w:w="585" w:type="dxa"/>
                  <w:vMerge w:val="continue"/>
                  <w:vAlign w:val="center"/>
                </w:tcPr>
                <w:p w14:paraId="61A15D79">
                  <w:pPr>
                    <w:jc w:val="center"/>
                    <w:rPr>
                      <w:color w:val="auto"/>
                      <w:sz w:val="18"/>
                      <w:szCs w:val="18"/>
                    </w:rPr>
                  </w:pPr>
                </w:p>
              </w:tc>
              <w:tc>
                <w:tcPr>
                  <w:tcW w:w="608" w:type="dxa"/>
                  <w:vMerge w:val="continue"/>
                  <w:vAlign w:val="center"/>
                </w:tcPr>
                <w:p w14:paraId="11F0DD43">
                  <w:pPr>
                    <w:jc w:val="center"/>
                    <w:rPr>
                      <w:color w:val="auto"/>
                      <w:sz w:val="18"/>
                      <w:szCs w:val="18"/>
                    </w:rPr>
                  </w:pPr>
                </w:p>
              </w:tc>
              <w:tc>
                <w:tcPr>
                  <w:tcW w:w="653" w:type="dxa"/>
                  <w:vMerge w:val="continue"/>
                  <w:vAlign w:val="center"/>
                </w:tcPr>
                <w:p w14:paraId="73B9FB52">
                  <w:pPr>
                    <w:jc w:val="center"/>
                    <w:rPr>
                      <w:color w:val="auto"/>
                      <w:sz w:val="18"/>
                      <w:szCs w:val="18"/>
                    </w:rPr>
                  </w:pPr>
                </w:p>
              </w:tc>
              <w:tc>
                <w:tcPr>
                  <w:tcW w:w="608" w:type="dxa"/>
                  <w:vMerge w:val="continue"/>
                  <w:vAlign w:val="center"/>
                </w:tcPr>
                <w:p w14:paraId="240965DD">
                  <w:pPr>
                    <w:jc w:val="center"/>
                    <w:rPr>
                      <w:color w:val="auto"/>
                      <w:sz w:val="18"/>
                      <w:szCs w:val="18"/>
                    </w:rPr>
                  </w:pPr>
                </w:p>
              </w:tc>
            </w:tr>
            <w:tr w14:paraId="5655B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67" w:type="dxa"/>
                  <w:vAlign w:val="center"/>
                </w:tcPr>
                <w:p w14:paraId="4D8A2164">
                  <w:pPr>
                    <w:jc w:val="center"/>
                    <w:rPr>
                      <w:color w:val="auto"/>
                      <w:sz w:val="18"/>
                      <w:szCs w:val="18"/>
                    </w:rPr>
                  </w:pPr>
                  <w:r>
                    <w:rPr>
                      <w:color w:val="auto"/>
                      <w:sz w:val="18"/>
                      <w:szCs w:val="18"/>
                    </w:rPr>
                    <w:t>职工生活</w:t>
                  </w:r>
                </w:p>
              </w:tc>
              <w:tc>
                <w:tcPr>
                  <w:tcW w:w="899" w:type="dxa"/>
                  <w:vAlign w:val="center"/>
                </w:tcPr>
                <w:p w14:paraId="46F15EB0">
                  <w:pPr>
                    <w:jc w:val="center"/>
                    <w:rPr>
                      <w:color w:val="auto"/>
                      <w:sz w:val="18"/>
                      <w:szCs w:val="18"/>
                    </w:rPr>
                  </w:pPr>
                  <w:r>
                    <w:rPr>
                      <w:color w:val="auto"/>
                      <w:sz w:val="18"/>
                      <w:szCs w:val="18"/>
                    </w:rPr>
                    <w:t>COD、氨氮、BOD</w:t>
                  </w:r>
                  <w:r>
                    <w:rPr>
                      <w:color w:val="auto"/>
                      <w:sz w:val="18"/>
                      <w:szCs w:val="18"/>
                      <w:vertAlign w:val="subscript"/>
                    </w:rPr>
                    <w:t>5</w:t>
                  </w:r>
                  <w:r>
                    <w:rPr>
                      <w:color w:val="auto"/>
                      <w:sz w:val="18"/>
                      <w:szCs w:val="18"/>
                    </w:rPr>
                    <w:t>、SS等</w:t>
                  </w:r>
                </w:p>
              </w:tc>
              <w:tc>
                <w:tcPr>
                  <w:tcW w:w="470" w:type="dxa"/>
                  <w:vAlign w:val="center"/>
                </w:tcPr>
                <w:p w14:paraId="4CE1538A">
                  <w:pPr>
                    <w:jc w:val="center"/>
                    <w:rPr>
                      <w:color w:val="auto"/>
                      <w:sz w:val="18"/>
                      <w:szCs w:val="18"/>
                    </w:rPr>
                  </w:pPr>
                  <w:r>
                    <w:rPr>
                      <w:color w:val="auto"/>
                      <w:sz w:val="18"/>
                      <w:szCs w:val="18"/>
                    </w:rPr>
                    <w:t>生活废水</w:t>
                  </w:r>
                </w:p>
              </w:tc>
              <w:tc>
                <w:tcPr>
                  <w:tcW w:w="532" w:type="dxa"/>
                  <w:vAlign w:val="center"/>
                </w:tcPr>
                <w:p w14:paraId="46306352">
                  <w:pPr>
                    <w:jc w:val="center"/>
                    <w:rPr>
                      <w:color w:val="auto"/>
                      <w:sz w:val="18"/>
                      <w:szCs w:val="18"/>
                    </w:rPr>
                  </w:pPr>
                  <w:r>
                    <w:rPr>
                      <w:color w:val="auto"/>
                      <w:sz w:val="18"/>
                      <w:szCs w:val="18"/>
                    </w:rPr>
                    <w:t>预处理设施</w:t>
                  </w:r>
                </w:p>
              </w:tc>
              <w:tc>
                <w:tcPr>
                  <w:tcW w:w="505" w:type="dxa"/>
                  <w:vAlign w:val="center"/>
                </w:tcPr>
                <w:p w14:paraId="7DFB5166">
                  <w:pPr>
                    <w:jc w:val="center"/>
                    <w:rPr>
                      <w:color w:val="auto"/>
                      <w:sz w:val="18"/>
                      <w:szCs w:val="18"/>
                    </w:rPr>
                  </w:pPr>
                  <w:r>
                    <w:rPr>
                      <w:color w:val="auto"/>
                      <w:sz w:val="18"/>
                      <w:szCs w:val="18"/>
                    </w:rPr>
                    <w:t>沉淀</w:t>
                  </w:r>
                </w:p>
              </w:tc>
              <w:tc>
                <w:tcPr>
                  <w:tcW w:w="643" w:type="dxa"/>
                  <w:vAlign w:val="center"/>
                </w:tcPr>
                <w:p w14:paraId="62D02645">
                  <w:pPr>
                    <w:jc w:val="center"/>
                    <w:rPr>
                      <w:color w:val="auto"/>
                      <w:sz w:val="18"/>
                      <w:szCs w:val="18"/>
                    </w:rPr>
                  </w:pPr>
                  <w:r>
                    <w:rPr>
                      <w:color w:val="auto"/>
                      <w:sz w:val="18"/>
                      <w:szCs w:val="18"/>
                    </w:rPr>
                    <w:t>2</w:t>
                  </w:r>
                </w:p>
              </w:tc>
              <w:tc>
                <w:tcPr>
                  <w:tcW w:w="686" w:type="dxa"/>
                  <w:vAlign w:val="center"/>
                </w:tcPr>
                <w:p w14:paraId="0E482264">
                  <w:pPr>
                    <w:jc w:val="center"/>
                    <w:rPr>
                      <w:color w:val="auto"/>
                      <w:sz w:val="18"/>
                      <w:szCs w:val="18"/>
                    </w:rPr>
                  </w:pPr>
                  <w:r>
                    <w:rPr>
                      <w:color w:val="auto"/>
                      <w:sz w:val="18"/>
                      <w:szCs w:val="18"/>
                    </w:rPr>
                    <w:t>是</w:t>
                  </w:r>
                </w:p>
              </w:tc>
              <w:tc>
                <w:tcPr>
                  <w:tcW w:w="485" w:type="dxa"/>
                  <w:vAlign w:val="center"/>
                </w:tcPr>
                <w:p w14:paraId="69F3DE8B">
                  <w:pPr>
                    <w:jc w:val="center"/>
                    <w:rPr>
                      <w:color w:val="auto"/>
                      <w:sz w:val="18"/>
                      <w:szCs w:val="18"/>
                    </w:rPr>
                  </w:pPr>
                  <w:r>
                    <w:rPr>
                      <w:color w:val="auto"/>
                      <w:sz w:val="18"/>
                      <w:szCs w:val="18"/>
                    </w:rPr>
                    <w:t>化粪池</w:t>
                  </w:r>
                </w:p>
              </w:tc>
              <w:tc>
                <w:tcPr>
                  <w:tcW w:w="600" w:type="dxa"/>
                  <w:vAlign w:val="center"/>
                </w:tcPr>
                <w:p w14:paraId="271AF73B">
                  <w:pPr>
                    <w:jc w:val="center"/>
                    <w:rPr>
                      <w:color w:val="auto"/>
                      <w:sz w:val="18"/>
                      <w:szCs w:val="18"/>
                    </w:rPr>
                  </w:pPr>
                  <w:r>
                    <w:rPr>
                      <w:color w:val="auto"/>
                      <w:sz w:val="18"/>
                      <w:szCs w:val="18"/>
                    </w:rPr>
                    <w:t>不排放</w:t>
                  </w:r>
                </w:p>
              </w:tc>
              <w:tc>
                <w:tcPr>
                  <w:tcW w:w="592" w:type="dxa"/>
                  <w:vAlign w:val="center"/>
                </w:tcPr>
                <w:p w14:paraId="1A9F1978">
                  <w:pPr>
                    <w:jc w:val="center"/>
                    <w:rPr>
                      <w:color w:val="auto"/>
                      <w:sz w:val="18"/>
                      <w:szCs w:val="18"/>
                    </w:rPr>
                  </w:pPr>
                  <w:r>
                    <w:rPr>
                      <w:color w:val="auto"/>
                      <w:sz w:val="18"/>
                      <w:szCs w:val="18"/>
                    </w:rPr>
                    <w:t>不排放</w:t>
                  </w:r>
                </w:p>
              </w:tc>
              <w:tc>
                <w:tcPr>
                  <w:tcW w:w="585" w:type="dxa"/>
                  <w:vAlign w:val="center"/>
                </w:tcPr>
                <w:p w14:paraId="7A8FF0DC">
                  <w:pPr>
                    <w:jc w:val="center"/>
                    <w:rPr>
                      <w:color w:val="auto"/>
                      <w:sz w:val="18"/>
                      <w:szCs w:val="18"/>
                    </w:rPr>
                  </w:pPr>
                  <w:r>
                    <w:rPr>
                      <w:color w:val="auto"/>
                      <w:sz w:val="18"/>
                      <w:szCs w:val="18"/>
                    </w:rPr>
                    <w:t>-</w:t>
                  </w:r>
                </w:p>
              </w:tc>
              <w:tc>
                <w:tcPr>
                  <w:tcW w:w="608" w:type="dxa"/>
                  <w:vAlign w:val="center"/>
                </w:tcPr>
                <w:p w14:paraId="4469E691">
                  <w:pPr>
                    <w:jc w:val="center"/>
                    <w:rPr>
                      <w:color w:val="auto"/>
                      <w:sz w:val="18"/>
                      <w:szCs w:val="18"/>
                    </w:rPr>
                  </w:pPr>
                  <w:r>
                    <w:rPr>
                      <w:color w:val="auto"/>
                      <w:sz w:val="18"/>
                      <w:szCs w:val="18"/>
                    </w:rPr>
                    <w:t>-</w:t>
                  </w:r>
                </w:p>
              </w:tc>
              <w:tc>
                <w:tcPr>
                  <w:tcW w:w="653" w:type="dxa"/>
                  <w:vAlign w:val="center"/>
                </w:tcPr>
                <w:p w14:paraId="2E09381D">
                  <w:pPr>
                    <w:jc w:val="center"/>
                    <w:rPr>
                      <w:color w:val="auto"/>
                      <w:sz w:val="18"/>
                      <w:szCs w:val="18"/>
                    </w:rPr>
                  </w:pPr>
                  <w:r>
                    <w:rPr>
                      <w:color w:val="auto"/>
                      <w:sz w:val="18"/>
                      <w:szCs w:val="18"/>
                    </w:rPr>
                    <w:t>-</w:t>
                  </w:r>
                </w:p>
              </w:tc>
              <w:tc>
                <w:tcPr>
                  <w:tcW w:w="608" w:type="dxa"/>
                  <w:vAlign w:val="center"/>
                </w:tcPr>
                <w:p w14:paraId="427D5F74">
                  <w:pPr>
                    <w:jc w:val="center"/>
                    <w:rPr>
                      <w:color w:val="auto"/>
                      <w:sz w:val="18"/>
                      <w:szCs w:val="18"/>
                    </w:rPr>
                  </w:pPr>
                  <w:r>
                    <w:rPr>
                      <w:color w:val="auto"/>
                      <w:sz w:val="18"/>
                      <w:szCs w:val="18"/>
                    </w:rPr>
                    <w:t>-</w:t>
                  </w:r>
                </w:p>
              </w:tc>
            </w:tr>
          </w:tbl>
          <w:p w14:paraId="3F5AB531">
            <w:pPr>
              <w:spacing w:line="420" w:lineRule="exact"/>
              <w:ind w:firstLine="420" w:firstLineChars="200"/>
              <w:rPr>
                <w:color w:val="auto"/>
              </w:rPr>
            </w:pPr>
            <w:r>
              <w:rPr>
                <w:bCs/>
                <w:color w:val="auto"/>
              </w:rPr>
              <w:t>综上，</w:t>
            </w:r>
            <w:r>
              <w:rPr>
                <w:color w:val="auto"/>
              </w:rPr>
              <w:t>项目化粪池做好防渗、防泄漏措施，项目在落实好各项环保设施的情况下，不会对周边地表水环境造成影响。</w:t>
            </w:r>
          </w:p>
          <w:p w14:paraId="63C32C8F">
            <w:pPr>
              <w:spacing w:line="420" w:lineRule="exact"/>
              <w:ind w:firstLine="422" w:firstLineChars="200"/>
              <w:rPr>
                <w:b/>
                <w:bCs/>
                <w:color w:val="auto"/>
              </w:rPr>
            </w:pPr>
            <w:r>
              <w:rPr>
                <w:b/>
                <w:bCs/>
                <w:color w:val="auto"/>
              </w:rPr>
              <w:t>三、噪声：</w:t>
            </w:r>
          </w:p>
          <w:p w14:paraId="097D68E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黑体" w:cs="Times New Roman"/>
                <w:color w:val="auto"/>
                <w:lang w:val="de-DE"/>
              </w:rPr>
            </w:pPr>
            <w:r>
              <w:rPr>
                <w:rFonts w:hint="default" w:ascii="Times New Roman" w:hAnsi="Times New Roman" w:eastAsia="黑体" w:cs="Times New Roman"/>
                <w:color w:val="auto"/>
                <w:lang w:val="de-DE"/>
              </w:rPr>
              <w:t>1、噪声源描述</w:t>
            </w:r>
          </w:p>
          <w:p w14:paraId="354EE5D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highlight w:val="none"/>
              </w:rPr>
            </w:pPr>
            <w:r>
              <w:rPr>
                <w:rFonts w:hint="default" w:ascii="Times New Roman" w:hAnsi="Times New Roman" w:cs="Times New Roman"/>
                <w:bCs/>
                <w:color w:val="auto"/>
                <w:szCs w:val="21"/>
                <w:highlight w:val="none"/>
              </w:rPr>
              <w:t>本项目噪声主要为</w:t>
            </w:r>
            <w:r>
              <w:rPr>
                <w:rFonts w:hint="eastAsia" w:cs="Times New Roman"/>
                <w:bCs/>
                <w:color w:val="auto"/>
                <w:szCs w:val="21"/>
                <w:highlight w:val="none"/>
                <w:lang w:eastAsia="zh-CN"/>
              </w:rPr>
              <w:t>振动筛、混料机、冷压机、热压机、高频焊机、空压机、风机</w:t>
            </w:r>
            <w:r>
              <w:rPr>
                <w:rFonts w:hint="default" w:ascii="Times New Roman" w:hAnsi="Times New Roman" w:cs="Times New Roman"/>
                <w:bCs/>
                <w:color w:val="auto"/>
                <w:szCs w:val="21"/>
                <w:highlight w:val="none"/>
              </w:rPr>
              <w:t>等设备运行产生的噪声，其噪声级在</w:t>
            </w:r>
            <w:r>
              <w:rPr>
                <w:rFonts w:hint="eastAsia" w:cs="Times New Roman"/>
                <w:bCs/>
                <w:color w:val="auto"/>
                <w:szCs w:val="21"/>
                <w:highlight w:val="none"/>
                <w:lang w:val="en-US" w:eastAsia="zh-CN"/>
              </w:rPr>
              <w:t>70~85</w:t>
            </w:r>
            <w:r>
              <w:rPr>
                <w:rFonts w:hint="default" w:ascii="Times New Roman" w:hAnsi="Times New Roman" w:cs="Times New Roman"/>
                <w:bCs/>
                <w:color w:val="auto"/>
                <w:szCs w:val="21"/>
                <w:highlight w:val="none"/>
              </w:rPr>
              <w:t>dB</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A</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之间</w:t>
            </w:r>
            <w:r>
              <w:rPr>
                <w:color w:val="FF0000"/>
                <w:highlight w:val="none"/>
              </w:rPr>
              <w:t>。</w:t>
            </w:r>
          </w:p>
          <w:p w14:paraId="1806935B">
            <w:pPr>
              <w:spacing w:line="360" w:lineRule="auto"/>
              <w:ind w:firstLine="420" w:firstLineChars="200"/>
              <w:rPr>
                <w:rFonts w:hint="default" w:ascii="Times New Roman" w:hAnsi="Times New Roman" w:eastAsia="黑体" w:cs="Times New Roman"/>
                <w:color w:val="auto"/>
                <w:highlight w:val="none"/>
                <w:lang w:val="de-DE"/>
              </w:rPr>
            </w:pPr>
            <w:r>
              <w:rPr>
                <w:rFonts w:hint="default" w:ascii="Times New Roman" w:hAnsi="Times New Roman" w:eastAsia="黑体" w:cs="Times New Roman"/>
                <w:color w:val="auto"/>
                <w:highlight w:val="none"/>
                <w:lang w:val="de-DE"/>
              </w:rPr>
              <w:t>2、降噪措施</w:t>
            </w:r>
          </w:p>
          <w:p w14:paraId="68C973F8">
            <w:pPr>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color w:val="auto"/>
                <w:highlight w:val="none"/>
                <w:lang w:val="de-DE"/>
              </w:rPr>
              <w:t>①在满足功能要求的前提下，尽量选择低噪声且符合国家噪声标准的环保型设备。设备安装时加装减振垫，生产时加强对各类机械设备的维护保养，把对环境的影响降到最低限度。</w:t>
            </w:r>
          </w:p>
          <w:p w14:paraId="7B6CCFB5">
            <w:pPr>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color w:val="auto"/>
                <w:highlight w:val="none"/>
                <w:lang w:val="de-DE"/>
              </w:rPr>
              <w:t>②对于空气动力性噪声的机械设备，如风机等进出风口加装消声器。</w:t>
            </w:r>
          </w:p>
          <w:p w14:paraId="57AD01B0">
            <w:pPr>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color w:val="auto"/>
                <w:highlight w:val="none"/>
                <w:lang w:val="de-DE"/>
              </w:rPr>
              <w:t>③厂房内装隔声门窗。</w:t>
            </w:r>
          </w:p>
          <w:p w14:paraId="50F5E6EE">
            <w:pPr>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color w:val="auto"/>
                <w:highlight w:val="none"/>
                <w:lang w:val="de-DE"/>
              </w:rPr>
              <w:t>④严格规定生产时间，尽量不安排夜间进行生产。产品及原料运输应安排在白天进行，尽量不安排在夜间进行运输作业，避免噪声扰民。</w:t>
            </w:r>
          </w:p>
          <w:p w14:paraId="2C85BAE2">
            <w:pPr>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color w:val="auto"/>
                <w:highlight w:val="none"/>
                <w:lang w:val="de-DE"/>
              </w:rPr>
              <w:t>⑤加强职工环保意识教育，提倡文明生产，防止人为噪声；强化行车管理制度，设置降噪标准，严禁鸣号，进入厂区低速行驶，最大限度减少流动噪声源。</w:t>
            </w:r>
          </w:p>
          <w:p w14:paraId="4B99E3B1">
            <w:pPr>
              <w:spacing w:line="360" w:lineRule="auto"/>
              <w:ind w:firstLine="420" w:firstLineChars="200"/>
              <w:rPr>
                <w:rFonts w:hint="default" w:ascii="Times New Roman" w:hAnsi="Times New Roman" w:eastAsia="黑体" w:cs="Times New Roman"/>
                <w:color w:val="auto"/>
                <w:highlight w:val="none"/>
                <w:lang w:val="de-DE"/>
              </w:rPr>
            </w:pPr>
            <w:r>
              <w:rPr>
                <w:rFonts w:hint="default" w:ascii="Times New Roman" w:hAnsi="Times New Roman" w:eastAsia="黑体" w:cs="Times New Roman"/>
                <w:color w:val="auto"/>
                <w:highlight w:val="none"/>
                <w:lang w:val="de-DE"/>
              </w:rPr>
              <w:t>3、声环境保护目标调查</w:t>
            </w:r>
          </w:p>
          <w:p w14:paraId="399C708D">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de-DE"/>
              </w:rPr>
              <w:t>本厂区</w:t>
            </w:r>
            <w:r>
              <w:rPr>
                <w:rFonts w:hint="default" w:ascii="Times New Roman" w:hAnsi="Times New Roman" w:cs="Times New Roman" w:eastAsiaTheme="minorEastAsia"/>
                <w:color w:val="auto"/>
                <w:highlight w:val="none"/>
                <w:lang w:val="de-DE"/>
              </w:rPr>
              <w:t>50</w:t>
            </w:r>
            <w:r>
              <w:rPr>
                <w:rFonts w:hint="default" w:ascii="Times New Roman" w:hAnsi="Times New Roman" w:cs="Times New Roman"/>
                <w:color w:val="auto"/>
                <w:highlight w:val="none"/>
                <w:lang w:val="de-DE"/>
              </w:rPr>
              <w:t>米范围内</w:t>
            </w:r>
            <w:r>
              <w:rPr>
                <w:rFonts w:hint="default" w:ascii="Times New Roman" w:hAnsi="Times New Roman" w:cs="Times New Roman"/>
                <w:color w:val="auto"/>
                <w:highlight w:val="none"/>
              </w:rPr>
              <w:t>无</w:t>
            </w:r>
            <w:r>
              <w:rPr>
                <w:rFonts w:hint="default" w:ascii="Times New Roman" w:hAnsi="Times New Roman" w:cs="Times New Roman"/>
                <w:color w:val="auto"/>
                <w:highlight w:val="none"/>
                <w:lang w:val="de-DE"/>
              </w:rPr>
              <w:t>声环境保护目标</w:t>
            </w:r>
            <w:r>
              <w:rPr>
                <w:rFonts w:hint="default" w:ascii="Times New Roman" w:hAnsi="Times New Roman" w:cs="Times New Roman"/>
                <w:color w:val="auto"/>
                <w:highlight w:val="none"/>
              </w:rPr>
              <w:t>。</w:t>
            </w:r>
          </w:p>
          <w:p w14:paraId="6FD3259F">
            <w:pPr>
              <w:spacing w:line="360" w:lineRule="auto"/>
              <w:ind w:firstLine="420" w:firstLineChars="200"/>
              <w:rPr>
                <w:rFonts w:hint="default" w:ascii="Times New Roman" w:hAnsi="Times New Roman" w:eastAsia="黑体" w:cs="Times New Roman"/>
                <w:color w:val="auto"/>
                <w:highlight w:val="none"/>
                <w:lang w:val="de-DE"/>
              </w:rPr>
            </w:pPr>
            <w:r>
              <w:rPr>
                <w:rFonts w:hint="default" w:ascii="Times New Roman" w:hAnsi="Times New Roman" w:eastAsia="黑体" w:cs="Times New Roman"/>
                <w:color w:val="auto"/>
                <w:highlight w:val="none"/>
                <w:lang w:val="de-DE"/>
              </w:rPr>
              <w:t>4、噪声源调查与分析</w:t>
            </w:r>
          </w:p>
          <w:p w14:paraId="3E6C0406">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de-DE"/>
              </w:rPr>
              <w:t>类比相关行业设备的噪声源强，本项目噪声源强调查清单如下</w:t>
            </w:r>
            <w:r>
              <w:rPr>
                <w:rFonts w:hint="default" w:ascii="Times New Roman" w:hAnsi="Times New Roman" w:cs="Times New Roman"/>
                <w:color w:val="auto"/>
                <w:highlight w:val="none"/>
              </w:rPr>
              <w:t>。</w:t>
            </w:r>
          </w:p>
          <w:p w14:paraId="5F5F8C2A">
            <w:pPr>
              <w:adjustRightInd w:val="0"/>
              <w:snapToGrid w:val="0"/>
              <w:spacing w:line="360" w:lineRule="auto"/>
              <w:jc w:val="center"/>
              <w:rPr>
                <w:rFonts w:hint="default"/>
                <w:b/>
                <w:color w:val="auto"/>
                <w:highlight w:val="none"/>
                <w:lang w:val="en-US" w:eastAsia="zh-CN"/>
              </w:rPr>
            </w:pPr>
            <w:r>
              <w:rPr>
                <w:rFonts w:hint="default"/>
                <w:b/>
                <w:color w:val="auto"/>
                <w:highlight w:val="none"/>
                <w:lang w:val="en-US" w:eastAsia="zh-CN"/>
              </w:rPr>
              <w:t>表4-</w:t>
            </w:r>
            <w:r>
              <w:rPr>
                <w:rFonts w:hint="eastAsia"/>
                <w:b/>
                <w:color w:val="auto"/>
                <w:highlight w:val="none"/>
                <w:lang w:val="en-US" w:eastAsia="zh-CN"/>
              </w:rPr>
              <w:t>9</w:t>
            </w:r>
            <w:r>
              <w:rPr>
                <w:rFonts w:hint="default"/>
                <w:b/>
                <w:color w:val="auto"/>
                <w:highlight w:val="none"/>
                <w:lang w:val="en-US" w:eastAsia="zh-CN"/>
              </w:rPr>
              <w:t xml:space="preserve">   本项目工业企业噪声源强调查清单（室内设备）</w:t>
            </w:r>
          </w:p>
          <w:tbl>
            <w:tblPr>
              <w:tblStyle w:val="1390"/>
              <w:tblW w:w="4995"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40"/>
              <w:gridCol w:w="261"/>
              <w:gridCol w:w="962"/>
              <w:gridCol w:w="532"/>
              <w:gridCol w:w="572"/>
              <w:gridCol w:w="651"/>
              <w:gridCol w:w="291"/>
              <w:gridCol w:w="490"/>
              <w:gridCol w:w="353"/>
              <w:gridCol w:w="835"/>
              <w:gridCol w:w="788"/>
              <w:gridCol w:w="592"/>
              <w:gridCol w:w="518"/>
              <w:gridCol w:w="779"/>
              <w:gridCol w:w="496"/>
            </w:tblGrid>
            <w:tr w14:paraId="459B5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143" w:type="pct"/>
                  <w:vMerge w:val="restart"/>
                  <w:noWrap w:val="0"/>
                  <w:vAlign w:val="center"/>
                </w:tcPr>
                <w:p w14:paraId="685554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080ED0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序号</w:t>
                  </w:r>
                </w:p>
              </w:tc>
              <w:tc>
                <w:tcPr>
                  <w:tcW w:w="156" w:type="pct"/>
                  <w:vMerge w:val="restart"/>
                  <w:noWrap w:val="0"/>
                  <w:vAlign w:val="center"/>
                </w:tcPr>
                <w:p w14:paraId="5194A0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4CDC09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 名称</w:t>
                  </w:r>
                </w:p>
              </w:tc>
              <w:tc>
                <w:tcPr>
                  <w:tcW w:w="575" w:type="pct"/>
                  <w:vMerge w:val="restart"/>
                  <w:noWrap w:val="0"/>
                  <w:vAlign w:val="center"/>
                </w:tcPr>
                <w:p w14:paraId="61A6B07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70DCB0F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声源名称</w:t>
                  </w:r>
                </w:p>
              </w:tc>
              <w:tc>
                <w:tcPr>
                  <w:tcW w:w="318" w:type="pct"/>
                  <w:vMerge w:val="restart"/>
                  <w:noWrap w:val="0"/>
                  <w:vAlign w:val="center"/>
                </w:tcPr>
                <w:p w14:paraId="69ECC4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144326C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型号</w:t>
                  </w:r>
                </w:p>
              </w:tc>
              <w:tc>
                <w:tcPr>
                  <w:tcW w:w="342" w:type="pct"/>
                  <w:noWrap w:val="0"/>
                  <w:vAlign w:val="center"/>
                </w:tcPr>
                <w:p w14:paraId="6B28767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声源源强</w:t>
                  </w:r>
                </w:p>
              </w:tc>
              <w:tc>
                <w:tcPr>
                  <w:tcW w:w="389" w:type="pct"/>
                  <w:vMerge w:val="restart"/>
                  <w:noWrap w:val="0"/>
                  <w:vAlign w:val="center"/>
                </w:tcPr>
                <w:p w14:paraId="3BDFF47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3DCAB7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声源控制措施</w:t>
                  </w:r>
                </w:p>
              </w:tc>
              <w:tc>
                <w:tcPr>
                  <w:tcW w:w="678" w:type="pct"/>
                  <w:gridSpan w:val="3"/>
                  <w:noWrap w:val="0"/>
                  <w:vAlign w:val="center"/>
                </w:tcPr>
                <w:p w14:paraId="6BEB76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空间相对位置</w:t>
                  </w:r>
                  <w:r>
                    <w:rPr>
                      <w:rFonts w:hint="default" w:ascii="Times New Roman" w:hAnsi="Times New Roman" w:eastAsia="Times New Roman" w:cs="Times New Roman"/>
                      <w:b/>
                      <w:bCs/>
                      <w:snapToGrid w:val="0"/>
                      <w:color w:val="auto"/>
                      <w:spacing w:val="0"/>
                      <w:kern w:val="0"/>
                      <w:sz w:val="18"/>
                      <w:szCs w:val="18"/>
                      <w:highlight w:val="none"/>
                    </w:rPr>
                    <w:t>/m</w:t>
                  </w:r>
                </w:p>
              </w:tc>
              <w:tc>
                <w:tcPr>
                  <w:tcW w:w="499" w:type="pct"/>
                  <w:vMerge w:val="restart"/>
                  <w:noWrap w:val="0"/>
                  <w:vAlign w:val="center"/>
                </w:tcPr>
                <w:p w14:paraId="06A797E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距室内</w:t>
                  </w:r>
                </w:p>
                <w:p w14:paraId="2149E5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边界距</w:t>
                  </w:r>
                </w:p>
                <w:p w14:paraId="0448DAB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离</w:t>
                  </w:r>
                  <w:r>
                    <w:rPr>
                      <w:rFonts w:hint="default" w:ascii="Times New Roman" w:hAnsi="Times New Roman" w:eastAsia="Times New Roman" w:cs="Times New Roman"/>
                      <w:b/>
                      <w:bCs/>
                      <w:snapToGrid w:val="0"/>
                      <w:color w:val="auto"/>
                      <w:spacing w:val="0"/>
                      <w:kern w:val="0"/>
                      <w:sz w:val="18"/>
                      <w:szCs w:val="18"/>
                      <w:highlight w:val="none"/>
                    </w:rPr>
                    <w:t>/m</w:t>
                  </w:r>
                </w:p>
              </w:tc>
              <w:tc>
                <w:tcPr>
                  <w:tcW w:w="471" w:type="pct"/>
                  <w:vMerge w:val="restart"/>
                  <w:noWrap w:val="0"/>
                  <w:vAlign w:val="center"/>
                </w:tcPr>
                <w:p w14:paraId="57C7B8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室内边 界声级 </w:t>
                  </w:r>
                  <w:r>
                    <w:rPr>
                      <w:rFonts w:hint="default" w:ascii="Times New Roman" w:hAnsi="Times New Roman" w:eastAsia="Times New Roman" w:cs="Times New Roman"/>
                      <w:b/>
                      <w:bCs/>
                      <w:snapToGrid w:val="0"/>
                      <w:color w:val="auto"/>
                      <w:spacing w:val="0"/>
                      <w:kern w:val="0"/>
                      <w:sz w:val="18"/>
                      <w:szCs w:val="18"/>
                      <w:highlight w:val="none"/>
                    </w:rPr>
                    <w:t>/dB</w:t>
                  </w:r>
                  <w:r>
                    <w:rPr>
                      <w:rFonts w:hint="default" w:ascii="Times New Roman" w:hAnsi="Times New Roman"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default" w:ascii="Times New Roman" w:hAnsi="Times New Roman" w:eastAsia="宋体" w:cs="Times New Roman"/>
                      <w:b/>
                      <w:bCs/>
                      <w:snapToGrid w:val="0"/>
                      <w:color w:val="auto"/>
                      <w:spacing w:val="0"/>
                      <w:kern w:val="0"/>
                      <w:sz w:val="18"/>
                      <w:szCs w:val="18"/>
                      <w:highlight w:val="none"/>
                      <w:lang w:eastAsia="zh-CN"/>
                    </w:rPr>
                    <w:t>）</w:t>
                  </w:r>
                </w:p>
              </w:tc>
              <w:tc>
                <w:tcPr>
                  <w:tcW w:w="354" w:type="pct"/>
                  <w:vMerge w:val="restart"/>
                  <w:noWrap w:val="0"/>
                  <w:vAlign w:val="center"/>
                </w:tcPr>
                <w:p w14:paraId="47AA67D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7E0033C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运行时段</w:t>
                  </w:r>
                </w:p>
              </w:tc>
              <w:tc>
                <w:tcPr>
                  <w:tcW w:w="309" w:type="pct"/>
                  <w:vMerge w:val="restart"/>
                  <w:noWrap w:val="0"/>
                  <w:vAlign w:val="center"/>
                </w:tcPr>
                <w:p w14:paraId="7EA710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建筑物插 入损失 </w:t>
                  </w:r>
                  <w:r>
                    <w:rPr>
                      <w:rFonts w:hint="default" w:ascii="Times New Roman" w:hAnsi="Times New Roman" w:eastAsia="Times New Roman" w:cs="Times New Roman"/>
                      <w:b/>
                      <w:bCs/>
                      <w:snapToGrid w:val="0"/>
                      <w:color w:val="auto"/>
                      <w:spacing w:val="0"/>
                      <w:kern w:val="0"/>
                      <w:sz w:val="18"/>
                      <w:szCs w:val="18"/>
                      <w:highlight w:val="none"/>
                    </w:rPr>
                    <w:t>/dB</w:t>
                  </w:r>
                  <w:r>
                    <w:rPr>
                      <w:rFonts w:hint="default" w:ascii="Times New Roman" w:hAnsi="Times New Roman"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default" w:ascii="Times New Roman" w:hAnsi="Times New Roman" w:eastAsia="宋体" w:cs="Times New Roman"/>
                      <w:b/>
                      <w:bCs/>
                      <w:snapToGrid w:val="0"/>
                      <w:color w:val="auto"/>
                      <w:spacing w:val="0"/>
                      <w:kern w:val="0"/>
                      <w:sz w:val="18"/>
                      <w:szCs w:val="18"/>
                      <w:highlight w:val="none"/>
                      <w:lang w:eastAsia="zh-CN"/>
                    </w:rPr>
                    <w:t>）</w:t>
                  </w:r>
                </w:p>
              </w:tc>
              <w:tc>
                <w:tcPr>
                  <w:tcW w:w="762" w:type="pct"/>
                  <w:gridSpan w:val="2"/>
                  <w:noWrap w:val="0"/>
                  <w:vAlign w:val="center"/>
                </w:tcPr>
                <w:p w14:paraId="69BFEA2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建筑物外噪声</w:t>
                  </w:r>
                </w:p>
              </w:tc>
            </w:tr>
            <w:tr w14:paraId="59BE6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2" w:hRule="atLeast"/>
              </w:trPr>
              <w:tc>
                <w:tcPr>
                  <w:tcW w:w="143" w:type="pct"/>
                  <w:vMerge w:val="continue"/>
                  <w:noWrap w:val="0"/>
                  <w:vAlign w:val="center"/>
                </w:tcPr>
                <w:p w14:paraId="66913C5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156" w:type="pct"/>
                  <w:vMerge w:val="continue"/>
                  <w:noWrap w:val="0"/>
                  <w:vAlign w:val="center"/>
                </w:tcPr>
                <w:p w14:paraId="4E26292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vMerge w:val="continue"/>
                  <w:noWrap w:val="0"/>
                  <w:vAlign w:val="center"/>
                </w:tcPr>
                <w:p w14:paraId="7DAFEB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18" w:type="pct"/>
                  <w:vMerge w:val="continue"/>
                  <w:noWrap w:val="0"/>
                  <w:vAlign w:val="center"/>
                </w:tcPr>
                <w:p w14:paraId="712ADD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42" w:type="pct"/>
                  <w:noWrap w:val="0"/>
                  <w:vAlign w:val="center"/>
                </w:tcPr>
                <w:p w14:paraId="539599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声功率级 </w:t>
                  </w:r>
                  <w:r>
                    <w:rPr>
                      <w:rFonts w:hint="default" w:ascii="Times New Roman" w:hAnsi="Times New Roman" w:eastAsia="Times New Roman" w:cs="Times New Roman"/>
                      <w:b/>
                      <w:bCs/>
                      <w:snapToGrid w:val="0"/>
                      <w:color w:val="auto"/>
                      <w:spacing w:val="0"/>
                      <w:kern w:val="0"/>
                      <w:sz w:val="18"/>
                      <w:szCs w:val="18"/>
                      <w:highlight w:val="none"/>
                    </w:rPr>
                    <w:t>/dB</w:t>
                  </w:r>
                  <w:r>
                    <w:rPr>
                      <w:rFonts w:hint="default" w:ascii="Times New Roman" w:hAnsi="Times New Roman"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default" w:ascii="Times New Roman" w:hAnsi="Times New Roman" w:eastAsia="宋体" w:cs="Times New Roman"/>
                      <w:b/>
                      <w:bCs/>
                      <w:snapToGrid w:val="0"/>
                      <w:color w:val="auto"/>
                      <w:spacing w:val="0"/>
                      <w:kern w:val="0"/>
                      <w:sz w:val="18"/>
                      <w:szCs w:val="18"/>
                      <w:highlight w:val="none"/>
                      <w:lang w:eastAsia="zh-CN"/>
                    </w:rPr>
                    <w:t>）</w:t>
                  </w:r>
                </w:p>
              </w:tc>
              <w:tc>
                <w:tcPr>
                  <w:tcW w:w="389" w:type="pct"/>
                  <w:vMerge w:val="continue"/>
                  <w:noWrap w:val="0"/>
                  <w:vAlign w:val="center"/>
                </w:tcPr>
                <w:p w14:paraId="0CB709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174" w:type="pct"/>
                  <w:noWrap w:val="0"/>
                  <w:vAlign w:val="center"/>
                </w:tcPr>
                <w:p w14:paraId="221A85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X</w:t>
                  </w:r>
                </w:p>
              </w:tc>
              <w:tc>
                <w:tcPr>
                  <w:tcW w:w="293" w:type="pct"/>
                  <w:noWrap w:val="0"/>
                  <w:vAlign w:val="center"/>
                </w:tcPr>
                <w:p w14:paraId="7B41E49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Y</w:t>
                  </w:r>
                </w:p>
              </w:tc>
              <w:tc>
                <w:tcPr>
                  <w:tcW w:w="211" w:type="pct"/>
                  <w:noWrap w:val="0"/>
                  <w:vAlign w:val="center"/>
                </w:tcPr>
                <w:p w14:paraId="35E37E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Z</w:t>
                  </w:r>
                </w:p>
              </w:tc>
              <w:tc>
                <w:tcPr>
                  <w:tcW w:w="499" w:type="pct"/>
                  <w:vMerge w:val="continue"/>
                  <w:noWrap w:val="0"/>
                  <w:vAlign w:val="center"/>
                </w:tcPr>
                <w:p w14:paraId="5B1A15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471" w:type="pct"/>
                  <w:vMerge w:val="continue"/>
                  <w:noWrap w:val="0"/>
                  <w:vAlign w:val="center"/>
                </w:tcPr>
                <w:p w14:paraId="3771AB4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54" w:type="pct"/>
                  <w:vMerge w:val="continue"/>
                  <w:noWrap w:val="0"/>
                  <w:vAlign w:val="center"/>
                </w:tcPr>
                <w:p w14:paraId="44F9F9C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09" w:type="pct"/>
                  <w:vMerge w:val="continue"/>
                  <w:noWrap w:val="0"/>
                  <w:vAlign w:val="center"/>
                </w:tcPr>
                <w:p w14:paraId="209A9B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465" w:type="pct"/>
                  <w:noWrap w:val="0"/>
                  <w:vAlign w:val="center"/>
                </w:tcPr>
                <w:p w14:paraId="5C3EC09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声压级 </w:t>
                  </w:r>
                  <w:r>
                    <w:rPr>
                      <w:rFonts w:hint="default" w:ascii="Times New Roman" w:hAnsi="Times New Roman" w:eastAsia="Times New Roman" w:cs="Times New Roman"/>
                      <w:b/>
                      <w:bCs/>
                      <w:snapToGrid w:val="0"/>
                      <w:color w:val="auto"/>
                      <w:spacing w:val="0"/>
                      <w:kern w:val="0"/>
                      <w:sz w:val="18"/>
                      <w:szCs w:val="18"/>
                      <w:highlight w:val="none"/>
                    </w:rPr>
                    <w:t>/dB</w:t>
                  </w:r>
                  <w:r>
                    <w:rPr>
                      <w:rFonts w:hint="default" w:ascii="Times New Roman" w:hAnsi="Times New Roman"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default" w:ascii="Times New Roman" w:hAnsi="Times New Roman" w:eastAsia="宋体" w:cs="Times New Roman"/>
                      <w:b/>
                      <w:bCs/>
                      <w:snapToGrid w:val="0"/>
                      <w:color w:val="auto"/>
                      <w:spacing w:val="0"/>
                      <w:kern w:val="0"/>
                      <w:sz w:val="18"/>
                      <w:szCs w:val="18"/>
                      <w:highlight w:val="none"/>
                      <w:lang w:eastAsia="zh-CN"/>
                    </w:rPr>
                    <w:t>）</w:t>
                  </w:r>
                </w:p>
              </w:tc>
              <w:tc>
                <w:tcPr>
                  <w:tcW w:w="296" w:type="pct"/>
                  <w:noWrap w:val="0"/>
                  <w:vAlign w:val="center"/>
                </w:tcPr>
                <w:p w14:paraId="319A207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 外距离</w:t>
                  </w:r>
                </w:p>
              </w:tc>
            </w:tr>
            <w:tr w14:paraId="06397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43" w:type="pct"/>
                  <w:noWrap w:val="0"/>
                  <w:vAlign w:val="center"/>
                </w:tcPr>
                <w:p w14:paraId="2239E4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c>
                <w:tcPr>
                  <w:tcW w:w="156" w:type="pct"/>
                  <w:vMerge w:val="restart"/>
                  <w:noWrap w:val="0"/>
                  <w:vAlign w:val="center"/>
                </w:tcPr>
                <w:p w14:paraId="5CBF25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r>
                    <w:rPr>
                      <w:rFonts w:hint="default" w:ascii="Times New Roman" w:hAnsi="Times New Roman" w:cs="Times New Roman"/>
                      <w:snapToGrid w:val="0"/>
                      <w:color w:val="auto"/>
                      <w:spacing w:val="0"/>
                      <w:kern w:val="0"/>
                      <w:sz w:val="18"/>
                      <w:szCs w:val="18"/>
                      <w:highlight w:val="none"/>
                      <w:lang w:val="en-US" w:eastAsia="zh-CN"/>
                    </w:rPr>
                    <w:t>生产车间</w:t>
                  </w:r>
                </w:p>
              </w:tc>
              <w:tc>
                <w:tcPr>
                  <w:tcW w:w="575" w:type="pct"/>
                  <w:shd w:val="clear" w:color="auto" w:fill="auto"/>
                  <w:noWrap w:val="0"/>
                  <w:vAlign w:val="center"/>
                </w:tcPr>
                <w:p w14:paraId="1FD560D7">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振动筛</w:t>
                  </w:r>
                </w:p>
              </w:tc>
              <w:tc>
                <w:tcPr>
                  <w:tcW w:w="318" w:type="pct"/>
                  <w:noWrap w:val="0"/>
                  <w:vAlign w:val="center"/>
                </w:tcPr>
                <w:p w14:paraId="39D3AF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snapToGrid w:val="0"/>
                      <w:color w:val="auto"/>
                      <w:spacing w:val="0"/>
                      <w:kern w:val="0"/>
                      <w:sz w:val="18"/>
                      <w:szCs w:val="18"/>
                      <w:highlight w:val="none"/>
                      <w:u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0492F2F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restart"/>
                  <w:noWrap w:val="0"/>
                  <w:vAlign w:val="center"/>
                </w:tcPr>
                <w:p w14:paraId="45E120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rPr>
                    <w:t>选择低噪声设备，厂房隔声、隔声罩、基础减震、采用软接头</w:t>
                  </w:r>
                  <w:r>
                    <w:rPr>
                      <w:rFonts w:hint="eastAsia" w:ascii="Times New Roman" w:hAnsi="Times New Roman" w:cs="Times New Roman"/>
                      <w:snapToGrid w:val="0"/>
                      <w:color w:val="auto"/>
                      <w:spacing w:val="0"/>
                      <w:kern w:val="0"/>
                      <w:sz w:val="18"/>
                      <w:szCs w:val="18"/>
                      <w:highlight w:val="none"/>
                      <w:lang w:val="en-US" w:eastAsia="zh-CN"/>
                    </w:rPr>
                    <w:t>-10</w:t>
                  </w:r>
                </w:p>
              </w:tc>
              <w:tc>
                <w:tcPr>
                  <w:tcW w:w="174" w:type="pct"/>
                  <w:noWrap w:val="0"/>
                  <w:vAlign w:val="center"/>
                </w:tcPr>
                <w:p w14:paraId="14DD97B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28</w:t>
                  </w:r>
                </w:p>
              </w:tc>
              <w:tc>
                <w:tcPr>
                  <w:tcW w:w="293" w:type="pct"/>
                  <w:noWrap w:val="0"/>
                  <w:vAlign w:val="center"/>
                </w:tcPr>
                <w:p w14:paraId="52EBEBB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211" w:type="pct"/>
                  <w:noWrap w:val="0"/>
                  <w:vAlign w:val="center"/>
                </w:tcPr>
                <w:p w14:paraId="283B9D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34BEF1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w:t>
                  </w:r>
                </w:p>
                <w:p w14:paraId="42BC70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w:t>
                  </w:r>
                </w:p>
                <w:p w14:paraId="5C4844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w:t>
                  </w:r>
                </w:p>
                <w:p w14:paraId="5ECDDB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54123E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58.0</w:t>
                  </w:r>
                </w:p>
                <w:p w14:paraId="7A0ABC2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41.7</w:t>
                  </w:r>
                </w:p>
                <w:p w14:paraId="12AA920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35.8</w:t>
                  </w:r>
                </w:p>
                <w:p w14:paraId="0E0804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46.5</w:t>
                  </w:r>
                </w:p>
              </w:tc>
              <w:tc>
                <w:tcPr>
                  <w:tcW w:w="354" w:type="pct"/>
                  <w:vMerge w:val="restart"/>
                  <w:noWrap w:val="0"/>
                  <w:vAlign w:val="center"/>
                </w:tcPr>
                <w:p w14:paraId="51CDCA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ascii="Times New Roman" w:hAnsi="Times New Roman" w:cs="Times New Roman"/>
                      <w:snapToGrid w:val="0"/>
                      <w:color w:val="auto"/>
                      <w:spacing w:val="0"/>
                      <w:kern w:val="0"/>
                      <w:sz w:val="18"/>
                      <w:szCs w:val="18"/>
                      <w:highlight w:val="none"/>
                      <w:lang w:val="en-US" w:eastAsia="zh-CN"/>
                    </w:rPr>
                    <w:t>240</w:t>
                  </w:r>
                  <w:r>
                    <w:rPr>
                      <w:rFonts w:hint="default" w:ascii="Times New Roman" w:hAnsi="Times New Roman" w:cs="Times New Roman"/>
                      <w:snapToGrid w:val="0"/>
                      <w:color w:val="auto"/>
                      <w:spacing w:val="0"/>
                      <w:kern w:val="0"/>
                      <w:sz w:val="18"/>
                      <w:szCs w:val="18"/>
                      <w:highlight w:val="none"/>
                      <w:lang w:val="en-US" w:eastAsia="zh-CN"/>
                    </w:rPr>
                    <w:t>0h/a</w:t>
                  </w:r>
                </w:p>
              </w:tc>
              <w:tc>
                <w:tcPr>
                  <w:tcW w:w="309" w:type="pct"/>
                  <w:noWrap w:val="0"/>
                  <w:vAlign w:val="center"/>
                </w:tcPr>
                <w:p w14:paraId="6F7BB5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1C8C001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38.0</w:t>
                  </w:r>
                </w:p>
                <w:p w14:paraId="1EECF4E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21.7</w:t>
                  </w:r>
                </w:p>
                <w:p w14:paraId="4542BF3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15.8</w:t>
                  </w:r>
                </w:p>
                <w:p w14:paraId="400479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26.5</w:t>
                  </w:r>
                </w:p>
              </w:tc>
              <w:tc>
                <w:tcPr>
                  <w:tcW w:w="296" w:type="pct"/>
                  <w:noWrap w:val="0"/>
                  <w:vAlign w:val="center"/>
                </w:tcPr>
                <w:p w14:paraId="07D6D2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561E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43" w:type="pct"/>
                  <w:noWrap w:val="0"/>
                  <w:vAlign w:val="center"/>
                </w:tcPr>
                <w:p w14:paraId="3035A1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2</w:t>
                  </w:r>
                </w:p>
              </w:tc>
              <w:tc>
                <w:tcPr>
                  <w:tcW w:w="156" w:type="pct"/>
                  <w:vMerge w:val="continue"/>
                  <w:noWrap w:val="0"/>
                  <w:vAlign w:val="center"/>
                </w:tcPr>
                <w:p w14:paraId="156C44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29838E8">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振动筛</w:t>
                  </w:r>
                </w:p>
              </w:tc>
              <w:tc>
                <w:tcPr>
                  <w:tcW w:w="318" w:type="pct"/>
                  <w:noWrap w:val="0"/>
                  <w:vAlign w:val="center"/>
                </w:tcPr>
                <w:p w14:paraId="7BEFDD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36C0D1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55996B9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3F570AA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27</w:t>
                  </w:r>
                </w:p>
              </w:tc>
              <w:tc>
                <w:tcPr>
                  <w:tcW w:w="293" w:type="pct"/>
                  <w:noWrap w:val="0"/>
                  <w:vAlign w:val="center"/>
                </w:tcPr>
                <w:p w14:paraId="276BEC4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211" w:type="pct"/>
                  <w:noWrap w:val="0"/>
                  <w:vAlign w:val="center"/>
                </w:tcPr>
                <w:p w14:paraId="404B23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1D3E7D3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w:t>
                  </w:r>
                </w:p>
                <w:p w14:paraId="7AE76E6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w:t>
                  </w:r>
                </w:p>
                <w:p w14:paraId="23E6FE5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50</w:t>
                  </w:r>
                </w:p>
                <w:p w14:paraId="175F1FE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61512AD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56.0</w:t>
                  </w:r>
                </w:p>
                <w:p w14:paraId="5667CE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41.7</w:t>
                  </w:r>
                </w:p>
                <w:p w14:paraId="0287981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26.0</w:t>
                  </w:r>
                </w:p>
                <w:p w14:paraId="5879C1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46.5</w:t>
                  </w:r>
                </w:p>
              </w:tc>
              <w:tc>
                <w:tcPr>
                  <w:tcW w:w="354" w:type="pct"/>
                  <w:vMerge w:val="continue"/>
                  <w:noWrap w:val="0"/>
                  <w:vAlign w:val="center"/>
                </w:tcPr>
                <w:p w14:paraId="305BEF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09" w:type="pct"/>
                  <w:noWrap w:val="0"/>
                  <w:vAlign w:val="center"/>
                </w:tcPr>
                <w:p w14:paraId="16D062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29DA8B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36.0</w:t>
                  </w:r>
                </w:p>
                <w:p w14:paraId="39CEDA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21.7</w:t>
                  </w:r>
                </w:p>
                <w:p w14:paraId="3BC3FC3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6.0</w:t>
                  </w:r>
                </w:p>
                <w:p w14:paraId="4D236F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26.5</w:t>
                  </w:r>
                </w:p>
              </w:tc>
              <w:tc>
                <w:tcPr>
                  <w:tcW w:w="296" w:type="pct"/>
                  <w:noWrap w:val="0"/>
                  <w:vAlign w:val="center"/>
                </w:tcPr>
                <w:p w14:paraId="402F84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B642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33CB8D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3</w:t>
                  </w:r>
                </w:p>
              </w:tc>
              <w:tc>
                <w:tcPr>
                  <w:tcW w:w="156" w:type="pct"/>
                  <w:vMerge w:val="continue"/>
                  <w:noWrap w:val="0"/>
                  <w:vAlign w:val="center"/>
                </w:tcPr>
                <w:p w14:paraId="358C819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7822151E">
                  <w:pPr>
                    <w:keepNext w:val="0"/>
                    <w:keepLines w:val="0"/>
                    <w:pageBreakBefore w:val="0"/>
                    <w:kinsoku/>
                    <w:wordWrap/>
                    <w:overflowPunct/>
                    <w:topLinePunct w:val="0"/>
                    <w:bidi w:val="0"/>
                    <w:adjustRightInd w:val="0"/>
                    <w:snapToGrid w:val="0"/>
                    <w:spacing w:line="240" w:lineRule="auto"/>
                    <w:ind w:right="0" w:rightChars="0"/>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ascii="Times New Roman" w:hAnsi="Times New Roman" w:cs="Times New Roman"/>
                      <w:bCs/>
                      <w:color w:val="auto"/>
                      <w:sz w:val="18"/>
                      <w:szCs w:val="18"/>
                      <w:highlight w:val="none"/>
                      <w:lang w:val="en-US" w:eastAsia="zh-CN"/>
                    </w:rPr>
                    <w:t>筛选机</w:t>
                  </w:r>
                </w:p>
              </w:tc>
              <w:tc>
                <w:tcPr>
                  <w:tcW w:w="318" w:type="pct"/>
                  <w:noWrap w:val="0"/>
                  <w:vAlign w:val="center"/>
                </w:tcPr>
                <w:p w14:paraId="33E342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1909A2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2F45B53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541691A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31</w:t>
                  </w:r>
                </w:p>
              </w:tc>
              <w:tc>
                <w:tcPr>
                  <w:tcW w:w="293" w:type="pct"/>
                  <w:noWrap w:val="0"/>
                  <w:vAlign w:val="center"/>
                </w:tcPr>
                <w:p w14:paraId="03FD69B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9</w:t>
                  </w:r>
                </w:p>
              </w:tc>
              <w:tc>
                <w:tcPr>
                  <w:tcW w:w="211" w:type="pct"/>
                  <w:noWrap w:val="0"/>
                  <w:vAlign w:val="center"/>
                </w:tcPr>
                <w:p w14:paraId="79556DE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20493FD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w:t>
                  </w:r>
                </w:p>
                <w:p w14:paraId="748D2D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w:t>
                  </w:r>
                </w:p>
                <w:p w14:paraId="0990AD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53</w:t>
                  </w:r>
                </w:p>
                <w:p w14:paraId="2F37A7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8</w:t>
                  </w:r>
                </w:p>
              </w:tc>
              <w:tc>
                <w:tcPr>
                  <w:tcW w:w="471" w:type="pct"/>
                  <w:shd w:val="clear" w:color="auto" w:fill="auto"/>
                  <w:noWrap w:val="0"/>
                  <w:vAlign w:val="center"/>
                </w:tcPr>
                <w:p w14:paraId="10FFC1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64.0</w:t>
                  </w:r>
                </w:p>
                <w:p w14:paraId="60253CC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36.9</w:t>
                  </w:r>
                </w:p>
                <w:p w14:paraId="3770604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36.9</w:t>
                  </w:r>
                </w:p>
                <w:p w14:paraId="197B17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51.9</w:t>
                  </w:r>
                </w:p>
              </w:tc>
              <w:tc>
                <w:tcPr>
                  <w:tcW w:w="354" w:type="pct"/>
                  <w:vMerge w:val="continue"/>
                  <w:noWrap w:val="0"/>
                  <w:vAlign w:val="center"/>
                </w:tcPr>
                <w:p w14:paraId="288EC2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96F8C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7F155DF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34.0</w:t>
                  </w:r>
                </w:p>
                <w:p w14:paraId="17EBA3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16.9</w:t>
                  </w:r>
                </w:p>
                <w:p w14:paraId="297794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16.9</w:t>
                  </w:r>
                </w:p>
                <w:p w14:paraId="57A564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31.9</w:t>
                  </w:r>
                </w:p>
              </w:tc>
              <w:tc>
                <w:tcPr>
                  <w:tcW w:w="296" w:type="pct"/>
                  <w:noWrap w:val="0"/>
                  <w:vAlign w:val="center"/>
                </w:tcPr>
                <w:p w14:paraId="3FD7BE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F164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5B71A5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4</w:t>
                  </w:r>
                </w:p>
              </w:tc>
              <w:tc>
                <w:tcPr>
                  <w:tcW w:w="156" w:type="pct"/>
                  <w:vMerge w:val="continue"/>
                  <w:noWrap w:val="0"/>
                  <w:vAlign w:val="center"/>
                </w:tcPr>
                <w:p w14:paraId="0176C05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6F9C9556">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混料机</w:t>
                  </w:r>
                </w:p>
              </w:tc>
              <w:tc>
                <w:tcPr>
                  <w:tcW w:w="318" w:type="pct"/>
                  <w:noWrap w:val="0"/>
                  <w:vAlign w:val="center"/>
                </w:tcPr>
                <w:p w14:paraId="0241D5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1BC471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389" w:type="pct"/>
                  <w:vMerge w:val="continue"/>
                  <w:noWrap w:val="0"/>
                  <w:vAlign w:val="center"/>
                </w:tcPr>
                <w:p w14:paraId="0F00DC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6F32846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293" w:type="pct"/>
                  <w:noWrap w:val="0"/>
                  <w:vAlign w:val="center"/>
                </w:tcPr>
                <w:p w14:paraId="04D863D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211" w:type="pct"/>
                  <w:noWrap w:val="0"/>
                  <w:vAlign w:val="center"/>
                </w:tcPr>
                <w:p w14:paraId="5FCDCD2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22FD1C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w:t>
                  </w:r>
                </w:p>
                <w:p w14:paraId="0FCD157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w:t>
                  </w:r>
                </w:p>
                <w:p w14:paraId="31984EE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47</w:t>
                  </w:r>
                </w:p>
                <w:p w14:paraId="1E660C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4F3498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46.9</w:t>
                  </w:r>
                </w:p>
                <w:p w14:paraId="188D2D3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36.7</w:t>
                  </w:r>
                </w:p>
                <w:p w14:paraId="53E9D97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36.6</w:t>
                  </w:r>
                </w:p>
                <w:p w14:paraId="35489B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41.5</w:t>
                  </w:r>
                </w:p>
              </w:tc>
              <w:tc>
                <w:tcPr>
                  <w:tcW w:w="354" w:type="pct"/>
                  <w:vMerge w:val="continue"/>
                  <w:noWrap w:val="0"/>
                  <w:vAlign w:val="center"/>
                </w:tcPr>
                <w:p w14:paraId="0D9EF4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CB84E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6426C4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26.9</w:t>
                  </w:r>
                </w:p>
                <w:p w14:paraId="5170EB4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16.7</w:t>
                  </w:r>
                </w:p>
                <w:p w14:paraId="2060270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16.6</w:t>
                  </w:r>
                </w:p>
                <w:p w14:paraId="41DC2A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21.5</w:t>
                  </w:r>
                </w:p>
              </w:tc>
              <w:tc>
                <w:tcPr>
                  <w:tcW w:w="296" w:type="pct"/>
                  <w:noWrap w:val="0"/>
                  <w:vAlign w:val="center"/>
                </w:tcPr>
                <w:p w14:paraId="2BCCB9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3897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6652FB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5</w:t>
                  </w:r>
                </w:p>
              </w:tc>
              <w:tc>
                <w:tcPr>
                  <w:tcW w:w="156" w:type="pct"/>
                  <w:vMerge w:val="continue"/>
                  <w:noWrap w:val="0"/>
                  <w:vAlign w:val="center"/>
                </w:tcPr>
                <w:p w14:paraId="4064A3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47C04022">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混料机</w:t>
                  </w:r>
                </w:p>
              </w:tc>
              <w:tc>
                <w:tcPr>
                  <w:tcW w:w="318" w:type="pct"/>
                  <w:noWrap w:val="0"/>
                  <w:vAlign w:val="center"/>
                </w:tcPr>
                <w:p w14:paraId="25941B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75C96F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389" w:type="pct"/>
                  <w:vMerge w:val="continue"/>
                  <w:noWrap w:val="0"/>
                  <w:vAlign w:val="center"/>
                </w:tcPr>
                <w:p w14:paraId="0FAF161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3587576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21</w:t>
                  </w:r>
                </w:p>
              </w:tc>
              <w:tc>
                <w:tcPr>
                  <w:tcW w:w="293" w:type="pct"/>
                  <w:noWrap w:val="0"/>
                  <w:vAlign w:val="center"/>
                </w:tcPr>
                <w:p w14:paraId="45164DD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noWrap w:val="0"/>
                  <w:vAlign w:val="center"/>
                </w:tcPr>
                <w:p w14:paraId="318D3AA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07A030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9</w:t>
                  </w:r>
                </w:p>
                <w:p w14:paraId="38276D9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w:t>
                  </w:r>
                </w:p>
                <w:p w14:paraId="0A0A623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46</w:t>
                  </w:r>
                </w:p>
                <w:p w14:paraId="2EB0F3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25D9D8C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45.9</w:t>
                  </w:r>
                </w:p>
                <w:p w14:paraId="4D9F72D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34.6</w:t>
                  </w:r>
                </w:p>
                <w:p w14:paraId="169752E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31.7</w:t>
                  </w:r>
                </w:p>
                <w:p w14:paraId="57D19F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41.5</w:t>
                  </w:r>
                </w:p>
              </w:tc>
              <w:tc>
                <w:tcPr>
                  <w:tcW w:w="354" w:type="pct"/>
                  <w:vMerge w:val="continue"/>
                  <w:noWrap w:val="0"/>
                  <w:vAlign w:val="center"/>
                </w:tcPr>
                <w:p w14:paraId="76CD9A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F3575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1ABAC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25.9</w:t>
                  </w:r>
                </w:p>
                <w:p w14:paraId="6EE1B0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14.6</w:t>
                  </w:r>
                </w:p>
                <w:p w14:paraId="4C8F02D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11.7</w:t>
                  </w:r>
                </w:p>
                <w:p w14:paraId="61B431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21.5</w:t>
                  </w:r>
                </w:p>
              </w:tc>
              <w:tc>
                <w:tcPr>
                  <w:tcW w:w="296" w:type="pct"/>
                  <w:noWrap w:val="0"/>
                  <w:vAlign w:val="center"/>
                </w:tcPr>
                <w:p w14:paraId="682DCD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60F8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03362C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6</w:t>
                  </w:r>
                </w:p>
              </w:tc>
              <w:tc>
                <w:tcPr>
                  <w:tcW w:w="156" w:type="pct"/>
                  <w:vMerge w:val="continue"/>
                  <w:noWrap w:val="0"/>
                  <w:vAlign w:val="center"/>
                </w:tcPr>
                <w:p w14:paraId="6CF453A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6941B4AB">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混料机</w:t>
                  </w:r>
                </w:p>
              </w:tc>
              <w:tc>
                <w:tcPr>
                  <w:tcW w:w="318" w:type="pct"/>
                  <w:noWrap w:val="0"/>
                  <w:vAlign w:val="center"/>
                </w:tcPr>
                <w:p w14:paraId="79A1C6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0FBB9D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389" w:type="pct"/>
                  <w:vMerge w:val="continue"/>
                  <w:noWrap w:val="0"/>
                  <w:vAlign w:val="center"/>
                </w:tcPr>
                <w:p w14:paraId="6E7D89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10E5525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20</w:t>
                  </w:r>
                </w:p>
              </w:tc>
              <w:tc>
                <w:tcPr>
                  <w:tcW w:w="293" w:type="pct"/>
                  <w:noWrap w:val="0"/>
                  <w:vAlign w:val="center"/>
                </w:tcPr>
                <w:p w14:paraId="57B0F8D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noWrap w:val="0"/>
                  <w:vAlign w:val="center"/>
                </w:tcPr>
                <w:p w14:paraId="76D2232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740689D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10</w:t>
                  </w:r>
                </w:p>
                <w:p w14:paraId="1CF2E91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w:t>
                  </w:r>
                </w:p>
                <w:p w14:paraId="25CDA6F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p>
                <w:p w14:paraId="4BBAD1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1C74D42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45.0</w:t>
                  </w:r>
                </w:p>
                <w:p w14:paraId="79E33AC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34.6</w:t>
                  </w:r>
                </w:p>
                <w:p w14:paraId="35276D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31.9</w:t>
                  </w:r>
                </w:p>
                <w:p w14:paraId="75FD3B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41.5</w:t>
                  </w:r>
                </w:p>
              </w:tc>
              <w:tc>
                <w:tcPr>
                  <w:tcW w:w="354" w:type="pct"/>
                  <w:vMerge w:val="continue"/>
                  <w:noWrap w:val="0"/>
                  <w:vAlign w:val="center"/>
                </w:tcPr>
                <w:p w14:paraId="105F34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10E310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74DC33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25.0</w:t>
                  </w:r>
                </w:p>
                <w:p w14:paraId="41AFD12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14.6</w:t>
                  </w:r>
                </w:p>
                <w:p w14:paraId="565BB47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11.9</w:t>
                  </w:r>
                </w:p>
                <w:p w14:paraId="620685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21.5</w:t>
                  </w:r>
                </w:p>
              </w:tc>
              <w:tc>
                <w:tcPr>
                  <w:tcW w:w="296" w:type="pct"/>
                  <w:noWrap w:val="0"/>
                  <w:vAlign w:val="center"/>
                </w:tcPr>
                <w:p w14:paraId="24F946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95A7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6EFA90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7</w:t>
                  </w:r>
                </w:p>
              </w:tc>
              <w:tc>
                <w:tcPr>
                  <w:tcW w:w="156" w:type="pct"/>
                  <w:vMerge w:val="continue"/>
                  <w:noWrap w:val="0"/>
                  <w:vAlign w:val="center"/>
                </w:tcPr>
                <w:p w14:paraId="44FB6D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233EC5D">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混料机</w:t>
                  </w:r>
                </w:p>
              </w:tc>
              <w:tc>
                <w:tcPr>
                  <w:tcW w:w="318" w:type="pct"/>
                  <w:noWrap w:val="0"/>
                  <w:vAlign w:val="center"/>
                </w:tcPr>
                <w:p w14:paraId="36700C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56F7FC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389" w:type="pct"/>
                  <w:vMerge w:val="continue"/>
                  <w:noWrap w:val="0"/>
                  <w:vAlign w:val="center"/>
                </w:tcPr>
                <w:p w14:paraId="65CA3BE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0CEC6D7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93" w:type="pct"/>
                  <w:noWrap w:val="0"/>
                  <w:vAlign w:val="center"/>
                </w:tcPr>
                <w:p w14:paraId="25216A9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noWrap w:val="0"/>
                  <w:vAlign w:val="center"/>
                </w:tcPr>
                <w:p w14:paraId="611439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3A49396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11</w:t>
                  </w:r>
                </w:p>
                <w:p w14:paraId="2A8B544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w:t>
                  </w:r>
                </w:p>
                <w:p w14:paraId="504B10C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p>
                <w:p w14:paraId="17E447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5757ED5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41.2</w:t>
                  </w:r>
                </w:p>
                <w:p w14:paraId="0C1893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34.6</w:t>
                  </w:r>
                </w:p>
                <w:p w14:paraId="7B203AB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31.9</w:t>
                  </w:r>
                </w:p>
                <w:p w14:paraId="5B1A5C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32.1</w:t>
                  </w:r>
                </w:p>
              </w:tc>
              <w:tc>
                <w:tcPr>
                  <w:tcW w:w="354" w:type="pct"/>
                  <w:vMerge w:val="continue"/>
                  <w:noWrap w:val="0"/>
                  <w:vAlign w:val="center"/>
                </w:tcPr>
                <w:p w14:paraId="064861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6C813D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45711A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21.2</w:t>
                  </w:r>
                </w:p>
                <w:p w14:paraId="205BD5A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14.6</w:t>
                  </w:r>
                </w:p>
                <w:p w14:paraId="7C6F5DF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11.9</w:t>
                  </w:r>
                </w:p>
                <w:p w14:paraId="42A173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12.1</w:t>
                  </w:r>
                </w:p>
              </w:tc>
              <w:tc>
                <w:tcPr>
                  <w:tcW w:w="296" w:type="pct"/>
                  <w:noWrap w:val="0"/>
                  <w:vAlign w:val="center"/>
                </w:tcPr>
                <w:p w14:paraId="50A024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CAEE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575882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8</w:t>
                  </w:r>
                </w:p>
              </w:tc>
              <w:tc>
                <w:tcPr>
                  <w:tcW w:w="156" w:type="pct"/>
                  <w:vMerge w:val="continue"/>
                  <w:noWrap w:val="0"/>
                  <w:vAlign w:val="center"/>
                </w:tcPr>
                <w:p w14:paraId="28B900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56D83DB9">
                  <w:pPr>
                    <w:keepNext w:val="0"/>
                    <w:keepLines w:val="0"/>
                    <w:pageBreakBefore w:val="0"/>
                    <w:kinsoku/>
                    <w:wordWrap/>
                    <w:overflowPunct/>
                    <w:topLinePunct w:val="0"/>
                    <w:bidi w:val="0"/>
                    <w:adjustRightInd w:val="0"/>
                    <w:snapToGrid w:val="0"/>
                    <w:spacing w:line="240" w:lineRule="auto"/>
                    <w:ind w:right="0" w:rightChars="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冷压机</w:t>
                  </w:r>
                </w:p>
              </w:tc>
              <w:tc>
                <w:tcPr>
                  <w:tcW w:w="318" w:type="pct"/>
                  <w:noWrap w:val="0"/>
                  <w:vAlign w:val="center"/>
                </w:tcPr>
                <w:p w14:paraId="6CF729C5">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rPr>
                    <w:t>/</w:t>
                  </w:r>
                </w:p>
              </w:tc>
              <w:tc>
                <w:tcPr>
                  <w:tcW w:w="342" w:type="pct"/>
                  <w:noWrap w:val="0"/>
                  <w:vAlign w:val="center"/>
                </w:tcPr>
                <w:p w14:paraId="5272C7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3770BF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053B60D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14</w:t>
                  </w:r>
                </w:p>
              </w:tc>
              <w:tc>
                <w:tcPr>
                  <w:tcW w:w="293" w:type="pct"/>
                  <w:noWrap w:val="0"/>
                  <w:vAlign w:val="center"/>
                </w:tcPr>
                <w:p w14:paraId="5ACFC30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noWrap w:val="0"/>
                  <w:vAlign w:val="center"/>
                </w:tcPr>
                <w:p w14:paraId="4C79EBB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2931D82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15</w:t>
                  </w:r>
                </w:p>
                <w:p w14:paraId="3C930A7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w:t>
                  </w:r>
                </w:p>
                <w:p w14:paraId="72C1096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w:t>
                  </w:r>
                </w:p>
                <w:p w14:paraId="76CEBC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2252366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46.5</w:t>
                  </w:r>
                </w:p>
                <w:p w14:paraId="1035BA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39.6</w:t>
                  </w:r>
                </w:p>
                <w:p w14:paraId="4A73A1A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38.0</w:t>
                  </w:r>
                </w:p>
                <w:p w14:paraId="586DB4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46.5</w:t>
                  </w:r>
                </w:p>
              </w:tc>
              <w:tc>
                <w:tcPr>
                  <w:tcW w:w="354" w:type="pct"/>
                  <w:vMerge w:val="continue"/>
                  <w:noWrap w:val="0"/>
                  <w:vAlign w:val="center"/>
                </w:tcPr>
                <w:p w14:paraId="596479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2E27B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7BC1E2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26.5</w:t>
                  </w:r>
                </w:p>
                <w:p w14:paraId="0F2FD7C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19.6</w:t>
                  </w:r>
                </w:p>
                <w:p w14:paraId="6537A4B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18.0</w:t>
                  </w:r>
                </w:p>
                <w:p w14:paraId="25F56D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26.5</w:t>
                  </w:r>
                </w:p>
              </w:tc>
              <w:tc>
                <w:tcPr>
                  <w:tcW w:w="296" w:type="pct"/>
                  <w:noWrap w:val="0"/>
                  <w:vAlign w:val="center"/>
                </w:tcPr>
                <w:p w14:paraId="5F6124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9353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4CEB86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9</w:t>
                  </w:r>
                </w:p>
              </w:tc>
              <w:tc>
                <w:tcPr>
                  <w:tcW w:w="156" w:type="pct"/>
                  <w:vMerge w:val="continue"/>
                  <w:noWrap w:val="0"/>
                  <w:vAlign w:val="center"/>
                </w:tcPr>
                <w:p w14:paraId="3B4B70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1035DE4">
                  <w:pPr>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冷压机</w:t>
                  </w:r>
                </w:p>
              </w:tc>
              <w:tc>
                <w:tcPr>
                  <w:tcW w:w="318" w:type="pct"/>
                  <w:noWrap w:val="0"/>
                  <w:vAlign w:val="center"/>
                </w:tcPr>
                <w:p w14:paraId="730547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color w:val="auto"/>
                      <w:sz w:val="18"/>
                      <w:szCs w:val="18"/>
                      <w:highlight w:val="none"/>
                    </w:rPr>
                    <w:t>/</w:t>
                  </w:r>
                </w:p>
              </w:tc>
              <w:tc>
                <w:tcPr>
                  <w:tcW w:w="342" w:type="pct"/>
                  <w:noWrap w:val="0"/>
                  <w:vAlign w:val="center"/>
                </w:tcPr>
                <w:p w14:paraId="049ADD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23718A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5A9843D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13</w:t>
                  </w:r>
                </w:p>
              </w:tc>
              <w:tc>
                <w:tcPr>
                  <w:tcW w:w="293" w:type="pct"/>
                  <w:noWrap w:val="0"/>
                  <w:vAlign w:val="center"/>
                </w:tcPr>
                <w:p w14:paraId="1519246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noWrap w:val="0"/>
                  <w:vAlign w:val="center"/>
                </w:tcPr>
                <w:p w14:paraId="75A362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545BEB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16</w:t>
                  </w:r>
                </w:p>
                <w:p w14:paraId="0EB1CC2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w:t>
                  </w:r>
                </w:p>
                <w:p w14:paraId="7E98D9A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w:t>
                  </w:r>
                </w:p>
                <w:p w14:paraId="7B1BB6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01115E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45.9</w:t>
                  </w:r>
                </w:p>
                <w:p w14:paraId="35904F9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39.6</w:t>
                  </w:r>
                </w:p>
                <w:p w14:paraId="31AD4EC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38.2</w:t>
                  </w:r>
                </w:p>
                <w:p w14:paraId="526576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46.5</w:t>
                  </w:r>
                </w:p>
              </w:tc>
              <w:tc>
                <w:tcPr>
                  <w:tcW w:w="354" w:type="pct"/>
                  <w:vMerge w:val="continue"/>
                  <w:noWrap w:val="0"/>
                  <w:vAlign w:val="center"/>
                </w:tcPr>
                <w:p w14:paraId="0C74AB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06507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67AC36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25.9</w:t>
                  </w:r>
                </w:p>
                <w:p w14:paraId="60EEBCA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19.6</w:t>
                  </w:r>
                </w:p>
                <w:p w14:paraId="3DB6491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18.2</w:t>
                  </w:r>
                </w:p>
                <w:p w14:paraId="47CC20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26.5</w:t>
                  </w:r>
                </w:p>
              </w:tc>
              <w:tc>
                <w:tcPr>
                  <w:tcW w:w="296" w:type="pct"/>
                  <w:noWrap w:val="0"/>
                  <w:vAlign w:val="center"/>
                </w:tcPr>
                <w:p w14:paraId="183BDF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F8ED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27EAE0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w:t>
                  </w:r>
                </w:p>
              </w:tc>
              <w:tc>
                <w:tcPr>
                  <w:tcW w:w="156" w:type="pct"/>
                  <w:vMerge w:val="continue"/>
                  <w:noWrap w:val="0"/>
                  <w:vAlign w:val="center"/>
                </w:tcPr>
                <w:p w14:paraId="2F8A87A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F9EDA8A">
                  <w:pPr>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冷压机</w:t>
                  </w:r>
                </w:p>
              </w:tc>
              <w:tc>
                <w:tcPr>
                  <w:tcW w:w="318" w:type="pct"/>
                  <w:noWrap w:val="0"/>
                  <w:vAlign w:val="center"/>
                </w:tcPr>
                <w:p w14:paraId="27BF6D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noWrap w:val="0"/>
                  <w:vAlign w:val="center"/>
                </w:tcPr>
                <w:p w14:paraId="30560B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12CFF70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5059AA5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w:t>
                  </w:r>
                </w:p>
              </w:tc>
              <w:tc>
                <w:tcPr>
                  <w:tcW w:w="293" w:type="pct"/>
                  <w:noWrap w:val="0"/>
                  <w:vAlign w:val="center"/>
                </w:tcPr>
                <w:p w14:paraId="23CCD19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noWrap w:val="0"/>
                  <w:vAlign w:val="center"/>
                </w:tcPr>
                <w:p w14:paraId="1F2729E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1356257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17</w:t>
                  </w:r>
                </w:p>
                <w:p w14:paraId="26B1D44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w:t>
                  </w:r>
                </w:p>
                <w:p w14:paraId="3D6754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w:t>
                  </w:r>
                </w:p>
                <w:p w14:paraId="06CBC9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06C50B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45.4</w:t>
                  </w:r>
                </w:p>
                <w:p w14:paraId="5A74876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39.6</w:t>
                  </w:r>
                </w:p>
                <w:p w14:paraId="67CE8BF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38.4</w:t>
                  </w:r>
                </w:p>
                <w:p w14:paraId="5B319E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46.5</w:t>
                  </w:r>
                </w:p>
              </w:tc>
              <w:tc>
                <w:tcPr>
                  <w:tcW w:w="354" w:type="pct"/>
                  <w:vMerge w:val="continue"/>
                  <w:noWrap w:val="0"/>
                  <w:vAlign w:val="center"/>
                </w:tcPr>
                <w:p w14:paraId="625D96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58BAA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73B1FA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25.4</w:t>
                  </w:r>
                </w:p>
                <w:p w14:paraId="64E1D13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19.6</w:t>
                  </w:r>
                </w:p>
                <w:p w14:paraId="36F9D71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18.4</w:t>
                  </w:r>
                </w:p>
                <w:p w14:paraId="7CCF7C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26.5</w:t>
                  </w:r>
                </w:p>
              </w:tc>
              <w:tc>
                <w:tcPr>
                  <w:tcW w:w="296" w:type="pct"/>
                  <w:noWrap w:val="0"/>
                  <w:vAlign w:val="center"/>
                </w:tcPr>
                <w:p w14:paraId="46181E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4BCD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4D7665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w:t>
                  </w:r>
                </w:p>
              </w:tc>
              <w:tc>
                <w:tcPr>
                  <w:tcW w:w="156" w:type="pct"/>
                  <w:vMerge w:val="continue"/>
                  <w:noWrap w:val="0"/>
                  <w:vAlign w:val="center"/>
                </w:tcPr>
                <w:p w14:paraId="533A7D1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C86B60B">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冷压机</w:t>
                  </w:r>
                </w:p>
              </w:tc>
              <w:tc>
                <w:tcPr>
                  <w:tcW w:w="318" w:type="pct"/>
                  <w:noWrap w:val="0"/>
                  <w:vAlign w:val="center"/>
                </w:tcPr>
                <w:p w14:paraId="42BB9D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01F6E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2C4385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78FA98C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w:t>
                  </w:r>
                </w:p>
              </w:tc>
              <w:tc>
                <w:tcPr>
                  <w:tcW w:w="293" w:type="pct"/>
                  <w:noWrap w:val="0"/>
                  <w:vAlign w:val="center"/>
                </w:tcPr>
                <w:p w14:paraId="49D1AED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shd w:val="clear" w:color="auto" w:fill="auto"/>
                  <w:noWrap w:val="0"/>
                  <w:vAlign w:val="center"/>
                </w:tcPr>
                <w:p w14:paraId="395034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3D76BF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18</w:t>
                  </w:r>
                </w:p>
                <w:p w14:paraId="776F05E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w:t>
                  </w:r>
                </w:p>
                <w:p w14:paraId="04D2F1B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37</w:t>
                  </w:r>
                </w:p>
                <w:p w14:paraId="67FFE4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4E8669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44.9</w:t>
                  </w:r>
                </w:p>
                <w:p w14:paraId="6901EF5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39.6</w:t>
                  </w:r>
                </w:p>
                <w:p w14:paraId="216BFDF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38.6</w:t>
                  </w:r>
                </w:p>
                <w:p w14:paraId="34DFF1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46.5</w:t>
                  </w:r>
                </w:p>
              </w:tc>
              <w:tc>
                <w:tcPr>
                  <w:tcW w:w="354" w:type="pct"/>
                  <w:vMerge w:val="continue"/>
                  <w:noWrap w:val="0"/>
                  <w:vAlign w:val="center"/>
                </w:tcPr>
                <w:p w14:paraId="251EAC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9D30B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7E800F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24.9</w:t>
                  </w:r>
                </w:p>
                <w:p w14:paraId="63CDF97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19.6</w:t>
                  </w:r>
                </w:p>
                <w:p w14:paraId="6BED55A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18.6</w:t>
                  </w:r>
                </w:p>
                <w:p w14:paraId="39C869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26.5</w:t>
                  </w:r>
                </w:p>
              </w:tc>
              <w:tc>
                <w:tcPr>
                  <w:tcW w:w="296" w:type="pct"/>
                  <w:noWrap w:val="0"/>
                  <w:vAlign w:val="center"/>
                </w:tcPr>
                <w:p w14:paraId="28D0A4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7C6D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19C57D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12</w:t>
                  </w:r>
                </w:p>
              </w:tc>
              <w:tc>
                <w:tcPr>
                  <w:tcW w:w="156" w:type="pct"/>
                  <w:vMerge w:val="continue"/>
                  <w:noWrap w:val="0"/>
                  <w:vAlign w:val="center"/>
                </w:tcPr>
                <w:p w14:paraId="6E8BA56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26439541">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sz w:val="18"/>
                      <w:szCs w:val="18"/>
                      <w:highlight w:val="none"/>
                      <w:lang w:val="en-US" w:eastAsia="zh-CN"/>
                    </w:rPr>
                    <w:t>开刃机</w:t>
                  </w:r>
                </w:p>
              </w:tc>
              <w:tc>
                <w:tcPr>
                  <w:tcW w:w="318" w:type="pct"/>
                  <w:noWrap w:val="0"/>
                  <w:vAlign w:val="center"/>
                </w:tcPr>
                <w:p w14:paraId="1005CB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30C88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17F2EA3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22DD367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29</w:t>
                  </w:r>
                </w:p>
              </w:tc>
              <w:tc>
                <w:tcPr>
                  <w:tcW w:w="293" w:type="pct"/>
                  <w:noWrap w:val="0"/>
                  <w:vAlign w:val="center"/>
                </w:tcPr>
                <w:p w14:paraId="00E703A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369DE0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499" w:type="pct"/>
                  <w:noWrap w:val="0"/>
                  <w:vAlign w:val="center"/>
                </w:tcPr>
                <w:p w14:paraId="25E61B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w:t>
                  </w:r>
                </w:p>
                <w:p w14:paraId="480A631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20B0A2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w:t>
                  </w:r>
                </w:p>
                <w:p w14:paraId="31B608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2FECC33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63.0</w:t>
                  </w:r>
                </w:p>
                <w:p w14:paraId="221589E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4EDED69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40.8</w:t>
                  </w:r>
                </w:p>
                <w:p w14:paraId="4201AD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65BEE3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4211E8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26DF7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43.0</w:t>
                  </w:r>
                </w:p>
                <w:p w14:paraId="30C1E8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02D302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20.8</w:t>
                  </w:r>
                </w:p>
                <w:p w14:paraId="672144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7CA98F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CA53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610AE0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13</w:t>
                  </w:r>
                </w:p>
              </w:tc>
              <w:tc>
                <w:tcPr>
                  <w:tcW w:w="156" w:type="pct"/>
                  <w:vMerge w:val="continue"/>
                  <w:noWrap w:val="0"/>
                  <w:vAlign w:val="center"/>
                </w:tcPr>
                <w:p w14:paraId="0FCD87B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2D36B17A">
                  <w:pPr>
                    <w:keepNext w:val="0"/>
                    <w:keepLines w:val="0"/>
                    <w:pageBreakBefore w:val="0"/>
                    <w:kinsoku/>
                    <w:wordWrap/>
                    <w:overflowPunct/>
                    <w:topLinePunct w:val="0"/>
                    <w:bidi w:val="0"/>
                    <w:adjustRightInd w:val="0"/>
                    <w:snapToGrid w:val="0"/>
                    <w:spacing w:line="240" w:lineRule="auto"/>
                    <w:ind w:right="0" w:rightChars="0"/>
                    <w:jc w:val="center"/>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bCs/>
                      <w:sz w:val="18"/>
                      <w:szCs w:val="18"/>
                      <w:highlight w:val="none"/>
                      <w:lang w:val="en-US" w:eastAsia="zh-CN"/>
                    </w:rPr>
                    <w:t>开刃机</w:t>
                  </w:r>
                </w:p>
              </w:tc>
              <w:tc>
                <w:tcPr>
                  <w:tcW w:w="318" w:type="pct"/>
                  <w:noWrap w:val="0"/>
                  <w:vAlign w:val="center"/>
                </w:tcPr>
                <w:p w14:paraId="1B4C11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36916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3AD7E61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45EE2D2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27</w:t>
                  </w:r>
                </w:p>
              </w:tc>
              <w:tc>
                <w:tcPr>
                  <w:tcW w:w="293" w:type="pct"/>
                  <w:noWrap w:val="0"/>
                  <w:vAlign w:val="center"/>
                </w:tcPr>
                <w:p w14:paraId="4F1D6B1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5524C9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499" w:type="pct"/>
                  <w:noWrap w:val="0"/>
                  <w:vAlign w:val="center"/>
                </w:tcPr>
                <w:p w14:paraId="115F6C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w:t>
                  </w:r>
                </w:p>
                <w:p w14:paraId="4B7B7AA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7D74B10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50</w:t>
                  </w:r>
                </w:p>
                <w:p w14:paraId="26CAEC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5B7203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61.0</w:t>
                  </w:r>
                </w:p>
                <w:p w14:paraId="1FABCB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37A741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41.8</w:t>
                  </w:r>
                </w:p>
                <w:p w14:paraId="6E4C77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14B670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57FDC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2F262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41.0</w:t>
                  </w:r>
                </w:p>
                <w:p w14:paraId="42C211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75D18B1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21.8</w:t>
                  </w:r>
                </w:p>
                <w:p w14:paraId="0AEDAC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5B6860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D5F3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6548A3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14</w:t>
                  </w:r>
                </w:p>
              </w:tc>
              <w:tc>
                <w:tcPr>
                  <w:tcW w:w="156" w:type="pct"/>
                  <w:vMerge w:val="continue"/>
                  <w:noWrap w:val="0"/>
                  <w:vAlign w:val="center"/>
                </w:tcPr>
                <w:p w14:paraId="41A2A7F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52488F4">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车床</w:t>
                  </w:r>
                </w:p>
              </w:tc>
              <w:tc>
                <w:tcPr>
                  <w:tcW w:w="318" w:type="pct"/>
                  <w:noWrap w:val="0"/>
                  <w:vAlign w:val="center"/>
                </w:tcPr>
                <w:p w14:paraId="060011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ECC65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7A8942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27E8D1A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13</w:t>
                  </w:r>
                </w:p>
              </w:tc>
              <w:tc>
                <w:tcPr>
                  <w:tcW w:w="293" w:type="pct"/>
                  <w:noWrap w:val="0"/>
                  <w:vAlign w:val="center"/>
                </w:tcPr>
                <w:p w14:paraId="431785B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167AB4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28016A4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15</w:t>
                  </w:r>
                </w:p>
                <w:p w14:paraId="773DCA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29CC9D9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w:t>
                  </w:r>
                </w:p>
                <w:p w14:paraId="008A81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7907246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51.5</w:t>
                  </w:r>
                </w:p>
                <w:p w14:paraId="56D54F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232BB0F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43.0</w:t>
                  </w:r>
                </w:p>
                <w:p w14:paraId="4734B0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690034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4F28A8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D111B8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31.5</w:t>
                  </w:r>
                </w:p>
                <w:p w14:paraId="18E02BB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0A1DA3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23.0</w:t>
                  </w:r>
                </w:p>
                <w:p w14:paraId="183CE1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47BECC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DE6D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44AEB5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156" w:type="pct"/>
                  <w:vMerge w:val="continue"/>
                  <w:noWrap w:val="0"/>
                  <w:vAlign w:val="center"/>
                </w:tcPr>
                <w:p w14:paraId="2FCE32C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695FCADF">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车床</w:t>
                  </w:r>
                </w:p>
              </w:tc>
              <w:tc>
                <w:tcPr>
                  <w:tcW w:w="318" w:type="pct"/>
                  <w:noWrap w:val="0"/>
                  <w:vAlign w:val="center"/>
                </w:tcPr>
                <w:p w14:paraId="4A576D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7F346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0825FB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451CABA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12</w:t>
                  </w:r>
                </w:p>
              </w:tc>
              <w:tc>
                <w:tcPr>
                  <w:tcW w:w="293" w:type="pct"/>
                  <w:noWrap w:val="0"/>
                  <w:vAlign w:val="center"/>
                </w:tcPr>
                <w:p w14:paraId="2360124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4CA738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056BC9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16</w:t>
                  </w:r>
                </w:p>
                <w:p w14:paraId="12E1686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2B46007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w:t>
                  </w:r>
                </w:p>
                <w:p w14:paraId="5FF2FD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4290514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50.9</w:t>
                  </w:r>
                </w:p>
                <w:p w14:paraId="2533BF7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3D44E6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43.2</w:t>
                  </w:r>
                </w:p>
                <w:p w14:paraId="23BFA1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6C02AD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6522E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4030EB8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30.9</w:t>
                  </w:r>
                </w:p>
                <w:p w14:paraId="1F996F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58A924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23.2</w:t>
                  </w:r>
                </w:p>
                <w:p w14:paraId="39F9D1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288DF6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D1A3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678CAD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156" w:type="pct"/>
                  <w:vMerge w:val="continue"/>
                  <w:noWrap w:val="0"/>
                  <w:vAlign w:val="center"/>
                </w:tcPr>
                <w:p w14:paraId="77882E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3AC3D959">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高频焊机</w:t>
                  </w:r>
                </w:p>
              </w:tc>
              <w:tc>
                <w:tcPr>
                  <w:tcW w:w="318" w:type="pct"/>
                  <w:noWrap w:val="0"/>
                  <w:vAlign w:val="center"/>
                </w:tcPr>
                <w:p w14:paraId="38CB3B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6A96C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03C527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0A37CC6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7</w:t>
                  </w:r>
                </w:p>
              </w:tc>
              <w:tc>
                <w:tcPr>
                  <w:tcW w:w="293" w:type="pct"/>
                  <w:noWrap w:val="0"/>
                  <w:vAlign w:val="center"/>
                </w:tcPr>
                <w:p w14:paraId="3F1A2A0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w:t>
                  </w:r>
                </w:p>
              </w:tc>
              <w:tc>
                <w:tcPr>
                  <w:tcW w:w="211" w:type="pct"/>
                  <w:shd w:val="clear" w:color="auto" w:fill="auto"/>
                  <w:noWrap w:val="0"/>
                  <w:vAlign w:val="center"/>
                </w:tcPr>
                <w:p w14:paraId="05F534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499" w:type="pct"/>
                  <w:noWrap w:val="0"/>
                  <w:vAlign w:val="center"/>
                </w:tcPr>
                <w:p w14:paraId="13D0B0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21</w:t>
                  </w:r>
                </w:p>
                <w:p w14:paraId="5D869F8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w:t>
                  </w:r>
                </w:p>
                <w:p w14:paraId="5FC77A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33</w:t>
                  </w:r>
                </w:p>
                <w:p w14:paraId="4D1B7A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1AC335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43.6</w:t>
                  </w:r>
                </w:p>
                <w:p w14:paraId="0C8F2C8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39.6</w:t>
                  </w:r>
                </w:p>
                <w:p w14:paraId="2F54B52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39.6</w:t>
                  </w:r>
                </w:p>
                <w:p w14:paraId="4B324C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46.5</w:t>
                  </w:r>
                </w:p>
              </w:tc>
              <w:tc>
                <w:tcPr>
                  <w:tcW w:w="354" w:type="pct"/>
                  <w:vMerge w:val="continue"/>
                  <w:noWrap w:val="0"/>
                  <w:vAlign w:val="center"/>
                </w:tcPr>
                <w:p w14:paraId="186CD4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ADEA4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191868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23.6</w:t>
                  </w:r>
                </w:p>
                <w:p w14:paraId="3B4ABA0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19.6</w:t>
                  </w:r>
                </w:p>
                <w:p w14:paraId="0B7CC0B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19.6</w:t>
                  </w:r>
                </w:p>
                <w:p w14:paraId="7426FC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26.5</w:t>
                  </w:r>
                </w:p>
              </w:tc>
              <w:tc>
                <w:tcPr>
                  <w:tcW w:w="296" w:type="pct"/>
                  <w:noWrap w:val="0"/>
                  <w:vAlign w:val="center"/>
                </w:tcPr>
                <w:p w14:paraId="76BE38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19D7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7CC25E6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17</w:t>
                  </w:r>
                </w:p>
              </w:tc>
              <w:tc>
                <w:tcPr>
                  <w:tcW w:w="156" w:type="pct"/>
                  <w:vMerge w:val="continue"/>
                  <w:noWrap w:val="0"/>
                  <w:vAlign w:val="center"/>
                </w:tcPr>
                <w:p w14:paraId="575AB39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3095A5B2">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高频焊机</w:t>
                  </w:r>
                </w:p>
              </w:tc>
              <w:tc>
                <w:tcPr>
                  <w:tcW w:w="318" w:type="pct"/>
                  <w:noWrap w:val="0"/>
                  <w:vAlign w:val="center"/>
                </w:tcPr>
                <w:p w14:paraId="475546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62A684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4345C49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57DE72F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6</w:t>
                  </w:r>
                </w:p>
              </w:tc>
              <w:tc>
                <w:tcPr>
                  <w:tcW w:w="293" w:type="pct"/>
                  <w:noWrap w:val="0"/>
                  <w:vAlign w:val="center"/>
                </w:tcPr>
                <w:p w14:paraId="12443F3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shd w:val="clear" w:color="auto" w:fill="auto"/>
                  <w:noWrap w:val="0"/>
                  <w:vAlign w:val="center"/>
                </w:tcPr>
                <w:p w14:paraId="55069D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499" w:type="pct"/>
                  <w:noWrap w:val="0"/>
                  <w:vAlign w:val="center"/>
                </w:tcPr>
                <w:p w14:paraId="56790FB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w:t>
                  </w:r>
                </w:p>
                <w:p w14:paraId="1B6BB1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33</w:t>
                  </w:r>
                </w:p>
                <w:p w14:paraId="1754434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32</w:t>
                  </w:r>
                </w:p>
                <w:p w14:paraId="409488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34F022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43.2</w:t>
                  </w:r>
                </w:p>
                <w:p w14:paraId="5CE02C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39.6</w:t>
                  </w:r>
                </w:p>
                <w:p w14:paraId="0E72CEB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39.9</w:t>
                  </w:r>
                </w:p>
                <w:p w14:paraId="3BE96C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46.5</w:t>
                  </w:r>
                </w:p>
              </w:tc>
              <w:tc>
                <w:tcPr>
                  <w:tcW w:w="354" w:type="pct"/>
                  <w:vMerge w:val="continue"/>
                  <w:noWrap w:val="0"/>
                  <w:vAlign w:val="center"/>
                </w:tcPr>
                <w:p w14:paraId="324230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44008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3424E2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23.2</w:t>
                  </w:r>
                </w:p>
                <w:p w14:paraId="2803D3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19.6</w:t>
                  </w:r>
                </w:p>
                <w:p w14:paraId="17F39E3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19.9</w:t>
                  </w:r>
                </w:p>
                <w:p w14:paraId="3EFCE6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26.5</w:t>
                  </w:r>
                </w:p>
              </w:tc>
              <w:tc>
                <w:tcPr>
                  <w:tcW w:w="296" w:type="pct"/>
                  <w:noWrap w:val="0"/>
                  <w:vAlign w:val="center"/>
                </w:tcPr>
                <w:p w14:paraId="2CD983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FD78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51D0A3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18</w:t>
                  </w:r>
                </w:p>
              </w:tc>
              <w:tc>
                <w:tcPr>
                  <w:tcW w:w="156" w:type="pct"/>
                  <w:vMerge w:val="continue"/>
                  <w:noWrap w:val="0"/>
                  <w:vAlign w:val="center"/>
                </w:tcPr>
                <w:p w14:paraId="3504DE0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4C04CE1C">
                  <w:pPr>
                    <w:keepNext w:val="0"/>
                    <w:keepLines w:val="0"/>
                    <w:pageBreakBefore w:val="0"/>
                    <w:kinsoku/>
                    <w:wordWrap/>
                    <w:overflowPunct/>
                    <w:topLinePunct w:val="0"/>
                    <w:bidi w:val="0"/>
                    <w:adjustRightInd w:val="0"/>
                    <w:snapToGrid w:val="0"/>
                    <w:spacing w:line="240" w:lineRule="auto"/>
                    <w:ind w:right="0" w:rightChars="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台钻</w:t>
                  </w:r>
                </w:p>
              </w:tc>
              <w:tc>
                <w:tcPr>
                  <w:tcW w:w="318" w:type="pct"/>
                  <w:noWrap w:val="0"/>
                  <w:vAlign w:val="center"/>
                </w:tcPr>
                <w:p w14:paraId="37A67E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1188F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603211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6564944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293" w:type="pct"/>
                  <w:noWrap w:val="0"/>
                  <w:vAlign w:val="center"/>
                </w:tcPr>
                <w:p w14:paraId="58D75EE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173683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499" w:type="pct"/>
                  <w:noWrap w:val="0"/>
                  <w:vAlign w:val="center"/>
                </w:tcPr>
                <w:p w14:paraId="64C988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w:t>
                  </w:r>
                </w:p>
                <w:p w14:paraId="7EC3760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6572E2A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47</w:t>
                  </w:r>
                </w:p>
                <w:p w14:paraId="1CC31D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37D0CD6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56.9</w:t>
                  </w:r>
                </w:p>
                <w:p w14:paraId="08AA66E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2BCA769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41.6</w:t>
                  </w:r>
                </w:p>
                <w:p w14:paraId="11BEC4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5C0013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ED567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B244A1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36.9</w:t>
                  </w:r>
                </w:p>
                <w:p w14:paraId="6779EE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088E5EF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21.6</w:t>
                  </w:r>
                </w:p>
                <w:p w14:paraId="702A17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4BF071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9D6A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71783C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156" w:type="pct"/>
                  <w:vMerge w:val="continue"/>
                  <w:noWrap w:val="0"/>
                  <w:vAlign w:val="center"/>
                </w:tcPr>
                <w:p w14:paraId="0EF3248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33B3CC5">
                  <w:pPr>
                    <w:adjustRightInd w:val="0"/>
                    <w:snapToGrid w:val="0"/>
                    <w:jc w:val="center"/>
                    <w:rPr>
                      <w:rFonts w:hint="eastAsia" w:ascii="Times New Roman" w:hAnsi="Times New Roman" w:eastAsia="宋体" w:cs="Times New Roman"/>
                      <w:bCs/>
                      <w:sz w:val="18"/>
                      <w:szCs w:val="18"/>
                      <w:highlight w:val="none"/>
                    </w:rPr>
                  </w:pPr>
                  <w:r>
                    <w:rPr>
                      <w:rFonts w:hint="eastAsia" w:ascii="Times New Roman" w:hAnsi="Times New Roman" w:eastAsia="宋体" w:cs="Times New Roman"/>
                      <w:bCs/>
                      <w:sz w:val="18"/>
                      <w:szCs w:val="18"/>
                      <w:highlight w:val="none"/>
                    </w:rPr>
                    <w:t>台钻</w:t>
                  </w:r>
                </w:p>
              </w:tc>
              <w:tc>
                <w:tcPr>
                  <w:tcW w:w="318" w:type="pct"/>
                  <w:noWrap w:val="0"/>
                  <w:vAlign w:val="center"/>
                </w:tcPr>
                <w:p w14:paraId="11BC12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37987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7ADEB57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04D7BC2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21</w:t>
                  </w:r>
                </w:p>
              </w:tc>
              <w:tc>
                <w:tcPr>
                  <w:tcW w:w="293" w:type="pct"/>
                  <w:noWrap w:val="0"/>
                  <w:vAlign w:val="center"/>
                </w:tcPr>
                <w:p w14:paraId="51A2D5B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16E25F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277D3F2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9</w:t>
                  </w:r>
                </w:p>
                <w:p w14:paraId="701E9F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5679C39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46</w:t>
                  </w:r>
                </w:p>
                <w:p w14:paraId="3C602A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0A4F48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55.9</w:t>
                  </w:r>
                </w:p>
                <w:p w14:paraId="02DD15F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6E3D4E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41.7</w:t>
                  </w:r>
                </w:p>
                <w:p w14:paraId="1FBE92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3BA7D9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69716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1BBBAB5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35.9</w:t>
                  </w:r>
                </w:p>
                <w:p w14:paraId="1180811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023DA77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21.7</w:t>
                  </w:r>
                </w:p>
                <w:p w14:paraId="5DC2CB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78E582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F351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3A3E5B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20</w:t>
                  </w:r>
                </w:p>
              </w:tc>
              <w:tc>
                <w:tcPr>
                  <w:tcW w:w="156" w:type="pct"/>
                  <w:vMerge w:val="continue"/>
                  <w:noWrap w:val="0"/>
                  <w:vAlign w:val="center"/>
                </w:tcPr>
                <w:p w14:paraId="0619A7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2504CCA7">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1#</w:t>
                  </w:r>
                  <w:r>
                    <w:rPr>
                      <w:rFonts w:hint="eastAsia" w:ascii="Times New Roman" w:hAnsi="Times New Roman" w:cs="Times New Roman"/>
                      <w:bCs/>
                      <w:color w:val="auto"/>
                      <w:sz w:val="18"/>
                      <w:szCs w:val="18"/>
                      <w:highlight w:val="none"/>
                      <w:lang w:val="en-US" w:eastAsia="zh-CN"/>
                    </w:rPr>
                    <w:t>布袋除尘器</w:t>
                  </w:r>
                  <w:r>
                    <w:rPr>
                      <w:rFonts w:hint="eastAsia" w:cs="Times New Roman"/>
                      <w:bCs/>
                      <w:color w:val="auto"/>
                      <w:sz w:val="18"/>
                      <w:szCs w:val="18"/>
                      <w:highlight w:val="none"/>
                      <w:lang w:val="en-US" w:eastAsia="zh-CN"/>
                    </w:rPr>
                    <w:t>+风机</w:t>
                  </w:r>
                </w:p>
              </w:tc>
              <w:tc>
                <w:tcPr>
                  <w:tcW w:w="318" w:type="pct"/>
                  <w:noWrap w:val="0"/>
                  <w:vAlign w:val="center"/>
                </w:tcPr>
                <w:p w14:paraId="5FD0F5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700C7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2F7DD4C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62E7F19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32</w:t>
                  </w:r>
                </w:p>
              </w:tc>
              <w:tc>
                <w:tcPr>
                  <w:tcW w:w="293" w:type="pct"/>
                  <w:noWrap w:val="0"/>
                  <w:vAlign w:val="center"/>
                </w:tcPr>
                <w:p w14:paraId="42E86F8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6</w:t>
                  </w:r>
                </w:p>
              </w:tc>
              <w:tc>
                <w:tcPr>
                  <w:tcW w:w="211" w:type="pct"/>
                  <w:shd w:val="clear" w:color="auto" w:fill="auto"/>
                  <w:noWrap w:val="0"/>
                  <w:vAlign w:val="center"/>
                </w:tcPr>
                <w:p w14:paraId="19F941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w:t>
                  </w:r>
                </w:p>
              </w:tc>
              <w:tc>
                <w:tcPr>
                  <w:tcW w:w="499" w:type="pct"/>
                  <w:noWrap w:val="0"/>
                  <w:vAlign w:val="center"/>
                </w:tcPr>
                <w:p w14:paraId="48DB49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w:t>
                  </w:r>
                </w:p>
                <w:p w14:paraId="7981A59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29</w:t>
                  </w:r>
                </w:p>
                <w:p w14:paraId="42A0C6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53</w:t>
                  </w:r>
                </w:p>
                <w:p w14:paraId="033706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12</w:t>
                  </w:r>
                </w:p>
              </w:tc>
              <w:tc>
                <w:tcPr>
                  <w:tcW w:w="471" w:type="pct"/>
                  <w:shd w:val="clear" w:color="auto" w:fill="auto"/>
                  <w:noWrap w:val="0"/>
                  <w:vAlign w:val="center"/>
                </w:tcPr>
                <w:p w14:paraId="73000EB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69.0</w:t>
                  </w:r>
                </w:p>
                <w:p w14:paraId="685609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45.8</w:t>
                  </w:r>
                </w:p>
                <w:p w14:paraId="1A6774B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40.5</w:t>
                  </w:r>
                </w:p>
                <w:p w14:paraId="79F2D4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53.4</w:t>
                  </w:r>
                </w:p>
              </w:tc>
              <w:tc>
                <w:tcPr>
                  <w:tcW w:w="354" w:type="pct"/>
                  <w:vMerge w:val="continue"/>
                  <w:noWrap w:val="0"/>
                  <w:vAlign w:val="center"/>
                </w:tcPr>
                <w:p w14:paraId="73D372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7BB732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CF3B0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49.0</w:t>
                  </w:r>
                </w:p>
                <w:p w14:paraId="7CE6743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25.8</w:t>
                  </w:r>
                </w:p>
                <w:p w14:paraId="647DEB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20.5</w:t>
                  </w:r>
                </w:p>
                <w:p w14:paraId="666079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33.4</w:t>
                  </w:r>
                </w:p>
              </w:tc>
              <w:tc>
                <w:tcPr>
                  <w:tcW w:w="296" w:type="pct"/>
                  <w:noWrap w:val="0"/>
                  <w:vAlign w:val="center"/>
                </w:tcPr>
                <w:p w14:paraId="1F995E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AFEE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74D3D2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21</w:t>
                  </w:r>
                </w:p>
              </w:tc>
              <w:tc>
                <w:tcPr>
                  <w:tcW w:w="156" w:type="pct"/>
                  <w:vMerge w:val="continue"/>
                  <w:noWrap w:val="0"/>
                  <w:vAlign w:val="center"/>
                </w:tcPr>
                <w:p w14:paraId="418BC5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9B2FFC3">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台钻</w:t>
                  </w:r>
                </w:p>
              </w:tc>
              <w:tc>
                <w:tcPr>
                  <w:tcW w:w="318" w:type="pct"/>
                  <w:noWrap w:val="0"/>
                  <w:vAlign w:val="center"/>
                </w:tcPr>
                <w:p w14:paraId="47F0A1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2AD8D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382B24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14E0373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93" w:type="pct"/>
                  <w:noWrap w:val="0"/>
                  <w:vAlign w:val="center"/>
                </w:tcPr>
                <w:p w14:paraId="510E440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746841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5F1D2E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10</w:t>
                  </w:r>
                </w:p>
                <w:p w14:paraId="42F261C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5A2A00B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p>
                <w:p w14:paraId="66E7C8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56BF37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55.0</w:t>
                  </w:r>
                </w:p>
                <w:p w14:paraId="3A7BA1F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432AD5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41.9</w:t>
                  </w:r>
                </w:p>
                <w:p w14:paraId="01E2BF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51A280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32151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14CB726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35.0</w:t>
                  </w:r>
                </w:p>
                <w:p w14:paraId="3F1E53B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2552683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21.9</w:t>
                  </w:r>
                </w:p>
                <w:p w14:paraId="0F42BC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7DCB46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C1B1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0E8B95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156" w:type="pct"/>
                  <w:vMerge w:val="continue"/>
                  <w:noWrap w:val="0"/>
                  <w:vAlign w:val="center"/>
                </w:tcPr>
                <w:p w14:paraId="1B1DE1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9433E6E">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台钻</w:t>
                  </w:r>
                </w:p>
              </w:tc>
              <w:tc>
                <w:tcPr>
                  <w:tcW w:w="318" w:type="pct"/>
                  <w:noWrap w:val="0"/>
                  <w:vAlign w:val="center"/>
                </w:tcPr>
                <w:p w14:paraId="70EFBF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A35E4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2C468C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393D718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18</w:t>
                  </w:r>
                </w:p>
              </w:tc>
              <w:tc>
                <w:tcPr>
                  <w:tcW w:w="293" w:type="pct"/>
                  <w:noWrap w:val="0"/>
                  <w:vAlign w:val="center"/>
                </w:tcPr>
                <w:p w14:paraId="7838453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62F1D6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0812CB6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11</w:t>
                  </w:r>
                </w:p>
                <w:p w14:paraId="21DAC6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7D5492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w:t>
                  </w:r>
                </w:p>
                <w:p w14:paraId="633CB1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3C9BF8F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54.2</w:t>
                  </w:r>
                </w:p>
                <w:p w14:paraId="596C3F1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29DD2EA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42.1</w:t>
                  </w:r>
                </w:p>
                <w:p w14:paraId="41014C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4AA657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DE14A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ED561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44.2</w:t>
                  </w:r>
                </w:p>
                <w:p w14:paraId="5DB86AB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38619A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22.1</w:t>
                  </w:r>
                </w:p>
                <w:p w14:paraId="7E5013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69CA6A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9E57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5BE1FC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156" w:type="pct"/>
                  <w:vMerge w:val="continue"/>
                  <w:noWrap w:val="0"/>
                  <w:vAlign w:val="center"/>
                </w:tcPr>
                <w:p w14:paraId="107169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75403591">
                  <w:pPr>
                    <w:adjustRightInd w:val="0"/>
                    <w:snapToGrid w:val="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螺杆空压机</w:t>
                  </w:r>
                </w:p>
              </w:tc>
              <w:tc>
                <w:tcPr>
                  <w:tcW w:w="318" w:type="pct"/>
                  <w:noWrap w:val="0"/>
                  <w:vAlign w:val="center"/>
                </w:tcPr>
                <w:p w14:paraId="59D34A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89F8B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7EF225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6611FDF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31</w:t>
                  </w:r>
                </w:p>
              </w:tc>
              <w:tc>
                <w:tcPr>
                  <w:tcW w:w="293" w:type="pct"/>
                  <w:noWrap w:val="0"/>
                  <w:vAlign w:val="center"/>
                </w:tcPr>
                <w:p w14:paraId="20C6672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11" w:type="pct"/>
                  <w:shd w:val="clear" w:color="auto" w:fill="auto"/>
                  <w:noWrap w:val="0"/>
                  <w:vAlign w:val="center"/>
                </w:tcPr>
                <w:p w14:paraId="169A23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5DD362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w:t>
                  </w:r>
                </w:p>
                <w:p w14:paraId="5A627C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35</w:t>
                  </w:r>
                </w:p>
                <w:p w14:paraId="6CE1541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w:t>
                  </w:r>
                </w:p>
                <w:p w14:paraId="47198E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w:t>
                  </w:r>
                </w:p>
              </w:tc>
              <w:tc>
                <w:tcPr>
                  <w:tcW w:w="471" w:type="pct"/>
                  <w:shd w:val="clear" w:color="auto" w:fill="auto"/>
                  <w:noWrap w:val="0"/>
                  <w:vAlign w:val="center"/>
                </w:tcPr>
                <w:p w14:paraId="04C89D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63.0</w:t>
                  </w:r>
                </w:p>
                <w:p w14:paraId="5BCCD78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44.1</w:t>
                  </w:r>
                </w:p>
                <w:p w14:paraId="5D892D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40.8</w:t>
                  </w:r>
                </w:p>
                <w:p w14:paraId="1530C4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59.4</w:t>
                  </w:r>
                </w:p>
              </w:tc>
              <w:tc>
                <w:tcPr>
                  <w:tcW w:w="354" w:type="pct"/>
                  <w:vMerge w:val="continue"/>
                  <w:noWrap w:val="0"/>
                  <w:vAlign w:val="center"/>
                </w:tcPr>
                <w:p w14:paraId="6B2C19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6FE568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2D29218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43.0</w:t>
                  </w:r>
                </w:p>
                <w:p w14:paraId="744750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24.1</w:t>
                  </w:r>
                </w:p>
                <w:p w14:paraId="2F3F694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20.8</w:t>
                  </w:r>
                </w:p>
                <w:p w14:paraId="42D326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39.4</w:t>
                  </w:r>
                </w:p>
              </w:tc>
              <w:tc>
                <w:tcPr>
                  <w:tcW w:w="296" w:type="pct"/>
                  <w:noWrap w:val="0"/>
                  <w:vAlign w:val="center"/>
                </w:tcPr>
                <w:p w14:paraId="657D2C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E262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0B34E8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156" w:type="pct"/>
                  <w:vMerge w:val="continue"/>
                  <w:noWrap w:val="0"/>
                  <w:vAlign w:val="center"/>
                </w:tcPr>
                <w:p w14:paraId="7D4AE12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607DFFC8">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砂轮机</w:t>
                  </w:r>
                </w:p>
              </w:tc>
              <w:tc>
                <w:tcPr>
                  <w:tcW w:w="318" w:type="pct"/>
                  <w:noWrap w:val="0"/>
                  <w:vAlign w:val="center"/>
                </w:tcPr>
                <w:p w14:paraId="25B197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30F39E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75A4E5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3A984E2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9</w:t>
                  </w:r>
                </w:p>
              </w:tc>
              <w:tc>
                <w:tcPr>
                  <w:tcW w:w="293" w:type="pct"/>
                  <w:noWrap w:val="0"/>
                  <w:vAlign w:val="center"/>
                </w:tcPr>
                <w:p w14:paraId="2F13439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5F0203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52D41B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20</w:t>
                  </w:r>
                </w:p>
                <w:p w14:paraId="4E4C820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45958A9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35</w:t>
                  </w:r>
                </w:p>
                <w:p w14:paraId="39F0EF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4AFABDD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49.0</w:t>
                  </w:r>
                </w:p>
                <w:p w14:paraId="7EF15FE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002FC9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44.1</w:t>
                  </w:r>
                </w:p>
                <w:p w14:paraId="7E4186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619436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765C86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204ADDA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29.0</w:t>
                  </w:r>
                </w:p>
                <w:p w14:paraId="355D72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7340CAE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24.1</w:t>
                  </w:r>
                </w:p>
                <w:p w14:paraId="657839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3C5135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988A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352866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25</w:t>
                  </w:r>
                </w:p>
              </w:tc>
              <w:tc>
                <w:tcPr>
                  <w:tcW w:w="156" w:type="pct"/>
                  <w:vMerge w:val="continue"/>
                  <w:noWrap w:val="0"/>
                  <w:vAlign w:val="center"/>
                </w:tcPr>
                <w:p w14:paraId="354DF97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49019E1">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砂轮机</w:t>
                  </w:r>
                </w:p>
              </w:tc>
              <w:tc>
                <w:tcPr>
                  <w:tcW w:w="318" w:type="pct"/>
                  <w:noWrap w:val="0"/>
                  <w:vAlign w:val="center"/>
                </w:tcPr>
                <w:p w14:paraId="47A68C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A5D3F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5D2038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7260FB7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7</w:t>
                  </w:r>
                </w:p>
              </w:tc>
              <w:tc>
                <w:tcPr>
                  <w:tcW w:w="293" w:type="pct"/>
                  <w:noWrap w:val="0"/>
                  <w:vAlign w:val="center"/>
                </w:tcPr>
                <w:p w14:paraId="4F46345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331578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7566D5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21</w:t>
                  </w:r>
                </w:p>
                <w:p w14:paraId="1F6FA4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17546C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32</w:t>
                  </w:r>
                </w:p>
                <w:p w14:paraId="59808A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6E1C4DB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48.6</w:t>
                  </w:r>
                </w:p>
                <w:p w14:paraId="3AA655F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5603F98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44.9</w:t>
                  </w:r>
                </w:p>
                <w:p w14:paraId="511448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00924D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743A09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9C682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28.6</w:t>
                  </w:r>
                </w:p>
                <w:p w14:paraId="55169A1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0614366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24.9</w:t>
                  </w:r>
                </w:p>
                <w:p w14:paraId="4DFFE4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5B2E86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3F1E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1A8DA0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26</w:t>
                  </w:r>
                </w:p>
              </w:tc>
              <w:tc>
                <w:tcPr>
                  <w:tcW w:w="156" w:type="pct"/>
                  <w:vMerge w:val="continue"/>
                  <w:noWrap w:val="0"/>
                  <w:vAlign w:val="center"/>
                </w:tcPr>
                <w:p w14:paraId="66B1E2C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2B619610">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砂轮机</w:t>
                  </w:r>
                </w:p>
              </w:tc>
              <w:tc>
                <w:tcPr>
                  <w:tcW w:w="318" w:type="pct"/>
                  <w:noWrap w:val="0"/>
                  <w:vAlign w:val="center"/>
                </w:tcPr>
                <w:p w14:paraId="4EDC70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0AD07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4963D81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07D7E2C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6</w:t>
                  </w:r>
                </w:p>
              </w:tc>
              <w:tc>
                <w:tcPr>
                  <w:tcW w:w="293" w:type="pct"/>
                  <w:noWrap w:val="0"/>
                  <w:vAlign w:val="center"/>
                </w:tcPr>
                <w:p w14:paraId="235870F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11" w:type="pct"/>
                  <w:shd w:val="clear" w:color="auto" w:fill="auto"/>
                  <w:noWrap w:val="0"/>
                  <w:vAlign w:val="center"/>
                </w:tcPr>
                <w:p w14:paraId="3568A1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145532B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w:t>
                  </w:r>
                </w:p>
                <w:p w14:paraId="366203A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68F582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w:t>
                  </w:r>
                </w:p>
                <w:p w14:paraId="7DFFB1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37A3BE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48.6</w:t>
                  </w:r>
                </w:p>
                <w:p w14:paraId="4D6E1F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7E15ADB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45.2</w:t>
                  </w:r>
                </w:p>
                <w:p w14:paraId="3102EE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5FE4128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EE5D9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4F427A8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28.6</w:t>
                  </w:r>
                </w:p>
                <w:p w14:paraId="378C497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2683E6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25.2</w:t>
                  </w:r>
                </w:p>
                <w:p w14:paraId="462BC4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5DBBAC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91F5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5F73DD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27</w:t>
                  </w:r>
                </w:p>
              </w:tc>
              <w:tc>
                <w:tcPr>
                  <w:tcW w:w="156" w:type="pct"/>
                  <w:vMerge w:val="continue"/>
                  <w:noWrap w:val="0"/>
                  <w:vAlign w:val="center"/>
                </w:tcPr>
                <w:p w14:paraId="7A0CC1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0B598D2D">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砂轮机</w:t>
                  </w:r>
                </w:p>
              </w:tc>
              <w:tc>
                <w:tcPr>
                  <w:tcW w:w="318" w:type="pct"/>
                  <w:noWrap w:val="0"/>
                  <w:vAlign w:val="center"/>
                </w:tcPr>
                <w:p w14:paraId="4A875F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5C514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0808451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4A425E5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w:t>
                  </w:r>
                </w:p>
              </w:tc>
              <w:tc>
                <w:tcPr>
                  <w:tcW w:w="293" w:type="pct"/>
                  <w:noWrap w:val="0"/>
                  <w:vAlign w:val="center"/>
                </w:tcPr>
                <w:p w14:paraId="11EA1BD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20</w:t>
                  </w:r>
                </w:p>
              </w:tc>
              <w:tc>
                <w:tcPr>
                  <w:tcW w:w="211" w:type="pct"/>
                  <w:shd w:val="clear" w:color="auto" w:fill="auto"/>
                  <w:noWrap w:val="0"/>
                  <w:vAlign w:val="center"/>
                </w:tcPr>
                <w:p w14:paraId="111E28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66DCC2D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23</w:t>
                  </w:r>
                </w:p>
                <w:p w14:paraId="16F3E37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w:t>
                  </w:r>
                </w:p>
                <w:p w14:paraId="7D253B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30</w:t>
                  </w:r>
                </w:p>
                <w:p w14:paraId="3CC135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w:t>
                  </w:r>
                </w:p>
              </w:tc>
              <w:tc>
                <w:tcPr>
                  <w:tcW w:w="471" w:type="pct"/>
                  <w:shd w:val="clear" w:color="auto" w:fill="auto"/>
                  <w:noWrap w:val="0"/>
                  <w:vAlign w:val="center"/>
                </w:tcPr>
                <w:p w14:paraId="21CAA91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47.8</w:t>
                  </w:r>
                </w:p>
                <w:p w14:paraId="4691D6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43.2</w:t>
                  </w:r>
                </w:p>
                <w:p w14:paraId="2B5C4E7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45.5</w:t>
                  </w:r>
                </w:p>
                <w:p w14:paraId="50EA33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69.0</w:t>
                  </w:r>
                </w:p>
              </w:tc>
              <w:tc>
                <w:tcPr>
                  <w:tcW w:w="354" w:type="pct"/>
                  <w:vMerge w:val="continue"/>
                  <w:noWrap w:val="0"/>
                  <w:vAlign w:val="center"/>
                </w:tcPr>
                <w:p w14:paraId="166EFD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92121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A858E6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27.8</w:t>
                  </w:r>
                </w:p>
                <w:p w14:paraId="200237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23.2</w:t>
                  </w:r>
                </w:p>
                <w:p w14:paraId="292C258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25.5</w:t>
                  </w:r>
                </w:p>
                <w:p w14:paraId="5824B3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49.0</w:t>
                  </w:r>
                </w:p>
              </w:tc>
              <w:tc>
                <w:tcPr>
                  <w:tcW w:w="296" w:type="pct"/>
                  <w:noWrap w:val="0"/>
                  <w:vAlign w:val="center"/>
                </w:tcPr>
                <w:p w14:paraId="365DC0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2F65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504701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28</w:t>
                  </w:r>
                </w:p>
              </w:tc>
              <w:tc>
                <w:tcPr>
                  <w:tcW w:w="156" w:type="pct"/>
                  <w:vMerge w:val="continue"/>
                  <w:noWrap w:val="0"/>
                  <w:vAlign w:val="center"/>
                </w:tcPr>
                <w:p w14:paraId="54FE7B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3D486A21">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喷砂机</w:t>
                  </w:r>
                </w:p>
              </w:tc>
              <w:tc>
                <w:tcPr>
                  <w:tcW w:w="318" w:type="pct"/>
                  <w:noWrap w:val="0"/>
                  <w:vAlign w:val="center"/>
                </w:tcPr>
                <w:p w14:paraId="1093E9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4DD26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68C013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4BEE843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28</w:t>
                  </w:r>
                </w:p>
              </w:tc>
              <w:tc>
                <w:tcPr>
                  <w:tcW w:w="293" w:type="pct"/>
                  <w:noWrap w:val="0"/>
                  <w:vAlign w:val="center"/>
                </w:tcPr>
                <w:p w14:paraId="33D8E5F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shd w:val="clear" w:color="auto" w:fill="auto"/>
                  <w:noWrap w:val="0"/>
                  <w:vAlign w:val="center"/>
                </w:tcPr>
                <w:p w14:paraId="012B54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217A3C7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w:t>
                  </w:r>
                </w:p>
                <w:p w14:paraId="1891401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w:t>
                  </w:r>
                </w:p>
                <w:p w14:paraId="3BAC31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w:t>
                  </w:r>
                </w:p>
                <w:p w14:paraId="087CFA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15</w:t>
                  </w:r>
                </w:p>
              </w:tc>
              <w:tc>
                <w:tcPr>
                  <w:tcW w:w="471" w:type="pct"/>
                  <w:shd w:val="clear" w:color="auto" w:fill="auto"/>
                  <w:noWrap w:val="0"/>
                  <w:vAlign w:val="center"/>
                </w:tcPr>
                <w:p w14:paraId="0F9288B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63.0</w:t>
                  </w:r>
                </w:p>
                <w:p w14:paraId="5347CD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41.7</w:t>
                  </w:r>
                </w:p>
                <w:p w14:paraId="3EF5C3C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40.8</w:t>
                  </w:r>
                </w:p>
                <w:p w14:paraId="550AE4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46.5</w:t>
                  </w:r>
                </w:p>
              </w:tc>
              <w:tc>
                <w:tcPr>
                  <w:tcW w:w="354" w:type="pct"/>
                  <w:vMerge w:val="continue"/>
                  <w:noWrap w:val="0"/>
                  <w:vAlign w:val="center"/>
                </w:tcPr>
                <w:p w14:paraId="628A48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4ADB54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44EB56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43.0</w:t>
                  </w:r>
                </w:p>
                <w:p w14:paraId="150A5E8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21.7</w:t>
                  </w:r>
                </w:p>
                <w:p w14:paraId="2D3195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20.8</w:t>
                  </w:r>
                </w:p>
                <w:p w14:paraId="176B2E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26.5</w:t>
                  </w:r>
                </w:p>
              </w:tc>
              <w:tc>
                <w:tcPr>
                  <w:tcW w:w="296" w:type="pct"/>
                  <w:noWrap w:val="0"/>
                  <w:vAlign w:val="center"/>
                </w:tcPr>
                <w:p w14:paraId="1FAFC6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r>
            <w:tr w14:paraId="0F8CD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0E6C92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29</w:t>
                  </w:r>
                </w:p>
              </w:tc>
              <w:tc>
                <w:tcPr>
                  <w:tcW w:w="156" w:type="pct"/>
                  <w:vMerge w:val="continue"/>
                  <w:noWrap w:val="0"/>
                  <w:vAlign w:val="center"/>
                </w:tcPr>
                <w:p w14:paraId="142776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6851790E">
                  <w:pPr>
                    <w:adjustRightInd w:val="0"/>
                    <w:snapToGrid w:val="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小型切割机</w:t>
                  </w:r>
                </w:p>
              </w:tc>
              <w:tc>
                <w:tcPr>
                  <w:tcW w:w="318" w:type="pct"/>
                  <w:noWrap w:val="0"/>
                  <w:vAlign w:val="center"/>
                </w:tcPr>
                <w:p w14:paraId="0C8540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680A3E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6BC0542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15FF33B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w:t>
                  </w:r>
                </w:p>
              </w:tc>
              <w:tc>
                <w:tcPr>
                  <w:tcW w:w="293" w:type="pct"/>
                  <w:noWrap w:val="0"/>
                  <w:vAlign w:val="center"/>
                </w:tcPr>
                <w:p w14:paraId="2BB765B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w:t>
                  </w:r>
                </w:p>
              </w:tc>
              <w:tc>
                <w:tcPr>
                  <w:tcW w:w="211" w:type="pct"/>
                  <w:shd w:val="clear" w:color="auto" w:fill="auto"/>
                  <w:noWrap w:val="0"/>
                  <w:vAlign w:val="center"/>
                </w:tcPr>
                <w:p w14:paraId="5FD495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shd w:val="clear" w:color="auto" w:fill="auto"/>
                  <w:noWrap w:val="0"/>
                  <w:vAlign w:val="center"/>
                </w:tcPr>
                <w:p w14:paraId="7E1006E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w:t>
                  </w:r>
                </w:p>
                <w:p w14:paraId="77C583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29</w:t>
                  </w:r>
                </w:p>
                <w:p w14:paraId="5B59CD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w:t>
                  </w:r>
                </w:p>
                <w:p w14:paraId="44D93D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12</w:t>
                  </w:r>
                </w:p>
              </w:tc>
              <w:tc>
                <w:tcPr>
                  <w:tcW w:w="471" w:type="pct"/>
                  <w:shd w:val="clear" w:color="auto" w:fill="auto"/>
                  <w:noWrap w:val="0"/>
                  <w:vAlign w:val="center"/>
                </w:tcPr>
                <w:p w14:paraId="4013F97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43.2</w:t>
                  </w:r>
                </w:p>
                <w:p w14:paraId="7B18F67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40.7</w:t>
                  </w:r>
                </w:p>
                <w:p w14:paraId="3573E29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40.2</w:t>
                  </w:r>
                </w:p>
                <w:p w14:paraId="6B98F5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48.4</w:t>
                  </w:r>
                </w:p>
              </w:tc>
              <w:tc>
                <w:tcPr>
                  <w:tcW w:w="354" w:type="pct"/>
                  <w:vMerge w:val="continue"/>
                  <w:noWrap w:val="0"/>
                  <w:vAlign w:val="center"/>
                </w:tcPr>
                <w:p w14:paraId="5500D6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7A5C67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FFC571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23.2</w:t>
                  </w:r>
                </w:p>
                <w:p w14:paraId="70C34D2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20.7</w:t>
                  </w:r>
                </w:p>
                <w:p w14:paraId="1F81381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20.2</w:t>
                  </w:r>
                </w:p>
                <w:p w14:paraId="32DCE1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28.4</w:t>
                  </w:r>
                </w:p>
              </w:tc>
              <w:tc>
                <w:tcPr>
                  <w:tcW w:w="296" w:type="pct"/>
                  <w:noWrap w:val="0"/>
                  <w:vAlign w:val="center"/>
                </w:tcPr>
                <w:p w14:paraId="1CB01C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r>
            <w:tr w14:paraId="518E1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4C18EB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30</w:t>
                  </w:r>
                </w:p>
              </w:tc>
              <w:tc>
                <w:tcPr>
                  <w:tcW w:w="156" w:type="pct"/>
                  <w:vMerge w:val="continue"/>
                  <w:noWrap w:val="0"/>
                  <w:vAlign w:val="center"/>
                </w:tcPr>
                <w:p w14:paraId="410324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32E90934">
                  <w:pPr>
                    <w:adjustRightInd w:val="0"/>
                    <w:snapToGrid w:val="0"/>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小型电焊机</w:t>
                  </w:r>
                </w:p>
              </w:tc>
              <w:tc>
                <w:tcPr>
                  <w:tcW w:w="318" w:type="pct"/>
                  <w:noWrap w:val="0"/>
                  <w:vAlign w:val="center"/>
                </w:tcPr>
                <w:p w14:paraId="617707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498F0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40B1AD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0611B3D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-12</w:t>
                  </w:r>
                </w:p>
              </w:tc>
              <w:tc>
                <w:tcPr>
                  <w:tcW w:w="293" w:type="pct"/>
                  <w:noWrap w:val="0"/>
                  <w:vAlign w:val="center"/>
                </w:tcPr>
                <w:p w14:paraId="1B6394DB">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w:t>
                  </w:r>
                </w:p>
              </w:tc>
              <w:tc>
                <w:tcPr>
                  <w:tcW w:w="211" w:type="pct"/>
                  <w:shd w:val="clear" w:color="auto" w:fill="auto"/>
                  <w:noWrap w:val="0"/>
                  <w:vAlign w:val="center"/>
                </w:tcPr>
                <w:p w14:paraId="3C5D30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shd w:val="clear" w:color="auto" w:fill="auto"/>
                  <w:noWrap w:val="0"/>
                  <w:vAlign w:val="center"/>
                </w:tcPr>
                <w:p w14:paraId="4193B4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24</w:t>
                  </w:r>
                </w:p>
                <w:p w14:paraId="5E7598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29</w:t>
                  </w:r>
                </w:p>
                <w:p w14:paraId="793C505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29</w:t>
                  </w:r>
                </w:p>
                <w:p w14:paraId="7348ED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12</w:t>
                  </w:r>
                </w:p>
              </w:tc>
              <w:tc>
                <w:tcPr>
                  <w:tcW w:w="471" w:type="pct"/>
                  <w:shd w:val="clear" w:color="auto" w:fill="auto"/>
                  <w:noWrap w:val="0"/>
                  <w:vAlign w:val="center"/>
                </w:tcPr>
                <w:p w14:paraId="2158E89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42.4</w:t>
                  </w:r>
                </w:p>
                <w:p w14:paraId="42B3ADB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40.7</w:t>
                  </w:r>
                </w:p>
                <w:p w14:paraId="191D64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40.7</w:t>
                  </w:r>
                </w:p>
                <w:p w14:paraId="363985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48.4</w:t>
                  </w:r>
                </w:p>
              </w:tc>
              <w:tc>
                <w:tcPr>
                  <w:tcW w:w="354" w:type="pct"/>
                  <w:vMerge w:val="continue"/>
                  <w:noWrap w:val="0"/>
                  <w:vAlign w:val="center"/>
                </w:tcPr>
                <w:p w14:paraId="2E722C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D98E8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988E76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22.4</w:t>
                  </w:r>
                </w:p>
                <w:p w14:paraId="1E1C7F1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20.7</w:t>
                  </w:r>
                </w:p>
                <w:p w14:paraId="1D7EFCE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20.7</w:t>
                  </w:r>
                </w:p>
                <w:p w14:paraId="4823BD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28.4</w:t>
                  </w:r>
                </w:p>
              </w:tc>
              <w:tc>
                <w:tcPr>
                  <w:tcW w:w="296" w:type="pct"/>
                  <w:noWrap w:val="0"/>
                  <w:vAlign w:val="center"/>
                </w:tcPr>
                <w:p w14:paraId="07B83E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r>
            <w:tr w14:paraId="317D9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00914E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31</w:t>
                  </w:r>
                </w:p>
              </w:tc>
              <w:tc>
                <w:tcPr>
                  <w:tcW w:w="156" w:type="pct"/>
                  <w:vMerge w:val="restart"/>
                  <w:noWrap w:val="0"/>
                  <w:vAlign w:val="center"/>
                </w:tcPr>
                <w:p w14:paraId="1440088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r>
                    <w:rPr>
                      <w:rFonts w:hint="default" w:ascii="Times New Roman" w:hAnsi="Times New Roman" w:cs="Times New Roman"/>
                      <w:snapToGrid w:val="0"/>
                      <w:color w:val="auto"/>
                      <w:spacing w:val="0"/>
                      <w:kern w:val="0"/>
                      <w:sz w:val="18"/>
                      <w:szCs w:val="18"/>
                      <w:highlight w:val="none"/>
                      <w:lang w:val="en-US" w:eastAsia="zh-CN"/>
                    </w:rPr>
                    <w:t>生产车间</w:t>
                  </w:r>
                </w:p>
              </w:tc>
              <w:tc>
                <w:tcPr>
                  <w:tcW w:w="575" w:type="pct"/>
                  <w:shd w:val="clear" w:color="auto" w:fill="auto"/>
                  <w:noWrap w:val="0"/>
                  <w:vAlign w:val="center"/>
                </w:tcPr>
                <w:p w14:paraId="0B486F95">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0BFF09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2E7D4A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535C9B0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2D401FEB">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14</w:t>
                  </w:r>
                </w:p>
              </w:tc>
              <w:tc>
                <w:tcPr>
                  <w:tcW w:w="293" w:type="pct"/>
                  <w:noWrap w:val="0"/>
                  <w:vAlign w:val="center"/>
                </w:tcPr>
                <w:p w14:paraId="2A830C8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11" w:type="pct"/>
                  <w:shd w:val="clear" w:color="auto" w:fill="auto"/>
                  <w:noWrap w:val="0"/>
                  <w:vAlign w:val="center"/>
                </w:tcPr>
                <w:p w14:paraId="7ACB44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54D20F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w:t>
                  </w:r>
                </w:p>
                <w:p w14:paraId="1B9BC45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w:t>
                  </w:r>
                </w:p>
                <w:p w14:paraId="330ECA6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32</w:t>
                  </w:r>
                </w:p>
                <w:p w14:paraId="539090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71" w:type="pct"/>
                  <w:shd w:val="clear" w:color="auto" w:fill="auto"/>
                  <w:noWrap w:val="0"/>
                  <w:vAlign w:val="center"/>
                </w:tcPr>
                <w:p w14:paraId="595BCE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58.0</w:t>
                  </w:r>
                </w:p>
                <w:p w14:paraId="0202D4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41.7</w:t>
                  </w:r>
                </w:p>
                <w:p w14:paraId="4FA244B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39.9</w:t>
                  </w:r>
                </w:p>
                <w:p w14:paraId="093724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42.0</w:t>
                  </w:r>
                </w:p>
              </w:tc>
              <w:tc>
                <w:tcPr>
                  <w:tcW w:w="354" w:type="pct"/>
                  <w:vMerge w:val="continue"/>
                  <w:noWrap w:val="0"/>
                  <w:vAlign w:val="center"/>
                </w:tcPr>
                <w:p w14:paraId="5C9A2F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1FB9B2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16295DF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38.0</w:t>
                  </w:r>
                </w:p>
                <w:p w14:paraId="09C176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21.7</w:t>
                  </w:r>
                </w:p>
                <w:p w14:paraId="106C958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19.9</w:t>
                  </w:r>
                </w:p>
                <w:p w14:paraId="124548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22.0</w:t>
                  </w:r>
                </w:p>
              </w:tc>
              <w:tc>
                <w:tcPr>
                  <w:tcW w:w="296" w:type="pct"/>
                  <w:noWrap w:val="0"/>
                  <w:vAlign w:val="center"/>
                </w:tcPr>
                <w:p w14:paraId="0A9C97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CE42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760DD1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32</w:t>
                  </w:r>
                </w:p>
              </w:tc>
              <w:tc>
                <w:tcPr>
                  <w:tcW w:w="156" w:type="pct"/>
                  <w:vMerge w:val="continue"/>
                  <w:noWrap w:val="0"/>
                  <w:vAlign w:val="center"/>
                </w:tcPr>
                <w:p w14:paraId="21A2681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1631E2E6">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368D5A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7DB2B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07A5D9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734C485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293" w:type="pct"/>
                  <w:noWrap w:val="0"/>
                  <w:vAlign w:val="center"/>
                </w:tcPr>
                <w:p w14:paraId="5335580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11" w:type="pct"/>
                  <w:shd w:val="clear" w:color="auto" w:fill="auto"/>
                  <w:noWrap w:val="0"/>
                  <w:vAlign w:val="center"/>
                </w:tcPr>
                <w:p w14:paraId="15A9ED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6235BA3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12</w:t>
                  </w:r>
                </w:p>
                <w:p w14:paraId="6AFA51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w:t>
                  </w:r>
                </w:p>
                <w:p w14:paraId="0B1B8DF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24</w:t>
                  </w:r>
                </w:p>
                <w:p w14:paraId="66C765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71" w:type="pct"/>
                  <w:shd w:val="clear" w:color="auto" w:fill="auto"/>
                  <w:noWrap w:val="0"/>
                  <w:vAlign w:val="center"/>
                </w:tcPr>
                <w:p w14:paraId="02260A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48.4</w:t>
                  </w:r>
                </w:p>
                <w:p w14:paraId="7F6776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41.7</w:t>
                  </w:r>
                </w:p>
                <w:p w14:paraId="2477CD0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42.4</w:t>
                  </w:r>
                </w:p>
                <w:p w14:paraId="50720C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42.0</w:t>
                  </w:r>
                </w:p>
              </w:tc>
              <w:tc>
                <w:tcPr>
                  <w:tcW w:w="354" w:type="pct"/>
                  <w:vMerge w:val="continue"/>
                  <w:noWrap w:val="0"/>
                  <w:vAlign w:val="center"/>
                </w:tcPr>
                <w:p w14:paraId="072EB39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65E062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2B2D87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28.4</w:t>
                  </w:r>
                </w:p>
                <w:p w14:paraId="0E6995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21.7</w:t>
                  </w:r>
                </w:p>
                <w:p w14:paraId="700965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22.4</w:t>
                  </w:r>
                </w:p>
                <w:p w14:paraId="448783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22.0</w:t>
                  </w:r>
                </w:p>
              </w:tc>
              <w:tc>
                <w:tcPr>
                  <w:tcW w:w="296" w:type="pct"/>
                  <w:noWrap w:val="0"/>
                  <w:vAlign w:val="center"/>
                </w:tcPr>
                <w:p w14:paraId="2F9B3A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81CF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76373A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33</w:t>
                  </w:r>
                </w:p>
              </w:tc>
              <w:tc>
                <w:tcPr>
                  <w:tcW w:w="156" w:type="pct"/>
                  <w:vMerge w:val="continue"/>
                  <w:noWrap w:val="0"/>
                  <w:vAlign w:val="center"/>
                </w:tcPr>
                <w:p w14:paraId="10C5A5D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472DAD50">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5C87A9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74C8B3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1DF5C96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34F271B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293" w:type="pct"/>
                  <w:noWrap w:val="0"/>
                  <w:vAlign w:val="center"/>
                </w:tcPr>
                <w:p w14:paraId="0251677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11" w:type="pct"/>
                  <w:shd w:val="clear" w:color="auto" w:fill="auto"/>
                  <w:noWrap w:val="0"/>
                  <w:vAlign w:val="center"/>
                </w:tcPr>
                <w:p w14:paraId="524DC6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75011A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10</w:t>
                  </w:r>
                </w:p>
                <w:p w14:paraId="4E59DD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w:t>
                  </w:r>
                </w:p>
                <w:p w14:paraId="6E9C1D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26</w:t>
                  </w:r>
                </w:p>
                <w:p w14:paraId="67BB3E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71" w:type="pct"/>
                  <w:shd w:val="clear" w:color="auto" w:fill="auto"/>
                  <w:noWrap w:val="0"/>
                  <w:vAlign w:val="center"/>
                </w:tcPr>
                <w:p w14:paraId="06CD629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50.0</w:t>
                  </w:r>
                </w:p>
                <w:p w14:paraId="3FFA6A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41.7</w:t>
                  </w:r>
                </w:p>
                <w:p w14:paraId="17D7896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41.7</w:t>
                  </w:r>
                </w:p>
                <w:p w14:paraId="796A9E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42.0</w:t>
                  </w:r>
                </w:p>
              </w:tc>
              <w:tc>
                <w:tcPr>
                  <w:tcW w:w="354" w:type="pct"/>
                  <w:vMerge w:val="continue"/>
                  <w:noWrap w:val="0"/>
                  <w:vAlign w:val="center"/>
                </w:tcPr>
                <w:p w14:paraId="61D60E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155B3F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7BBCD2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30.0</w:t>
                  </w:r>
                </w:p>
                <w:p w14:paraId="65C1F7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21.7</w:t>
                  </w:r>
                </w:p>
                <w:p w14:paraId="459E47E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21.7</w:t>
                  </w:r>
                </w:p>
                <w:p w14:paraId="2CCA3A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22.0</w:t>
                  </w:r>
                </w:p>
              </w:tc>
              <w:tc>
                <w:tcPr>
                  <w:tcW w:w="296" w:type="pct"/>
                  <w:noWrap w:val="0"/>
                  <w:vAlign w:val="center"/>
                </w:tcPr>
                <w:p w14:paraId="48B9CD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CF39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596F4A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34</w:t>
                  </w:r>
                </w:p>
              </w:tc>
              <w:tc>
                <w:tcPr>
                  <w:tcW w:w="156" w:type="pct"/>
                  <w:vMerge w:val="continue"/>
                  <w:noWrap w:val="0"/>
                  <w:vAlign w:val="center"/>
                </w:tcPr>
                <w:p w14:paraId="19B251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05FBBD2B">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237AE7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5C722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5B71CE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0F0812B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293" w:type="pct"/>
                  <w:noWrap w:val="0"/>
                  <w:vAlign w:val="center"/>
                </w:tcPr>
                <w:p w14:paraId="2A32142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w:t>
                  </w:r>
                </w:p>
              </w:tc>
              <w:tc>
                <w:tcPr>
                  <w:tcW w:w="211" w:type="pct"/>
                  <w:shd w:val="clear" w:color="auto" w:fill="auto"/>
                  <w:noWrap w:val="0"/>
                  <w:vAlign w:val="center"/>
                </w:tcPr>
                <w:p w14:paraId="2C886E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4F15ACA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w:t>
                  </w:r>
                </w:p>
                <w:p w14:paraId="0BF1EE8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w:t>
                  </w:r>
                </w:p>
                <w:p w14:paraId="2173B5D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28</w:t>
                  </w:r>
                </w:p>
                <w:p w14:paraId="1372D4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71" w:type="pct"/>
                  <w:shd w:val="clear" w:color="auto" w:fill="auto"/>
                  <w:noWrap w:val="0"/>
                  <w:vAlign w:val="center"/>
                </w:tcPr>
                <w:p w14:paraId="1E0FBDF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51.9</w:t>
                  </w:r>
                </w:p>
                <w:p w14:paraId="2415084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41.7</w:t>
                  </w:r>
                </w:p>
                <w:p w14:paraId="13707C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41.0</w:t>
                  </w:r>
                </w:p>
                <w:p w14:paraId="4FA9B8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42.0</w:t>
                  </w:r>
                </w:p>
              </w:tc>
              <w:tc>
                <w:tcPr>
                  <w:tcW w:w="354" w:type="pct"/>
                  <w:vMerge w:val="continue"/>
                  <w:noWrap w:val="0"/>
                  <w:vAlign w:val="center"/>
                </w:tcPr>
                <w:p w14:paraId="2AE9DB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9C097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687CF8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31.9</w:t>
                  </w:r>
                </w:p>
                <w:p w14:paraId="5E95049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21.7</w:t>
                  </w:r>
                </w:p>
                <w:p w14:paraId="60C6DA5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21.0</w:t>
                  </w:r>
                </w:p>
                <w:p w14:paraId="3BFD0D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22.0</w:t>
                  </w:r>
                </w:p>
              </w:tc>
              <w:tc>
                <w:tcPr>
                  <w:tcW w:w="296" w:type="pct"/>
                  <w:noWrap w:val="0"/>
                  <w:vAlign w:val="center"/>
                </w:tcPr>
                <w:p w14:paraId="22358A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68A1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296B81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35</w:t>
                  </w:r>
                </w:p>
              </w:tc>
              <w:tc>
                <w:tcPr>
                  <w:tcW w:w="156" w:type="pct"/>
                  <w:vMerge w:val="continue"/>
                  <w:noWrap w:val="0"/>
                  <w:vAlign w:val="center"/>
                </w:tcPr>
                <w:p w14:paraId="62464F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016A6DE6">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15FD39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3FA607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42DFDF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1C67E10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293" w:type="pct"/>
                  <w:noWrap w:val="0"/>
                  <w:vAlign w:val="center"/>
                </w:tcPr>
                <w:p w14:paraId="7E025C6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w:t>
                  </w:r>
                </w:p>
              </w:tc>
              <w:tc>
                <w:tcPr>
                  <w:tcW w:w="211" w:type="pct"/>
                  <w:shd w:val="clear" w:color="auto" w:fill="auto"/>
                  <w:noWrap w:val="0"/>
                  <w:vAlign w:val="center"/>
                </w:tcPr>
                <w:p w14:paraId="1469EC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616047E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w:t>
                  </w:r>
                </w:p>
                <w:p w14:paraId="60CB70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w:t>
                  </w:r>
                </w:p>
                <w:p w14:paraId="66C62DC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33</w:t>
                  </w:r>
                </w:p>
                <w:p w14:paraId="34A4D9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w:t>
                  </w:r>
                </w:p>
              </w:tc>
              <w:tc>
                <w:tcPr>
                  <w:tcW w:w="471" w:type="pct"/>
                  <w:shd w:val="clear" w:color="auto" w:fill="auto"/>
                  <w:noWrap w:val="0"/>
                  <w:vAlign w:val="center"/>
                </w:tcPr>
                <w:p w14:paraId="76F689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60.5</w:t>
                  </w:r>
                </w:p>
                <w:p w14:paraId="3F40401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41.7</w:t>
                  </w:r>
                </w:p>
                <w:p w14:paraId="24F930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39.6</w:t>
                  </w:r>
                </w:p>
                <w:p w14:paraId="09E160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42.0</w:t>
                  </w:r>
                </w:p>
              </w:tc>
              <w:tc>
                <w:tcPr>
                  <w:tcW w:w="354" w:type="pct"/>
                  <w:vMerge w:val="continue"/>
                  <w:noWrap w:val="0"/>
                  <w:vAlign w:val="center"/>
                </w:tcPr>
                <w:p w14:paraId="643664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743472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71A776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40.5</w:t>
                  </w:r>
                </w:p>
                <w:p w14:paraId="310955B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21.7</w:t>
                  </w:r>
                </w:p>
                <w:p w14:paraId="08587BC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19.6</w:t>
                  </w:r>
                </w:p>
                <w:p w14:paraId="34F3EC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22.0</w:t>
                  </w:r>
                </w:p>
              </w:tc>
              <w:tc>
                <w:tcPr>
                  <w:tcW w:w="296" w:type="pct"/>
                  <w:noWrap w:val="0"/>
                  <w:vAlign w:val="center"/>
                </w:tcPr>
                <w:p w14:paraId="0FDA4A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8B31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24B01A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36</w:t>
                  </w:r>
                </w:p>
              </w:tc>
              <w:tc>
                <w:tcPr>
                  <w:tcW w:w="156" w:type="pct"/>
                  <w:vMerge w:val="continue"/>
                  <w:noWrap w:val="0"/>
                  <w:vAlign w:val="center"/>
                </w:tcPr>
                <w:p w14:paraId="3438330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6ABB2B79">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2A7325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C6459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3804BE5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609F269B">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293" w:type="pct"/>
                  <w:noWrap w:val="0"/>
                  <w:vAlign w:val="center"/>
                </w:tcPr>
                <w:p w14:paraId="1CC281C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0</w:t>
                  </w:r>
                </w:p>
              </w:tc>
              <w:tc>
                <w:tcPr>
                  <w:tcW w:w="211" w:type="pct"/>
                  <w:shd w:val="clear" w:color="auto" w:fill="auto"/>
                  <w:noWrap w:val="0"/>
                  <w:vAlign w:val="center"/>
                </w:tcPr>
                <w:p w14:paraId="7ADAC6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368F01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w:t>
                  </w:r>
                </w:p>
                <w:p w14:paraId="1AACC2B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23</w:t>
                  </w:r>
                </w:p>
                <w:p w14:paraId="61D486F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33</w:t>
                  </w:r>
                </w:p>
                <w:p w14:paraId="710429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18</w:t>
                  </w:r>
                </w:p>
              </w:tc>
              <w:tc>
                <w:tcPr>
                  <w:tcW w:w="471" w:type="pct"/>
                  <w:shd w:val="clear" w:color="auto" w:fill="auto"/>
                  <w:noWrap w:val="0"/>
                  <w:vAlign w:val="center"/>
                </w:tcPr>
                <w:p w14:paraId="6FCA99C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60.5</w:t>
                  </w:r>
                </w:p>
                <w:p w14:paraId="69FC36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42.8</w:t>
                  </w:r>
                </w:p>
                <w:p w14:paraId="4E05169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39.6</w:t>
                  </w:r>
                </w:p>
                <w:p w14:paraId="414E59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44.9</w:t>
                  </w:r>
                </w:p>
              </w:tc>
              <w:tc>
                <w:tcPr>
                  <w:tcW w:w="354" w:type="pct"/>
                  <w:vMerge w:val="continue"/>
                  <w:noWrap w:val="0"/>
                  <w:vAlign w:val="center"/>
                </w:tcPr>
                <w:p w14:paraId="3032B6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726D1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48080E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40.5</w:t>
                  </w:r>
                </w:p>
                <w:p w14:paraId="19FD4DC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22.8</w:t>
                  </w:r>
                </w:p>
                <w:p w14:paraId="17AC05A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19.6</w:t>
                  </w:r>
                </w:p>
                <w:p w14:paraId="199811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24.9</w:t>
                  </w:r>
                </w:p>
              </w:tc>
              <w:tc>
                <w:tcPr>
                  <w:tcW w:w="296" w:type="pct"/>
                  <w:noWrap w:val="0"/>
                  <w:vAlign w:val="center"/>
                </w:tcPr>
                <w:p w14:paraId="1A1EF4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569D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4F8579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37</w:t>
                  </w:r>
                </w:p>
              </w:tc>
              <w:tc>
                <w:tcPr>
                  <w:tcW w:w="156" w:type="pct"/>
                  <w:vMerge w:val="continue"/>
                  <w:noWrap w:val="0"/>
                  <w:vAlign w:val="center"/>
                </w:tcPr>
                <w:p w14:paraId="045082E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3CED44F6">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14050A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ED380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13C8A7A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1AF6F1B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18</w:t>
                  </w:r>
                </w:p>
              </w:tc>
              <w:tc>
                <w:tcPr>
                  <w:tcW w:w="293" w:type="pct"/>
                  <w:noWrap w:val="0"/>
                  <w:vAlign w:val="center"/>
                </w:tcPr>
                <w:p w14:paraId="533A311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shd w:val="clear" w:color="auto" w:fill="auto"/>
                  <w:noWrap w:val="0"/>
                  <w:vAlign w:val="center"/>
                </w:tcPr>
                <w:p w14:paraId="1C8181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0FA0B0D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w:t>
                  </w:r>
                </w:p>
                <w:p w14:paraId="28D8703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w:t>
                  </w:r>
                </w:p>
                <w:p w14:paraId="4CEB1C1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33</w:t>
                  </w:r>
                </w:p>
                <w:p w14:paraId="121276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w:t>
                  </w:r>
                </w:p>
              </w:tc>
              <w:tc>
                <w:tcPr>
                  <w:tcW w:w="471" w:type="pct"/>
                  <w:shd w:val="clear" w:color="auto" w:fill="auto"/>
                  <w:noWrap w:val="0"/>
                  <w:vAlign w:val="center"/>
                </w:tcPr>
                <w:p w14:paraId="1E993DB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60.5</w:t>
                  </w:r>
                </w:p>
                <w:p w14:paraId="7FCB40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42.0</w:t>
                  </w:r>
                </w:p>
                <w:p w14:paraId="009E72B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39.6</w:t>
                  </w:r>
                </w:p>
                <w:p w14:paraId="45B52C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45.9</w:t>
                  </w:r>
                </w:p>
              </w:tc>
              <w:tc>
                <w:tcPr>
                  <w:tcW w:w="354" w:type="pct"/>
                  <w:vMerge w:val="continue"/>
                  <w:noWrap w:val="0"/>
                  <w:vAlign w:val="center"/>
                </w:tcPr>
                <w:p w14:paraId="62EAC5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1F85E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4FB4FA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40.5</w:t>
                  </w:r>
                </w:p>
                <w:p w14:paraId="567BF2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22.0</w:t>
                  </w:r>
                </w:p>
                <w:p w14:paraId="50350D8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19.6</w:t>
                  </w:r>
                </w:p>
                <w:p w14:paraId="133EDF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25.9</w:t>
                  </w:r>
                </w:p>
              </w:tc>
              <w:tc>
                <w:tcPr>
                  <w:tcW w:w="296" w:type="pct"/>
                  <w:noWrap w:val="0"/>
                  <w:vAlign w:val="center"/>
                </w:tcPr>
                <w:p w14:paraId="01E07C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B154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7D6F97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38</w:t>
                  </w:r>
                </w:p>
              </w:tc>
              <w:tc>
                <w:tcPr>
                  <w:tcW w:w="156" w:type="pct"/>
                  <w:vMerge w:val="continue"/>
                  <w:noWrap w:val="0"/>
                  <w:vAlign w:val="center"/>
                </w:tcPr>
                <w:p w14:paraId="67397F7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2D9F6985">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73A396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E9B03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6720BC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264D357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13</w:t>
                  </w:r>
                </w:p>
              </w:tc>
              <w:tc>
                <w:tcPr>
                  <w:tcW w:w="293" w:type="pct"/>
                  <w:noWrap w:val="0"/>
                  <w:vAlign w:val="center"/>
                </w:tcPr>
                <w:p w14:paraId="610475F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0</w:t>
                  </w:r>
                </w:p>
              </w:tc>
              <w:tc>
                <w:tcPr>
                  <w:tcW w:w="211" w:type="pct"/>
                  <w:shd w:val="clear" w:color="auto" w:fill="auto"/>
                  <w:noWrap w:val="0"/>
                  <w:vAlign w:val="center"/>
                </w:tcPr>
                <w:p w14:paraId="74A129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09E0EE2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w:t>
                  </w:r>
                </w:p>
                <w:p w14:paraId="309AF02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w:t>
                  </w:r>
                </w:p>
                <w:p w14:paraId="6E9701D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w:t>
                  </w:r>
                </w:p>
                <w:p w14:paraId="2317F4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w:t>
                  </w:r>
                </w:p>
              </w:tc>
              <w:tc>
                <w:tcPr>
                  <w:tcW w:w="471" w:type="pct"/>
                  <w:shd w:val="clear" w:color="auto" w:fill="auto"/>
                  <w:noWrap w:val="0"/>
                  <w:vAlign w:val="center"/>
                </w:tcPr>
                <w:p w14:paraId="46FB7AD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56.0</w:t>
                  </w:r>
                </w:p>
                <w:p w14:paraId="598639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42.0</w:t>
                  </w:r>
                </w:p>
                <w:p w14:paraId="7AC6746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40.2</w:t>
                  </w:r>
                </w:p>
                <w:p w14:paraId="2DA06E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45.9</w:t>
                  </w:r>
                </w:p>
              </w:tc>
              <w:tc>
                <w:tcPr>
                  <w:tcW w:w="354" w:type="pct"/>
                  <w:vMerge w:val="continue"/>
                  <w:noWrap w:val="0"/>
                  <w:vAlign w:val="center"/>
                </w:tcPr>
                <w:p w14:paraId="6D9202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4280A3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1B0D0D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36.0</w:t>
                  </w:r>
                </w:p>
                <w:p w14:paraId="0B7B5CC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22.0</w:t>
                  </w:r>
                </w:p>
                <w:p w14:paraId="6BD4C4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20.2</w:t>
                  </w:r>
                </w:p>
                <w:p w14:paraId="733521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25.9</w:t>
                  </w:r>
                </w:p>
              </w:tc>
              <w:tc>
                <w:tcPr>
                  <w:tcW w:w="296" w:type="pct"/>
                  <w:noWrap w:val="0"/>
                  <w:vAlign w:val="center"/>
                </w:tcPr>
                <w:p w14:paraId="74A2EC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0151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508586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39</w:t>
                  </w:r>
                </w:p>
              </w:tc>
              <w:tc>
                <w:tcPr>
                  <w:tcW w:w="156" w:type="pct"/>
                  <w:vMerge w:val="continue"/>
                  <w:noWrap w:val="0"/>
                  <w:vAlign w:val="center"/>
                </w:tcPr>
                <w:p w14:paraId="0B81F6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31BABB9B">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2D6364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39F06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63DD70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449A073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293" w:type="pct"/>
                  <w:noWrap w:val="0"/>
                  <w:vAlign w:val="center"/>
                </w:tcPr>
                <w:p w14:paraId="420D7673">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11" w:type="pct"/>
                  <w:shd w:val="clear" w:color="auto" w:fill="auto"/>
                  <w:noWrap w:val="0"/>
                  <w:vAlign w:val="center"/>
                </w:tcPr>
                <w:p w14:paraId="2593E7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5FB326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w:t>
                  </w:r>
                </w:p>
                <w:p w14:paraId="574DDD1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w:t>
                  </w:r>
                </w:p>
                <w:p w14:paraId="19499B1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29</w:t>
                  </w:r>
                </w:p>
                <w:p w14:paraId="119941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w:t>
                  </w:r>
                </w:p>
              </w:tc>
              <w:tc>
                <w:tcPr>
                  <w:tcW w:w="471" w:type="pct"/>
                  <w:shd w:val="clear" w:color="auto" w:fill="auto"/>
                  <w:noWrap w:val="0"/>
                  <w:vAlign w:val="center"/>
                </w:tcPr>
                <w:p w14:paraId="6B1837B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53.1</w:t>
                  </w:r>
                </w:p>
                <w:p w14:paraId="010D60E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42.0</w:t>
                  </w:r>
                </w:p>
                <w:p w14:paraId="0E80BAC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40.8</w:t>
                  </w:r>
                </w:p>
                <w:p w14:paraId="078396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45.9</w:t>
                  </w:r>
                </w:p>
              </w:tc>
              <w:tc>
                <w:tcPr>
                  <w:tcW w:w="354" w:type="pct"/>
                  <w:vMerge w:val="continue"/>
                  <w:noWrap w:val="0"/>
                  <w:vAlign w:val="center"/>
                </w:tcPr>
                <w:p w14:paraId="0DE082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77D31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E1A8F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33.1</w:t>
                  </w:r>
                </w:p>
                <w:p w14:paraId="1A0216F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22.0</w:t>
                  </w:r>
                </w:p>
                <w:p w14:paraId="741863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20.8</w:t>
                  </w:r>
                </w:p>
                <w:p w14:paraId="717790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25.9</w:t>
                  </w:r>
                </w:p>
              </w:tc>
              <w:tc>
                <w:tcPr>
                  <w:tcW w:w="296" w:type="pct"/>
                  <w:noWrap w:val="0"/>
                  <w:vAlign w:val="center"/>
                </w:tcPr>
                <w:p w14:paraId="5C04AE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B18C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016E78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40</w:t>
                  </w:r>
                </w:p>
              </w:tc>
              <w:tc>
                <w:tcPr>
                  <w:tcW w:w="156" w:type="pct"/>
                  <w:vMerge w:val="continue"/>
                  <w:noWrap w:val="0"/>
                  <w:vAlign w:val="center"/>
                </w:tcPr>
                <w:p w14:paraId="130C2BB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0EF1B820">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4D49EE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0FB6D2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289E822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67EBF46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293" w:type="pct"/>
                  <w:noWrap w:val="0"/>
                  <w:vAlign w:val="center"/>
                </w:tcPr>
                <w:p w14:paraId="3DA0BAF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0</w:t>
                  </w:r>
                </w:p>
              </w:tc>
              <w:tc>
                <w:tcPr>
                  <w:tcW w:w="211" w:type="pct"/>
                  <w:shd w:val="clear" w:color="auto" w:fill="auto"/>
                  <w:noWrap w:val="0"/>
                  <w:vAlign w:val="center"/>
                </w:tcPr>
                <w:p w14:paraId="2FDD0D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shd w:val="clear" w:color="auto" w:fill="auto"/>
                  <w:noWrap w:val="0"/>
                  <w:vAlign w:val="center"/>
                </w:tcPr>
                <w:p w14:paraId="54D19C8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30</w:t>
                  </w:r>
                </w:p>
                <w:p w14:paraId="777D215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w:t>
                  </w:r>
                </w:p>
                <w:p w14:paraId="76D1DC2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w:t>
                  </w:r>
                </w:p>
                <w:p w14:paraId="550E73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w:t>
                  </w:r>
                </w:p>
              </w:tc>
              <w:tc>
                <w:tcPr>
                  <w:tcW w:w="471" w:type="pct"/>
                  <w:shd w:val="clear" w:color="auto" w:fill="auto"/>
                  <w:noWrap w:val="0"/>
                  <w:vAlign w:val="center"/>
                </w:tcPr>
                <w:p w14:paraId="23616D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40.5</w:t>
                  </w:r>
                </w:p>
                <w:p w14:paraId="1ECBCFE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42.0</w:t>
                  </w:r>
                </w:p>
                <w:p w14:paraId="741BC6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54.4</w:t>
                  </w:r>
                </w:p>
                <w:p w14:paraId="5B8420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45.9</w:t>
                  </w:r>
                </w:p>
              </w:tc>
              <w:tc>
                <w:tcPr>
                  <w:tcW w:w="354" w:type="pct"/>
                  <w:vMerge w:val="continue"/>
                  <w:noWrap w:val="0"/>
                  <w:vAlign w:val="center"/>
                </w:tcPr>
                <w:p w14:paraId="2ED45C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B7494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4CE8010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20.5</w:t>
                  </w:r>
                </w:p>
                <w:p w14:paraId="07F424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22.0</w:t>
                  </w:r>
                </w:p>
                <w:p w14:paraId="530E42B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34.4</w:t>
                  </w:r>
                </w:p>
                <w:p w14:paraId="39553F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25.9</w:t>
                  </w:r>
                </w:p>
              </w:tc>
              <w:tc>
                <w:tcPr>
                  <w:tcW w:w="296" w:type="pct"/>
                  <w:noWrap w:val="0"/>
                  <w:vAlign w:val="center"/>
                </w:tcPr>
                <w:p w14:paraId="0A4CB3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A837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582C9C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41</w:t>
                  </w:r>
                </w:p>
              </w:tc>
              <w:tc>
                <w:tcPr>
                  <w:tcW w:w="156" w:type="pct"/>
                  <w:vMerge w:val="continue"/>
                  <w:noWrap w:val="0"/>
                  <w:vAlign w:val="center"/>
                </w:tcPr>
                <w:p w14:paraId="0AD036D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1B276E4E">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465B33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31B95B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2375341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472B53D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-25</w:t>
                  </w:r>
                </w:p>
              </w:tc>
              <w:tc>
                <w:tcPr>
                  <w:tcW w:w="293" w:type="pct"/>
                  <w:noWrap w:val="0"/>
                  <w:vAlign w:val="center"/>
                </w:tcPr>
                <w:p w14:paraId="0AEB2F8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0</w:t>
                  </w:r>
                </w:p>
              </w:tc>
              <w:tc>
                <w:tcPr>
                  <w:tcW w:w="211" w:type="pct"/>
                  <w:shd w:val="clear" w:color="auto" w:fill="auto"/>
                  <w:noWrap w:val="0"/>
                  <w:vAlign w:val="center"/>
                </w:tcPr>
                <w:p w14:paraId="677C90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shd w:val="clear" w:color="auto" w:fill="auto"/>
                  <w:noWrap w:val="0"/>
                  <w:vAlign w:val="center"/>
                </w:tcPr>
                <w:p w14:paraId="561177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32</w:t>
                  </w:r>
                </w:p>
                <w:p w14:paraId="343596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w:t>
                  </w:r>
                </w:p>
                <w:p w14:paraId="4C52AF1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w:t>
                  </w:r>
                </w:p>
                <w:p w14:paraId="46551B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w:t>
                  </w:r>
                </w:p>
              </w:tc>
              <w:tc>
                <w:tcPr>
                  <w:tcW w:w="471" w:type="pct"/>
                  <w:shd w:val="clear" w:color="auto" w:fill="auto"/>
                  <w:noWrap w:val="0"/>
                  <w:vAlign w:val="center"/>
                </w:tcPr>
                <w:p w14:paraId="7B5EFB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39.9</w:t>
                  </w:r>
                </w:p>
                <w:p w14:paraId="396F30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42.0</w:t>
                  </w:r>
                </w:p>
                <w:p w14:paraId="185D7DF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58.0</w:t>
                  </w:r>
                </w:p>
                <w:p w14:paraId="6CBD7C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45.9</w:t>
                  </w:r>
                </w:p>
              </w:tc>
              <w:tc>
                <w:tcPr>
                  <w:tcW w:w="354" w:type="pct"/>
                  <w:vMerge w:val="continue"/>
                  <w:noWrap w:val="0"/>
                  <w:vAlign w:val="center"/>
                </w:tcPr>
                <w:p w14:paraId="7AFBC6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AEE02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AE938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19.9</w:t>
                  </w:r>
                </w:p>
                <w:p w14:paraId="6F16D03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22.0</w:t>
                  </w:r>
                </w:p>
                <w:p w14:paraId="322896B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38.0</w:t>
                  </w:r>
                </w:p>
                <w:p w14:paraId="21EC2E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25.9</w:t>
                  </w:r>
                </w:p>
              </w:tc>
              <w:tc>
                <w:tcPr>
                  <w:tcW w:w="296" w:type="pct"/>
                  <w:noWrap w:val="0"/>
                  <w:vAlign w:val="center"/>
                </w:tcPr>
                <w:p w14:paraId="5B7B60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A9A3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66DEBE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42</w:t>
                  </w:r>
                </w:p>
              </w:tc>
              <w:tc>
                <w:tcPr>
                  <w:tcW w:w="156" w:type="pct"/>
                  <w:vMerge w:val="continue"/>
                  <w:noWrap w:val="0"/>
                  <w:vAlign w:val="center"/>
                </w:tcPr>
                <w:p w14:paraId="7A4E215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5BE8B792">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2A5D80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1F72E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4C9BE1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54046FA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-27</w:t>
                  </w:r>
                </w:p>
              </w:tc>
              <w:tc>
                <w:tcPr>
                  <w:tcW w:w="293" w:type="pct"/>
                  <w:noWrap w:val="0"/>
                  <w:vAlign w:val="center"/>
                </w:tcPr>
                <w:p w14:paraId="7CB8D08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11" w:type="pct"/>
                  <w:shd w:val="clear" w:color="auto" w:fill="auto"/>
                  <w:noWrap w:val="0"/>
                  <w:vAlign w:val="center"/>
                </w:tcPr>
                <w:p w14:paraId="674EF3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shd w:val="clear" w:color="auto" w:fill="auto"/>
                  <w:noWrap w:val="0"/>
                  <w:vAlign w:val="center"/>
                </w:tcPr>
                <w:p w14:paraId="48ABE6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34</w:t>
                  </w:r>
                </w:p>
                <w:p w14:paraId="3A5B04E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w:t>
                  </w:r>
                </w:p>
                <w:p w14:paraId="4B0A3E7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w:t>
                  </w:r>
                </w:p>
                <w:p w14:paraId="15A5A5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16</w:t>
                  </w:r>
                </w:p>
              </w:tc>
              <w:tc>
                <w:tcPr>
                  <w:tcW w:w="471" w:type="pct"/>
                  <w:shd w:val="clear" w:color="auto" w:fill="auto"/>
                  <w:noWrap w:val="0"/>
                  <w:vAlign w:val="center"/>
                </w:tcPr>
                <w:p w14:paraId="57D618E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39.4</w:t>
                  </w:r>
                </w:p>
                <w:p w14:paraId="028E7E9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42.0</w:t>
                  </w:r>
                </w:p>
                <w:p w14:paraId="714A6AB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64.0</w:t>
                  </w:r>
                </w:p>
                <w:p w14:paraId="01E019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45.9</w:t>
                  </w:r>
                </w:p>
              </w:tc>
              <w:tc>
                <w:tcPr>
                  <w:tcW w:w="354" w:type="pct"/>
                  <w:vMerge w:val="continue"/>
                  <w:noWrap w:val="0"/>
                  <w:vAlign w:val="center"/>
                </w:tcPr>
                <w:p w14:paraId="266CC1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148C66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F92AE0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19.4</w:t>
                  </w:r>
                </w:p>
                <w:p w14:paraId="172BB0F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22.0</w:t>
                  </w:r>
                </w:p>
                <w:p w14:paraId="16C9E31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44.0</w:t>
                  </w:r>
                </w:p>
                <w:p w14:paraId="7A9EE5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25.9</w:t>
                  </w:r>
                </w:p>
              </w:tc>
              <w:tc>
                <w:tcPr>
                  <w:tcW w:w="296" w:type="pct"/>
                  <w:noWrap w:val="0"/>
                  <w:vAlign w:val="center"/>
                </w:tcPr>
                <w:p w14:paraId="08D288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E8A2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4D437A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43</w:t>
                  </w:r>
                </w:p>
              </w:tc>
              <w:tc>
                <w:tcPr>
                  <w:tcW w:w="156" w:type="pct"/>
                  <w:vMerge w:val="continue"/>
                  <w:noWrap w:val="0"/>
                  <w:vAlign w:val="center"/>
                </w:tcPr>
                <w:p w14:paraId="5E855FC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37584D7F">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1AEA66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7EAA8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0F1690E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707FB023">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-26</w:t>
                  </w:r>
                </w:p>
              </w:tc>
              <w:tc>
                <w:tcPr>
                  <w:tcW w:w="293" w:type="pct"/>
                  <w:noWrap w:val="0"/>
                  <w:vAlign w:val="center"/>
                </w:tcPr>
                <w:p w14:paraId="73731AB9">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11" w:type="pct"/>
                  <w:shd w:val="clear" w:color="auto" w:fill="auto"/>
                  <w:noWrap w:val="0"/>
                  <w:vAlign w:val="center"/>
                </w:tcPr>
                <w:p w14:paraId="3B61C6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shd w:val="clear" w:color="auto" w:fill="auto"/>
                  <w:noWrap w:val="0"/>
                  <w:vAlign w:val="center"/>
                </w:tcPr>
                <w:p w14:paraId="16F405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34</w:t>
                  </w:r>
                </w:p>
                <w:p w14:paraId="479460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16</w:t>
                  </w:r>
                </w:p>
                <w:p w14:paraId="538834C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w:t>
                  </w:r>
                </w:p>
                <w:p w14:paraId="307F0B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71" w:type="pct"/>
                  <w:shd w:val="clear" w:color="auto" w:fill="auto"/>
                  <w:noWrap w:val="0"/>
                  <w:vAlign w:val="center"/>
                </w:tcPr>
                <w:p w14:paraId="3A3C89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39.4</w:t>
                  </w:r>
                </w:p>
                <w:p w14:paraId="5CFC20C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45.9</w:t>
                  </w:r>
                </w:p>
                <w:p w14:paraId="69ACA7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64.0</w:t>
                  </w:r>
                </w:p>
                <w:p w14:paraId="70FFC8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42.0</w:t>
                  </w:r>
                </w:p>
              </w:tc>
              <w:tc>
                <w:tcPr>
                  <w:tcW w:w="354" w:type="pct"/>
                  <w:vMerge w:val="continue"/>
                  <w:noWrap w:val="0"/>
                  <w:vAlign w:val="center"/>
                </w:tcPr>
                <w:p w14:paraId="235C03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983A0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80CF81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19.4</w:t>
                  </w:r>
                </w:p>
                <w:p w14:paraId="024575D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25.9</w:t>
                  </w:r>
                </w:p>
                <w:p w14:paraId="5DF142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44.0</w:t>
                  </w:r>
                </w:p>
                <w:p w14:paraId="0541D2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22.0</w:t>
                  </w:r>
                </w:p>
              </w:tc>
              <w:tc>
                <w:tcPr>
                  <w:tcW w:w="296" w:type="pct"/>
                  <w:noWrap w:val="0"/>
                  <w:vAlign w:val="center"/>
                </w:tcPr>
                <w:p w14:paraId="670C71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FF1B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51C3A8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44</w:t>
                  </w:r>
                </w:p>
              </w:tc>
              <w:tc>
                <w:tcPr>
                  <w:tcW w:w="156" w:type="pct"/>
                  <w:vMerge w:val="continue"/>
                  <w:noWrap w:val="0"/>
                  <w:vAlign w:val="center"/>
                </w:tcPr>
                <w:p w14:paraId="7AD6285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676CB95C">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5848B3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3EBB5D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618EF5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1FE93AE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293" w:type="pct"/>
                  <w:noWrap w:val="0"/>
                  <w:vAlign w:val="center"/>
                </w:tcPr>
                <w:p w14:paraId="26D614F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211" w:type="pct"/>
                  <w:shd w:val="clear" w:color="auto" w:fill="auto"/>
                  <w:noWrap w:val="0"/>
                  <w:vAlign w:val="center"/>
                </w:tcPr>
                <w:p w14:paraId="3E3DA8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shd w:val="clear" w:color="auto" w:fill="auto"/>
                  <w:noWrap w:val="0"/>
                  <w:vAlign w:val="center"/>
                </w:tcPr>
                <w:p w14:paraId="7A8AB66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32</w:t>
                  </w:r>
                </w:p>
                <w:p w14:paraId="5E8BDFC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16</w:t>
                  </w:r>
                </w:p>
                <w:p w14:paraId="08C740C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w:t>
                  </w:r>
                </w:p>
                <w:p w14:paraId="7415A4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71" w:type="pct"/>
                  <w:shd w:val="clear" w:color="auto" w:fill="auto"/>
                  <w:noWrap w:val="0"/>
                  <w:vAlign w:val="center"/>
                </w:tcPr>
                <w:p w14:paraId="207820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39.9</w:t>
                  </w:r>
                </w:p>
                <w:p w14:paraId="2F61E8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45.9</w:t>
                  </w:r>
                </w:p>
                <w:p w14:paraId="62335C5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58.0</w:t>
                  </w:r>
                </w:p>
                <w:p w14:paraId="73D106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42.0</w:t>
                  </w:r>
                </w:p>
              </w:tc>
              <w:tc>
                <w:tcPr>
                  <w:tcW w:w="354" w:type="pct"/>
                  <w:vMerge w:val="continue"/>
                  <w:noWrap w:val="0"/>
                  <w:vAlign w:val="center"/>
                </w:tcPr>
                <w:p w14:paraId="0B15B6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E7488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8EFCA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19.9</w:t>
                  </w:r>
                </w:p>
                <w:p w14:paraId="2CBC9D5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25.9</w:t>
                  </w:r>
                </w:p>
                <w:p w14:paraId="05A2165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38.0</w:t>
                  </w:r>
                </w:p>
                <w:p w14:paraId="518490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22.0</w:t>
                  </w:r>
                </w:p>
              </w:tc>
              <w:tc>
                <w:tcPr>
                  <w:tcW w:w="296" w:type="pct"/>
                  <w:noWrap w:val="0"/>
                  <w:vAlign w:val="center"/>
                </w:tcPr>
                <w:p w14:paraId="458137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2647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1BDEC2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45</w:t>
                  </w:r>
                </w:p>
              </w:tc>
              <w:tc>
                <w:tcPr>
                  <w:tcW w:w="156" w:type="pct"/>
                  <w:vMerge w:val="continue"/>
                  <w:noWrap w:val="0"/>
                  <w:vAlign w:val="center"/>
                </w:tcPr>
                <w:p w14:paraId="273A0C6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1D9AF035">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热压机</w:t>
                  </w:r>
                </w:p>
              </w:tc>
              <w:tc>
                <w:tcPr>
                  <w:tcW w:w="318" w:type="pct"/>
                  <w:noWrap w:val="0"/>
                  <w:vAlign w:val="center"/>
                </w:tcPr>
                <w:p w14:paraId="15DB8D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09ACC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7B706B0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2465539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293" w:type="pct"/>
                  <w:noWrap w:val="0"/>
                  <w:vAlign w:val="center"/>
                </w:tcPr>
                <w:p w14:paraId="2CFB768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211" w:type="pct"/>
                  <w:shd w:val="clear" w:color="auto" w:fill="auto"/>
                  <w:noWrap w:val="0"/>
                  <w:vAlign w:val="center"/>
                </w:tcPr>
                <w:p w14:paraId="02EB72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shd w:val="clear" w:color="auto" w:fill="auto"/>
                  <w:noWrap w:val="0"/>
                  <w:vAlign w:val="center"/>
                </w:tcPr>
                <w:p w14:paraId="325F7FB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30</w:t>
                  </w:r>
                </w:p>
                <w:p w14:paraId="76CF4E8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16</w:t>
                  </w:r>
                </w:p>
                <w:p w14:paraId="68CF2C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w:t>
                  </w:r>
                </w:p>
                <w:p w14:paraId="61ACFC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71" w:type="pct"/>
                  <w:shd w:val="clear" w:color="auto" w:fill="auto"/>
                  <w:noWrap w:val="0"/>
                  <w:vAlign w:val="center"/>
                </w:tcPr>
                <w:p w14:paraId="6BCF50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40.5</w:t>
                  </w:r>
                </w:p>
                <w:p w14:paraId="7528C64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45.9</w:t>
                  </w:r>
                </w:p>
                <w:p w14:paraId="786E4F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54.4</w:t>
                  </w:r>
                </w:p>
                <w:p w14:paraId="0751E0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42.0</w:t>
                  </w:r>
                </w:p>
              </w:tc>
              <w:tc>
                <w:tcPr>
                  <w:tcW w:w="354" w:type="pct"/>
                  <w:vMerge w:val="continue"/>
                  <w:noWrap w:val="0"/>
                  <w:vAlign w:val="center"/>
                </w:tcPr>
                <w:p w14:paraId="6E156A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BCB2B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293CE98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20.5</w:t>
                  </w:r>
                </w:p>
                <w:p w14:paraId="1F9487A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25.9</w:t>
                  </w:r>
                </w:p>
                <w:p w14:paraId="3027F1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34.4</w:t>
                  </w:r>
                </w:p>
                <w:p w14:paraId="5F3FF2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22.0</w:t>
                  </w:r>
                </w:p>
              </w:tc>
              <w:tc>
                <w:tcPr>
                  <w:tcW w:w="296" w:type="pct"/>
                  <w:noWrap w:val="0"/>
                  <w:vAlign w:val="center"/>
                </w:tcPr>
                <w:p w14:paraId="6C25E6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C5FA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40A30D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46</w:t>
                  </w:r>
                </w:p>
              </w:tc>
              <w:tc>
                <w:tcPr>
                  <w:tcW w:w="156" w:type="pct"/>
                  <w:vMerge w:val="continue"/>
                  <w:noWrap w:val="0"/>
                  <w:vAlign w:val="center"/>
                </w:tcPr>
                <w:p w14:paraId="4922A4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102D055F">
                  <w:pPr>
                    <w:adjustRightInd w:val="0"/>
                    <w:snapToGrid w:val="0"/>
                    <w:jc w:val="center"/>
                    <w:rPr>
                      <w:rFonts w:hint="eastAsia" w:ascii="Times New Roman" w:hAnsi="Times New Roman" w:eastAsia="宋体" w:cs="Times New Roman"/>
                      <w:bCs/>
                      <w:sz w:val="18"/>
                      <w:szCs w:val="18"/>
                      <w:highlight w:val="none"/>
                    </w:rPr>
                  </w:pPr>
                  <w:r>
                    <w:rPr>
                      <w:rFonts w:hint="eastAsia" w:ascii="Times New Roman" w:hAnsi="Times New Roman" w:eastAsia="宋体" w:cs="Times New Roman"/>
                      <w:bCs/>
                      <w:sz w:val="18"/>
                      <w:szCs w:val="18"/>
                      <w:highlight w:val="none"/>
                    </w:rPr>
                    <w:t>热压机</w:t>
                  </w:r>
                </w:p>
              </w:tc>
              <w:tc>
                <w:tcPr>
                  <w:tcW w:w="318" w:type="pct"/>
                  <w:noWrap w:val="0"/>
                  <w:vAlign w:val="center"/>
                </w:tcPr>
                <w:p w14:paraId="0F9EDD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6DC409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4658BE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276B2DF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293" w:type="pct"/>
                  <w:noWrap w:val="0"/>
                  <w:vAlign w:val="center"/>
                </w:tcPr>
                <w:p w14:paraId="5485122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11" w:type="pct"/>
                  <w:shd w:val="clear" w:color="auto" w:fill="auto"/>
                  <w:noWrap w:val="0"/>
                  <w:vAlign w:val="center"/>
                </w:tcPr>
                <w:p w14:paraId="015525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6AEFFC9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28</w:t>
                  </w:r>
                </w:p>
                <w:p w14:paraId="4A0499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16</w:t>
                  </w:r>
                </w:p>
                <w:p w14:paraId="02F8CEA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8</w:t>
                  </w:r>
                </w:p>
                <w:p w14:paraId="584AA3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71" w:type="pct"/>
                  <w:shd w:val="clear" w:color="auto" w:fill="auto"/>
                  <w:noWrap w:val="0"/>
                  <w:vAlign w:val="center"/>
                </w:tcPr>
                <w:p w14:paraId="6F8AD99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41.1</w:t>
                  </w:r>
                </w:p>
                <w:p w14:paraId="5330DA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45.9</w:t>
                  </w:r>
                </w:p>
                <w:p w14:paraId="179E5F2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51.9</w:t>
                  </w:r>
                </w:p>
                <w:p w14:paraId="2DFA03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42.0</w:t>
                  </w:r>
                </w:p>
              </w:tc>
              <w:tc>
                <w:tcPr>
                  <w:tcW w:w="354" w:type="pct"/>
                  <w:vMerge w:val="continue"/>
                  <w:noWrap w:val="0"/>
                  <w:vAlign w:val="center"/>
                </w:tcPr>
                <w:p w14:paraId="3F49F9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5FA21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9D6FFA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21.1</w:t>
                  </w:r>
                </w:p>
                <w:p w14:paraId="6F682D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25.9</w:t>
                  </w:r>
                </w:p>
                <w:p w14:paraId="0F26BCA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31.9</w:t>
                  </w:r>
                </w:p>
                <w:p w14:paraId="539C0E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22.0</w:t>
                  </w:r>
                </w:p>
              </w:tc>
              <w:tc>
                <w:tcPr>
                  <w:tcW w:w="296" w:type="pct"/>
                  <w:noWrap w:val="0"/>
                  <w:vAlign w:val="center"/>
                </w:tcPr>
                <w:p w14:paraId="409C40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C2DF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129DB7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47</w:t>
                  </w:r>
                </w:p>
              </w:tc>
              <w:tc>
                <w:tcPr>
                  <w:tcW w:w="156" w:type="pct"/>
                  <w:vMerge w:val="continue"/>
                  <w:noWrap w:val="0"/>
                  <w:vAlign w:val="center"/>
                </w:tcPr>
                <w:p w14:paraId="0C4B194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eastAsia"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547ECD57">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二级活性炭吸附装置</w:t>
                  </w:r>
                  <w:r>
                    <w:rPr>
                      <w:rFonts w:hint="eastAsia" w:ascii="Times New Roman" w:hAnsi="Times New Roman" w:eastAsia="宋体" w:cs="Times New Roman"/>
                      <w:bCs/>
                      <w:sz w:val="18"/>
                      <w:szCs w:val="18"/>
                      <w:highlight w:val="none"/>
                      <w:lang w:val="en-US" w:eastAsia="zh-CN"/>
                    </w:rPr>
                    <w:t>+风机</w:t>
                  </w:r>
                </w:p>
              </w:tc>
              <w:tc>
                <w:tcPr>
                  <w:tcW w:w="318" w:type="pct"/>
                  <w:noWrap w:val="0"/>
                  <w:vAlign w:val="center"/>
                </w:tcPr>
                <w:p w14:paraId="71F542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73DDC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389" w:type="pct"/>
                  <w:vMerge w:val="continue"/>
                  <w:noWrap w:val="0"/>
                  <w:vAlign w:val="center"/>
                </w:tcPr>
                <w:p w14:paraId="5BF8986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2C66B8E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293" w:type="pct"/>
                  <w:noWrap w:val="0"/>
                  <w:vAlign w:val="center"/>
                </w:tcPr>
                <w:p w14:paraId="3123D5AA">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-7</w:t>
                  </w:r>
                </w:p>
              </w:tc>
              <w:tc>
                <w:tcPr>
                  <w:tcW w:w="211" w:type="pct"/>
                  <w:shd w:val="clear" w:color="auto" w:fill="auto"/>
                  <w:noWrap w:val="0"/>
                  <w:vAlign w:val="center"/>
                </w:tcPr>
                <w:p w14:paraId="48EFE5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4A2EAF2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w:t>
                  </w:r>
                </w:p>
                <w:p w14:paraId="3CA46D3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19</w:t>
                  </w:r>
                </w:p>
                <w:p w14:paraId="56AFA0D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34</w:t>
                  </w:r>
                </w:p>
                <w:p w14:paraId="754835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22</w:t>
                  </w:r>
                </w:p>
              </w:tc>
              <w:tc>
                <w:tcPr>
                  <w:tcW w:w="471" w:type="pct"/>
                  <w:shd w:val="clear" w:color="auto" w:fill="auto"/>
                  <w:noWrap w:val="0"/>
                  <w:vAlign w:val="center"/>
                </w:tcPr>
                <w:p w14:paraId="789949B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69.0</w:t>
                  </w:r>
                </w:p>
                <w:p w14:paraId="75D001A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49.4</w:t>
                  </w:r>
                </w:p>
                <w:p w14:paraId="6A2ABC7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44.4</w:t>
                  </w:r>
                </w:p>
                <w:p w14:paraId="46B366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48.2</w:t>
                  </w:r>
                </w:p>
              </w:tc>
              <w:tc>
                <w:tcPr>
                  <w:tcW w:w="354" w:type="pct"/>
                  <w:vMerge w:val="continue"/>
                  <w:noWrap w:val="0"/>
                  <w:vAlign w:val="center"/>
                </w:tcPr>
                <w:p w14:paraId="2995C5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4A91CC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E7EB4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49.0</w:t>
                  </w:r>
                </w:p>
                <w:p w14:paraId="499204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29.4</w:t>
                  </w:r>
                </w:p>
                <w:p w14:paraId="2AA6D8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24.4</w:t>
                  </w:r>
                </w:p>
                <w:p w14:paraId="2BCD2B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28.2</w:t>
                  </w:r>
                </w:p>
              </w:tc>
              <w:tc>
                <w:tcPr>
                  <w:tcW w:w="296" w:type="pct"/>
                  <w:noWrap w:val="0"/>
                  <w:vAlign w:val="center"/>
                </w:tcPr>
                <w:p w14:paraId="2D2090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7667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381BAD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48</w:t>
                  </w:r>
                </w:p>
              </w:tc>
              <w:tc>
                <w:tcPr>
                  <w:tcW w:w="156" w:type="pct"/>
                  <w:vMerge w:val="restart"/>
                  <w:noWrap w:val="0"/>
                  <w:vAlign w:val="center"/>
                </w:tcPr>
                <w:p w14:paraId="21FDA0C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3#生产车间</w:t>
                  </w:r>
                </w:p>
              </w:tc>
              <w:tc>
                <w:tcPr>
                  <w:tcW w:w="575" w:type="pct"/>
                  <w:shd w:val="clear" w:color="auto" w:fill="auto"/>
                  <w:noWrap w:val="0"/>
                  <w:vAlign w:val="center"/>
                </w:tcPr>
                <w:p w14:paraId="34FC7C17">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振动筛</w:t>
                  </w:r>
                </w:p>
              </w:tc>
              <w:tc>
                <w:tcPr>
                  <w:tcW w:w="318" w:type="pct"/>
                  <w:noWrap w:val="0"/>
                  <w:vAlign w:val="center"/>
                </w:tcPr>
                <w:p w14:paraId="5C3898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1DE1A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678EEB0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4472A7D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93" w:type="pct"/>
                  <w:noWrap w:val="0"/>
                  <w:vAlign w:val="center"/>
                </w:tcPr>
                <w:p w14:paraId="3729747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211" w:type="pct"/>
                  <w:shd w:val="clear" w:color="auto" w:fill="auto"/>
                  <w:noWrap w:val="0"/>
                  <w:vAlign w:val="center"/>
                </w:tcPr>
                <w:p w14:paraId="72A894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5EAB338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w:t>
                  </w:r>
                </w:p>
                <w:p w14:paraId="445A60C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w:t>
                  </w:r>
                </w:p>
                <w:p w14:paraId="0637A1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29</w:t>
                  </w:r>
                </w:p>
                <w:p w14:paraId="0F412C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w:t>
                  </w:r>
                </w:p>
              </w:tc>
              <w:tc>
                <w:tcPr>
                  <w:tcW w:w="471" w:type="pct"/>
                  <w:shd w:val="clear" w:color="auto" w:fill="auto"/>
                  <w:noWrap w:val="0"/>
                  <w:vAlign w:val="center"/>
                </w:tcPr>
                <w:p w14:paraId="0EB4875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56.0</w:t>
                  </w:r>
                </w:p>
                <w:p w14:paraId="3786B2C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60.5</w:t>
                  </w:r>
                </w:p>
                <w:p w14:paraId="14B149F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40.8</w:t>
                  </w:r>
                </w:p>
                <w:p w14:paraId="5E7779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38.4</w:t>
                  </w:r>
                </w:p>
              </w:tc>
              <w:tc>
                <w:tcPr>
                  <w:tcW w:w="354" w:type="pct"/>
                  <w:vMerge w:val="continue"/>
                  <w:noWrap w:val="0"/>
                  <w:vAlign w:val="center"/>
                </w:tcPr>
                <w:p w14:paraId="788D3F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7CBD97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554212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36.0</w:t>
                  </w:r>
                </w:p>
                <w:p w14:paraId="3BE6820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40.5</w:t>
                  </w:r>
                </w:p>
                <w:p w14:paraId="35EB81D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20.8</w:t>
                  </w:r>
                </w:p>
                <w:p w14:paraId="00C4B2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18.4</w:t>
                  </w:r>
                </w:p>
              </w:tc>
              <w:tc>
                <w:tcPr>
                  <w:tcW w:w="296" w:type="pct"/>
                  <w:noWrap w:val="0"/>
                  <w:vAlign w:val="center"/>
                </w:tcPr>
                <w:p w14:paraId="794104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746F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3DAC73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49</w:t>
                  </w:r>
                </w:p>
              </w:tc>
              <w:tc>
                <w:tcPr>
                  <w:tcW w:w="156" w:type="pct"/>
                  <w:vMerge w:val="continue"/>
                  <w:noWrap w:val="0"/>
                  <w:vAlign w:val="center"/>
                </w:tcPr>
                <w:p w14:paraId="4C5B5E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08DAA7F5">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振动筛</w:t>
                  </w:r>
                </w:p>
              </w:tc>
              <w:tc>
                <w:tcPr>
                  <w:tcW w:w="318" w:type="pct"/>
                  <w:noWrap w:val="0"/>
                  <w:vAlign w:val="center"/>
                </w:tcPr>
                <w:p w14:paraId="6A62828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CBAC4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04DDC4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227FA64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14</w:t>
                  </w:r>
                </w:p>
              </w:tc>
              <w:tc>
                <w:tcPr>
                  <w:tcW w:w="293" w:type="pct"/>
                  <w:noWrap w:val="0"/>
                  <w:vAlign w:val="center"/>
                </w:tcPr>
                <w:p w14:paraId="33AA195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211" w:type="pct"/>
                  <w:shd w:val="clear" w:color="auto" w:fill="auto"/>
                  <w:noWrap w:val="0"/>
                  <w:vAlign w:val="center"/>
                </w:tcPr>
                <w:p w14:paraId="7FF954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1B215C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w:t>
                  </w:r>
                </w:p>
                <w:p w14:paraId="157B41E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w:t>
                  </w:r>
                </w:p>
                <w:p w14:paraId="4ADB5E0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28</w:t>
                  </w:r>
                </w:p>
                <w:p w14:paraId="4DB2B1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w:t>
                  </w:r>
                </w:p>
              </w:tc>
              <w:tc>
                <w:tcPr>
                  <w:tcW w:w="471" w:type="pct"/>
                  <w:shd w:val="clear" w:color="auto" w:fill="auto"/>
                  <w:noWrap w:val="0"/>
                  <w:vAlign w:val="center"/>
                </w:tcPr>
                <w:p w14:paraId="06AEEF2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54.4</w:t>
                  </w:r>
                </w:p>
                <w:p w14:paraId="6A6BA9D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60.5</w:t>
                  </w:r>
                </w:p>
                <w:p w14:paraId="4F6393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41.1</w:t>
                  </w:r>
                </w:p>
                <w:p w14:paraId="50D569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38.4</w:t>
                  </w:r>
                </w:p>
              </w:tc>
              <w:tc>
                <w:tcPr>
                  <w:tcW w:w="354" w:type="pct"/>
                  <w:vMerge w:val="continue"/>
                  <w:noWrap w:val="0"/>
                  <w:vAlign w:val="center"/>
                </w:tcPr>
                <w:p w14:paraId="65A919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C5CDD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B15686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44.4</w:t>
                  </w:r>
                </w:p>
                <w:p w14:paraId="260689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30.5</w:t>
                  </w:r>
                </w:p>
                <w:p w14:paraId="0224A9D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21.1</w:t>
                  </w:r>
                </w:p>
                <w:p w14:paraId="3D0687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18.4</w:t>
                  </w:r>
                </w:p>
              </w:tc>
              <w:tc>
                <w:tcPr>
                  <w:tcW w:w="296" w:type="pct"/>
                  <w:noWrap w:val="0"/>
                  <w:vAlign w:val="center"/>
                </w:tcPr>
                <w:p w14:paraId="6EC49C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C0F0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266620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50</w:t>
                  </w:r>
                </w:p>
              </w:tc>
              <w:tc>
                <w:tcPr>
                  <w:tcW w:w="156" w:type="pct"/>
                  <w:vMerge w:val="continue"/>
                  <w:noWrap w:val="0"/>
                  <w:vAlign w:val="center"/>
                </w:tcPr>
                <w:p w14:paraId="0382D62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0141A2D9">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振动筛</w:t>
                  </w:r>
                </w:p>
              </w:tc>
              <w:tc>
                <w:tcPr>
                  <w:tcW w:w="318" w:type="pct"/>
                  <w:noWrap w:val="0"/>
                  <w:vAlign w:val="center"/>
                </w:tcPr>
                <w:p w14:paraId="5E0A35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29A574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80</w:t>
                  </w:r>
                </w:p>
              </w:tc>
              <w:tc>
                <w:tcPr>
                  <w:tcW w:w="389" w:type="pct"/>
                  <w:vMerge w:val="continue"/>
                  <w:noWrap w:val="0"/>
                  <w:vAlign w:val="center"/>
                </w:tcPr>
                <w:p w14:paraId="3919F69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069C76C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13</w:t>
                  </w:r>
                </w:p>
              </w:tc>
              <w:tc>
                <w:tcPr>
                  <w:tcW w:w="293" w:type="pct"/>
                  <w:noWrap w:val="0"/>
                  <w:vAlign w:val="center"/>
                </w:tcPr>
                <w:p w14:paraId="16967217">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211" w:type="pct"/>
                  <w:shd w:val="clear" w:color="auto" w:fill="auto"/>
                  <w:noWrap w:val="0"/>
                  <w:vAlign w:val="center"/>
                </w:tcPr>
                <w:p w14:paraId="7692AD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2D8FE07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w:t>
                  </w:r>
                </w:p>
                <w:p w14:paraId="7F81CC3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w:t>
                  </w:r>
                </w:p>
                <w:p w14:paraId="4AF6B4B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27</w:t>
                  </w:r>
                </w:p>
                <w:p w14:paraId="16DC29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w:t>
                  </w:r>
                </w:p>
              </w:tc>
              <w:tc>
                <w:tcPr>
                  <w:tcW w:w="471" w:type="pct"/>
                  <w:shd w:val="clear" w:color="auto" w:fill="auto"/>
                  <w:noWrap w:val="0"/>
                  <w:vAlign w:val="center"/>
                </w:tcPr>
                <w:p w14:paraId="78F8583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53.1</w:t>
                  </w:r>
                </w:p>
                <w:p w14:paraId="259D8BD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60.5</w:t>
                  </w:r>
                </w:p>
                <w:p w14:paraId="4C2FB6D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41.4</w:t>
                  </w:r>
                </w:p>
                <w:p w14:paraId="411CCA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38.4</w:t>
                  </w:r>
                </w:p>
              </w:tc>
              <w:tc>
                <w:tcPr>
                  <w:tcW w:w="354" w:type="pct"/>
                  <w:vMerge w:val="continue"/>
                  <w:noWrap w:val="0"/>
                  <w:vAlign w:val="center"/>
                </w:tcPr>
                <w:p w14:paraId="796557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1041C3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B7E288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33.1</w:t>
                  </w:r>
                </w:p>
                <w:p w14:paraId="07DCC6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40.5</w:t>
                  </w:r>
                </w:p>
                <w:p w14:paraId="117486F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21.4</w:t>
                  </w:r>
                </w:p>
                <w:p w14:paraId="635130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18.4</w:t>
                  </w:r>
                </w:p>
              </w:tc>
              <w:tc>
                <w:tcPr>
                  <w:tcW w:w="296" w:type="pct"/>
                  <w:noWrap w:val="0"/>
                  <w:vAlign w:val="center"/>
                </w:tcPr>
                <w:p w14:paraId="590449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BC11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167920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51</w:t>
                  </w:r>
                </w:p>
              </w:tc>
              <w:tc>
                <w:tcPr>
                  <w:tcW w:w="156" w:type="pct"/>
                  <w:vMerge w:val="continue"/>
                  <w:noWrap w:val="0"/>
                  <w:vAlign w:val="center"/>
                </w:tcPr>
                <w:p w14:paraId="189F07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712E77B">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混料机</w:t>
                  </w:r>
                </w:p>
              </w:tc>
              <w:tc>
                <w:tcPr>
                  <w:tcW w:w="318" w:type="pct"/>
                  <w:noWrap w:val="0"/>
                  <w:vAlign w:val="center"/>
                </w:tcPr>
                <w:p w14:paraId="7000C0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0056E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389" w:type="pct"/>
                  <w:vMerge w:val="continue"/>
                  <w:noWrap w:val="0"/>
                  <w:vAlign w:val="center"/>
                </w:tcPr>
                <w:p w14:paraId="3A82D36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10F8FF3E">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w:t>
                  </w:r>
                </w:p>
              </w:tc>
              <w:tc>
                <w:tcPr>
                  <w:tcW w:w="293" w:type="pct"/>
                  <w:noWrap w:val="0"/>
                  <w:vAlign w:val="center"/>
                </w:tcPr>
                <w:p w14:paraId="19A4EFD1">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211" w:type="pct"/>
                  <w:shd w:val="clear" w:color="auto" w:fill="auto"/>
                  <w:noWrap w:val="0"/>
                  <w:vAlign w:val="center"/>
                </w:tcPr>
                <w:p w14:paraId="4F2034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30B29ED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12</w:t>
                  </w:r>
                </w:p>
                <w:p w14:paraId="66C9C04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w:t>
                  </w:r>
                </w:p>
                <w:p w14:paraId="2FBE181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22</w:t>
                  </w:r>
                </w:p>
                <w:p w14:paraId="45F0F7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w:t>
                  </w:r>
                </w:p>
              </w:tc>
              <w:tc>
                <w:tcPr>
                  <w:tcW w:w="471" w:type="pct"/>
                  <w:shd w:val="clear" w:color="auto" w:fill="auto"/>
                  <w:noWrap w:val="0"/>
                  <w:vAlign w:val="center"/>
                </w:tcPr>
                <w:p w14:paraId="790FE39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43.4</w:t>
                  </w:r>
                </w:p>
                <w:p w14:paraId="107A713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55.5</w:t>
                  </w:r>
                </w:p>
                <w:p w14:paraId="58EC41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38.2</w:t>
                  </w:r>
                </w:p>
                <w:p w14:paraId="2CC1A8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33.4</w:t>
                  </w:r>
                </w:p>
              </w:tc>
              <w:tc>
                <w:tcPr>
                  <w:tcW w:w="354" w:type="pct"/>
                  <w:vMerge w:val="continue"/>
                  <w:noWrap w:val="0"/>
                  <w:vAlign w:val="center"/>
                </w:tcPr>
                <w:p w14:paraId="7C8555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E9A3A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285A2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23.4</w:t>
                  </w:r>
                </w:p>
                <w:p w14:paraId="3249F0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35.5</w:t>
                  </w:r>
                </w:p>
                <w:p w14:paraId="4E64DBD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18.2</w:t>
                  </w:r>
                </w:p>
                <w:p w14:paraId="12F5E5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13.4</w:t>
                  </w:r>
                </w:p>
              </w:tc>
              <w:tc>
                <w:tcPr>
                  <w:tcW w:w="296" w:type="pct"/>
                  <w:noWrap w:val="0"/>
                  <w:vAlign w:val="center"/>
                </w:tcPr>
                <w:p w14:paraId="503898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5FB8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55B2C7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52</w:t>
                  </w:r>
                </w:p>
              </w:tc>
              <w:tc>
                <w:tcPr>
                  <w:tcW w:w="156" w:type="pct"/>
                  <w:vMerge w:val="continue"/>
                  <w:noWrap w:val="0"/>
                  <w:vAlign w:val="center"/>
                </w:tcPr>
                <w:p w14:paraId="1E34BE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E85E281">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混料机</w:t>
                  </w:r>
                </w:p>
              </w:tc>
              <w:tc>
                <w:tcPr>
                  <w:tcW w:w="318" w:type="pct"/>
                  <w:noWrap w:val="0"/>
                  <w:vAlign w:val="center"/>
                </w:tcPr>
                <w:p w14:paraId="366615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818B6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389" w:type="pct"/>
                  <w:vMerge w:val="continue"/>
                  <w:noWrap w:val="0"/>
                  <w:vAlign w:val="center"/>
                </w:tcPr>
                <w:p w14:paraId="46DA6B5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49370F85">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w:t>
                  </w:r>
                </w:p>
              </w:tc>
              <w:tc>
                <w:tcPr>
                  <w:tcW w:w="293" w:type="pct"/>
                  <w:noWrap w:val="0"/>
                  <w:vAlign w:val="center"/>
                </w:tcPr>
                <w:p w14:paraId="2318ACB8">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211" w:type="pct"/>
                  <w:shd w:val="clear" w:color="auto" w:fill="auto"/>
                  <w:noWrap w:val="0"/>
                  <w:vAlign w:val="center"/>
                </w:tcPr>
                <w:p w14:paraId="0037A4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77D3AA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13</w:t>
                  </w:r>
                </w:p>
                <w:p w14:paraId="20AD0E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w:t>
                  </w:r>
                </w:p>
                <w:p w14:paraId="70EDF9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21</w:t>
                  </w:r>
                </w:p>
                <w:p w14:paraId="02A63E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w:t>
                  </w:r>
                </w:p>
              </w:tc>
              <w:tc>
                <w:tcPr>
                  <w:tcW w:w="471" w:type="pct"/>
                  <w:shd w:val="clear" w:color="auto" w:fill="auto"/>
                  <w:noWrap w:val="0"/>
                  <w:vAlign w:val="center"/>
                </w:tcPr>
                <w:p w14:paraId="69474BA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42.7</w:t>
                  </w:r>
                </w:p>
                <w:p w14:paraId="242E0B0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55.5</w:t>
                  </w:r>
                </w:p>
                <w:p w14:paraId="58207C3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38.6</w:t>
                  </w:r>
                </w:p>
                <w:p w14:paraId="281FA1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33.4</w:t>
                  </w:r>
                </w:p>
              </w:tc>
              <w:tc>
                <w:tcPr>
                  <w:tcW w:w="354" w:type="pct"/>
                  <w:vMerge w:val="continue"/>
                  <w:noWrap w:val="0"/>
                  <w:vAlign w:val="center"/>
                </w:tcPr>
                <w:p w14:paraId="3F6D07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FB657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BF8F6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22.7</w:t>
                  </w:r>
                </w:p>
                <w:p w14:paraId="03176D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35.5</w:t>
                  </w:r>
                </w:p>
                <w:p w14:paraId="3455D8A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18.6</w:t>
                  </w:r>
                </w:p>
                <w:p w14:paraId="3B4FF2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13.4</w:t>
                  </w:r>
                </w:p>
              </w:tc>
              <w:tc>
                <w:tcPr>
                  <w:tcW w:w="296" w:type="pct"/>
                  <w:noWrap w:val="0"/>
                  <w:vAlign w:val="center"/>
                </w:tcPr>
                <w:p w14:paraId="6DDC15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70CC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13A9A6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53</w:t>
                  </w:r>
                </w:p>
              </w:tc>
              <w:tc>
                <w:tcPr>
                  <w:tcW w:w="156" w:type="pct"/>
                  <w:vMerge w:val="continue"/>
                  <w:noWrap w:val="0"/>
                  <w:vAlign w:val="center"/>
                </w:tcPr>
                <w:p w14:paraId="1CA036F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302FE277">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混料机</w:t>
                  </w:r>
                </w:p>
              </w:tc>
              <w:tc>
                <w:tcPr>
                  <w:tcW w:w="318" w:type="pct"/>
                  <w:noWrap w:val="0"/>
                  <w:vAlign w:val="center"/>
                </w:tcPr>
                <w:p w14:paraId="303D8C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308F11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389" w:type="pct"/>
                  <w:vMerge w:val="continue"/>
                  <w:noWrap w:val="0"/>
                  <w:vAlign w:val="center"/>
                </w:tcPr>
                <w:p w14:paraId="682A147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01D467EB">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0</w:t>
                  </w:r>
                </w:p>
              </w:tc>
              <w:tc>
                <w:tcPr>
                  <w:tcW w:w="293" w:type="pct"/>
                  <w:noWrap w:val="0"/>
                  <w:vAlign w:val="center"/>
                </w:tcPr>
                <w:p w14:paraId="6D9016FC">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211" w:type="pct"/>
                  <w:shd w:val="clear" w:color="auto" w:fill="auto"/>
                  <w:noWrap w:val="0"/>
                  <w:vAlign w:val="center"/>
                </w:tcPr>
                <w:p w14:paraId="6710B5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13817F6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14</w:t>
                  </w:r>
                </w:p>
                <w:p w14:paraId="7473D86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w:t>
                  </w:r>
                </w:p>
                <w:p w14:paraId="6C5F148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w:t>
                  </w:r>
                </w:p>
                <w:p w14:paraId="4E8A15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w:t>
                  </w:r>
                </w:p>
              </w:tc>
              <w:tc>
                <w:tcPr>
                  <w:tcW w:w="471" w:type="pct"/>
                  <w:shd w:val="clear" w:color="auto" w:fill="auto"/>
                  <w:noWrap w:val="0"/>
                  <w:vAlign w:val="center"/>
                </w:tcPr>
                <w:p w14:paraId="4DD9BBD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42.1</w:t>
                  </w:r>
                </w:p>
                <w:p w14:paraId="6FC260D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55.5</w:t>
                  </w:r>
                </w:p>
                <w:p w14:paraId="1A2747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39.0</w:t>
                  </w:r>
                </w:p>
                <w:p w14:paraId="46FDCB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33.4</w:t>
                  </w:r>
                </w:p>
              </w:tc>
              <w:tc>
                <w:tcPr>
                  <w:tcW w:w="354" w:type="pct"/>
                  <w:vMerge w:val="continue"/>
                  <w:noWrap w:val="0"/>
                  <w:vAlign w:val="center"/>
                </w:tcPr>
                <w:p w14:paraId="6EF6AB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8915E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741B9A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22.1</w:t>
                  </w:r>
                </w:p>
                <w:p w14:paraId="317EF6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35.5</w:t>
                  </w:r>
                </w:p>
                <w:p w14:paraId="63D712E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19.0</w:t>
                  </w:r>
                </w:p>
                <w:p w14:paraId="010D29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13.4</w:t>
                  </w:r>
                </w:p>
              </w:tc>
              <w:tc>
                <w:tcPr>
                  <w:tcW w:w="296" w:type="pct"/>
                  <w:noWrap w:val="0"/>
                  <w:vAlign w:val="center"/>
                </w:tcPr>
                <w:p w14:paraId="1B7621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BEC7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1F03EC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54</w:t>
                  </w:r>
                </w:p>
              </w:tc>
              <w:tc>
                <w:tcPr>
                  <w:tcW w:w="156" w:type="pct"/>
                  <w:vMerge w:val="continue"/>
                  <w:noWrap w:val="0"/>
                  <w:vAlign w:val="center"/>
                </w:tcPr>
                <w:p w14:paraId="510EBF7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000CA3EA">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sz w:val="18"/>
                      <w:szCs w:val="18"/>
                      <w:highlight w:val="none"/>
                    </w:rPr>
                    <w:t>混料机</w:t>
                  </w:r>
                </w:p>
              </w:tc>
              <w:tc>
                <w:tcPr>
                  <w:tcW w:w="318" w:type="pct"/>
                  <w:noWrap w:val="0"/>
                  <w:vAlign w:val="center"/>
                </w:tcPr>
                <w:p w14:paraId="775458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43E33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75</w:t>
                  </w:r>
                </w:p>
              </w:tc>
              <w:tc>
                <w:tcPr>
                  <w:tcW w:w="389" w:type="pct"/>
                  <w:vMerge w:val="continue"/>
                  <w:noWrap w:val="0"/>
                  <w:vAlign w:val="center"/>
                </w:tcPr>
                <w:p w14:paraId="48D423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06D69016">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w:t>
                  </w:r>
                </w:p>
              </w:tc>
              <w:tc>
                <w:tcPr>
                  <w:tcW w:w="293" w:type="pct"/>
                  <w:noWrap w:val="0"/>
                  <w:vAlign w:val="center"/>
                </w:tcPr>
                <w:p w14:paraId="5D13D192">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211" w:type="pct"/>
                  <w:shd w:val="clear" w:color="auto" w:fill="auto"/>
                  <w:noWrap w:val="0"/>
                  <w:vAlign w:val="center"/>
                </w:tcPr>
                <w:p w14:paraId="5A4A58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393B5A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15</w:t>
                  </w:r>
                </w:p>
                <w:p w14:paraId="1E68C25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w:t>
                  </w:r>
                </w:p>
                <w:p w14:paraId="1A05B8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w:t>
                  </w:r>
                </w:p>
                <w:p w14:paraId="062C57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w:t>
                  </w:r>
                </w:p>
              </w:tc>
              <w:tc>
                <w:tcPr>
                  <w:tcW w:w="471" w:type="pct"/>
                  <w:shd w:val="clear" w:color="auto" w:fill="auto"/>
                  <w:noWrap w:val="0"/>
                  <w:vAlign w:val="center"/>
                </w:tcPr>
                <w:p w14:paraId="15842F8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41.5</w:t>
                  </w:r>
                </w:p>
                <w:p w14:paraId="416451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55.5</w:t>
                  </w:r>
                </w:p>
                <w:p w14:paraId="71E92A1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39.4</w:t>
                  </w:r>
                </w:p>
                <w:p w14:paraId="786D07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33.4</w:t>
                  </w:r>
                </w:p>
              </w:tc>
              <w:tc>
                <w:tcPr>
                  <w:tcW w:w="354" w:type="pct"/>
                  <w:vMerge w:val="continue"/>
                  <w:noWrap w:val="0"/>
                  <w:vAlign w:val="center"/>
                </w:tcPr>
                <w:p w14:paraId="73DCC5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6F26C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DC6AC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21.5</w:t>
                  </w:r>
                </w:p>
                <w:p w14:paraId="21106C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35.5</w:t>
                  </w:r>
                </w:p>
                <w:p w14:paraId="2BC53F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19.4</w:t>
                  </w:r>
                </w:p>
                <w:p w14:paraId="71D610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13.4</w:t>
                  </w:r>
                </w:p>
              </w:tc>
              <w:tc>
                <w:tcPr>
                  <w:tcW w:w="296" w:type="pct"/>
                  <w:noWrap w:val="0"/>
                  <w:vAlign w:val="center"/>
                </w:tcPr>
                <w:p w14:paraId="525B86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1D68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2CA0EA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55</w:t>
                  </w:r>
                </w:p>
              </w:tc>
              <w:tc>
                <w:tcPr>
                  <w:tcW w:w="156" w:type="pct"/>
                  <w:vMerge w:val="continue"/>
                  <w:noWrap w:val="0"/>
                  <w:vAlign w:val="center"/>
                </w:tcPr>
                <w:p w14:paraId="68641F9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p>
              </w:tc>
              <w:tc>
                <w:tcPr>
                  <w:tcW w:w="575" w:type="pct"/>
                  <w:shd w:val="clear" w:color="auto" w:fill="auto"/>
                  <w:noWrap w:val="0"/>
                  <w:vAlign w:val="center"/>
                </w:tcPr>
                <w:p w14:paraId="3925F5E4">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混料机</w:t>
                  </w:r>
                </w:p>
              </w:tc>
              <w:tc>
                <w:tcPr>
                  <w:tcW w:w="318" w:type="pct"/>
                  <w:noWrap w:val="0"/>
                  <w:vAlign w:val="center"/>
                </w:tcPr>
                <w:p w14:paraId="4BA4A99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256EF2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389" w:type="pct"/>
                  <w:noWrap w:val="0"/>
                  <w:vAlign w:val="center"/>
                </w:tcPr>
                <w:p w14:paraId="5E874B2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43ECB14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-3</w:t>
                  </w:r>
                </w:p>
              </w:tc>
              <w:tc>
                <w:tcPr>
                  <w:tcW w:w="293" w:type="pct"/>
                  <w:noWrap w:val="0"/>
                  <w:vAlign w:val="center"/>
                </w:tcPr>
                <w:p w14:paraId="0E71FABB">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211" w:type="pct"/>
                  <w:shd w:val="clear" w:color="auto" w:fill="auto"/>
                  <w:noWrap w:val="0"/>
                  <w:vAlign w:val="center"/>
                </w:tcPr>
                <w:p w14:paraId="788EB4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36B8709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16</w:t>
                  </w:r>
                </w:p>
                <w:p w14:paraId="3332CC6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w:t>
                  </w:r>
                </w:p>
                <w:p w14:paraId="1FE1C87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18</w:t>
                  </w:r>
                </w:p>
                <w:p w14:paraId="4F71D7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w:t>
                  </w:r>
                </w:p>
              </w:tc>
              <w:tc>
                <w:tcPr>
                  <w:tcW w:w="471" w:type="pct"/>
                  <w:shd w:val="clear" w:color="auto" w:fill="auto"/>
                  <w:noWrap w:val="0"/>
                  <w:vAlign w:val="center"/>
                </w:tcPr>
                <w:p w14:paraId="119497A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40.9</w:t>
                  </w:r>
                </w:p>
                <w:p w14:paraId="404ACBF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55.5</w:t>
                  </w:r>
                </w:p>
                <w:p w14:paraId="03B029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39.9</w:t>
                  </w:r>
                </w:p>
                <w:p w14:paraId="37E3FD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33.4</w:t>
                  </w:r>
                </w:p>
              </w:tc>
              <w:tc>
                <w:tcPr>
                  <w:tcW w:w="354" w:type="pct"/>
                  <w:vMerge w:val="continue"/>
                  <w:noWrap w:val="0"/>
                  <w:vAlign w:val="center"/>
                </w:tcPr>
                <w:p w14:paraId="62CC75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6E07B1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21A87E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20.9</w:t>
                  </w:r>
                </w:p>
                <w:p w14:paraId="229203A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35.5</w:t>
                  </w:r>
                </w:p>
                <w:p w14:paraId="473062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19.9</w:t>
                  </w:r>
                </w:p>
                <w:p w14:paraId="3017CC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13.4</w:t>
                  </w:r>
                </w:p>
              </w:tc>
              <w:tc>
                <w:tcPr>
                  <w:tcW w:w="296" w:type="pct"/>
                  <w:noWrap w:val="0"/>
                  <w:vAlign w:val="center"/>
                </w:tcPr>
                <w:p w14:paraId="0A5FE7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44FD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568D9A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56</w:t>
                  </w:r>
                </w:p>
              </w:tc>
              <w:tc>
                <w:tcPr>
                  <w:tcW w:w="156" w:type="pct"/>
                  <w:vMerge w:val="continue"/>
                  <w:noWrap w:val="0"/>
                  <w:vAlign w:val="center"/>
                </w:tcPr>
                <w:p w14:paraId="1A1A63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43CC8CCD">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eastAsia="宋体" w:cs="Times New Roman"/>
                      <w:bCs/>
                      <w:sz w:val="18"/>
                      <w:szCs w:val="18"/>
                      <w:highlight w:val="none"/>
                    </w:rPr>
                    <w:t>混料机</w:t>
                  </w:r>
                </w:p>
              </w:tc>
              <w:tc>
                <w:tcPr>
                  <w:tcW w:w="318" w:type="pct"/>
                  <w:noWrap w:val="0"/>
                  <w:vAlign w:val="center"/>
                </w:tcPr>
                <w:p w14:paraId="48506E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35AFB2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75</w:t>
                  </w:r>
                </w:p>
              </w:tc>
              <w:tc>
                <w:tcPr>
                  <w:tcW w:w="389" w:type="pct"/>
                  <w:noWrap w:val="0"/>
                  <w:vAlign w:val="center"/>
                </w:tcPr>
                <w:p w14:paraId="32BDE0E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1EBD30E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-5</w:t>
                  </w:r>
                </w:p>
              </w:tc>
              <w:tc>
                <w:tcPr>
                  <w:tcW w:w="293" w:type="pct"/>
                  <w:noWrap w:val="0"/>
                  <w:vAlign w:val="center"/>
                </w:tcPr>
                <w:p w14:paraId="2CA0F43F">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211" w:type="pct"/>
                  <w:shd w:val="clear" w:color="auto" w:fill="auto"/>
                  <w:noWrap w:val="0"/>
                  <w:vAlign w:val="center"/>
                </w:tcPr>
                <w:p w14:paraId="328286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1133C6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17</w:t>
                  </w:r>
                </w:p>
                <w:p w14:paraId="64C19E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w:t>
                  </w:r>
                </w:p>
                <w:p w14:paraId="76D86F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18</w:t>
                  </w:r>
                </w:p>
                <w:p w14:paraId="12DC71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38</w:t>
                  </w:r>
                </w:p>
              </w:tc>
              <w:tc>
                <w:tcPr>
                  <w:tcW w:w="471" w:type="pct"/>
                  <w:shd w:val="clear" w:color="auto" w:fill="auto"/>
                  <w:noWrap w:val="0"/>
                  <w:vAlign w:val="center"/>
                </w:tcPr>
                <w:p w14:paraId="4C96684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40.4</w:t>
                  </w:r>
                </w:p>
                <w:p w14:paraId="525FB13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55.5</w:t>
                  </w:r>
                </w:p>
                <w:p w14:paraId="110D292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39.9</w:t>
                  </w:r>
                </w:p>
                <w:p w14:paraId="372B13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33.4</w:t>
                  </w:r>
                </w:p>
              </w:tc>
              <w:tc>
                <w:tcPr>
                  <w:tcW w:w="354" w:type="pct"/>
                  <w:vMerge w:val="continue"/>
                  <w:noWrap w:val="0"/>
                  <w:vAlign w:val="center"/>
                </w:tcPr>
                <w:p w14:paraId="099C5B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19711D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0DB9F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20.4</w:t>
                  </w:r>
                </w:p>
                <w:p w14:paraId="00950AC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35.5</w:t>
                  </w:r>
                </w:p>
                <w:p w14:paraId="4BC04FC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19.9</w:t>
                  </w:r>
                </w:p>
                <w:p w14:paraId="7CA146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13.4</w:t>
                  </w:r>
                </w:p>
              </w:tc>
              <w:tc>
                <w:tcPr>
                  <w:tcW w:w="296" w:type="pct"/>
                  <w:noWrap w:val="0"/>
                  <w:vAlign w:val="center"/>
                </w:tcPr>
                <w:p w14:paraId="25D945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2F27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shd w:val="clear" w:color="auto" w:fill="auto"/>
                  <w:noWrap w:val="0"/>
                  <w:vAlign w:val="center"/>
                </w:tcPr>
                <w:p w14:paraId="04A4FD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57</w:t>
                  </w:r>
                </w:p>
              </w:tc>
              <w:tc>
                <w:tcPr>
                  <w:tcW w:w="156" w:type="pct"/>
                  <w:vMerge w:val="continue"/>
                  <w:noWrap w:val="0"/>
                  <w:vAlign w:val="center"/>
                </w:tcPr>
                <w:p w14:paraId="2B58ABE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6140870">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螺杆空压机</w:t>
                  </w:r>
                </w:p>
              </w:tc>
              <w:tc>
                <w:tcPr>
                  <w:tcW w:w="318" w:type="pct"/>
                  <w:noWrap w:val="0"/>
                  <w:vAlign w:val="center"/>
                </w:tcPr>
                <w:p w14:paraId="2E02A7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6BEBF4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389" w:type="pct"/>
                  <w:noWrap w:val="0"/>
                  <w:vAlign w:val="center"/>
                </w:tcPr>
                <w:p w14:paraId="6F7B17D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5D639E54">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-12</w:t>
                  </w:r>
                </w:p>
              </w:tc>
              <w:tc>
                <w:tcPr>
                  <w:tcW w:w="293" w:type="pct"/>
                  <w:noWrap w:val="0"/>
                  <w:vAlign w:val="center"/>
                </w:tcPr>
                <w:p w14:paraId="4EE8D2A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211" w:type="pct"/>
                  <w:shd w:val="clear" w:color="auto" w:fill="auto"/>
                  <w:noWrap w:val="0"/>
                  <w:vAlign w:val="center"/>
                </w:tcPr>
                <w:p w14:paraId="39783D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6BD9594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20</w:t>
                  </w:r>
                </w:p>
                <w:p w14:paraId="3C598A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16</w:t>
                  </w:r>
                </w:p>
                <w:p w14:paraId="555AFEA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14</w:t>
                  </w:r>
                </w:p>
                <w:p w14:paraId="525CD9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71" w:type="pct"/>
                  <w:shd w:val="clear" w:color="auto" w:fill="auto"/>
                  <w:noWrap w:val="0"/>
                  <w:vAlign w:val="center"/>
                </w:tcPr>
                <w:p w14:paraId="76FF12A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49.0</w:t>
                  </w:r>
                </w:p>
                <w:p w14:paraId="06B8D3D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50.9</w:t>
                  </w:r>
                </w:p>
                <w:p w14:paraId="1499B8A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52.1</w:t>
                  </w:r>
                </w:p>
                <w:p w14:paraId="500474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47.0</w:t>
                  </w:r>
                </w:p>
              </w:tc>
              <w:tc>
                <w:tcPr>
                  <w:tcW w:w="354" w:type="pct"/>
                  <w:vMerge w:val="continue"/>
                  <w:noWrap w:val="0"/>
                  <w:vAlign w:val="center"/>
                </w:tcPr>
                <w:p w14:paraId="21A8B8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41465C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7D99B15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29.0</w:t>
                  </w:r>
                </w:p>
                <w:p w14:paraId="6B4E3CF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30.9</w:t>
                  </w:r>
                </w:p>
                <w:p w14:paraId="5EA0431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32.1</w:t>
                  </w:r>
                </w:p>
                <w:p w14:paraId="4ED482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27.0</w:t>
                  </w:r>
                </w:p>
              </w:tc>
              <w:tc>
                <w:tcPr>
                  <w:tcW w:w="296" w:type="pct"/>
                  <w:noWrap w:val="0"/>
                  <w:vAlign w:val="center"/>
                </w:tcPr>
                <w:p w14:paraId="4DBEB5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0AD0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3" w:type="pct"/>
                  <w:noWrap w:val="0"/>
                  <w:vAlign w:val="center"/>
                </w:tcPr>
                <w:p w14:paraId="3112BC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58</w:t>
                  </w:r>
                </w:p>
              </w:tc>
              <w:tc>
                <w:tcPr>
                  <w:tcW w:w="156" w:type="pct"/>
                  <w:vMerge w:val="continue"/>
                  <w:noWrap w:val="0"/>
                  <w:vAlign w:val="center"/>
                </w:tcPr>
                <w:p w14:paraId="54F6FB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4B2748BC">
                  <w:pPr>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2#</w:t>
                  </w:r>
                  <w:r>
                    <w:rPr>
                      <w:rFonts w:hint="eastAsia" w:ascii="Times New Roman" w:hAnsi="Times New Roman" w:cs="Times New Roman"/>
                      <w:bCs/>
                      <w:color w:val="auto"/>
                      <w:sz w:val="18"/>
                      <w:szCs w:val="18"/>
                      <w:highlight w:val="none"/>
                      <w:lang w:val="en-US" w:eastAsia="zh-CN"/>
                    </w:rPr>
                    <w:t>布袋除尘器</w:t>
                  </w:r>
                  <w:r>
                    <w:rPr>
                      <w:rFonts w:hint="eastAsia" w:cs="Times New Roman"/>
                      <w:bCs/>
                      <w:color w:val="auto"/>
                      <w:sz w:val="18"/>
                      <w:szCs w:val="18"/>
                      <w:highlight w:val="none"/>
                      <w:lang w:val="en-US" w:eastAsia="zh-CN"/>
                    </w:rPr>
                    <w:t>+风机</w:t>
                  </w:r>
                </w:p>
              </w:tc>
              <w:tc>
                <w:tcPr>
                  <w:tcW w:w="318" w:type="pct"/>
                  <w:noWrap w:val="0"/>
                  <w:vAlign w:val="center"/>
                </w:tcPr>
                <w:p w14:paraId="088203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A077A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85</w:t>
                  </w:r>
                </w:p>
              </w:tc>
              <w:tc>
                <w:tcPr>
                  <w:tcW w:w="389" w:type="pct"/>
                  <w:noWrap w:val="0"/>
                  <w:vAlign w:val="center"/>
                </w:tcPr>
                <w:p w14:paraId="44F1E56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4" w:type="pct"/>
                  <w:shd w:val="clear" w:color="auto" w:fill="auto"/>
                  <w:noWrap w:val="0"/>
                  <w:vAlign w:val="center"/>
                </w:tcPr>
                <w:p w14:paraId="26F32ABD">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-20</w:t>
                  </w:r>
                </w:p>
              </w:tc>
              <w:tc>
                <w:tcPr>
                  <w:tcW w:w="293" w:type="pct"/>
                  <w:noWrap w:val="0"/>
                  <w:vAlign w:val="center"/>
                </w:tcPr>
                <w:p w14:paraId="3808A760">
                  <w:pPr>
                    <w:keepNext w:val="0"/>
                    <w:keepLines w:val="0"/>
                    <w:pageBreakBefore w:val="0"/>
                    <w:widowControl w:val="0"/>
                    <w:kinsoku/>
                    <w:wordWrap/>
                    <w:overflowPunct/>
                    <w:topLinePunct w:val="0"/>
                    <w:autoSpaceDE w:val="0"/>
                    <w:autoSpaceDN w:val="0"/>
                    <w:bidi w:val="0"/>
                    <w:adjustRightInd w:val="0"/>
                    <w:snapToGrid w:val="0"/>
                    <w:spacing w:line="240" w:lineRule="auto"/>
                    <w:jc w:val="center"/>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211" w:type="pct"/>
                  <w:shd w:val="clear" w:color="auto" w:fill="auto"/>
                  <w:noWrap w:val="0"/>
                  <w:vAlign w:val="center"/>
                </w:tcPr>
                <w:p w14:paraId="0ECB4A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2</w:t>
                  </w:r>
                </w:p>
              </w:tc>
              <w:tc>
                <w:tcPr>
                  <w:tcW w:w="499" w:type="pct"/>
                  <w:noWrap w:val="0"/>
                  <w:vAlign w:val="center"/>
                </w:tcPr>
                <w:p w14:paraId="09B07E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20</w:t>
                  </w:r>
                </w:p>
                <w:p w14:paraId="08250D7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6</w:t>
                  </w:r>
                </w:p>
                <w:p w14:paraId="77C297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14</w:t>
                  </w:r>
                </w:p>
                <w:p w14:paraId="093C0B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35</w:t>
                  </w:r>
                </w:p>
              </w:tc>
              <w:tc>
                <w:tcPr>
                  <w:tcW w:w="471" w:type="pct"/>
                  <w:shd w:val="clear" w:color="auto" w:fill="auto"/>
                  <w:noWrap w:val="0"/>
                  <w:vAlign w:val="center"/>
                </w:tcPr>
                <w:p w14:paraId="76FDD26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49.0</w:t>
                  </w:r>
                </w:p>
                <w:p w14:paraId="44D67B0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59.4</w:t>
                  </w:r>
                </w:p>
                <w:p w14:paraId="77BC4FC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52.1</w:t>
                  </w:r>
                </w:p>
                <w:p w14:paraId="6C6654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44.1</w:t>
                  </w:r>
                </w:p>
              </w:tc>
              <w:tc>
                <w:tcPr>
                  <w:tcW w:w="354" w:type="pct"/>
                  <w:vMerge w:val="continue"/>
                  <w:noWrap w:val="0"/>
                  <w:vAlign w:val="center"/>
                </w:tcPr>
                <w:p w14:paraId="4FCE4A9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9F58A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1954C19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29.0</w:t>
                  </w:r>
                </w:p>
                <w:p w14:paraId="2439478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39.4</w:t>
                  </w:r>
                </w:p>
                <w:p w14:paraId="24A9FDC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32.1</w:t>
                  </w:r>
                </w:p>
                <w:p w14:paraId="42A221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24.1</w:t>
                  </w:r>
                </w:p>
              </w:tc>
              <w:tc>
                <w:tcPr>
                  <w:tcW w:w="296" w:type="pct"/>
                  <w:noWrap w:val="0"/>
                  <w:vAlign w:val="center"/>
                </w:tcPr>
                <w:p w14:paraId="71FC74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bl>
          <w:p w14:paraId="1A8EE04E">
            <w:pPr>
              <w:spacing w:line="420" w:lineRule="exact"/>
              <w:ind w:firstLine="420" w:firstLineChars="200"/>
              <w:rPr>
                <w:rFonts w:hint="default" w:ascii="Times New Roman" w:hAnsi="Times New Roman" w:cs="Times New Roman"/>
                <w:b/>
                <w:bCs/>
                <w:color w:val="auto"/>
                <w:highlight w:val="none"/>
              </w:rPr>
            </w:pPr>
            <w:r>
              <w:rPr>
                <w:rFonts w:hint="default" w:ascii="Times New Roman" w:hAnsi="Times New Roman" w:eastAsia="黑体" w:cs="Times New Roman"/>
                <w:color w:val="auto"/>
                <w:highlight w:val="none"/>
              </w:rPr>
              <w:t>5、</w:t>
            </w:r>
            <w:r>
              <w:rPr>
                <w:rFonts w:hint="default" w:ascii="Times New Roman" w:hAnsi="Times New Roman" w:cs="Times New Roman"/>
                <w:b/>
                <w:bCs/>
                <w:color w:val="auto"/>
                <w:highlight w:val="none"/>
              </w:rPr>
              <w:t>达标分析</w:t>
            </w:r>
          </w:p>
          <w:p w14:paraId="67182DAA">
            <w:pPr>
              <w:spacing w:line="420" w:lineRule="exact"/>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依据《环境工作手册-环境噪声控制卷》（高等教育出版社，2000年）可知，采取隔减振等措施均可达到10~25dB</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的隔声（消声）量，墙壁可降低23~30dB</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的噪声。本项目各风机均配套隔声罩。</w:t>
            </w:r>
          </w:p>
          <w:p w14:paraId="6D44E32A">
            <w:pPr>
              <w:adjustRightInd w:val="0"/>
              <w:snapToGrid w:val="0"/>
              <w:spacing w:line="360" w:lineRule="auto"/>
              <w:ind w:firstLine="420"/>
              <w:rPr>
                <w:color w:val="auto"/>
                <w:highlight w:val="none"/>
              </w:rPr>
            </w:pPr>
            <w:r>
              <w:rPr>
                <w:color w:val="auto"/>
                <w:highlight w:val="none"/>
              </w:rPr>
              <w:t>本次评价采用《环境影响评价技术导则—声环境》（HJ2.4-2021）中）附录B中推荐模式进行预测，用A声级计算，模式如下：</w:t>
            </w:r>
          </w:p>
          <w:p w14:paraId="3F6B356E">
            <w:pPr>
              <w:adjustRightInd w:val="0"/>
              <w:snapToGrid w:val="0"/>
              <w:spacing w:line="360" w:lineRule="auto"/>
              <w:ind w:firstLine="420"/>
              <w:rPr>
                <w:color w:val="auto"/>
                <w:highlight w:val="none"/>
              </w:rPr>
            </w:pPr>
            <w:r>
              <w:rPr>
                <w:color w:val="auto"/>
                <w:highlight w:val="none"/>
              </w:rPr>
              <w:t xml:space="preserve">户外声传播衰减包括几何发散（Adiv）、大气吸收（Aatm）、地面效应（Agr）、障碍物屏蔽（Abar）、其他多方面效应（Amisc）引起的衰减。 </w:t>
            </w:r>
          </w:p>
          <w:p w14:paraId="58EA03DA">
            <w:pPr>
              <w:adjustRightInd w:val="0"/>
              <w:snapToGrid w:val="0"/>
              <w:spacing w:line="360" w:lineRule="auto"/>
              <w:ind w:firstLine="420"/>
              <w:rPr>
                <w:color w:val="auto"/>
                <w:highlight w:val="none"/>
              </w:rPr>
            </w:pPr>
            <w:r>
              <w:rPr>
                <w:color w:val="auto"/>
                <w:highlight w:val="none"/>
              </w:rPr>
              <w:t xml:space="preserve">（1）室内声源等效室外声源声功率级计算方法 </w:t>
            </w:r>
          </w:p>
          <w:p w14:paraId="2DA750D8">
            <w:pPr>
              <w:adjustRightInd w:val="0"/>
              <w:snapToGrid w:val="0"/>
              <w:spacing w:line="360" w:lineRule="auto"/>
              <w:ind w:firstLine="420"/>
              <w:rPr>
                <w:color w:val="auto"/>
                <w:highlight w:val="none"/>
              </w:rPr>
            </w:pPr>
            <w:r>
              <w:rPr>
                <w:color w:val="auto"/>
                <w:highlight w:val="none"/>
              </w:rPr>
              <w:t>声源位于室内， 室内声源可采用等效室外声源声功率级法进行计算。设靠近开口处 （或窗户） 室内、室外某倍频带的声压级或 A 声级分别为 Lp1 和 Lp2。若声源所在室内声场为近似扩散声场，则室外的倍频带声压级可按式（B. 1）近似求出：</w:t>
            </w:r>
          </w:p>
          <w:p w14:paraId="15B57969">
            <w:pPr>
              <w:widowControl/>
              <w:adjustRightInd w:val="0"/>
              <w:snapToGrid w:val="0"/>
              <w:spacing w:line="360" w:lineRule="auto"/>
              <w:ind w:firstLine="840" w:firstLineChars="400"/>
              <w:rPr>
                <w:color w:val="auto"/>
                <w:kern w:val="0"/>
                <w:highlight w:val="none"/>
                <w:lang w:bidi="ar"/>
              </w:rPr>
            </w:pPr>
            <w:r>
              <w:rPr>
                <w:color w:val="auto"/>
                <w:kern w:val="0"/>
                <w:highlight w:val="none"/>
                <w:lang w:bidi="ar"/>
              </w:rPr>
              <w:t>Lp2 = Lp1 - （TL + 6）   （B.1）</w:t>
            </w:r>
          </w:p>
          <w:p w14:paraId="55614B19">
            <w:pPr>
              <w:pStyle w:val="1392"/>
              <w:spacing w:line="360" w:lineRule="auto"/>
              <w:ind w:firstLine="630" w:firstLineChars="300"/>
              <w:jc w:val="both"/>
              <w:rPr>
                <w:color w:val="auto"/>
                <w:sz w:val="21"/>
                <w:highlight w:val="none"/>
              </w:rPr>
            </w:pPr>
            <w:r>
              <w:rPr>
                <w:color w:val="auto"/>
                <w:sz w:val="21"/>
                <w:highlight w:val="none"/>
              </w:rPr>
              <w:t>式中：Lp</w:t>
            </w:r>
            <w:r>
              <w:rPr>
                <w:color w:val="auto"/>
                <w:sz w:val="21"/>
                <w:highlight w:val="none"/>
                <w:vertAlign w:val="subscript"/>
              </w:rPr>
              <w:t>1</w:t>
            </w:r>
            <w:r>
              <w:rPr>
                <w:color w:val="auto"/>
                <w:sz w:val="21"/>
                <w:highlight w:val="none"/>
              </w:rPr>
              <w:t xml:space="preserve">——靠近开口处（或窗户） 室内某倍频带的声压级或 A 声级，dB； </w:t>
            </w:r>
          </w:p>
          <w:p w14:paraId="64DEF0EA">
            <w:pPr>
              <w:pStyle w:val="1392"/>
              <w:spacing w:line="360" w:lineRule="auto"/>
              <w:ind w:firstLine="1260" w:firstLineChars="600"/>
              <w:jc w:val="both"/>
              <w:rPr>
                <w:color w:val="auto"/>
                <w:sz w:val="21"/>
                <w:highlight w:val="none"/>
              </w:rPr>
            </w:pPr>
            <w:r>
              <w:rPr>
                <w:color w:val="auto"/>
                <w:sz w:val="21"/>
                <w:highlight w:val="none"/>
              </w:rPr>
              <w:t>Lp</w:t>
            </w:r>
            <w:r>
              <w:rPr>
                <w:color w:val="auto"/>
                <w:sz w:val="21"/>
                <w:highlight w:val="none"/>
                <w:vertAlign w:val="subscript"/>
              </w:rPr>
              <w:t>2</w:t>
            </w:r>
            <w:r>
              <w:rPr>
                <w:color w:val="auto"/>
                <w:sz w:val="21"/>
                <w:highlight w:val="none"/>
              </w:rPr>
              <w:t xml:space="preserve">——靠近开口处（或窗户） 室外某倍频带的声压级或 A 声级，dB； </w:t>
            </w:r>
          </w:p>
          <w:p w14:paraId="4B932088">
            <w:pPr>
              <w:pStyle w:val="1392"/>
              <w:spacing w:line="360" w:lineRule="auto"/>
              <w:ind w:firstLine="1260" w:firstLineChars="600"/>
              <w:jc w:val="both"/>
              <w:rPr>
                <w:color w:val="auto"/>
                <w:sz w:val="21"/>
                <w:highlight w:val="none"/>
              </w:rPr>
            </w:pPr>
            <w:r>
              <w:rPr>
                <w:color w:val="auto"/>
                <w:sz w:val="21"/>
                <w:highlight w:val="none"/>
              </w:rPr>
              <w:t>TL—— 隔墙（或窗户） 倍频带或 A 声级的隔声量，dB。</w:t>
            </w:r>
          </w:p>
          <w:p w14:paraId="761A8E70">
            <w:pPr>
              <w:widowControl/>
              <w:adjustRightInd w:val="0"/>
              <w:snapToGrid w:val="0"/>
              <w:spacing w:line="360" w:lineRule="auto"/>
              <w:ind w:firstLine="400"/>
              <w:jc w:val="left"/>
              <w:rPr>
                <w:color w:val="auto"/>
                <w:highlight w:val="none"/>
              </w:rPr>
            </w:pPr>
            <w:r>
              <w:rPr>
                <w:color w:val="auto"/>
                <w:kern w:val="0"/>
                <w:highlight w:val="none"/>
                <w:lang w:bidi="ar"/>
              </w:rPr>
              <w:t>（2）工业企业噪声计算:</w:t>
            </w:r>
          </w:p>
          <w:p w14:paraId="30464CA2">
            <w:pPr>
              <w:adjustRightInd w:val="0"/>
              <w:snapToGrid w:val="0"/>
              <w:spacing w:line="360" w:lineRule="auto"/>
              <w:ind w:firstLine="420"/>
              <w:rPr>
                <w:color w:val="auto"/>
                <w:highlight w:val="none"/>
              </w:rPr>
            </w:pPr>
            <w:r>
              <w:rPr>
                <w:color w:val="auto"/>
                <w:highlight w:val="none"/>
              </w:rPr>
              <w:t>①设第i个室外声源在预测点产生的A声级为L</w:t>
            </w:r>
            <w:r>
              <w:rPr>
                <w:color w:val="auto"/>
                <w:highlight w:val="none"/>
                <w:vertAlign w:val="subscript"/>
              </w:rPr>
              <w:t>Ai</w:t>
            </w:r>
            <w:r>
              <w:rPr>
                <w:color w:val="auto"/>
                <w:highlight w:val="none"/>
              </w:rPr>
              <w:t xml:space="preserve"> ，在T时间内该声源工作时间为ti ；第j个等效室外声源在预测点产生的A声级为L</w:t>
            </w:r>
            <w:r>
              <w:rPr>
                <w:color w:val="auto"/>
                <w:highlight w:val="none"/>
                <w:vertAlign w:val="subscript"/>
              </w:rPr>
              <w:t>Aj</w:t>
            </w:r>
            <w:r>
              <w:rPr>
                <w:color w:val="auto"/>
                <w:highlight w:val="none"/>
              </w:rPr>
              <w:t xml:space="preserve"> ，在 T 时间内该声源工作时间为tj，则拟建工程声源对预测点产生的贡献值（Leqg ）为：</w:t>
            </w:r>
          </w:p>
          <w:p w14:paraId="68212513">
            <w:pPr>
              <w:adjustRightInd w:val="0"/>
              <w:snapToGrid w:val="0"/>
              <w:spacing w:line="360" w:lineRule="auto"/>
              <w:ind w:firstLine="420"/>
              <w:rPr>
                <w:color w:val="auto"/>
                <w:highlight w:val="none"/>
              </w:rPr>
            </w:pPr>
            <w:r>
              <w:rPr>
                <w:color w:val="auto"/>
                <w:highlight w:val="none"/>
              </w:rPr>
              <w:drawing>
                <wp:inline distT="0" distB="0" distL="114300" distR="114300">
                  <wp:extent cx="3368040" cy="483870"/>
                  <wp:effectExtent l="0" t="0" r="3810" b="11430"/>
                  <wp:docPr id="1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
                          <pic:cNvPicPr>
                            <a:picLocks noChangeAspect="1"/>
                          </pic:cNvPicPr>
                        </pic:nvPicPr>
                        <pic:blipFill>
                          <a:blip r:embed="rId22"/>
                          <a:stretch>
                            <a:fillRect/>
                          </a:stretch>
                        </pic:blipFill>
                        <pic:spPr>
                          <a:xfrm>
                            <a:off x="0" y="0"/>
                            <a:ext cx="3368040" cy="483870"/>
                          </a:xfrm>
                          <a:prstGeom prst="rect">
                            <a:avLst/>
                          </a:prstGeom>
                          <a:noFill/>
                          <a:ln>
                            <a:noFill/>
                          </a:ln>
                        </pic:spPr>
                      </pic:pic>
                    </a:graphicData>
                  </a:graphic>
                </wp:inline>
              </w:drawing>
            </w:r>
          </w:p>
          <w:p w14:paraId="40318F80">
            <w:pPr>
              <w:widowControl/>
              <w:adjustRightInd w:val="0"/>
              <w:snapToGrid w:val="0"/>
              <w:spacing w:line="360" w:lineRule="auto"/>
              <w:ind w:firstLine="400"/>
              <w:jc w:val="left"/>
              <w:rPr>
                <w:color w:val="auto"/>
                <w:highlight w:val="none"/>
              </w:rPr>
            </w:pPr>
            <w:r>
              <w:rPr>
                <w:color w:val="auto"/>
                <w:kern w:val="0"/>
                <w:highlight w:val="none"/>
                <w:lang w:bidi="ar"/>
              </w:rPr>
              <w:t xml:space="preserve">式中：Leqg——建设项目声源在预测点产生的噪声贡献值，dB； </w:t>
            </w:r>
          </w:p>
          <w:p w14:paraId="67A70DF7">
            <w:pPr>
              <w:keepNext w:val="0"/>
              <w:keepLines w:val="0"/>
              <w:pageBreakBefore w:val="0"/>
              <w:widowControl/>
              <w:kinsoku/>
              <w:wordWrap/>
              <w:overflowPunct/>
              <w:topLinePunct w:val="0"/>
              <w:autoSpaceDE/>
              <w:autoSpaceDN/>
              <w:bidi w:val="0"/>
              <w:adjustRightInd w:val="0"/>
              <w:snapToGrid w:val="0"/>
              <w:spacing w:line="360" w:lineRule="auto"/>
              <w:ind w:firstLine="400"/>
              <w:jc w:val="left"/>
              <w:textAlignment w:val="auto"/>
              <w:rPr>
                <w:color w:val="auto"/>
                <w:highlight w:val="none"/>
              </w:rPr>
            </w:pPr>
            <w:r>
              <w:rPr>
                <w:color w:val="auto"/>
                <w:kern w:val="0"/>
                <w:highlight w:val="none"/>
                <w:lang w:bidi="ar"/>
              </w:rPr>
              <w:t xml:space="preserve">T ——用于计算等效声级的时间， s； </w:t>
            </w:r>
          </w:p>
          <w:p w14:paraId="5837C40D">
            <w:pPr>
              <w:keepNext w:val="0"/>
              <w:keepLines w:val="0"/>
              <w:pageBreakBefore w:val="0"/>
              <w:widowControl/>
              <w:kinsoku/>
              <w:wordWrap/>
              <w:overflowPunct/>
              <w:topLinePunct w:val="0"/>
              <w:autoSpaceDE/>
              <w:autoSpaceDN/>
              <w:bidi w:val="0"/>
              <w:adjustRightInd w:val="0"/>
              <w:snapToGrid w:val="0"/>
              <w:spacing w:line="360" w:lineRule="auto"/>
              <w:ind w:firstLine="400"/>
              <w:jc w:val="left"/>
              <w:textAlignment w:val="auto"/>
              <w:rPr>
                <w:color w:val="auto"/>
                <w:highlight w:val="none"/>
              </w:rPr>
            </w:pPr>
            <w:r>
              <w:rPr>
                <w:color w:val="auto"/>
                <w:kern w:val="0"/>
                <w:highlight w:val="none"/>
                <w:lang w:bidi="ar"/>
              </w:rPr>
              <w:t xml:space="preserve">N ——室外声源个数； </w:t>
            </w:r>
          </w:p>
          <w:p w14:paraId="7B7134DF">
            <w:pPr>
              <w:keepNext w:val="0"/>
              <w:keepLines w:val="0"/>
              <w:pageBreakBefore w:val="0"/>
              <w:widowControl/>
              <w:kinsoku/>
              <w:wordWrap/>
              <w:overflowPunct/>
              <w:topLinePunct w:val="0"/>
              <w:autoSpaceDE/>
              <w:autoSpaceDN/>
              <w:bidi w:val="0"/>
              <w:adjustRightInd w:val="0"/>
              <w:snapToGrid w:val="0"/>
              <w:spacing w:line="360" w:lineRule="auto"/>
              <w:ind w:firstLine="400"/>
              <w:jc w:val="left"/>
              <w:textAlignment w:val="auto"/>
              <w:rPr>
                <w:color w:val="auto"/>
                <w:highlight w:val="none"/>
              </w:rPr>
            </w:pPr>
            <w:r>
              <w:rPr>
                <w:color w:val="auto"/>
                <w:kern w:val="0"/>
                <w:highlight w:val="none"/>
                <w:lang w:bidi="ar"/>
              </w:rPr>
              <w:t xml:space="preserve">ti ——在 T 时间内 i 声源工作时间，s； </w:t>
            </w:r>
          </w:p>
          <w:p w14:paraId="04921498">
            <w:pPr>
              <w:keepNext w:val="0"/>
              <w:keepLines w:val="0"/>
              <w:pageBreakBefore w:val="0"/>
              <w:widowControl/>
              <w:kinsoku/>
              <w:wordWrap/>
              <w:overflowPunct/>
              <w:topLinePunct w:val="0"/>
              <w:autoSpaceDE/>
              <w:autoSpaceDN/>
              <w:bidi w:val="0"/>
              <w:adjustRightInd w:val="0"/>
              <w:snapToGrid w:val="0"/>
              <w:spacing w:line="360" w:lineRule="auto"/>
              <w:ind w:firstLine="400"/>
              <w:jc w:val="left"/>
              <w:textAlignment w:val="auto"/>
              <w:rPr>
                <w:color w:val="auto"/>
                <w:highlight w:val="none"/>
              </w:rPr>
            </w:pPr>
            <w:r>
              <w:rPr>
                <w:color w:val="auto"/>
                <w:kern w:val="0"/>
                <w:highlight w:val="none"/>
                <w:lang w:bidi="ar"/>
              </w:rPr>
              <w:t xml:space="preserve">M ——等效室外声源个数； </w:t>
            </w:r>
          </w:p>
          <w:p w14:paraId="7AEB67FE">
            <w:pPr>
              <w:keepNext w:val="0"/>
              <w:keepLines w:val="0"/>
              <w:pageBreakBefore w:val="0"/>
              <w:widowControl/>
              <w:kinsoku/>
              <w:wordWrap/>
              <w:overflowPunct/>
              <w:topLinePunct w:val="0"/>
              <w:autoSpaceDE/>
              <w:autoSpaceDN/>
              <w:bidi w:val="0"/>
              <w:adjustRightInd w:val="0"/>
              <w:snapToGrid w:val="0"/>
              <w:spacing w:line="360" w:lineRule="auto"/>
              <w:ind w:firstLine="400"/>
              <w:jc w:val="left"/>
              <w:textAlignment w:val="auto"/>
              <w:rPr>
                <w:color w:val="auto"/>
                <w:highlight w:val="none"/>
              </w:rPr>
            </w:pPr>
            <w:r>
              <w:rPr>
                <w:color w:val="auto"/>
                <w:kern w:val="0"/>
                <w:highlight w:val="none"/>
                <w:lang w:bidi="ar"/>
              </w:rPr>
              <w:t>tj ——在 T 时间内 j 声源工作时间，s。</w:t>
            </w:r>
          </w:p>
          <w:p w14:paraId="0279844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②计算出所有室内声源在围护结构处产生的 i 倍频带叠加声压级</w:t>
            </w:r>
          </w:p>
          <w:p w14:paraId="21ED1F9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drawing>
                <wp:inline distT="0" distB="0" distL="114300" distR="114300">
                  <wp:extent cx="1588135" cy="512445"/>
                  <wp:effectExtent l="0" t="0" r="12065" b="1905"/>
                  <wp:docPr id="1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3"/>
                          <pic:cNvPicPr>
                            <a:picLocks noChangeAspect="1"/>
                          </pic:cNvPicPr>
                        </pic:nvPicPr>
                        <pic:blipFill>
                          <a:blip r:embed="rId23"/>
                          <a:stretch>
                            <a:fillRect/>
                          </a:stretch>
                        </pic:blipFill>
                        <pic:spPr>
                          <a:xfrm>
                            <a:off x="0" y="0"/>
                            <a:ext cx="1588135" cy="512445"/>
                          </a:xfrm>
                          <a:prstGeom prst="rect">
                            <a:avLst/>
                          </a:prstGeom>
                          <a:noFill/>
                          <a:ln>
                            <a:noFill/>
                          </a:ln>
                        </pic:spPr>
                      </pic:pic>
                    </a:graphicData>
                  </a:graphic>
                </wp:inline>
              </w:drawing>
            </w:r>
          </w:p>
          <w:p w14:paraId="13F4A970">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式中：LP1i（T）—靠近围护结构处N个室内声源产生的i倍频带的叠加声压级，dB（A）；</w:t>
            </w:r>
          </w:p>
          <w:p w14:paraId="2F5B000D">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LP1ij—室内j声源i倍频带的声压级，dB（A）；</w:t>
            </w:r>
          </w:p>
          <w:p w14:paraId="39493240">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N—室内声源总数；</w:t>
            </w:r>
          </w:p>
          <w:p w14:paraId="6A971F48">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③然后按照室外声源预测方法计算预测点处的A声级;</w:t>
            </w:r>
          </w:p>
          <w:p w14:paraId="3B33F00A">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（3）户外声传播衰减包括几何发散（Adiv）、大气吸收（Aatm）、地面效应（Agr）、障碍物屏蔽（Abar）、其他多方面效应（Amisc）</w:t>
            </w:r>
          </w:p>
          <w:p w14:paraId="7C4A0DEF">
            <w:pPr>
              <w:keepNext w:val="0"/>
              <w:keepLines w:val="0"/>
              <w:pageBreakBefore w:val="0"/>
              <w:kinsoku/>
              <w:wordWrap/>
              <w:overflowPunct/>
              <w:topLinePunct w:val="0"/>
              <w:autoSpaceDE/>
              <w:autoSpaceDN/>
              <w:bidi w:val="0"/>
              <w:adjustRightInd w:val="0"/>
              <w:snapToGrid w:val="0"/>
              <w:spacing w:line="360" w:lineRule="auto"/>
              <w:textAlignment w:val="auto"/>
              <w:rPr>
                <w:color w:val="auto"/>
                <w:highlight w:val="none"/>
              </w:rPr>
            </w:pPr>
            <w:r>
              <w:rPr>
                <w:color w:val="auto"/>
                <w:highlight w:val="none"/>
              </w:rPr>
              <w:t>引起的衰减。</w:t>
            </w:r>
          </w:p>
          <w:p w14:paraId="41589358">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根据导则，评价应根据声源声功率级或参考位置处的声压级、户外声传播衰减，计算预测点的声级，分别按式（A.1）或式（A.2）计算，本次评价采用 A.1进行计算，模式如下：</w:t>
            </w:r>
          </w:p>
          <w:p w14:paraId="2A257E85">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Lp（r）＝Lw+D</w:t>
            </w:r>
            <w:r>
              <w:rPr>
                <w:color w:val="auto"/>
                <w:highlight w:val="none"/>
                <w:vertAlign w:val="subscript"/>
              </w:rPr>
              <w:t>C</w:t>
            </w:r>
            <w:r>
              <w:rPr>
                <w:color w:val="auto"/>
                <w:highlight w:val="none"/>
              </w:rPr>
              <w:t xml:space="preserve">－（Adiv＋Aatm＋Agr＋Abar＋Amisc） （A.1） </w:t>
            </w:r>
          </w:p>
          <w:p w14:paraId="6F6A9356">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式中：Lp（r） ——预测点处声压级，dB； </w:t>
            </w:r>
          </w:p>
          <w:p w14:paraId="2DE39E6E">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Lw ——由点声源产生的声功率级（A计权或倍频带），dB； </w:t>
            </w:r>
          </w:p>
          <w:p w14:paraId="69C5FE3E">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D</w:t>
            </w:r>
            <w:r>
              <w:rPr>
                <w:color w:val="auto"/>
                <w:highlight w:val="none"/>
                <w:vertAlign w:val="subscript"/>
              </w:rPr>
              <w:t>C</w:t>
            </w:r>
            <w:r>
              <w:rPr>
                <w:color w:val="auto"/>
                <w:highlight w:val="none"/>
              </w:rPr>
              <w:t xml:space="preserve"> ——指向性校正，它描述点声源的等效连续声压级与产生声功率级Lw的全向点声源在规定方向的声级的偏差程度，dB； </w:t>
            </w:r>
          </w:p>
          <w:p w14:paraId="0C7ADADD">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Adiv ——几何发散引起的衰减，dB； </w:t>
            </w:r>
          </w:p>
          <w:p w14:paraId="541DA4CD">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Aatm ——大气吸收引起的衰减，dB； </w:t>
            </w:r>
          </w:p>
          <w:p w14:paraId="292DD017">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Agr ——地面效应引起的衰减，dB； </w:t>
            </w:r>
          </w:p>
          <w:p w14:paraId="49F7EAB9">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Abar ——障碍物屏蔽引起的衰减，dB； </w:t>
            </w:r>
          </w:p>
          <w:p w14:paraId="515576B5">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Amisc ——其他多方面效应引起的衰减，dB。 </w:t>
            </w:r>
          </w:p>
          <w:p w14:paraId="415EB98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预测点的A 声级 LA（r）可按式（A.3）计算，即将 8 个倍频带声压级合成，计算出预测点的A声级〔LA（r）〕。</w:t>
            </w:r>
          </w:p>
          <w:p w14:paraId="53A94106">
            <w:pPr>
              <w:keepNext w:val="0"/>
              <w:keepLines w:val="0"/>
              <w:pageBreakBefore w:val="0"/>
              <w:kinsoku/>
              <w:wordWrap/>
              <w:overflowPunct/>
              <w:topLinePunct w:val="0"/>
              <w:autoSpaceDE/>
              <w:autoSpaceDN/>
              <w:bidi w:val="0"/>
              <w:adjustRightInd w:val="0"/>
              <w:snapToGrid w:val="0"/>
              <w:spacing w:line="360" w:lineRule="auto"/>
              <w:ind w:firstLine="420"/>
              <w:jc w:val="center"/>
              <w:textAlignment w:val="auto"/>
              <w:rPr>
                <w:color w:val="auto"/>
                <w:highlight w:val="none"/>
              </w:rPr>
            </w:pPr>
            <w:r>
              <w:rPr>
                <w:color w:val="auto"/>
                <w:highlight w:val="none"/>
              </w:rPr>
              <w:drawing>
                <wp:inline distT="0" distB="0" distL="114300" distR="114300">
                  <wp:extent cx="2409190" cy="727075"/>
                  <wp:effectExtent l="0" t="0" r="10160" b="15875"/>
                  <wp:docPr id="1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4"/>
                          <pic:cNvPicPr>
                            <a:picLocks noChangeAspect="1"/>
                          </pic:cNvPicPr>
                        </pic:nvPicPr>
                        <pic:blipFill>
                          <a:blip r:embed="rId24"/>
                          <a:stretch>
                            <a:fillRect/>
                          </a:stretch>
                        </pic:blipFill>
                        <pic:spPr>
                          <a:xfrm>
                            <a:off x="0" y="0"/>
                            <a:ext cx="2409190" cy="727075"/>
                          </a:xfrm>
                          <a:prstGeom prst="rect">
                            <a:avLst/>
                          </a:prstGeom>
                          <a:noFill/>
                          <a:ln>
                            <a:noFill/>
                          </a:ln>
                        </pic:spPr>
                      </pic:pic>
                    </a:graphicData>
                  </a:graphic>
                </wp:inline>
              </w:drawing>
            </w:r>
          </w:p>
          <w:p w14:paraId="135F092F">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式中：LA（r） ——距声源 r 处的 A 声级，dB（A）； </w:t>
            </w:r>
          </w:p>
          <w:p w14:paraId="3A5491BB">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Lpi（r） ——预测点（r）处，第 i 倍频带声压级，dB； </w:t>
            </w:r>
          </w:p>
          <w:p w14:paraId="2B589CF5">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ΔLi ——第 i 倍频带的A 计权网络修正值，dB。 </w:t>
            </w:r>
          </w:p>
          <w:p w14:paraId="2B565358">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在只考虑几何发散衰减时，可按式（A.4）计算。 </w:t>
            </w:r>
          </w:p>
          <w:p w14:paraId="1FE7DC60">
            <w:pPr>
              <w:keepNext w:val="0"/>
              <w:keepLines w:val="0"/>
              <w:pageBreakBefore w:val="0"/>
              <w:kinsoku/>
              <w:wordWrap/>
              <w:overflowPunct/>
              <w:topLinePunct w:val="0"/>
              <w:autoSpaceDE/>
              <w:autoSpaceDN/>
              <w:bidi w:val="0"/>
              <w:adjustRightInd w:val="0"/>
              <w:snapToGrid w:val="0"/>
              <w:spacing w:line="360" w:lineRule="auto"/>
              <w:ind w:firstLine="420"/>
              <w:jc w:val="center"/>
              <w:textAlignment w:val="auto"/>
              <w:rPr>
                <w:color w:val="auto"/>
                <w:highlight w:val="none"/>
              </w:rPr>
            </w:pPr>
            <w:r>
              <w:rPr>
                <w:color w:val="auto"/>
                <w:highlight w:val="none"/>
              </w:rPr>
              <w:t>LAr=LA（r</w:t>
            </w:r>
            <w:r>
              <w:rPr>
                <w:color w:val="auto"/>
                <w:highlight w:val="none"/>
                <w:vertAlign w:val="subscript"/>
              </w:rPr>
              <w:t>0</w:t>
            </w:r>
            <w:r>
              <w:rPr>
                <w:color w:val="auto"/>
                <w:highlight w:val="none"/>
              </w:rPr>
              <w:t xml:space="preserve">）—Adiv </w:t>
            </w:r>
          </w:p>
          <w:p w14:paraId="3B295D5E">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式中：LA（r） ——距声源 r 处的A 声级，dB（A）； </w:t>
            </w:r>
          </w:p>
          <w:p w14:paraId="763D1C10">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LA（r0） ——参考位置 r0 处的A 声级，dB（A）； </w:t>
            </w:r>
          </w:p>
          <w:p w14:paraId="06568D93">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Adiv ——几何发散引起的衰减，dB。</w:t>
            </w:r>
          </w:p>
          <w:p w14:paraId="71F39120">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衰减项的计算</w:t>
            </w:r>
          </w:p>
          <w:p w14:paraId="605D45AA">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①声波几何发散引起的 A 声级衰减量（工业噪声源）： </w:t>
            </w:r>
          </w:p>
          <w:p w14:paraId="65C7E1ED">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a、点声源 Adiv＝10Lg（r/ro） </w:t>
            </w:r>
          </w:p>
          <w:p w14:paraId="6B45778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b、有限长（Lo）线声源 </w:t>
            </w:r>
          </w:p>
          <w:p w14:paraId="246FF656">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当 r＞Lo 且 ro＞Lo 时   Adiv＝20lg（r/ro） </w:t>
            </w:r>
          </w:p>
          <w:p w14:paraId="0E93DFDF">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当 r＜Lo/3 且 ro＜Lo/3 时   Adiv＝10lg（r/ro） </w:t>
            </w:r>
          </w:p>
          <w:p w14:paraId="143D44DA">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当 Lo/3＜r＜Lo 且 Lo/3＜ro＜Lo 时  Adiv＝15lg（r/ro） </w:t>
            </w:r>
          </w:p>
          <w:p w14:paraId="742F8FB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②空气吸收引起的衰减量 Aatm </w:t>
            </w:r>
          </w:p>
          <w:p w14:paraId="4F66582C">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本工程噪声以中低频为主，空气吸收性衰减很少，本次评价预测时忽略不计。 </w:t>
            </w:r>
          </w:p>
          <w:p w14:paraId="3707A534">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③地面效应引起的衰减量 Agr </w:t>
            </w:r>
          </w:p>
          <w:p w14:paraId="731F2476">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本工程地面为水泥硬化路面，地面效应引起的衰减量很小，本次评价预测时忽略不计。 </w:t>
            </w:r>
          </w:p>
          <w:p w14:paraId="1912C86D">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④屏障引起的衰减 Abar </w:t>
            </w:r>
          </w:p>
          <w:p w14:paraId="3187D53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噪声在向外传播过程中将受到厂房或其它车间的阻挡影响，从而引起声能量的衰减，具体衰减根据不同声级的传播途径而定，本次评价预测时忽略不计。 </w:t>
            </w:r>
          </w:p>
          <w:p w14:paraId="6313A848">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⑤其他多方面原因引起的衰减量 Amisc </w:t>
            </w:r>
          </w:p>
          <w:p w14:paraId="3B6AC4A1">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highlight w:val="none"/>
              </w:rPr>
            </w:pPr>
            <w:r>
              <w:rPr>
                <w:color w:val="auto"/>
                <w:highlight w:val="none"/>
              </w:rPr>
              <w:t>主要考虑工业场所的衰减；通过房屋群的衰减等。本次环评忽略不计本项衰减量</w:t>
            </w:r>
            <w:r>
              <w:rPr>
                <w:rFonts w:hint="default" w:ascii="Times New Roman" w:hAnsi="Times New Roman" w:cs="Times New Roman"/>
                <w:bCs/>
                <w:color w:val="auto"/>
                <w:highlight w:val="none"/>
              </w:rPr>
              <w:t>。</w:t>
            </w:r>
          </w:p>
          <w:p w14:paraId="4167F47B">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噪声影响评价选取4个厂界点位作为</w:t>
            </w:r>
            <w:r>
              <w:rPr>
                <w:rFonts w:hint="default" w:ascii="Times New Roman" w:hAnsi="Times New Roman" w:cs="Times New Roman"/>
                <w:color w:val="auto"/>
                <w:highlight w:val="none"/>
                <w:lang w:eastAsia="zh-CN"/>
              </w:rPr>
              <w:t>此次</w:t>
            </w:r>
            <w:r>
              <w:rPr>
                <w:rFonts w:hint="default" w:ascii="Times New Roman" w:hAnsi="Times New Roman" w:cs="Times New Roman"/>
                <w:color w:val="auto"/>
                <w:highlight w:val="none"/>
              </w:rPr>
              <w:t>工程对环境的影响预测点，预测、评价工程噪声对环境的影响。利用以上模式和参数计算得出项目建成后，主要噪声设备对厂界的噪声</w:t>
            </w:r>
            <w:r>
              <w:rPr>
                <w:rFonts w:hint="default" w:ascii="Times New Roman" w:hAnsi="Times New Roman" w:cs="Times New Roman"/>
                <w:color w:val="auto"/>
                <w:highlight w:val="none"/>
                <w:lang w:eastAsia="zh-CN"/>
              </w:rPr>
              <w:t>贡献</w:t>
            </w:r>
            <w:r>
              <w:rPr>
                <w:rFonts w:hint="default" w:ascii="Times New Roman" w:hAnsi="Times New Roman" w:cs="Times New Roman"/>
                <w:color w:val="auto"/>
                <w:highlight w:val="none"/>
              </w:rPr>
              <w:t>值。</w:t>
            </w:r>
            <w:r>
              <w:rPr>
                <w:rFonts w:hint="eastAsia" w:cs="Times New Roman"/>
                <w:color w:val="auto"/>
                <w:highlight w:val="none"/>
                <w:lang w:val="en-US" w:eastAsia="zh-CN"/>
              </w:rPr>
              <w:t>2个生产</w:t>
            </w:r>
            <w:r>
              <w:rPr>
                <w:rFonts w:hint="eastAsia"/>
                <w:color w:val="auto"/>
                <w:highlight w:val="none"/>
              </w:rPr>
              <w:t>车间</w:t>
            </w:r>
            <w:r>
              <w:rPr>
                <w:rFonts w:hint="eastAsia"/>
                <w:color w:val="auto"/>
                <w:highlight w:val="none"/>
                <w:lang w:val="en-US" w:eastAsia="zh-CN"/>
              </w:rPr>
              <w:t>整体</w:t>
            </w:r>
            <w:r>
              <w:rPr>
                <w:rFonts w:hint="eastAsia"/>
                <w:color w:val="auto"/>
                <w:highlight w:val="none"/>
              </w:rPr>
              <w:t>与厂界东南西北的最近距离分别为</w:t>
            </w:r>
            <w:r>
              <w:rPr>
                <w:rFonts w:hint="eastAsia"/>
                <w:color w:val="auto"/>
                <w:highlight w:val="none"/>
                <w:lang w:val="en-US" w:eastAsia="zh-CN"/>
              </w:rPr>
              <w:t>2</w:t>
            </w:r>
            <w:r>
              <w:rPr>
                <w:color w:val="auto"/>
                <w:highlight w:val="none"/>
              </w:rPr>
              <w:t>m、</w:t>
            </w:r>
            <w:r>
              <w:rPr>
                <w:rFonts w:hint="eastAsia"/>
                <w:color w:val="auto"/>
                <w:highlight w:val="none"/>
                <w:lang w:val="en-US" w:eastAsia="zh-CN"/>
              </w:rPr>
              <w:t>2</w:t>
            </w:r>
            <w:r>
              <w:rPr>
                <w:color w:val="auto"/>
                <w:highlight w:val="none"/>
              </w:rPr>
              <w:t>m、</w:t>
            </w:r>
            <w:r>
              <w:rPr>
                <w:rFonts w:hint="eastAsia"/>
                <w:color w:val="auto"/>
                <w:highlight w:val="none"/>
                <w:lang w:val="en-US" w:eastAsia="zh-CN"/>
              </w:rPr>
              <w:t>2</w:t>
            </w:r>
            <w:r>
              <w:rPr>
                <w:color w:val="auto"/>
                <w:highlight w:val="none"/>
              </w:rPr>
              <w:t>m、</w:t>
            </w:r>
            <w:r>
              <w:rPr>
                <w:rFonts w:hint="eastAsia"/>
                <w:color w:val="auto"/>
                <w:highlight w:val="none"/>
                <w:lang w:val="en-US" w:eastAsia="zh-CN"/>
              </w:rPr>
              <w:t>2</w:t>
            </w:r>
            <w:r>
              <w:rPr>
                <w:color w:val="auto"/>
                <w:highlight w:val="none"/>
              </w:rPr>
              <w:t>m</w:t>
            </w:r>
            <w:r>
              <w:rPr>
                <w:rFonts w:hint="eastAsia"/>
                <w:color w:val="auto"/>
                <w:highlight w:val="none"/>
                <w:lang w:eastAsia="zh-CN"/>
              </w:rPr>
              <w:t>。</w:t>
            </w:r>
            <w:r>
              <w:rPr>
                <w:rFonts w:hint="default" w:ascii="Times New Roman" w:hAnsi="Times New Roman" w:cs="Times New Roman"/>
                <w:color w:val="auto"/>
                <w:highlight w:val="none"/>
              </w:rPr>
              <w:t>结果见下表。</w:t>
            </w:r>
          </w:p>
          <w:p w14:paraId="60B192A2">
            <w:pPr>
              <w:pStyle w:val="1313"/>
              <w:adjustRightInd w:val="0"/>
              <w:snapToGrid w:val="0"/>
              <w:spacing w:line="240" w:lineRule="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表4-1</w:t>
            </w:r>
            <w:r>
              <w:rPr>
                <w:rFonts w:hint="eastAsia" w:ascii="Times New Roman" w:hAnsi="Times New Roman" w:eastAsia="宋体" w:cs="Times New Roman"/>
                <w:b/>
                <w:bCs/>
                <w:color w:val="auto"/>
                <w:sz w:val="21"/>
                <w:szCs w:val="21"/>
                <w:highlight w:val="none"/>
                <w:lang w:val="en-US" w:eastAsia="zh-CN"/>
              </w:rPr>
              <w:t>0</w:t>
            </w:r>
            <w:r>
              <w:rPr>
                <w:rFonts w:hint="default" w:ascii="Times New Roman" w:hAnsi="Times New Roman" w:eastAsia="宋体" w:cs="Times New Roman"/>
                <w:b/>
                <w:bCs/>
                <w:color w:val="auto"/>
                <w:sz w:val="21"/>
                <w:szCs w:val="21"/>
                <w:highlight w:val="none"/>
                <w:lang w:val="en-US" w:eastAsia="zh-CN"/>
              </w:rPr>
              <w:t>项目建成后各厂界的贡献值一览表  单位：dB（A）</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4"/>
              <w:gridCol w:w="1106"/>
              <w:gridCol w:w="1372"/>
              <w:gridCol w:w="1377"/>
              <w:gridCol w:w="1442"/>
              <w:gridCol w:w="1974"/>
            </w:tblGrid>
            <w:tr w14:paraId="4B037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15" w:type="pct"/>
                  <w:gridSpan w:val="2"/>
                  <w:vMerge w:val="restart"/>
                  <w:noWrap w:val="0"/>
                  <w:vAlign w:val="center"/>
                </w:tcPr>
                <w:p w14:paraId="7728498D">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排放源</w:t>
                  </w:r>
                </w:p>
              </w:tc>
              <w:tc>
                <w:tcPr>
                  <w:tcW w:w="3684" w:type="pct"/>
                  <w:gridSpan w:val="4"/>
                  <w:noWrap w:val="0"/>
                  <w:vAlign w:val="center"/>
                </w:tcPr>
                <w:p w14:paraId="4BBE6109">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对最近厂界的贡献值dB（A）</w:t>
                  </w:r>
                </w:p>
              </w:tc>
            </w:tr>
            <w:tr w14:paraId="53185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5" w:type="pct"/>
                  <w:gridSpan w:val="2"/>
                  <w:vMerge w:val="continue"/>
                  <w:noWrap w:val="0"/>
                  <w:vAlign w:val="center"/>
                </w:tcPr>
                <w:p w14:paraId="12F4E2DA">
                  <w:pPr>
                    <w:adjustRightInd w:val="0"/>
                    <w:snapToGrid w:val="0"/>
                    <w:jc w:val="center"/>
                    <w:rPr>
                      <w:rFonts w:hint="default" w:ascii="Times New Roman" w:hAnsi="Times New Roman" w:cs="Times New Roman"/>
                      <w:color w:val="auto"/>
                      <w:kern w:val="0"/>
                      <w:sz w:val="18"/>
                      <w:szCs w:val="18"/>
                      <w:highlight w:val="none"/>
                    </w:rPr>
                  </w:pPr>
                </w:p>
              </w:tc>
              <w:tc>
                <w:tcPr>
                  <w:tcW w:w="820" w:type="pct"/>
                  <w:noWrap w:val="0"/>
                  <w:vAlign w:val="center"/>
                </w:tcPr>
                <w:p w14:paraId="548FE8C7">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东</w:t>
                  </w:r>
                </w:p>
              </w:tc>
              <w:tc>
                <w:tcPr>
                  <w:tcW w:w="823" w:type="pct"/>
                  <w:noWrap w:val="0"/>
                  <w:vAlign w:val="center"/>
                </w:tcPr>
                <w:p w14:paraId="49425CB4">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南</w:t>
                  </w:r>
                </w:p>
              </w:tc>
              <w:tc>
                <w:tcPr>
                  <w:tcW w:w="862" w:type="pct"/>
                  <w:noWrap w:val="0"/>
                  <w:vAlign w:val="center"/>
                </w:tcPr>
                <w:p w14:paraId="04B6EBEA">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西</w:t>
                  </w:r>
                </w:p>
              </w:tc>
              <w:tc>
                <w:tcPr>
                  <w:tcW w:w="1178" w:type="pct"/>
                  <w:noWrap w:val="0"/>
                  <w:vAlign w:val="center"/>
                </w:tcPr>
                <w:p w14:paraId="73AF77CA">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北</w:t>
                  </w:r>
                </w:p>
              </w:tc>
            </w:tr>
            <w:tr w14:paraId="69766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pct"/>
                  <w:noWrap w:val="0"/>
                  <w:vAlign w:val="center"/>
                </w:tcPr>
                <w:p w14:paraId="6D674429">
                  <w:pPr>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车间设备</w:t>
                  </w:r>
                </w:p>
              </w:tc>
              <w:tc>
                <w:tcPr>
                  <w:tcW w:w="660" w:type="pct"/>
                  <w:noWrap w:val="0"/>
                  <w:vAlign w:val="center"/>
                </w:tcPr>
                <w:p w14:paraId="32F3E74A">
                  <w:pPr>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昼间</w:t>
                  </w:r>
                </w:p>
              </w:tc>
              <w:tc>
                <w:tcPr>
                  <w:tcW w:w="820" w:type="pct"/>
                  <w:noWrap w:val="0"/>
                  <w:vAlign w:val="center"/>
                </w:tcPr>
                <w:p w14:paraId="63193DEB">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49.6</w:t>
                  </w:r>
                </w:p>
              </w:tc>
              <w:tc>
                <w:tcPr>
                  <w:tcW w:w="823" w:type="pct"/>
                  <w:noWrap w:val="0"/>
                  <w:vAlign w:val="center"/>
                </w:tcPr>
                <w:p w14:paraId="4EF70AB4">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42.2</w:t>
                  </w:r>
                </w:p>
              </w:tc>
              <w:tc>
                <w:tcPr>
                  <w:tcW w:w="862" w:type="pct"/>
                  <w:noWrap w:val="0"/>
                  <w:vAlign w:val="center"/>
                </w:tcPr>
                <w:p w14:paraId="4A89C1E0">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42.9</w:t>
                  </w:r>
                </w:p>
              </w:tc>
              <w:tc>
                <w:tcPr>
                  <w:tcW w:w="1178" w:type="pct"/>
                  <w:noWrap w:val="0"/>
                  <w:vAlign w:val="center"/>
                </w:tcPr>
                <w:p w14:paraId="2B6618A4">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58.2</w:t>
                  </w:r>
                </w:p>
              </w:tc>
            </w:tr>
          </w:tbl>
          <w:p w14:paraId="63D2F78A">
            <w:pPr>
              <w:spacing w:line="360" w:lineRule="auto"/>
              <w:ind w:firstLine="420" w:firstLineChars="200"/>
              <w:rPr>
                <w:rFonts w:hint="default" w:ascii="Times New Roman" w:hAnsi="Times New Roman" w:cs="Times New Roman" w:eastAsiaTheme="minorEastAsia"/>
                <w:color w:val="auto"/>
                <w:szCs w:val="21"/>
                <w:highlight w:val="none"/>
              </w:rPr>
            </w:pPr>
            <w:r>
              <w:rPr>
                <w:rFonts w:hint="default" w:ascii="Times New Roman" w:hAnsi="Times New Roman" w:cs="Times New Roman"/>
                <w:color w:val="auto"/>
                <w:highlight w:val="none"/>
              </w:rPr>
              <w:t>由上表可知，</w:t>
            </w:r>
            <w:r>
              <w:rPr>
                <w:rFonts w:hint="default" w:ascii="Times New Roman" w:hAnsi="Times New Roman" w:cs="Times New Roman"/>
                <w:color w:val="auto"/>
                <w:highlight w:val="none"/>
                <w:lang w:eastAsia="zh-CN"/>
              </w:rPr>
              <w:t>本项目完成后，</w:t>
            </w:r>
            <w:r>
              <w:rPr>
                <w:rFonts w:hint="default" w:ascii="Times New Roman" w:hAnsi="Times New Roman" w:cs="Times New Roman"/>
                <w:color w:val="auto"/>
                <w:highlight w:val="none"/>
                <w:lang w:val="en-US" w:eastAsia="zh-CN"/>
              </w:rPr>
              <w:t>夜间不生产，</w:t>
            </w:r>
            <w:r>
              <w:rPr>
                <w:rFonts w:hint="default" w:ascii="Times New Roman" w:hAnsi="Times New Roman" w:cs="Times New Roman"/>
                <w:color w:val="auto"/>
                <w:highlight w:val="none"/>
              </w:rPr>
              <w:t>厂界昼间噪声能满足《工业企业厂界环境噪声排放标准》（GB12348-2008）中2类标准（昼间60dB（A））</w:t>
            </w:r>
            <w:r>
              <w:rPr>
                <w:rFonts w:hint="default" w:ascii="Times New Roman" w:hAnsi="Times New Roman" w:cs="Times New Roman" w:eastAsiaTheme="minorEastAsia"/>
                <w:color w:val="auto"/>
                <w:szCs w:val="21"/>
                <w:highlight w:val="none"/>
              </w:rPr>
              <w:t>。</w:t>
            </w:r>
          </w:p>
          <w:p w14:paraId="2F47CFEA">
            <w:pPr>
              <w:snapToGrid w:val="0"/>
              <w:spacing w:line="360" w:lineRule="auto"/>
              <w:ind w:firstLine="420" w:firstLineChars="200"/>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7、监测要求</w:t>
            </w:r>
          </w:p>
          <w:p w14:paraId="3D6ECF27">
            <w:pPr>
              <w:spacing w:line="360" w:lineRule="auto"/>
              <w:ind w:firstLine="420" w:firstLineChars="200"/>
              <w:rPr>
                <w:rFonts w:hint="default" w:ascii="Times New Roman" w:hAnsi="Times New Roman" w:cs="Times New Roman" w:eastAsiaTheme="minorEastAsia"/>
                <w:color w:val="auto"/>
                <w:szCs w:val="21"/>
                <w:highlight w:val="none"/>
              </w:rPr>
            </w:pPr>
            <w:r>
              <w:rPr>
                <w:rFonts w:hint="default" w:ascii="Times New Roman" w:hAnsi="Times New Roman" w:cs="Times New Roman"/>
                <w:color w:val="auto"/>
                <w:highlight w:val="none"/>
              </w:rPr>
              <w:t>依据《排污单位自行监测技术指南 总则》（HJ819-2017）</w:t>
            </w:r>
            <w:r>
              <w:rPr>
                <w:rFonts w:hint="default" w:ascii="Times New Roman" w:hAnsi="Times New Roman" w:eastAsia="宋体" w:cs="Times New Roman"/>
                <w:color w:val="auto"/>
                <w:highlight w:val="none"/>
                <w:lang w:eastAsia="zh-CN"/>
              </w:rPr>
              <w:t>、《排污许可证申请与核发技术规范 工业噪声》（HJ 1301—2023）</w:t>
            </w:r>
            <w:r>
              <w:rPr>
                <w:rFonts w:hint="default" w:ascii="Times New Roman" w:hAnsi="Times New Roman" w:cs="Times New Roman"/>
                <w:color w:val="auto"/>
                <w:highlight w:val="none"/>
              </w:rPr>
              <w:t>和本项目情况</w:t>
            </w:r>
            <w:r>
              <w:rPr>
                <w:rFonts w:hint="default" w:ascii="Times New Roman" w:hAnsi="Times New Roman" w:cs="Times New Roman" w:eastAsiaTheme="minorEastAsia"/>
                <w:color w:val="auto"/>
                <w:szCs w:val="21"/>
                <w:highlight w:val="none"/>
              </w:rPr>
              <w:t>，对本项目噪声的日常监测要求见下表：</w:t>
            </w:r>
          </w:p>
          <w:p w14:paraId="50F01437">
            <w:pPr>
              <w:pStyle w:val="1313"/>
              <w:adjustRightInd w:val="0"/>
              <w:snapToGrid w:val="0"/>
              <w:spacing w:line="240" w:lineRule="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default" w:ascii="Times New Roman" w:hAnsi="Times New Roman" w:eastAsia="宋体" w:cs="Times New Roman"/>
                <w:b/>
                <w:bCs/>
                <w:color w:val="auto"/>
                <w:sz w:val="21"/>
                <w:szCs w:val="21"/>
                <w:highlight w:val="none"/>
                <w:lang w:val="en-US" w:eastAsia="zh-CN"/>
              </w:rPr>
              <w:t>1</w:t>
            </w:r>
            <w:r>
              <w:rPr>
                <w:rFonts w:hint="eastAsia" w:ascii="Times New Roman" w:hAnsi="Times New Roman" w:eastAsia="宋体"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声监测要求</w:t>
            </w:r>
          </w:p>
          <w:tbl>
            <w:tblPr>
              <w:tblStyle w:val="83"/>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0"/>
              <w:gridCol w:w="6703"/>
            </w:tblGrid>
            <w:tr w14:paraId="019F4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2" w:type="dxa"/>
                  <w:tcBorders>
                    <w:top w:val="single" w:color="auto" w:sz="4" w:space="0"/>
                    <w:left w:val="single" w:color="auto" w:sz="4" w:space="0"/>
                    <w:bottom w:val="single" w:color="auto" w:sz="4" w:space="0"/>
                    <w:right w:val="single" w:color="auto" w:sz="4" w:space="0"/>
                  </w:tcBorders>
                  <w:vAlign w:val="center"/>
                </w:tcPr>
                <w:p w14:paraId="0EA85080">
                  <w:pPr>
                    <w:pStyle w:val="381"/>
                    <w:spacing w:line="240" w:lineRule="exact"/>
                    <w:ind w:firstLine="0" w:firstLineChars="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监测点位</w:t>
                  </w:r>
                </w:p>
              </w:tc>
              <w:tc>
                <w:tcPr>
                  <w:tcW w:w="6712" w:type="dxa"/>
                  <w:tcBorders>
                    <w:top w:val="single" w:color="auto" w:sz="4" w:space="0"/>
                    <w:left w:val="single" w:color="auto" w:sz="4" w:space="0"/>
                    <w:bottom w:val="single" w:color="auto" w:sz="4" w:space="0"/>
                    <w:right w:val="single" w:color="auto" w:sz="4" w:space="0"/>
                  </w:tcBorders>
                  <w:vAlign w:val="center"/>
                </w:tcPr>
                <w:p w14:paraId="280F697D">
                  <w:pPr>
                    <w:pStyle w:val="381"/>
                    <w:spacing w:line="420" w:lineRule="exact"/>
                    <w:ind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厂界外1m</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东、南、西、北</w:t>
                  </w:r>
                  <w:r>
                    <w:rPr>
                      <w:rFonts w:hint="default" w:ascii="Times New Roman" w:hAnsi="Times New Roman" w:cs="Times New Roman"/>
                      <w:color w:val="auto"/>
                      <w:sz w:val="18"/>
                      <w:szCs w:val="18"/>
                      <w:highlight w:val="none"/>
                      <w:lang w:eastAsia="zh-CN"/>
                    </w:rPr>
                    <w:t>）</w:t>
                  </w:r>
                </w:p>
              </w:tc>
            </w:tr>
            <w:tr w14:paraId="3DB33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2" w:type="dxa"/>
                  <w:tcBorders>
                    <w:top w:val="single" w:color="auto" w:sz="4" w:space="0"/>
                    <w:left w:val="single" w:color="auto" w:sz="4" w:space="0"/>
                    <w:bottom w:val="single" w:color="auto" w:sz="4" w:space="0"/>
                    <w:right w:val="single" w:color="auto" w:sz="4" w:space="0"/>
                  </w:tcBorders>
                  <w:vAlign w:val="center"/>
                </w:tcPr>
                <w:p w14:paraId="1D447737">
                  <w:pPr>
                    <w:pStyle w:val="381"/>
                    <w:spacing w:line="240" w:lineRule="exact"/>
                    <w:ind w:firstLine="0" w:firstLineChars="0"/>
                    <w:jc w:val="center"/>
                    <w:rPr>
                      <w:rFonts w:hint="default" w:ascii="Times New Roman" w:hAnsi="Times New Roman" w:cs="Times New Roman"/>
                      <w:b/>
                      <w:bCs/>
                      <w:color w:val="auto"/>
                      <w:sz w:val="18"/>
                      <w:szCs w:val="18"/>
                      <w:highlight w:val="none"/>
                      <w:lang w:val="en-US"/>
                    </w:rPr>
                  </w:pPr>
                  <w:r>
                    <w:rPr>
                      <w:rFonts w:hint="default" w:ascii="Times New Roman" w:hAnsi="Times New Roman" w:cs="Times New Roman"/>
                      <w:b/>
                      <w:bCs/>
                      <w:color w:val="auto"/>
                      <w:sz w:val="18"/>
                      <w:szCs w:val="18"/>
                      <w:highlight w:val="none"/>
                      <w:lang w:val="en-US"/>
                    </w:rPr>
                    <w:t>监测项目</w:t>
                  </w:r>
                </w:p>
              </w:tc>
              <w:tc>
                <w:tcPr>
                  <w:tcW w:w="6712" w:type="dxa"/>
                  <w:tcBorders>
                    <w:top w:val="single" w:color="auto" w:sz="4" w:space="0"/>
                    <w:left w:val="single" w:color="auto" w:sz="4" w:space="0"/>
                    <w:bottom w:val="single" w:color="auto" w:sz="4" w:space="0"/>
                    <w:right w:val="single" w:color="auto" w:sz="4" w:space="0"/>
                  </w:tcBorders>
                  <w:vAlign w:val="center"/>
                </w:tcPr>
                <w:p w14:paraId="0E78E2BF">
                  <w:pPr>
                    <w:pStyle w:val="381"/>
                    <w:spacing w:line="240" w:lineRule="exact"/>
                    <w:ind w:firstLine="0" w:firstLineChars="0"/>
                    <w:jc w:val="center"/>
                    <w:rPr>
                      <w:rFonts w:hint="default" w:ascii="Times New Roman" w:hAnsi="Times New Roman" w:cs="Times New Roman" w:eastAsiaTheme="minorEastAsia"/>
                      <w:color w:val="auto"/>
                      <w:sz w:val="18"/>
                      <w:szCs w:val="18"/>
                      <w:highlight w:val="none"/>
                      <w:lang w:val="en-US"/>
                    </w:rPr>
                  </w:pPr>
                  <w:r>
                    <w:rPr>
                      <w:rFonts w:hint="default" w:ascii="Times New Roman" w:hAnsi="Times New Roman" w:eastAsia="宋体" w:cs="Times New Roman"/>
                      <w:color w:val="auto"/>
                      <w:sz w:val="18"/>
                      <w:szCs w:val="18"/>
                      <w:highlight w:val="none"/>
                      <w:lang w:val="en-US" w:eastAsia="zh-CN"/>
                    </w:rPr>
                    <w:t>昼间</w:t>
                  </w:r>
                  <w:r>
                    <w:rPr>
                      <w:rFonts w:hint="default" w:ascii="Times New Roman" w:hAnsi="Times New Roman" w:eastAsia="宋体" w:cs="Times New Roman"/>
                      <w:color w:val="auto"/>
                      <w:sz w:val="18"/>
                      <w:szCs w:val="18"/>
                      <w:highlight w:val="none"/>
                      <w:lang w:val="en-US"/>
                    </w:rPr>
                    <w:t>等效连续 A 声级</w:t>
                  </w:r>
                </w:p>
              </w:tc>
            </w:tr>
            <w:tr w14:paraId="35921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2" w:type="dxa"/>
                  <w:tcBorders>
                    <w:top w:val="single" w:color="auto" w:sz="4" w:space="0"/>
                    <w:left w:val="single" w:color="auto" w:sz="4" w:space="0"/>
                    <w:bottom w:val="single" w:color="auto" w:sz="4" w:space="0"/>
                    <w:right w:val="single" w:color="auto" w:sz="4" w:space="0"/>
                  </w:tcBorders>
                  <w:vAlign w:val="center"/>
                </w:tcPr>
                <w:p w14:paraId="0343B265">
                  <w:pPr>
                    <w:pStyle w:val="381"/>
                    <w:spacing w:line="240" w:lineRule="exact"/>
                    <w:ind w:firstLine="0" w:firstLineChars="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监测频次</w:t>
                  </w:r>
                </w:p>
              </w:tc>
              <w:tc>
                <w:tcPr>
                  <w:tcW w:w="6712" w:type="dxa"/>
                  <w:tcBorders>
                    <w:top w:val="single" w:color="auto" w:sz="4" w:space="0"/>
                    <w:left w:val="single" w:color="auto" w:sz="4" w:space="0"/>
                    <w:bottom w:val="single" w:color="auto" w:sz="4" w:space="0"/>
                    <w:right w:val="single" w:color="auto" w:sz="4" w:space="0"/>
                  </w:tcBorders>
                  <w:vAlign w:val="center"/>
                </w:tcPr>
                <w:p w14:paraId="7BAC4177">
                  <w:pPr>
                    <w:pStyle w:val="381"/>
                    <w:spacing w:line="420" w:lineRule="exact"/>
                    <w:ind w:firstLine="0" w:firstLineChars="0"/>
                    <w:jc w:val="center"/>
                    <w:rPr>
                      <w:rFonts w:hint="default" w:ascii="Times New Roman" w:hAnsi="Times New Roman" w:cs="Times New Roman" w:eastAsiaTheme="minorEastAsia"/>
                      <w:color w:val="auto"/>
                      <w:sz w:val="18"/>
                      <w:szCs w:val="18"/>
                      <w:highlight w:val="none"/>
                      <w:lang w:val="en-US"/>
                    </w:rPr>
                  </w:pPr>
                  <w:r>
                    <w:rPr>
                      <w:rFonts w:hint="default" w:ascii="Times New Roman" w:hAnsi="Times New Roman" w:cs="Times New Roman"/>
                      <w:color w:val="auto"/>
                      <w:sz w:val="18"/>
                      <w:szCs w:val="18"/>
                      <w:highlight w:val="none"/>
                      <w:lang w:val="en-US"/>
                    </w:rPr>
                    <w:t>每季度1次</w:t>
                  </w:r>
                </w:p>
              </w:tc>
            </w:tr>
            <w:tr w14:paraId="2F77A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2" w:type="dxa"/>
                  <w:tcBorders>
                    <w:top w:val="single" w:color="auto" w:sz="4" w:space="0"/>
                    <w:left w:val="single" w:color="auto" w:sz="4" w:space="0"/>
                    <w:bottom w:val="single" w:color="auto" w:sz="4" w:space="0"/>
                    <w:right w:val="single" w:color="auto" w:sz="4" w:space="0"/>
                  </w:tcBorders>
                  <w:vAlign w:val="center"/>
                </w:tcPr>
                <w:p w14:paraId="3BD35114">
                  <w:pPr>
                    <w:pStyle w:val="381"/>
                    <w:spacing w:line="240" w:lineRule="exact"/>
                    <w:ind w:firstLine="0" w:firstLineChars="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执行标准</w:t>
                  </w:r>
                </w:p>
              </w:tc>
              <w:tc>
                <w:tcPr>
                  <w:tcW w:w="6712" w:type="dxa"/>
                  <w:tcBorders>
                    <w:top w:val="single" w:color="auto" w:sz="4" w:space="0"/>
                    <w:left w:val="single" w:color="auto" w:sz="4" w:space="0"/>
                    <w:bottom w:val="single" w:color="auto" w:sz="4" w:space="0"/>
                    <w:right w:val="single" w:color="auto" w:sz="4" w:space="0"/>
                  </w:tcBorders>
                  <w:vAlign w:val="center"/>
                </w:tcPr>
                <w:p w14:paraId="492B9F7C">
                  <w:pPr>
                    <w:pStyle w:val="381"/>
                    <w:spacing w:line="420" w:lineRule="exact"/>
                    <w:ind w:firstLine="0" w:firstLineChars="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color w:val="auto"/>
                      <w:sz w:val="18"/>
                      <w:szCs w:val="18"/>
                      <w:highlight w:val="none"/>
                    </w:rPr>
                    <w:t>《工业企业厂界环境噪声排放标准》（GB12348-2008）2类标准</w:t>
                  </w:r>
                </w:p>
              </w:tc>
            </w:tr>
          </w:tbl>
          <w:p w14:paraId="53B45B8A">
            <w:pPr>
              <w:adjustRightInd w:val="0"/>
              <w:snapToGrid w:val="0"/>
              <w:spacing w:line="360" w:lineRule="auto"/>
              <w:ind w:firstLine="422" w:firstLineChars="200"/>
              <w:rPr>
                <w:b/>
                <w:bCs/>
                <w:color w:val="auto"/>
              </w:rPr>
            </w:pPr>
            <w:r>
              <w:rPr>
                <w:b/>
                <w:bCs/>
                <w:color w:val="auto"/>
              </w:rPr>
              <w:t>四、固体废物</w:t>
            </w:r>
          </w:p>
          <w:p w14:paraId="46DCF38C">
            <w:pPr>
              <w:adjustRightInd w:val="0"/>
              <w:snapToGrid w:val="0"/>
              <w:spacing w:line="360" w:lineRule="auto"/>
              <w:ind w:firstLine="422" w:firstLineChars="200"/>
              <w:rPr>
                <w:b/>
                <w:bCs/>
                <w:color w:val="auto"/>
              </w:rPr>
            </w:pPr>
            <w:r>
              <w:rPr>
                <w:b/>
                <w:bCs/>
                <w:color w:val="auto"/>
              </w:rPr>
              <w:t>1、固体废弃物产生环节及处置</w:t>
            </w:r>
          </w:p>
          <w:p w14:paraId="1797EB93">
            <w:pPr>
              <w:tabs>
                <w:tab w:val="left" w:pos="1800"/>
              </w:tabs>
              <w:adjustRightInd w:val="0"/>
              <w:snapToGrid w:val="0"/>
              <w:spacing w:line="360" w:lineRule="auto"/>
              <w:ind w:firstLine="42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根据《工业固体废物鉴别标准通则》（GB34330-20</w:t>
            </w:r>
            <w:r>
              <w:rPr>
                <w:rFonts w:hint="eastAsia" w:cs="Times New Roman"/>
                <w:color w:val="auto"/>
                <w:highlight w:val="none"/>
                <w:lang w:val="en-US" w:eastAsia="zh-CN"/>
              </w:rPr>
              <w:t>25</w:t>
            </w:r>
            <w:r>
              <w:rPr>
                <w:rFonts w:hint="default" w:ascii="Times New Roman" w:hAnsi="Times New Roman" w:cs="Times New Roman"/>
                <w:color w:val="auto"/>
                <w:highlight w:val="none"/>
              </w:rPr>
              <w:t>）</w:t>
            </w:r>
            <w:r>
              <w:rPr>
                <w:rFonts w:hint="eastAsia" w:cs="Times New Roman"/>
                <w:color w:val="auto"/>
                <w:highlight w:val="none"/>
                <w:lang w:val="en-US" w:eastAsia="zh-CN"/>
              </w:rPr>
              <w:t>4.2</w:t>
            </w:r>
            <w:r>
              <w:rPr>
                <w:rFonts w:hint="default" w:ascii="Times New Roman" w:hAnsi="Times New Roman" w:eastAsia="宋体" w:cs="Times New Roman"/>
                <w:color w:val="auto"/>
                <w:highlight w:val="none"/>
                <w:lang w:val="en-US" w:eastAsia="zh-CN"/>
              </w:rPr>
              <w:t>的要求</w:t>
            </w:r>
            <w:r>
              <w:rPr>
                <w:rFonts w:hint="eastAsia" w:ascii="Times New Roman" w:hAnsi="Times New Roman" w:eastAsia="宋体" w:cs="Times New Roman"/>
                <w:color w:val="auto"/>
                <w:highlight w:val="none"/>
                <w:lang w:eastAsia="zh-CN"/>
              </w:rPr>
              <w:t>：下列生产、生活和其他活动中满足使用用途要求，</w:t>
            </w:r>
            <w:r>
              <w:rPr>
                <w:rFonts w:hint="eastAsia" w:cs="Times New Roman"/>
                <w:color w:val="auto"/>
                <w:highlight w:val="none"/>
                <w:lang w:val="en-US" w:eastAsia="zh-CN"/>
              </w:rPr>
              <w:t>按原始用途使用的物质，不作为固体废物。4.2.1</w:t>
            </w:r>
            <w:r>
              <w:rPr>
                <w:rFonts w:hint="default" w:ascii="Times New Roman" w:hAnsi="Times New Roman" w:eastAsia="宋体" w:cs="Times New Roman"/>
                <w:color w:val="auto"/>
                <w:highlight w:val="none"/>
                <w:lang w:val="en-US" w:eastAsia="zh-CN"/>
              </w:rPr>
              <w:t>生产企业内部通过以下方式返回原生产线作为原料使用的物质</w:t>
            </w:r>
            <w:r>
              <w:rPr>
                <w:rFonts w:hint="eastAsia"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a)不经过贮存或堆积过程，直接返回</w:t>
            </w: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1#布袋</w:t>
            </w:r>
            <w:r>
              <w:rPr>
                <w:rFonts w:hint="default" w:ascii="Times New Roman" w:hAnsi="Times New Roman" w:cs="Times New Roman"/>
                <w:color w:val="auto"/>
                <w:highlight w:val="none"/>
                <w:lang w:val="en-US" w:eastAsia="zh-CN"/>
              </w:rPr>
              <w:t>除尘器</w:t>
            </w:r>
            <w:r>
              <w:rPr>
                <w:rFonts w:hint="eastAsia" w:ascii="Times New Roman" w:hAnsi="Times New Roman" w:cs="Times New Roman"/>
                <w:color w:val="auto"/>
                <w:highlight w:val="none"/>
                <w:lang w:val="en-US" w:eastAsia="zh-CN"/>
              </w:rPr>
              <w:t>和2#布袋</w:t>
            </w:r>
            <w:r>
              <w:rPr>
                <w:rFonts w:hint="default" w:ascii="Times New Roman" w:hAnsi="Times New Roman" w:cs="Times New Roman"/>
                <w:color w:val="auto"/>
                <w:highlight w:val="none"/>
                <w:lang w:val="en-US" w:eastAsia="zh-CN"/>
              </w:rPr>
              <w:t>除尘器收集的粉尘</w:t>
            </w:r>
            <w:r>
              <w:rPr>
                <w:rFonts w:hint="default" w:ascii="Times New Roman" w:hAnsi="Times New Roman" w:cs="Times New Roman"/>
                <w:color w:val="auto"/>
                <w:highlight w:val="none"/>
              </w:rPr>
              <w:t>直接回用生产，所以不按固废进行管理</w:t>
            </w:r>
            <w:r>
              <w:rPr>
                <w:rFonts w:hint="default" w:ascii="Times New Roman" w:hAnsi="Times New Roman" w:cs="Times New Roman"/>
                <w:color w:val="auto"/>
                <w:highlight w:val="none"/>
                <w:lang w:eastAsia="zh-CN"/>
              </w:rPr>
              <w:t>。</w:t>
            </w:r>
          </w:p>
          <w:p w14:paraId="1C42F97D">
            <w:pPr>
              <w:autoSpaceDE w:val="0"/>
              <w:autoSpaceDN w:val="0"/>
              <w:adjustRightInd w:val="0"/>
              <w:snapToGrid w:val="0"/>
              <w:spacing w:line="360" w:lineRule="auto"/>
              <w:ind w:firstLine="420" w:firstLineChars="200"/>
              <w:rPr>
                <w:rFonts w:hint="eastAsia" w:ascii="Times New Roman" w:hAnsi="Times New Roman" w:cs="Times New Roman"/>
                <w:bCs/>
                <w:color w:val="auto"/>
                <w:highlight w:val="none"/>
                <w:lang w:eastAsia="zh-CN"/>
              </w:rPr>
            </w:pPr>
            <w:r>
              <w:rPr>
                <w:rFonts w:hint="default" w:ascii="Times New Roman" w:hAnsi="Times New Roman" w:cs="Times New Roman"/>
                <w:bCs/>
                <w:color w:val="auto"/>
                <w:szCs w:val="21"/>
                <w:highlight w:val="none"/>
              </w:rPr>
              <w:t>本项目产生的固体废物主要为</w:t>
            </w:r>
            <w:r>
              <w:rPr>
                <w:rFonts w:hint="eastAsia" w:cs="Times New Roman"/>
                <w:bCs/>
                <w:color w:val="auto"/>
                <w:szCs w:val="21"/>
                <w:highlight w:val="none"/>
                <w:lang w:val="en-US" w:eastAsia="zh-CN"/>
              </w:rPr>
              <w:t>废包装材料（S1-1、S2-1）、筛分废料（S1-2、S2-2）、</w:t>
            </w:r>
            <w:r>
              <w:rPr>
                <w:rFonts w:hint="eastAsia" w:cs="Times New Roman"/>
                <w:bCs/>
                <w:color w:val="auto"/>
                <w:highlight w:val="none"/>
                <w:lang w:val="en-US" w:eastAsia="zh-CN"/>
              </w:rPr>
              <w:t>边角料</w:t>
            </w:r>
            <w:r>
              <w:rPr>
                <w:rFonts w:hint="default" w:ascii="Times New Roman" w:hAnsi="Times New Roman" w:cs="Times New Roman"/>
                <w:bCs/>
                <w:color w:val="auto"/>
                <w:highlight w:val="none"/>
                <w:lang w:val="en-US" w:eastAsia="zh-CN"/>
              </w:rPr>
              <w:t>（S</w:t>
            </w:r>
            <w:r>
              <w:rPr>
                <w:rFonts w:hint="eastAsia" w:cs="Times New Roman"/>
                <w:bCs/>
                <w:color w:val="auto"/>
                <w:highlight w:val="none"/>
                <w:lang w:val="en-US" w:eastAsia="zh-CN"/>
              </w:rPr>
              <w:t>1-3、S1-8、S1-9、S3</w:t>
            </w:r>
            <w:r>
              <w:rPr>
                <w:rFonts w:hint="default" w:ascii="Times New Roman" w:hAnsi="Times New Roman" w:cs="Times New Roman"/>
                <w:bCs/>
                <w:color w:val="auto"/>
                <w:highlight w:val="none"/>
                <w:lang w:val="en-US" w:eastAsia="zh-CN"/>
              </w:rPr>
              <w:t>）、</w:t>
            </w:r>
            <w:r>
              <w:rPr>
                <w:rFonts w:hint="eastAsia" w:cs="Times New Roman"/>
                <w:bCs/>
                <w:color w:val="auto"/>
                <w:highlight w:val="none"/>
                <w:lang w:val="en-US" w:eastAsia="zh-CN"/>
              </w:rPr>
              <w:t>废钢砂（S1-4）、喷砂除尘器收集的粉尘（S1-5）、</w:t>
            </w:r>
            <w:r>
              <w:rPr>
                <w:rFonts w:hint="eastAsia" w:ascii="Times New Roman" w:hAnsi="Times New Roman" w:cs="Times New Roman" w:eastAsiaTheme="minorEastAsia"/>
                <w:color w:val="auto"/>
                <w:sz w:val="21"/>
                <w:szCs w:val="21"/>
                <w:highlight w:val="none"/>
                <w:lang w:val="en-US" w:eastAsia="zh-CN"/>
              </w:rPr>
              <w:t>焊接废料（S1-</w:t>
            </w:r>
            <w:r>
              <w:rPr>
                <w:rFonts w:hint="eastAsia" w:cs="Times New Roman" w:eastAsiaTheme="minorEastAsia"/>
                <w:color w:val="auto"/>
                <w:sz w:val="21"/>
                <w:szCs w:val="21"/>
                <w:highlight w:val="none"/>
                <w:lang w:val="en-US" w:eastAsia="zh-CN"/>
              </w:rPr>
              <w:t>6、S4</w:t>
            </w:r>
            <w:r>
              <w:rPr>
                <w:rFonts w:hint="eastAsia" w:ascii="Times New Roman" w:hAnsi="Times New Roman" w:cs="Times New Roman" w:eastAsiaTheme="minorEastAsia"/>
                <w:color w:val="auto"/>
                <w:sz w:val="21"/>
                <w:szCs w:val="21"/>
                <w:highlight w:val="none"/>
                <w:lang w:val="en-US" w:eastAsia="zh-CN"/>
              </w:rPr>
              <w:t>）、焊接烟尘净化器收集的烟尘（S1-</w:t>
            </w:r>
            <w:r>
              <w:rPr>
                <w:rFonts w:hint="eastAsia" w:cs="Times New Roman" w:eastAsiaTheme="minorEastAsia"/>
                <w:color w:val="auto"/>
                <w:sz w:val="21"/>
                <w:szCs w:val="21"/>
                <w:highlight w:val="none"/>
                <w:lang w:val="en-US" w:eastAsia="zh-CN"/>
              </w:rPr>
              <w:t>7、S5</w:t>
            </w:r>
            <w:r>
              <w:rPr>
                <w:rFonts w:hint="eastAsia" w:ascii="Times New Roman" w:hAnsi="Times New Roman" w:cs="Times New Roman" w:eastAsiaTheme="minorEastAsia"/>
                <w:color w:val="auto"/>
                <w:sz w:val="21"/>
                <w:szCs w:val="21"/>
                <w:highlight w:val="none"/>
                <w:lang w:val="en-US" w:eastAsia="zh-CN"/>
              </w:rPr>
              <w:t>）、废砂轮片（S1-</w:t>
            </w:r>
            <w:r>
              <w:rPr>
                <w:rFonts w:hint="eastAsia"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lang w:val="en-US" w:eastAsia="zh-CN"/>
              </w:rPr>
              <w:t>）、胶水废包装桶（S2-4）、</w:t>
            </w:r>
            <w:r>
              <w:rPr>
                <w:rFonts w:hint="default" w:ascii="Times New Roman" w:hAnsi="Times New Roman" w:cs="Times New Roman"/>
                <w:bCs/>
                <w:color w:val="auto"/>
                <w:highlight w:val="none"/>
                <w:lang w:val="en-US" w:eastAsia="zh-CN"/>
              </w:rPr>
              <w:t>废布袋（S</w:t>
            </w:r>
            <w:r>
              <w:rPr>
                <w:rFonts w:hint="eastAsia" w:cs="Times New Roman"/>
                <w:bCs/>
                <w:color w:val="auto"/>
                <w:highlight w:val="none"/>
                <w:lang w:val="en-US" w:eastAsia="zh-CN"/>
              </w:rPr>
              <w:t>5</w:t>
            </w:r>
            <w:r>
              <w:rPr>
                <w:rFonts w:hint="default" w:ascii="Times New Roman" w:hAnsi="Times New Roman" w:cs="Times New Roman"/>
                <w:bCs/>
                <w:color w:val="auto"/>
                <w:highlight w:val="none"/>
                <w:lang w:val="en-US" w:eastAsia="zh-CN"/>
              </w:rPr>
              <w:t>）、</w:t>
            </w:r>
            <w:r>
              <w:rPr>
                <w:rFonts w:hint="eastAsia" w:cs="Times New Roman"/>
                <w:bCs/>
                <w:color w:val="auto"/>
                <w:highlight w:val="none"/>
                <w:lang w:val="en-US" w:eastAsia="zh-CN"/>
              </w:rPr>
              <w:t>废活性炭（S6）、</w:t>
            </w:r>
            <w:r>
              <w:rPr>
                <w:rFonts w:hint="default" w:ascii="Times New Roman" w:hAnsi="Times New Roman" w:cs="Times New Roman"/>
                <w:bCs/>
                <w:color w:val="auto"/>
                <w:highlight w:val="none"/>
              </w:rPr>
              <w:t>生活垃圾</w:t>
            </w:r>
            <w:r>
              <w:rPr>
                <w:rFonts w:hint="default" w:ascii="Times New Roman" w:hAnsi="Times New Roman" w:cs="Times New Roman"/>
                <w:bCs/>
                <w:color w:val="auto"/>
                <w:highlight w:val="none"/>
                <w:lang w:eastAsia="zh-CN"/>
              </w:rPr>
              <w:t>（S</w:t>
            </w:r>
            <w:r>
              <w:rPr>
                <w:rFonts w:hint="eastAsia" w:cs="Times New Roman"/>
                <w:bCs/>
                <w:color w:val="auto"/>
                <w:highlight w:val="none"/>
                <w:lang w:val="en-US" w:eastAsia="zh-CN"/>
              </w:rPr>
              <w:t>7</w:t>
            </w:r>
            <w:r>
              <w:rPr>
                <w:rFonts w:hint="default" w:ascii="Times New Roman" w:hAnsi="Times New Roman" w:cs="Times New Roman"/>
                <w:bCs/>
                <w:color w:val="auto"/>
                <w:highlight w:val="none"/>
                <w:lang w:eastAsia="zh-CN"/>
              </w:rPr>
              <w:t>）</w:t>
            </w:r>
            <w:r>
              <w:rPr>
                <w:rFonts w:hint="eastAsia" w:ascii="Times New Roman" w:hAnsi="Times New Roman" w:cs="Times New Roman"/>
                <w:bCs/>
                <w:color w:val="auto"/>
                <w:highlight w:val="none"/>
                <w:lang w:eastAsia="zh-CN"/>
              </w:rPr>
              <w:t>。</w:t>
            </w:r>
          </w:p>
          <w:p w14:paraId="3628D586">
            <w:pPr>
              <w:autoSpaceDE w:val="0"/>
              <w:autoSpaceDN w:val="0"/>
              <w:adjustRightInd w:val="0"/>
              <w:snapToGrid w:val="0"/>
              <w:spacing w:line="360" w:lineRule="auto"/>
              <w:ind w:firstLine="420" w:firstLineChars="200"/>
              <w:rPr>
                <w:rFonts w:hint="eastAsia" w:cs="Times New Roman"/>
                <w:bCs/>
                <w:color w:val="auto"/>
                <w:szCs w:val="21"/>
                <w:highlight w:val="none"/>
                <w:lang w:val="en-US" w:eastAsia="zh-CN"/>
              </w:rPr>
            </w:pPr>
            <w:r>
              <w:rPr>
                <w:rFonts w:hint="eastAsia" w:cs="Times New Roman"/>
                <w:bCs/>
                <w:color w:val="auto"/>
                <w:szCs w:val="21"/>
                <w:highlight w:val="none"/>
                <w:lang w:val="en-US" w:eastAsia="zh-CN"/>
              </w:rPr>
              <w:t>（1）废包装材料（S1-1、S2-1）</w:t>
            </w:r>
          </w:p>
          <w:p w14:paraId="62955EB8">
            <w:pPr>
              <w:autoSpaceDE w:val="0"/>
              <w:autoSpaceDN w:val="0"/>
              <w:adjustRightInd w:val="0"/>
              <w:snapToGrid w:val="0"/>
              <w:spacing w:line="360" w:lineRule="auto"/>
              <w:ind w:firstLine="420" w:firstLineChars="200"/>
              <w:rPr>
                <w:rFonts w:hint="eastAsia" w:eastAsia="宋体" w:cs="Times New Roman"/>
                <w:bCs/>
                <w:color w:val="auto"/>
                <w:szCs w:val="21"/>
                <w:highlight w:val="none"/>
                <w:lang w:val="en-US" w:eastAsia="zh-CN"/>
              </w:rPr>
            </w:pPr>
            <w:r>
              <w:rPr>
                <w:rFonts w:hint="eastAsia" w:cs="Times New Roman"/>
                <w:color w:val="auto"/>
                <w:szCs w:val="21"/>
                <w:highlight w:val="none"/>
                <w:lang w:val="en-US" w:eastAsia="zh-CN"/>
              </w:rPr>
              <w:t>本</w:t>
            </w:r>
            <w:r>
              <w:rPr>
                <w:rFonts w:hint="default" w:ascii="Times New Roman" w:hAnsi="Times New Roman" w:eastAsia="宋体" w:cs="Times New Roman"/>
                <w:color w:val="auto"/>
                <w:szCs w:val="21"/>
                <w:highlight w:val="none"/>
              </w:rPr>
              <w:t>项目</w:t>
            </w:r>
            <w:r>
              <w:rPr>
                <w:rFonts w:hint="eastAsia" w:cs="Times New Roman"/>
                <w:color w:val="auto"/>
                <w:szCs w:val="21"/>
                <w:highlight w:val="none"/>
                <w:lang w:val="en-US" w:eastAsia="zh-CN"/>
              </w:rPr>
              <w:t>金刚石粉末、白刚玉、碳化硅等使用包装袋包装，合金粉、锡粉、锌粉使用包装桶包装，合金粉为包装箱，生产过程中会产生废包装材料，根据企业提供资料，产生的废包装材料约为0.8t/a</w:t>
            </w:r>
            <w:r>
              <w:rPr>
                <w:rFonts w:hint="default" w:ascii="Times New Roman" w:hAnsi="Times New Roman" w:eastAsia="宋体" w:cs="Times New Roman"/>
                <w:color w:val="auto"/>
                <w:szCs w:val="21"/>
                <w:highlight w:val="none"/>
              </w:rPr>
              <w:t>，为一般固体废物，</w:t>
            </w:r>
            <w:r>
              <w:rPr>
                <w:rFonts w:hint="eastAsia" w:ascii="Times New Roman" w:hAnsi="Times New Roman" w:eastAsia="宋体" w:cs="Times New Roman"/>
                <w:color w:val="auto"/>
                <w:szCs w:val="21"/>
                <w:highlight w:val="none"/>
                <w:lang w:val="en-US" w:eastAsia="zh-CN"/>
              </w:rPr>
              <w:t>代码为S59，900-099-S59，暂存在一般固废暂存处，</w:t>
            </w:r>
            <w:r>
              <w:rPr>
                <w:rFonts w:hint="default" w:ascii="Times New Roman" w:hAnsi="Times New Roman" w:eastAsia="宋体" w:cs="Times New Roman"/>
                <w:color w:val="auto"/>
                <w:szCs w:val="21"/>
                <w:highlight w:val="none"/>
              </w:rPr>
              <w:t>外售处理</w:t>
            </w:r>
            <w:r>
              <w:rPr>
                <w:rFonts w:hint="eastAsia" w:ascii="Times New Roman" w:hAnsi="Times New Roman" w:eastAsia="宋体" w:cs="Times New Roman"/>
                <w:color w:val="auto"/>
                <w:szCs w:val="21"/>
                <w:highlight w:val="none"/>
                <w:lang w:eastAsia="zh-CN"/>
              </w:rPr>
              <w:t>。</w:t>
            </w:r>
          </w:p>
          <w:p w14:paraId="5C6EF950">
            <w:pPr>
              <w:autoSpaceDE w:val="0"/>
              <w:autoSpaceDN w:val="0"/>
              <w:adjustRightInd w:val="0"/>
              <w:snapToGrid w:val="0"/>
              <w:spacing w:line="360" w:lineRule="auto"/>
              <w:ind w:firstLine="420" w:firstLineChars="200"/>
              <w:rPr>
                <w:rFonts w:hint="eastAsia" w:cs="Times New Roman"/>
                <w:bCs/>
                <w:color w:val="auto"/>
                <w:szCs w:val="21"/>
                <w:highlight w:val="none"/>
                <w:lang w:val="en-US" w:eastAsia="zh-CN"/>
              </w:rPr>
            </w:pPr>
            <w:r>
              <w:rPr>
                <w:rFonts w:hint="eastAsia" w:cs="Times New Roman"/>
                <w:bCs/>
                <w:color w:val="auto"/>
                <w:szCs w:val="21"/>
                <w:highlight w:val="none"/>
                <w:lang w:val="en-US" w:eastAsia="zh-CN"/>
              </w:rPr>
              <w:t>（2）筛分废料（S1-2、S2-2）</w:t>
            </w:r>
          </w:p>
          <w:p w14:paraId="66892419">
            <w:pPr>
              <w:autoSpaceDE w:val="0"/>
              <w:autoSpaceDN w:val="0"/>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cs="Times New Roman"/>
                <w:color w:val="auto"/>
                <w:szCs w:val="21"/>
                <w:highlight w:val="none"/>
                <w:lang w:val="en-US" w:eastAsia="zh-CN"/>
              </w:rPr>
              <w:t>本项目</w:t>
            </w:r>
            <w:r>
              <w:rPr>
                <w:rFonts w:hint="eastAsia" w:ascii="Times New Roman" w:hAnsi="Times New Roman" w:eastAsia="宋体" w:cs="Times New Roman"/>
                <w:color w:val="auto"/>
                <w:kern w:val="2"/>
                <w:sz w:val="21"/>
                <w:szCs w:val="24"/>
                <w:highlight w:val="none"/>
                <w:lang w:val="en-US" w:eastAsia="zh-CN" w:bidi="ar-SA"/>
              </w:rPr>
              <w:t>筛分过程中会产生筛分废料</w:t>
            </w:r>
            <w:r>
              <w:rPr>
                <w:rFonts w:hint="eastAsia" w:cs="Times New Roman"/>
                <w:color w:val="auto"/>
                <w:szCs w:val="21"/>
                <w:highlight w:val="none"/>
                <w:lang w:val="en-US" w:eastAsia="zh-CN"/>
              </w:rPr>
              <w:t>，根据企业提供资料，产生量为0.2</w:t>
            </w:r>
            <w:r>
              <w:rPr>
                <w:rFonts w:hint="default" w:ascii="Times New Roman" w:hAnsi="Times New Roman" w:eastAsia="宋体" w:cs="Times New Roman"/>
                <w:color w:val="auto"/>
                <w:szCs w:val="21"/>
                <w:highlight w:val="none"/>
              </w:rPr>
              <w:t>t/a，属于一般固体废物，</w:t>
            </w:r>
            <w:r>
              <w:rPr>
                <w:rFonts w:hint="eastAsia" w:ascii="Times New Roman" w:hAnsi="Times New Roman" w:eastAsia="宋体" w:cs="Times New Roman"/>
                <w:color w:val="auto"/>
                <w:szCs w:val="21"/>
                <w:highlight w:val="none"/>
                <w:lang w:val="en-US" w:eastAsia="zh-CN"/>
              </w:rPr>
              <w:t>代码为S59，900-099-S59，</w:t>
            </w:r>
            <w:r>
              <w:rPr>
                <w:rFonts w:hint="default" w:ascii="Times New Roman" w:hAnsi="Times New Roman" w:eastAsia="宋体" w:cs="Times New Roman"/>
                <w:color w:val="auto"/>
                <w:szCs w:val="21"/>
                <w:highlight w:val="none"/>
              </w:rPr>
              <w:t>收集后外售处理</w:t>
            </w:r>
            <w:r>
              <w:rPr>
                <w:rFonts w:hint="eastAsia" w:ascii="Times New Roman" w:hAnsi="Times New Roman" w:eastAsia="宋体" w:cs="Times New Roman"/>
                <w:color w:val="auto"/>
                <w:szCs w:val="21"/>
                <w:highlight w:val="none"/>
                <w:lang w:eastAsia="zh-CN"/>
              </w:rPr>
              <w:t>。</w:t>
            </w:r>
          </w:p>
          <w:p w14:paraId="7BD217D7">
            <w:pPr>
              <w:autoSpaceDE w:val="0"/>
              <w:autoSpaceDN w:val="0"/>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eastAsia" w:cs="Times New Roman"/>
                <w:bCs/>
                <w:color w:val="auto"/>
                <w:highlight w:val="none"/>
                <w:lang w:val="en-US" w:eastAsia="zh-CN"/>
              </w:rPr>
              <w:t>（3）边角料</w:t>
            </w:r>
            <w:r>
              <w:rPr>
                <w:rFonts w:hint="default" w:ascii="Times New Roman" w:hAnsi="Times New Roman" w:cs="Times New Roman"/>
                <w:bCs/>
                <w:color w:val="auto"/>
                <w:highlight w:val="none"/>
                <w:lang w:val="en-US" w:eastAsia="zh-CN"/>
              </w:rPr>
              <w:t>（S</w:t>
            </w:r>
            <w:r>
              <w:rPr>
                <w:rFonts w:hint="eastAsia" w:cs="Times New Roman"/>
                <w:bCs/>
                <w:color w:val="auto"/>
                <w:highlight w:val="none"/>
                <w:lang w:val="en-US" w:eastAsia="zh-CN"/>
              </w:rPr>
              <w:t>1-3、S1-8、S1-9、S</w:t>
            </w:r>
            <w:r>
              <w:rPr>
                <w:rFonts w:hint="default" w:ascii="Times New Roman" w:hAnsi="Times New Roman" w:cs="Times New Roman"/>
                <w:bCs/>
                <w:color w:val="auto"/>
                <w:highlight w:val="none"/>
                <w:lang w:val="en-US" w:eastAsia="zh-CN"/>
              </w:rPr>
              <w:t>）</w:t>
            </w:r>
          </w:p>
          <w:p w14:paraId="2194F6CD">
            <w:pPr>
              <w:autoSpaceDE w:val="0"/>
              <w:autoSpaceDN w:val="0"/>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Cs w:val="21"/>
                <w:highlight w:val="none"/>
                <w:lang w:val="en-US" w:eastAsia="zh-CN"/>
              </w:rPr>
              <w:t>本项目钢板切割、车削过程中会产生边角料，开孔、打磨过程也产生边角料，产生量约为0.5t/a</w:t>
            </w:r>
            <w:r>
              <w:rPr>
                <w:rFonts w:hint="default" w:ascii="Times New Roman" w:hAnsi="Times New Roman" w:eastAsia="宋体" w:cs="Times New Roman"/>
                <w:color w:val="auto"/>
                <w:szCs w:val="21"/>
                <w:highlight w:val="none"/>
              </w:rPr>
              <w:t>，为一般固体废物，</w:t>
            </w:r>
            <w:r>
              <w:rPr>
                <w:rFonts w:hint="eastAsia" w:ascii="Times New Roman" w:hAnsi="Times New Roman" w:eastAsia="宋体" w:cs="Times New Roman"/>
                <w:color w:val="auto"/>
                <w:szCs w:val="21"/>
                <w:highlight w:val="none"/>
                <w:lang w:val="en-US" w:eastAsia="zh-CN"/>
              </w:rPr>
              <w:t>代码为S59，900-099-S59，暂存在一般固废暂存处，</w:t>
            </w:r>
            <w:r>
              <w:rPr>
                <w:rFonts w:hint="default" w:ascii="Times New Roman" w:hAnsi="Times New Roman" w:eastAsia="宋体" w:cs="Times New Roman"/>
                <w:color w:val="auto"/>
                <w:szCs w:val="21"/>
                <w:highlight w:val="none"/>
              </w:rPr>
              <w:t>外售处理</w:t>
            </w:r>
            <w:r>
              <w:rPr>
                <w:rFonts w:hint="eastAsia" w:ascii="Times New Roman" w:hAnsi="Times New Roman" w:eastAsia="宋体" w:cs="Times New Roman"/>
                <w:color w:val="auto"/>
                <w:szCs w:val="21"/>
                <w:highlight w:val="none"/>
                <w:lang w:eastAsia="zh-CN"/>
              </w:rPr>
              <w:t>。</w:t>
            </w:r>
          </w:p>
          <w:p w14:paraId="09B6E1D4">
            <w:pPr>
              <w:numPr>
                <w:ilvl w:val="0"/>
                <w:numId w:val="18"/>
              </w:numPr>
              <w:autoSpaceDE w:val="0"/>
              <w:autoSpaceDN w:val="0"/>
              <w:adjustRightInd w:val="0"/>
              <w:snapToGrid w:val="0"/>
              <w:spacing w:line="360" w:lineRule="auto"/>
              <w:ind w:firstLine="420" w:firstLineChars="200"/>
              <w:rPr>
                <w:rFonts w:hint="eastAsia" w:cs="Times New Roman"/>
                <w:color w:val="auto"/>
                <w:highlight w:val="none"/>
                <w:lang w:val="en-US" w:eastAsia="zh-CN"/>
              </w:rPr>
            </w:pPr>
            <w:r>
              <w:rPr>
                <w:rFonts w:hint="eastAsia" w:cs="Times New Roman"/>
                <w:color w:val="auto"/>
                <w:szCs w:val="21"/>
                <w:highlight w:val="none"/>
                <w:lang w:val="en-US" w:eastAsia="zh-CN"/>
              </w:rPr>
              <w:t>废钢砂</w:t>
            </w:r>
            <w:r>
              <w:rPr>
                <w:rFonts w:hint="eastAsia" w:cs="Times New Roman"/>
                <w:bCs/>
                <w:color w:val="auto"/>
                <w:highlight w:val="none"/>
                <w:lang w:val="en-US" w:eastAsia="zh-CN"/>
              </w:rPr>
              <w:t>（S1-4）</w:t>
            </w:r>
          </w:p>
          <w:p w14:paraId="6CF4839C">
            <w:pPr>
              <w:numPr>
                <w:ilvl w:val="-1"/>
                <w:numId w:val="0"/>
              </w:numPr>
              <w:autoSpaceDE w:val="0"/>
              <w:autoSpaceDN w:val="0"/>
              <w:adjustRightInd w:val="0"/>
              <w:snapToGrid w:val="0"/>
              <w:spacing w:line="360" w:lineRule="auto"/>
              <w:ind w:firstLine="420" w:firstLineChars="200"/>
              <w:rPr>
                <w:rFonts w:hint="eastAsia" w:ascii="Times New Roman" w:hAnsi="Times New Roman" w:cs="Times New Roman" w:eastAsiaTheme="minorEastAsia"/>
                <w:color w:val="auto"/>
                <w:sz w:val="21"/>
                <w:szCs w:val="21"/>
                <w:highlight w:val="none"/>
                <w:lang w:val="en-US" w:eastAsia="zh-CN"/>
              </w:rPr>
            </w:pPr>
            <w:r>
              <w:rPr>
                <w:rFonts w:hint="eastAsia" w:cs="Times New Roman"/>
                <w:color w:val="auto"/>
                <w:highlight w:val="none"/>
                <w:lang w:val="en-US" w:eastAsia="zh-CN"/>
              </w:rPr>
              <w:t>本项目喷砂过程中产生的废</w:t>
            </w:r>
            <w:r>
              <w:rPr>
                <w:rFonts w:hint="eastAsia" w:cs="Times New Roman"/>
                <w:color w:val="auto"/>
                <w:szCs w:val="21"/>
                <w:highlight w:val="none"/>
                <w:lang w:val="en-US" w:eastAsia="zh-CN"/>
              </w:rPr>
              <w:t>钢砂</w:t>
            </w:r>
            <w:r>
              <w:rPr>
                <w:rFonts w:hint="eastAsia" w:cs="Times New Roman"/>
                <w:color w:val="auto"/>
                <w:highlight w:val="none"/>
                <w:lang w:val="en-US" w:eastAsia="zh-CN"/>
              </w:rPr>
              <w:t>约为用量的10%，即0.1t/a，</w:t>
            </w:r>
            <w:r>
              <w:rPr>
                <w:rFonts w:hint="default" w:ascii="Times New Roman" w:hAnsi="Times New Roman" w:eastAsia="宋体" w:cs="Times New Roman"/>
                <w:color w:val="auto"/>
                <w:szCs w:val="21"/>
                <w:highlight w:val="none"/>
              </w:rPr>
              <w:t>为一般固体废物，</w:t>
            </w:r>
            <w:r>
              <w:rPr>
                <w:rFonts w:hint="eastAsia" w:ascii="Times New Roman" w:hAnsi="Times New Roman" w:eastAsia="宋体" w:cs="Times New Roman"/>
                <w:color w:val="auto"/>
                <w:szCs w:val="21"/>
                <w:highlight w:val="none"/>
                <w:lang w:val="en-US" w:eastAsia="zh-CN"/>
              </w:rPr>
              <w:t>代码为S59，900-099-S59，暂存在一般固废暂存处，</w:t>
            </w:r>
            <w:r>
              <w:rPr>
                <w:rFonts w:hint="default" w:ascii="Times New Roman" w:hAnsi="Times New Roman" w:eastAsia="宋体" w:cs="Times New Roman"/>
                <w:color w:val="auto"/>
                <w:szCs w:val="21"/>
                <w:highlight w:val="none"/>
              </w:rPr>
              <w:t>外售处理</w:t>
            </w:r>
          </w:p>
          <w:p w14:paraId="1420CC96">
            <w:pPr>
              <w:autoSpaceDE w:val="0"/>
              <w:autoSpaceDN w:val="0"/>
              <w:adjustRightInd w:val="0"/>
              <w:snapToGrid w:val="0"/>
              <w:spacing w:line="360" w:lineRule="auto"/>
              <w:ind w:firstLine="420" w:firstLineChars="200"/>
              <w:rPr>
                <w:rFonts w:hint="eastAsia" w:ascii="Times New Roman" w:hAnsi="Times New Roman" w:cs="Times New Roman" w:eastAsiaTheme="minorEastAsia"/>
                <w:color w:val="auto"/>
                <w:sz w:val="21"/>
                <w:szCs w:val="21"/>
                <w:highlight w:val="none"/>
                <w:lang w:val="en-US" w:eastAsia="zh-CN"/>
              </w:rPr>
            </w:pPr>
            <w:r>
              <w:rPr>
                <w:rFonts w:hint="eastAsia" w:cs="Times New Roman"/>
                <w:bCs/>
                <w:color w:val="auto"/>
                <w:highlight w:val="none"/>
                <w:lang w:val="en-US" w:eastAsia="zh-CN"/>
              </w:rPr>
              <w:t>（5）喷砂除尘器收集的粉尘（S1-5）</w:t>
            </w:r>
          </w:p>
          <w:p w14:paraId="6571A677">
            <w:pPr>
              <w:autoSpaceDE w:val="0"/>
              <w:autoSpaceDN w:val="0"/>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cs="Times New Roman"/>
                <w:color w:val="auto"/>
                <w:highlight w:val="none"/>
                <w:lang w:val="en-US" w:eastAsia="zh-CN"/>
              </w:rPr>
              <w:t>本项目</w:t>
            </w:r>
            <w:r>
              <w:rPr>
                <w:rFonts w:hint="default" w:ascii="Times New Roman" w:hAnsi="Times New Roman" w:eastAsia="宋体" w:cs="Times New Roman"/>
                <w:color w:val="auto"/>
                <w:szCs w:val="21"/>
                <w:highlight w:val="none"/>
                <w:lang w:val="de-DE" w:eastAsia="zh-CN"/>
              </w:rPr>
              <w:t>喷砂过程</w:t>
            </w:r>
            <w:r>
              <w:rPr>
                <w:rFonts w:hint="eastAsia" w:ascii="Times New Roman" w:hAnsi="Times New Roman" w:eastAsia="宋体" w:cs="Times New Roman"/>
                <w:color w:val="auto"/>
                <w:szCs w:val="21"/>
                <w:highlight w:val="none"/>
                <w:lang w:val="en-US" w:eastAsia="zh-CN"/>
              </w:rPr>
              <w:t>粉尘</w:t>
            </w:r>
            <w:r>
              <w:rPr>
                <w:rFonts w:hint="eastAsia" w:ascii="Times New Roman" w:hAnsi="Times New Roman" w:eastAsia="宋体" w:cs="Times New Roman"/>
                <w:color w:val="auto"/>
                <w:szCs w:val="21"/>
                <w:highlight w:val="none"/>
                <w:lang w:val="de-DE" w:eastAsia="zh-CN"/>
              </w:rPr>
              <w:t>产生</w:t>
            </w:r>
            <w:r>
              <w:rPr>
                <w:rFonts w:hint="eastAsia"/>
                <w:color w:val="auto"/>
                <w:sz w:val="21"/>
                <w:szCs w:val="16"/>
                <w:highlight w:val="none"/>
              </w:rPr>
              <w:t>量为</w:t>
            </w:r>
            <w:r>
              <w:rPr>
                <w:rFonts w:hint="eastAsia"/>
                <w:color w:val="auto"/>
                <w:sz w:val="21"/>
                <w:szCs w:val="16"/>
                <w:highlight w:val="none"/>
                <w:lang w:val="en-US" w:eastAsia="zh-CN"/>
              </w:rPr>
              <w:t>0.035t</w:t>
            </w:r>
            <w:r>
              <w:rPr>
                <w:rFonts w:hint="eastAsia"/>
                <w:color w:val="auto"/>
                <w:sz w:val="21"/>
                <w:szCs w:val="16"/>
                <w:highlight w:val="none"/>
              </w:rPr>
              <w:t>/a</w:t>
            </w:r>
            <w:r>
              <w:rPr>
                <w:rFonts w:hint="eastAsia"/>
                <w:color w:val="auto"/>
                <w:sz w:val="21"/>
                <w:szCs w:val="16"/>
                <w:highlight w:val="none"/>
                <w:lang w:eastAsia="zh-CN"/>
              </w:rPr>
              <w:t>，</w:t>
            </w:r>
            <w:r>
              <w:rPr>
                <w:rFonts w:hint="eastAsia"/>
                <w:color w:val="auto"/>
                <w:sz w:val="21"/>
                <w:szCs w:val="16"/>
                <w:highlight w:val="none"/>
                <w:lang w:val="en-US" w:eastAsia="zh-CN"/>
              </w:rPr>
              <w:t>收集效率为100%，喷砂机自带</w:t>
            </w:r>
            <w:r>
              <w:rPr>
                <w:rFonts w:hint="default" w:ascii="Times New Roman" w:hAnsi="Times New Roman" w:eastAsia="宋体" w:cs="Times New Roman"/>
                <w:color w:val="auto"/>
                <w:szCs w:val="21"/>
                <w:highlight w:val="none"/>
                <w:lang w:val="de-DE" w:eastAsia="zh-CN"/>
              </w:rPr>
              <w:t>除尘器</w:t>
            </w:r>
            <w:r>
              <w:rPr>
                <w:rFonts w:hint="eastAsia" w:ascii="Times New Roman" w:hAnsi="Times New Roman" w:eastAsia="宋体" w:cs="Times New Roman"/>
                <w:color w:val="auto"/>
                <w:szCs w:val="21"/>
                <w:highlight w:val="none"/>
                <w:lang w:val="en-US" w:eastAsia="zh-CN"/>
              </w:rPr>
              <w:t>处理效率为95%</w:t>
            </w:r>
            <w:r>
              <w:rPr>
                <w:rFonts w:hint="eastAsia" w:cs="Times New Roman"/>
                <w:color w:val="auto"/>
                <w:szCs w:val="21"/>
                <w:highlight w:val="none"/>
                <w:lang w:val="en-US" w:eastAsia="zh-CN"/>
              </w:rPr>
              <w:t>，则</w:t>
            </w:r>
            <w:r>
              <w:rPr>
                <w:rFonts w:hint="eastAsia" w:cs="Times New Roman"/>
                <w:bCs/>
                <w:color w:val="auto"/>
                <w:highlight w:val="none"/>
                <w:lang w:val="en-US" w:eastAsia="zh-CN"/>
              </w:rPr>
              <w:t>喷砂除尘器收集的粉尘</w:t>
            </w:r>
            <w:r>
              <w:rPr>
                <w:rFonts w:hint="eastAsia" w:cs="Times New Roman"/>
                <w:color w:val="auto"/>
                <w:highlight w:val="none"/>
                <w:lang w:val="en-US" w:eastAsia="zh-CN"/>
              </w:rPr>
              <w:t>为0.033</w:t>
            </w:r>
            <w:r>
              <w:rPr>
                <w:rFonts w:hint="default" w:ascii="Times New Roman" w:hAnsi="Times New Roman" w:eastAsia="宋体" w:cs="Times New Roman"/>
                <w:color w:val="auto"/>
                <w:szCs w:val="21"/>
                <w:highlight w:val="none"/>
              </w:rPr>
              <w:t>t/a，属于一般固体废物，</w:t>
            </w:r>
            <w:r>
              <w:rPr>
                <w:rFonts w:hint="eastAsia" w:ascii="Times New Roman" w:hAnsi="Times New Roman" w:eastAsia="宋体" w:cs="Times New Roman"/>
                <w:color w:val="auto"/>
                <w:szCs w:val="21"/>
                <w:highlight w:val="none"/>
                <w:lang w:val="en-US" w:eastAsia="zh-CN"/>
              </w:rPr>
              <w:t>代码为S59，900-0</w:t>
            </w:r>
            <w:r>
              <w:rPr>
                <w:rFonts w:hint="eastAsia" w:cs="Times New Roman"/>
                <w:color w:val="auto"/>
                <w:szCs w:val="21"/>
                <w:highlight w:val="none"/>
                <w:lang w:val="en-US" w:eastAsia="zh-CN"/>
              </w:rPr>
              <w:t>9</w:t>
            </w:r>
            <w:r>
              <w:rPr>
                <w:rFonts w:hint="eastAsia" w:ascii="Times New Roman" w:hAnsi="Times New Roman" w:eastAsia="宋体" w:cs="Times New Roman"/>
                <w:color w:val="auto"/>
                <w:szCs w:val="21"/>
                <w:highlight w:val="none"/>
                <w:lang w:val="en-US" w:eastAsia="zh-CN"/>
              </w:rPr>
              <w:t>9-S59，</w:t>
            </w:r>
            <w:r>
              <w:rPr>
                <w:rFonts w:hint="default" w:ascii="Times New Roman" w:hAnsi="Times New Roman" w:eastAsia="宋体" w:cs="Times New Roman"/>
                <w:color w:val="auto"/>
                <w:szCs w:val="21"/>
                <w:highlight w:val="none"/>
              </w:rPr>
              <w:t>收集后外售处理</w:t>
            </w:r>
            <w:r>
              <w:rPr>
                <w:rFonts w:hint="eastAsia" w:ascii="Times New Roman" w:hAnsi="Times New Roman" w:eastAsia="宋体" w:cs="Times New Roman"/>
                <w:color w:val="auto"/>
                <w:szCs w:val="21"/>
                <w:highlight w:val="none"/>
                <w:lang w:eastAsia="zh-CN"/>
              </w:rPr>
              <w:t>。</w:t>
            </w:r>
          </w:p>
          <w:p w14:paraId="2B369155">
            <w:pPr>
              <w:autoSpaceDE w:val="0"/>
              <w:autoSpaceDN w:val="0"/>
              <w:adjustRightInd w:val="0"/>
              <w:snapToGrid w:val="0"/>
              <w:spacing w:line="360" w:lineRule="auto"/>
              <w:ind w:firstLine="420" w:firstLineChars="200"/>
              <w:rPr>
                <w:rFonts w:hint="eastAsia" w:ascii="Times New Roman" w:hAnsi="Times New Roman" w:cs="Times New Roman" w:eastAsiaTheme="minorEastAsia"/>
                <w:color w:val="auto"/>
                <w:sz w:val="21"/>
                <w:szCs w:val="21"/>
                <w:highlight w:val="none"/>
                <w:lang w:val="en-US" w:eastAsia="zh-CN"/>
              </w:rPr>
            </w:pPr>
            <w:r>
              <w:rPr>
                <w:rFonts w:hint="eastAsia" w:cs="Times New Roman"/>
                <w:bCs/>
                <w:color w:val="auto"/>
                <w:highlight w:val="none"/>
                <w:lang w:val="en-US" w:eastAsia="zh-CN"/>
              </w:rPr>
              <w:t>（6）</w:t>
            </w:r>
            <w:r>
              <w:rPr>
                <w:rFonts w:hint="eastAsia" w:ascii="Times New Roman" w:hAnsi="Times New Roman" w:cs="Times New Roman" w:eastAsiaTheme="minorEastAsia"/>
                <w:color w:val="auto"/>
                <w:sz w:val="21"/>
                <w:szCs w:val="21"/>
                <w:highlight w:val="none"/>
                <w:lang w:val="en-US" w:eastAsia="zh-CN"/>
              </w:rPr>
              <w:t>焊接废料（S1-6、S4）</w:t>
            </w:r>
          </w:p>
          <w:p w14:paraId="07082CAE">
            <w:pPr>
              <w:autoSpaceDE w:val="0"/>
              <w:autoSpaceDN w:val="0"/>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cs="Times New Roman"/>
                <w:color w:val="auto"/>
                <w:szCs w:val="21"/>
                <w:highlight w:val="none"/>
                <w:lang w:val="en-US" w:eastAsia="zh-CN"/>
              </w:rPr>
              <w:t>本项目焊接工序焊条用量为0.5t/a，焊接废料按焊条用量的10%，则产生量为0.05</w:t>
            </w:r>
            <w:r>
              <w:rPr>
                <w:rFonts w:hint="default" w:ascii="Times New Roman" w:hAnsi="Times New Roman" w:eastAsia="宋体" w:cs="Times New Roman"/>
                <w:color w:val="auto"/>
                <w:szCs w:val="21"/>
                <w:highlight w:val="none"/>
              </w:rPr>
              <w:t>t/a，属于一般固体废物，</w:t>
            </w:r>
            <w:r>
              <w:rPr>
                <w:rFonts w:hint="eastAsia" w:ascii="Times New Roman" w:hAnsi="Times New Roman" w:eastAsia="宋体" w:cs="Times New Roman"/>
                <w:color w:val="auto"/>
                <w:szCs w:val="21"/>
                <w:highlight w:val="none"/>
                <w:lang w:val="en-US" w:eastAsia="zh-CN"/>
              </w:rPr>
              <w:t>代码为S59，900-099-S59，</w:t>
            </w:r>
            <w:r>
              <w:rPr>
                <w:rFonts w:hint="default" w:ascii="Times New Roman" w:hAnsi="Times New Roman" w:eastAsia="宋体" w:cs="Times New Roman"/>
                <w:color w:val="auto"/>
                <w:szCs w:val="21"/>
                <w:highlight w:val="none"/>
              </w:rPr>
              <w:t>收集后外售处理</w:t>
            </w:r>
            <w:r>
              <w:rPr>
                <w:rFonts w:hint="eastAsia" w:ascii="Times New Roman" w:hAnsi="Times New Roman" w:eastAsia="宋体" w:cs="Times New Roman"/>
                <w:color w:val="auto"/>
                <w:szCs w:val="21"/>
                <w:highlight w:val="none"/>
                <w:lang w:eastAsia="zh-CN"/>
              </w:rPr>
              <w:t>。</w:t>
            </w:r>
          </w:p>
          <w:p w14:paraId="52E3F809">
            <w:pPr>
              <w:autoSpaceDE w:val="0"/>
              <w:autoSpaceDN w:val="0"/>
              <w:adjustRightInd w:val="0"/>
              <w:snapToGrid w:val="0"/>
              <w:spacing w:line="360" w:lineRule="auto"/>
              <w:ind w:firstLine="420" w:firstLineChars="200"/>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7</w:t>
            </w:r>
            <w:r>
              <w:rPr>
                <w:rFonts w:hint="eastAsia" w:ascii="Times New Roman" w:hAnsi="Times New Roman" w:cs="Times New Roman" w:eastAsiaTheme="minorEastAsia"/>
                <w:color w:val="auto"/>
                <w:sz w:val="21"/>
                <w:szCs w:val="21"/>
                <w:highlight w:val="none"/>
                <w:lang w:val="en-US" w:eastAsia="zh-CN"/>
              </w:rPr>
              <w:t>）焊接烟尘净化器收集的烟尘（S1-7、S5）</w:t>
            </w:r>
          </w:p>
          <w:p w14:paraId="193E07B1">
            <w:pPr>
              <w:autoSpaceDE w:val="0"/>
              <w:autoSpaceDN w:val="0"/>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cs="Times New Roman"/>
                <w:color w:val="auto"/>
                <w:szCs w:val="21"/>
                <w:highlight w:val="none"/>
                <w:lang w:val="en-US" w:eastAsia="zh-CN"/>
              </w:rPr>
              <w:t>本项目</w:t>
            </w:r>
            <w:r>
              <w:rPr>
                <w:rFonts w:hint="eastAsia" w:ascii="Times New Roman" w:hAnsi="Times New Roman" w:eastAsia="宋体" w:cs="Times New Roman"/>
                <w:color w:val="auto"/>
                <w:kern w:val="2"/>
                <w:sz w:val="21"/>
                <w:szCs w:val="24"/>
                <w:highlight w:val="none"/>
                <w:lang w:val="en-US" w:eastAsia="zh-CN" w:bidi="ar-SA"/>
              </w:rPr>
              <w:t>切割过程</w:t>
            </w:r>
            <w:r>
              <w:rPr>
                <w:rFonts w:hint="eastAsia" w:cs="Times New Roman"/>
                <w:b w:val="0"/>
                <w:bCs w:val="0"/>
                <w:color w:val="auto"/>
                <w:kern w:val="2"/>
                <w:sz w:val="21"/>
                <w:szCs w:val="21"/>
                <w:highlight w:val="none"/>
                <w:lang w:val="en-US" w:eastAsia="zh-CN" w:bidi="ar-SA"/>
              </w:rPr>
              <w:t>颗粒物产生量为0.087t/a，</w:t>
            </w:r>
            <w:r>
              <w:rPr>
                <w:rFonts w:hint="eastAsia" w:cs="Times New Roman"/>
                <w:color w:val="auto"/>
                <w:szCs w:val="21"/>
                <w:highlight w:val="none"/>
                <w:lang w:val="en-US" w:eastAsia="zh-CN"/>
              </w:rPr>
              <w:t>焊接工序烟尘产生量为0.01t/a，集气罩收集效率为90%，烟尘净化器处理效率为80%，则烟尘净化器收集烟粉尘产生量为0.07</w:t>
            </w:r>
            <w:r>
              <w:rPr>
                <w:rFonts w:hint="default" w:ascii="Times New Roman" w:hAnsi="Times New Roman" w:eastAsia="宋体" w:cs="Times New Roman"/>
                <w:color w:val="auto"/>
                <w:szCs w:val="21"/>
                <w:highlight w:val="none"/>
              </w:rPr>
              <w:t>t/a，属于一般固体废物，</w:t>
            </w:r>
            <w:r>
              <w:rPr>
                <w:rFonts w:hint="eastAsia" w:ascii="Times New Roman" w:hAnsi="Times New Roman" w:eastAsia="宋体" w:cs="Times New Roman"/>
                <w:color w:val="auto"/>
                <w:szCs w:val="21"/>
                <w:highlight w:val="none"/>
                <w:lang w:val="en-US" w:eastAsia="zh-CN"/>
              </w:rPr>
              <w:t>代码为S59，900-099-S59，</w:t>
            </w:r>
            <w:r>
              <w:rPr>
                <w:rFonts w:hint="default" w:ascii="Times New Roman" w:hAnsi="Times New Roman" w:eastAsia="宋体" w:cs="Times New Roman"/>
                <w:color w:val="auto"/>
                <w:szCs w:val="21"/>
                <w:highlight w:val="none"/>
              </w:rPr>
              <w:t>收集后外售处理</w:t>
            </w:r>
            <w:r>
              <w:rPr>
                <w:rFonts w:hint="eastAsia" w:ascii="Times New Roman" w:hAnsi="Times New Roman" w:eastAsia="宋体" w:cs="Times New Roman"/>
                <w:color w:val="auto"/>
                <w:szCs w:val="21"/>
                <w:highlight w:val="none"/>
                <w:lang w:eastAsia="zh-CN"/>
              </w:rPr>
              <w:t>。</w:t>
            </w:r>
          </w:p>
          <w:p w14:paraId="53C76CB6">
            <w:pPr>
              <w:autoSpaceDE w:val="0"/>
              <w:autoSpaceDN w:val="0"/>
              <w:adjustRightInd w:val="0"/>
              <w:snapToGrid w:val="0"/>
              <w:spacing w:line="360" w:lineRule="auto"/>
              <w:ind w:firstLine="420" w:firstLineChars="200"/>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8</w:t>
            </w:r>
            <w:r>
              <w:rPr>
                <w:rFonts w:hint="eastAsia" w:ascii="Times New Roman" w:hAnsi="Times New Roman" w:cs="Times New Roman" w:eastAsiaTheme="minorEastAsia"/>
                <w:color w:val="auto"/>
                <w:sz w:val="21"/>
                <w:szCs w:val="21"/>
                <w:highlight w:val="none"/>
                <w:lang w:val="en-US" w:eastAsia="zh-CN"/>
              </w:rPr>
              <w:t>）废砂轮片（S1-</w:t>
            </w:r>
            <w:r>
              <w:rPr>
                <w:rFonts w:hint="eastAsia"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lang w:val="en-US" w:eastAsia="zh-CN"/>
              </w:rPr>
              <w:t>）</w:t>
            </w:r>
          </w:p>
          <w:p w14:paraId="42C80338">
            <w:pPr>
              <w:autoSpaceDE w:val="0"/>
              <w:autoSpaceDN w:val="0"/>
              <w:adjustRightInd w:val="0"/>
              <w:snapToGrid w:val="0"/>
              <w:spacing w:line="360" w:lineRule="auto"/>
              <w:ind w:firstLine="420" w:firstLineChars="200"/>
              <w:rPr>
                <w:rFonts w:hint="eastAsia" w:ascii="Times New Roman" w:hAnsi="Times New Roman" w:eastAsia="宋体" w:cs="Times New Roman"/>
                <w:bCs/>
                <w:color w:val="auto"/>
                <w:highlight w:val="none"/>
                <w:lang w:val="en-US" w:eastAsia="zh-CN"/>
              </w:rPr>
            </w:pPr>
            <w:r>
              <w:rPr>
                <w:rFonts w:hint="default" w:ascii="Times New Roman" w:hAnsi="Times New Roman" w:cs="Times New Roman"/>
                <w:color w:val="auto"/>
                <w:highlight w:val="none"/>
                <w:lang w:val="en-US" w:eastAsia="zh-CN"/>
              </w:rPr>
              <w:t>本项目打磨过程产生的废砂轮片为0.01t/a</w:t>
            </w:r>
            <w:r>
              <w:rPr>
                <w:rFonts w:hint="default" w:ascii="Times New Roman" w:hAnsi="Times New Roman" w:cs="Times New Roman"/>
                <w:color w:val="auto"/>
                <w:highlight w:val="none"/>
              </w:rPr>
              <w:t>，为一般固体废物，</w:t>
            </w:r>
            <w:r>
              <w:rPr>
                <w:rFonts w:hint="default" w:ascii="Times New Roman" w:hAnsi="Times New Roman" w:cs="Times New Roman"/>
                <w:color w:val="auto"/>
                <w:highlight w:val="none"/>
                <w:lang w:val="en-US" w:eastAsia="zh-CN"/>
              </w:rPr>
              <w:t>固废代码为SW17，900-099-S17，</w:t>
            </w:r>
            <w:r>
              <w:rPr>
                <w:rFonts w:hint="default" w:ascii="Times New Roman" w:hAnsi="Times New Roman" w:cs="Times New Roman"/>
                <w:color w:val="auto"/>
                <w:highlight w:val="none"/>
              </w:rPr>
              <w:t>暂存在一般固废暂存间，定期外卖</w:t>
            </w:r>
            <w:r>
              <w:rPr>
                <w:rFonts w:hint="eastAsia" w:ascii="Times New Roman" w:hAnsi="Times New Roman" w:cs="Times New Roman"/>
                <w:color w:val="auto"/>
                <w:highlight w:val="none"/>
                <w:lang w:eastAsia="zh-CN"/>
              </w:rPr>
              <w:t>。</w:t>
            </w:r>
          </w:p>
          <w:p w14:paraId="5A0C5861">
            <w:pPr>
              <w:autoSpaceDE w:val="0"/>
              <w:autoSpaceDN w:val="0"/>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eastAsia" w:ascii="Times New Roman" w:hAnsi="Times New Roman" w:cs="Times New Roman"/>
                <w:bCs/>
                <w:color w:val="auto"/>
                <w:highlight w:val="none"/>
                <w:lang w:val="en-US" w:eastAsia="zh-CN"/>
              </w:rPr>
              <w:t>（</w:t>
            </w:r>
            <w:r>
              <w:rPr>
                <w:rFonts w:hint="eastAsia" w:cs="Times New Roman"/>
                <w:bCs/>
                <w:color w:val="auto"/>
                <w:highlight w:val="none"/>
                <w:lang w:val="en-US" w:eastAsia="zh-CN"/>
              </w:rPr>
              <w:t>9</w:t>
            </w:r>
            <w:r>
              <w:rPr>
                <w:rFonts w:hint="eastAsia" w:ascii="Times New Roman" w:hAnsi="Times New Roman" w:cs="Times New Roman"/>
                <w:bCs/>
                <w:color w:val="auto"/>
                <w:highlight w:val="none"/>
                <w:lang w:val="en-US" w:eastAsia="zh-CN"/>
              </w:rPr>
              <w:t>）</w:t>
            </w:r>
            <w:r>
              <w:rPr>
                <w:rFonts w:hint="default" w:ascii="Times New Roman" w:hAnsi="Times New Roman" w:cs="Times New Roman"/>
                <w:bCs/>
                <w:color w:val="auto"/>
                <w:highlight w:val="none"/>
                <w:lang w:val="en-US" w:eastAsia="zh-CN"/>
              </w:rPr>
              <w:t>废布袋（S</w:t>
            </w:r>
            <w:r>
              <w:rPr>
                <w:rFonts w:hint="eastAsia" w:cs="Times New Roman"/>
                <w:bCs/>
                <w:color w:val="auto"/>
                <w:highlight w:val="none"/>
                <w:lang w:val="en-US" w:eastAsia="zh-CN"/>
              </w:rPr>
              <w:t>5</w:t>
            </w:r>
            <w:r>
              <w:rPr>
                <w:rFonts w:hint="default" w:ascii="Times New Roman" w:hAnsi="Times New Roman" w:cs="Times New Roman"/>
                <w:bCs/>
                <w:color w:val="auto"/>
                <w:highlight w:val="none"/>
                <w:lang w:val="en-US" w:eastAsia="zh-CN"/>
              </w:rPr>
              <w:t>）</w:t>
            </w:r>
          </w:p>
          <w:p w14:paraId="7A7F1722">
            <w:pPr>
              <w:autoSpaceDE w:val="0"/>
              <w:autoSpaceDN w:val="0"/>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rPr>
              <w:t>本项目</w:t>
            </w:r>
            <w:r>
              <w:rPr>
                <w:rFonts w:hint="eastAsia" w:cs="Times New Roman"/>
                <w:color w:val="auto"/>
                <w:szCs w:val="21"/>
                <w:highlight w:val="none"/>
                <w:lang w:val="en-US" w:eastAsia="zh-CN"/>
              </w:rPr>
              <w:t>2套布袋除尘器和1套喷砂机自带除尘器</w:t>
            </w:r>
            <w:r>
              <w:rPr>
                <w:rFonts w:hint="default" w:ascii="Times New Roman" w:hAnsi="Times New Roman" w:cs="Times New Roman"/>
                <w:color w:val="auto"/>
                <w:szCs w:val="21"/>
                <w:highlight w:val="none"/>
              </w:rPr>
              <w:t>每年更换一次布袋，更换量为0.0</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rPr>
              <w:t>t/a，属于一般工业固体废物，</w:t>
            </w:r>
            <w:r>
              <w:rPr>
                <w:rFonts w:hint="default" w:ascii="Times New Roman" w:hAnsi="Times New Roman" w:cs="Times New Roman"/>
                <w:color w:val="auto"/>
                <w:szCs w:val="21"/>
                <w:highlight w:val="none"/>
                <w:lang w:val="en-US" w:eastAsia="zh-CN"/>
              </w:rPr>
              <w:t>代码为900-099-S</w:t>
            </w:r>
            <w:r>
              <w:rPr>
                <w:rFonts w:hint="eastAsia" w:ascii="Times New Roman" w:hAnsi="Times New Roman" w:cs="Times New Roman"/>
                <w:color w:val="auto"/>
                <w:szCs w:val="21"/>
                <w:highlight w:val="none"/>
                <w:lang w:val="en-US" w:eastAsia="zh-CN"/>
              </w:rPr>
              <w:t>59</w:t>
            </w:r>
            <w:r>
              <w:rPr>
                <w:rFonts w:hint="default" w:ascii="Times New Roman" w:hAnsi="Times New Roman" w:cs="Times New Roman"/>
                <w:color w:val="auto"/>
                <w:szCs w:val="21"/>
                <w:highlight w:val="none"/>
              </w:rPr>
              <w:t>，经员工收集后暂存在一般固废暂存处，定期外卖</w:t>
            </w:r>
            <w:r>
              <w:rPr>
                <w:rFonts w:hint="eastAsia" w:ascii="Times New Roman" w:hAnsi="Times New Roman" w:cs="Times New Roman"/>
                <w:color w:val="auto"/>
                <w:szCs w:val="21"/>
                <w:highlight w:val="none"/>
                <w:lang w:eastAsia="zh-CN"/>
              </w:rPr>
              <w:t>。</w:t>
            </w:r>
          </w:p>
          <w:p w14:paraId="5FA005FE">
            <w:pPr>
              <w:autoSpaceDE w:val="0"/>
              <w:autoSpaceDN w:val="0"/>
              <w:adjustRightInd w:val="0"/>
              <w:snapToGrid w:val="0"/>
              <w:spacing w:line="360" w:lineRule="auto"/>
              <w:ind w:firstLine="420" w:firstLineChars="200"/>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w:t>
            </w:r>
            <w:r>
              <w:rPr>
                <w:rFonts w:hint="eastAsia" w:cs="Times New Roman" w:eastAsiaTheme="minorEastAsia"/>
                <w:color w:val="auto"/>
                <w:sz w:val="21"/>
                <w:szCs w:val="21"/>
                <w:highlight w:val="none"/>
                <w:lang w:val="en-US" w:eastAsia="zh-CN"/>
              </w:rPr>
              <w:t>10</w:t>
            </w:r>
            <w:r>
              <w:rPr>
                <w:rFonts w:hint="eastAsia" w:ascii="Times New Roman" w:hAnsi="Times New Roman" w:cs="Times New Roman" w:eastAsiaTheme="minorEastAsia"/>
                <w:color w:val="auto"/>
                <w:sz w:val="21"/>
                <w:szCs w:val="21"/>
                <w:highlight w:val="none"/>
                <w:lang w:val="en-US" w:eastAsia="zh-CN"/>
              </w:rPr>
              <w:t>）胶水废包装桶（S2-4）</w:t>
            </w:r>
          </w:p>
          <w:p w14:paraId="0894D6C2">
            <w:pPr>
              <w:autoSpaceDE w:val="0"/>
              <w:autoSpaceDN w:val="0"/>
              <w:adjustRightInd w:val="0"/>
              <w:snapToGrid w:val="0"/>
              <w:spacing w:line="360" w:lineRule="auto"/>
              <w:ind w:firstLine="420" w:firstLineChars="200"/>
              <w:rPr>
                <w:rFonts w:hint="eastAsia" w:ascii="Times New Roman" w:hAnsi="Times New Roman" w:eastAsia="宋体" w:cs="Times New Roman"/>
                <w:bCs/>
                <w:color w:val="auto"/>
                <w:highlight w:val="none"/>
                <w:lang w:val="en-US" w:eastAsia="zh-CN"/>
              </w:rPr>
            </w:pPr>
            <w:r>
              <w:rPr>
                <w:rFonts w:hint="eastAsia" w:ascii="Times New Roman" w:hAnsi="Times New Roman" w:cs="Times New Roman" w:eastAsiaTheme="minorEastAsia"/>
                <w:color w:val="auto"/>
                <w:sz w:val="21"/>
                <w:szCs w:val="21"/>
                <w:highlight w:val="none"/>
                <w:lang w:val="en-US" w:eastAsia="zh-CN"/>
              </w:rPr>
              <w:t>胶水</w:t>
            </w:r>
            <w:r>
              <w:rPr>
                <w:rFonts w:hint="default" w:ascii="Times New Roman" w:hAnsi="Times New Roman" w:cs="Times New Roman"/>
                <w:color w:val="auto"/>
                <w:highlight w:val="none"/>
                <w:lang w:val="en-US" w:eastAsia="zh-CN"/>
              </w:rPr>
              <w:t>包装形式主要为桶装，包装规格为</w:t>
            </w:r>
            <w:r>
              <w:rPr>
                <w:rFonts w:hint="eastAsia" w:ascii="Times New Roman" w:hAnsi="Times New Roman" w:cs="Times New Roman"/>
                <w:color w:val="auto"/>
                <w:highlight w:val="none"/>
                <w:lang w:val="en-US" w:eastAsia="zh-CN"/>
              </w:rPr>
              <w:t>25</w:t>
            </w:r>
            <w:r>
              <w:rPr>
                <w:rFonts w:hint="default" w:ascii="Times New Roman" w:hAnsi="Times New Roman" w:cs="Times New Roman"/>
                <w:color w:val="auto"/>
                <w:highlight w:val="none"/>
                <w:lang w:val="en-US" w:eastAsia="zh-CN"/>
              </w:rPr>
              <w:t>kg/桶，1个废包装桶重量约为</w:t>
            </w:r>
            <w:r>
              <w:rPr>
                <w:rFonts w:hint="eastAsia" w:ascii="Times New Roman" w:hAnsi="Times New Roman" w:cs="Times New Roman"/>
                <w:color w:val="auto"/>
                <w:highlight w:val="none"/>
                <w:lang w:val="en-US" w:eastAsia="zh-CN"/>
              </w:rPr>
              <w:t>1.2</w:t>
            </w:r>
            <w:r>
              <w:rPr>
                <w:rFonts w:hint="default" w:ascii="Times New Roman" w:hAnsi="Times New Roman" w:cs="Times New Roman"/>
                <w:color w:val="auto"/>
                <w:highlight w:val="none"/>
                <w:lang w:val="en-US" w:eastAsia="zh-CN"/>
              </w:rPr>
              <w:t>kg，项目</w:t>
            </w:r>
            <w:r>
              <w:rPr>
                <w:rFonts w:hint="eastAsia" w:ascii="Times New Roman" w:hAnsi="Times New Roman" w:cs="Times New Roman" w:eastAsiaTheme="minorEastAsia"/>
                <w:color w:val="auto"/>
                <w:sz w:val="21"/>
                <w:szCs w:val="21"/>
                <w:highlight w:val="none"/>
                <w:lang w:val="en-US" w:eastAsia="zh-CN"/>
              </w:rPr>
              <w:t>胶水</w:t>
            </w:r>
            <w:r>
              <w:rPr>
                <w:rFonts w:hint="default" w:ascii="Times New Roman" w:hAnsi="Times New Roman" w:cs="Times New Roman"/>
                <w:color w:val="auto"/>
                <w:highlight w:val="none"/>
                <w:lang w:val="en-US" w:eastAsia="zh-CN"/>
              </w:rPr>
              <w:t>用量为1t/a，则项目</w:t>
            </w:r>
            <w:r>
              <w:rPr>
                <w:rFonts w:hint="eastAsia" w:ascii="Times New Roman" w:hAnsi="Times New Roman" w:cs="Times New Roman" w:eastAsiaTheme="minorEastAsia"/>
                <w:color w:val="auto"/>
                <w:sz w:val="21"/>
                <w:szCs w:val="21"/>
                <w:highlight w:val="none"/>
                <w:lang w:val="en-US" w:eastAsia="zh-CN"/>
              </w:rPr>
              <w:t>胶水</w:t>
            </w:r>
            <w:r>
              <w:rPr>
                <w:rFonts w:hint="default" w:ascii="Times New Roman" w:hAnsi="Times New Roman" w:cs="Times New Roman"/>
                <w:color w:val="auto"/>
                <w:highlight w:val="none"/>
                <w:lang w:val="en-US" w:eastAsia="zh-CN"/>
              </w:rPr>
              <w:t>废包装桶产生量为</w:t>
            </w:r>
            <w:r>
              <w:rPr>
                <w:rFonts w:hint="eastAsia" w:ascii="Times New Roman" w:hAnsi="Times New Roman" w:cs="Times New Roman"/>
                <w:color w:val="auto"/>
                <w:highlight w:val="none"/>
                <w:lang w:val="en-US" w:eastAsia="zh-CN"/>
              </w:rPr>
              <w:t>0.024</w:t>
            </w:r>
            <w:r>
              <w:rPr>
                <w:rFonts w:hint="default" w:ascii="Times New Roman" w:hAnsi="Times New Roman" w:cs="Times New Roman"/>
                <w:color w:val="auto"/>
                <w:highlight w:val="none"/>
                <w:lang w:val="en-US" w:eastAsia="zh-CN"/>
              </w:rPr>
              <w:t>t/a，</w:t>
            </w:r>
            <w:r>
              <w:rPr>
                <w:rFonts w:hint="default" w:ascii="Times New Roman" w:hAnsi="Times New Roman" w:cs="Times New Roman"/>
                <w:color w:val="auto"/>
                <w:highlight w:val="none"/>
              </w:rPr>
              <w:t>属于 HW49 类危险废物，废物代码为900-0</w:t>
            </w:r>
            <w:r>
              <w:rPr>
                <w:rFonts w:hint="default" w:ascii="Times New Roman" w:hAnsi="Times New Roman" w:cs="Times New Roman"/>
                <w:color w:val="auto"/>
                <w:highlight w:val="none"/>
                <w:lang w:val="en-US" w:eastAsia="zh-CN"/>
              </w:rPr>
              <w:t>41-49</w:t>
            </w:r>
            <w:r>
              <w:rPr>
                <w:rFonts w:hint="default" w:ascii="Times New Roman" w:hAnsi="Times New Roman" w:cs="Times New Roman"/>
                <w:color w:val="auto"/>
                <w:highlight w:val="none"/>
              </w:rPr>
              <w:t>，收集后暂存在危废暂存间，委托有资质的单位处置</w:t>
            </w:r>
            <w:r>
              <w:rPr>
                <w:rFonts w:hint="eastAsia" w:ascii="Times New Roman" w:hAnsi="Times New Roman" w:cs="Times New Roman"/>
                <w:color w:val="auto"/>
                <w:highlight w:val="none"/>
                <w:lang w:val="en-US" w:eastAsia="zh-CN"/>
              </w:rPr>
              <w:t>。</w:t>
            </w:r>
          </w:p>
          <w:p w14:paraId="320CF5C6">
            <w:pPr>
              <w:autoSpaceDE w:val="0"/>
              <w:autoSpaceDN w:val="0"/>
              <w:adjustRightInd w:val="0"/>
              <w:snapToGrid w:val="0"/>
              <w:spacing w:line="360" w:lineRule="auto"/>
              <w:ind w:firstLine="420" w:firstLineChars="200"/>
              <w:rPr>
                <w:rFonts w:hint="eastAsia" w:cs="Times New Roman"/>
                <w:bCs/>
                <w:color w:val="auto"/>
                <w:highlight w:val="none"/>
                <w:lang w:val="en-US" w:eastAsia="zh-CN"/>
              </w:rPr>
            </w:pPr>
            <w:r>
              <w:rPr>
                <w:rFonts w:hint="eastAsia" w:cs="Times New Roman"/>
                <w:bCs/>
                <w:color w:val="auto"/>
                <w:highlight w:val="none"/>
                <w:lang w:val="en-US" w:eastAsia="zh-CN"/>
              </w:rPr>
              <w:t>（11）废活性炭（S6）</w:t>
            </w:r>
          </w:p>
          <w:p w14:paraId="058342B0">
            <w:pPr>
              <w:autoSpaceDE w:val="0"/>
              <w:autoSpaceDN w:val="0"/>
              <w:adjustRightInd w:val="0"/>
              <w:snapToGrid w:val="0"/>
              <w:spacing w:line="360" w:lineRule="auto"/>
              <w:ind w:firstLine="420" w:firstLineChars="200"/>
              <w:rPr>
                <w:rFonts w:hint="default" w:ascii="Times New Roman" w:hAnsi="Times New Roman" w:cs="Times New Roman"/>
                <w:bCs/>
                <w:color w:val="auto"/>
                <w:highlight w:val="none"/>
              </w:rPr>
            </w:pPr>
            <w:r>
              <w:rPr>
                <w:rFonts w:hint="eastAsia" w:cs="Times New Roman"/>
                <w:color w:val="auto"/>
                <w:szCs w:val="21"/>
                <w:highlight w:val="none"/>
                <w:lang w:val="en-US" w:eastAsia="zh-CN"/>
              </w:rPr>
              <w:t>本项目二级活性炭吸附装置为蜂窝状活性炭，碘值不小于650mg/g。活性炭箱装填尺寸</w:t>
            </w:r>
            <w:r>
              <w:rPr>
                <w:rFonts w:hint="default" w:ascii="Times New Roman" w:hAnsi="Times New Roman" w:cs="Times New Roman"/>
                <w:color w:val="auto"/>
                <w:sz w:val="21"/>
                <w:szCs w:val="21"/>
                <w:highlight w:val="none"/>
              </w:rPr>
              <w:t>为</w:t>
            </w:r>
            <w:r>
              <w:rPr>
                <w:rFonts w:hint="eastAsia" w:cs="Times New Roman"/>
                <w:color w:val="auto"/>
                <w:sz w:val="21"/>
                <w:szCs w:val="21"/>
                <w:highlight w:val="none"/>
                <w:lang w:val="en-US" w:eastAsia="zh-CN"/>
              </w:rPr>
              <w:t>1.2</w:t>
            </w:r>
            <w:r>
              <w:rPr>
                <w:rFonts w:hint="default" w:ascii="Times New Roman" w:hAnsi="Times New Roman" w:cs="Times New Roman"/>
                <w:color w:val="auto"/>
                <w:sz w:val="21"/>
                <w:szCs w:val="21"/>
                <w:highlight w:val="none"/>
              </w:rPr>
              <w:t>m×</w:t>
            </w:r>
            <w:r>
              <w:rPr>
                <w:rFonts w:hint="eastAsia"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m×</w:t>
            </w:r>
            <w:r>
              <w:rPr>
                <w:rFonts w:hint="eastAsia" w:cs="Times New Roman"/>
                <w:color w:val="auto"/>
                <w:sz w:val="21"/>
                <w:szCs w:val="21"/>
                <w:highlight w:val="none"/>
                <w:lang w:val="en-US" w:eastAsia="zh-CN"/>
              </w:rPr>
              <w:t>0.8</w:t>
            </w:r>
            <w:r>
              <w:rPr>
                <w:rFonts w:hint="default" w:ascii="Times New Roman" w:hAnsi="Times New Roman" w:cs="Times New Roman"/>
                <w:color w:val="auto"/>
                <w:sz w:val="21"/>
                <w:szCs w:val="21"/>
                <w:highlight w:val="none"/>
              </w:rPr>
              <w:t>m</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蜂窝状活性炭密度约</w:t>
            </w:r>
            <w:r>
              <w:rPr>
                <w:rFonts w:hint="eastAsia" w:cs="Times New Roman"/>
                <w:color w:val="auto"/>
                <w:sz w:val="21"/>
                <w:szCs w:val="21"/>
                <w:highlight w:val="none"/>
                <w:lang w:val="en-US" w:eastAsia="zh-CN"/>
              </w:rPr>
              <w:t>0.3g/cm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eastAsia="zh-CN"/>
              </w:rPr>
              <w:t>，本项目活性炭吸附装置单次活性炭装填量为</w:t>
            </w:r>
            <w:r>
              <w:rPr>
                <w:rFonts w:hint="eastAsia" w:cs="Times New Roman"/>
                <w:color w:val="auto"/>
                <w:sz w:val="21"/>
                <w:szCs w:val="21"/>
                <w:highlight w:val="none"/>
                <w:lang w:val="en-US" w:eastAsia="zh-CN"/>
              </w:rPr>
              <w:t>0.576t。</w:t>
            </w:r>
            <w:r>
              <w:rPr>
                <w:rFonts w:hint="default" w:ascii="Times New Roman" w:hAnsi="Times New Roman" w:cs="Times New Roman"/>
                <w:color w:val="auto"/>
                <w:highlight w:val="none"/>
              </w:rPr>
              <w:t>根据相关实验数据，1kg活性炭的VOCs饱和吸附量约为0.</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kg，</w:t>
            </w:r>
            <w:r>
              <w:rPr>
                <w:rFonts w:hint="eastAsia" w:cs="Times New Roman"/>
                <w:color w:val="auto"/>
                <w:highlight w:val="none"/>
                <w:lang w:eastAsia="zh-CN"/>
              </w:rPr>
              <w:t>本项目</w:t>
            </w:r>
            <w:r>
              <w:rPr>
                <w:rFonts w:hint="default" w:ascii="Times New Roman" w:hAnsi="Times New Roman" w:eastAsia="宋体" w:cs="Times New Roman"/>
                <w:color w:val="auto"/>
                <w:sz w:val="21"/>
                <w:szCs w:val="21"/>
                <w:highlight w:val="none"/>
                <w:lang w:eastAsia="zh-CN"/>
              </w:rPr>
              <w:t>VOCs产生量</w:t>
            </w:r>
            <w:r>
              <w:rPr>
                <w:rFonts w:hint="eastAsia" w:ascii="Times New Roman" w:hAnsi="Times New Roman" w:eastAsia="宋体" w:cs="Times New Roman"/>
                <w:color w:val="auto"/>
                <w:sz w:val="21"/>
                <w:szCs w:val="21"/>
                <w:highlight w:val="none"/>
                <w:lang w:val="en-US" w:eastAsia="zh-CN"/>
              </w:rPr>
              <w:t>0.0</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t/a，</w:t>
            </w:r>
            <w:r>
              <w:rPr>
                <w:rFonts w:hint="eastAsia" w:ascii="Times New Roman" w:hAnsi="Times New Roman" w:cs="Times New Roman"/>
                <w:color w:val="auto"/>
                <w:sz w:val="21"/>
                <w:szCs w:val="21"/>
                <w:highlight w:val="none"/>
                <w:lang w:val="en-US" w:eastAsia="zh-CN"/>
              </w:rPr>
              <w:t>收集效率为95%，</w:t>
            </w:r>
            <w:r>
              <w:rPr>
                <w:rFonts w:hint="eastAsia"/>
                <w:bCs/>
                <w:color w:val="auto"/>
                <w:highlight w:val="none"/>
                <w:lang w:val="en-US" w:eastAsia="zh-CN"/>
              </w:rPr>
              <w:t>二级活性炭吸附装置对有机废气处理效率为70%，则二级</w:t>
            </w:r>
            <w:r>
              <w:rPr>
                <w:rFonts w:hint="eastAsia" w:cs="Times New Roman"/>
                <w:color w:val="auto"/>
                <w:szCs w:val="21"/>
                <w:highlight w:val="none"/>
                <w:lang w:val="en-US" w:eastAsia="zh-CN"/>
              </w:rPr>
              <w:t>活性炭吸附装置对</w:t>
            </w:r>
            <w:r>
              <w:rPr>
                <w:rFonts w:hint="eastAsia" w:cs="Times New Roman"/>
                <w:color w:val="auto"/>
                <w:highlight w:val="none"/>
                <w:lang w:val="en-US" w:eastAsia="zh-CN"/>
              </w:rPr>
              <w:t>VOCs吸附量为0.039t/a，至少需要0.0975t活性炭，本项目活性炭年更换量1次，可满足要求，因此</w:t>
            </w:r>
            <w:r>
              <w:rPr>
                <w:rFonts w:hint="eastAsia" w:cs="Times New Roman"/>
                <w:color w:val="auto"/>
                <w:highlight w:val="none"/>
                <w:lang w:eastAsia="zh-CN"/>
              </w:rPr>
              <w:t>本项目</w:t>
            </w:r>
            <w:r>
              <w:rPr>
                <w:rFonts w:hint="eastAsia" w:ascii="Times New Roman" w:hAnsi="Times New Roman" w:cs="Times New Roman"/>
                <w:color w:val="auto"/>
                <w:highlight w:val="none"/>
                <w:lang w:eastAsia="zh-CN"/>
              </w:rPr>
              <w:t>废</w:t>
            </w:r>
            <w:r>
              <w:rPr>
                <w:rFonts w:hint="default" w:ascii="Times New Roman" w:hAnsi="Times New Roman" w:cs="Times New Roman"/>
                <w:color w:val="auto"/>
                <w:highlight w:val="none"/>
              </w:rPr>
              <w:t>活性炭的产生量为</w:t>
            </w:r>
            <w:r>
              <w:rPr>
                <w:rFonts w:hint="eastAsia" w:cs="Times New Roman"/>
                <w:color w:val="auto"/>
                <w:highlight w:val="none"/>
                <w:lang w:val="en-US" w:eastAsia="zh-CN"/>
              </w:rPr>
              <w:t>0.615</w:t>
            </w:r>
            <w:r>
              <w:rPr>
                <w:rFonts w:hint="eastAsia" w:ascii="Times New Roman" w:hAnsi="Times New Roman" w:cs="Times New Roman"/>
                <w:color w:val="auto"/>
                <w:highlight w:val="none"/>
                <w:lang w:val="en-US" w:eastAsia="zh-CN"/>
              </w:rPr>
              <w:t>t</w:t>
            </w:r>
            <w:r>
              <w:rPr>
                <w:rFonts w:hint="default"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eastAsia" w:cs="Times New Roman"/>
                <w:color w:val="auto"/>
                <w:highlight w:val="none"/>
                <w:lang w:eastAsia="zh-CN"/>
              </w:rPr>
              <w:t>废活性炭</w:t>
            </w:r>
            <w:r>
              <w:rPr>
                <w:rFonts w:hint="eastAsia" w:cs="Times New Roman"/>
                <w:color w:val="auto"/>
                <w:szCs w:val="21"/>
                <w:highlight w:val="none"/>
                <w:lang w:val="en-US" w:eastAsia="zh-CN"/>
              </w:rPr>
              <w:t>属于危险废物，危废代码HW49 ，900-039-49，</w:t>
            </w:r>
            <w:r>
              <w:rPr>
                <w:rFonts w:hint="eastAsia" w:cs="Times New Roman"/>
                <w:color w:val="auto"/>
                <w:kern w:val="24"/>
                <w:szCs w:val="21"/>
                <w:highlight w:val="none"/>
                <w:lang w:val="en-US" w:eastAsia="zh-CN"/>
              </w:rPr>
              <w:t>暂存在危废间，</w:t>
            </w:r>
            <w:r>
              <w:rPr>
                <w:rFonts w:hint="eastAsia" w:ascii="Times New Roman" w:hAnsi="Times New Roman" w:eastAsia="宋体" w:cs="Times New Roman"/>
                <w:color w:val="auto"/>
                <w:szCs w:val="21"/>
                <w:highlight w:val="none"/>
                <w:lang w:eastAsia="zh-CN"/>
              </w:rPr>
              <w:t>委托有资质的单位处置</w:t>
            </w:r>
            <w:r>
              <w:rPr>
                <w:rFonts w:hint="eastAsia" w:cs="Times New Roman"/>
                <w:color w:val="auto"/>
                <w:kern w:val="24"/>
                <w:szCs w:val="21"/>
                <w:highlight w:val="none"/>
                <w:lang w:val="en-US" w:eastAsia="zh-CN"/>
              </w:rPr>
              <w:t>。</w:t>
            </w:r>
          </w:p>
          <w:p w14:paraId="705ADE80">
            <w:pPr>
              <w:autoSpaceDE w:val="0"/>
              <w:autoSpaceDN w:val="0"/>
              <w:adjustRightInd w:val="0"/>
              <w:snapToGrid w:val="0"/>
              <w:spacing w:line="360" w:lineRule="auto"/>
              <w:ind w:firstLine="420" w:firstLineChars="200"/>
              <w:rPr>
                <w:rFonts w:hint="eastAsia" w:ascii="Times New Roman" w:hAnsi="Times New Roman" w:cs="Times New Roman"/>
                <w:bCs/>
                <w:color w:val="auto"/>
                <w:highlight w:val="none"/>
                <w:lang w:eastAsia="zh-CN"/>
              </w:rPr>
            </w:pPr>
            <w:r>
              <w:rPr>
                <w:rFonts w:hint="eastAsia" w:ascii="Times New Roman" w:hAnsi="Times New Roman" w:cs="Times New Roman"/>
                <w:bCs/>
                <w:color w:val="auto"/>
                <w:highlight w:val="none"/>
                <w:lang w:eastAsia="zh-CN"/>
              </w:rPr>
              <w:t>（</w:t>
            </w:r>
            <w:r>
              <w:rPr>
                <w:rFonts w:hint="eastAsia" w:ascii="Times New Roman" w:hAnsi="Times New Roman" w:cs="Times New Roman"/>
                <w:bCs/>
                <w:color w:val="auto"/>
                <w:highlight w:val="none"/>
                <w:lang w:val="en-US" w:eastAsia="zh-CN"/>
              </w:rPr>
              <w:t>1</w:t>
            </w:r>
            <w:r>
              <w:rPr>
                <w:rFonts w:hint="eastAsia" w:cs="Times New Roman"/>
                <w:bCs/>
                <w:color w:val="auto"/>
                <w:highlight w:val="none"/>
                <w:lang w:val="en-US" w:eastAsia="zh-CN"/>
              </w:rPr>
              <w:t>2</w:t>
            </w:r>
            <w:r>
              <w:rPr>
                <w:rFonts w:hint="eastAsia" w:ascii="Times New Roman" w:hAnsi="Times New Roman" w:cs="Times New Roman"/>
                <w:bCs/>
                <w:color w:val="auto"/>
                <w:highlight w:val="none"/>
                <w:lang w:eastAsia="zh-CN"/>
              </w:rPr>
              <w:t>）</w:t>
            </w:r>
            <w:r>
              <w:rPr>
                <w:rFonts w:hint="default" w:ascii="Times New Roman" w:hAnsi="Times New Roman" w:cs="Times New Roman"/>
                <w:bCs/>
                <w:color w:val="auto"/>
                <w:highlight w:val="none"/>
              </w:rPr>
              <w:t>生活垃圾</w:t>
            </w:r>
            <w:r>
              <w:rPr>
                <w:rFonts w:hint="default" w:ascii="Times New Roman" w:hAnsi="Times New Roman" w:cs="Times New Roman"/>
                <w:bCs/>
                <w:color w:val="auto"/>
                <w:highlight w:val="none"/>
                <w:lang w:eastAsia="zh-CN"/>
              </w:rPr>
              <w:t>（S</w:t>
            </w:r>
            <w:r>
              <w:rPr>
                <w:rFonts w:hint="eastAsia" w:cs="Times New Roman"/>
                <w:bCs/>
                <w:color w:val="auto"/>
                <w:highlight w:val="none"/>
                <w:lang w:val="en-US" w:eastAsia="zh-CN"/>
              </w:rPr>
              <w:t>7</w:t>
            </w:r>
            <w:r>
              <w:rPr>
                <w:rFonts w:hint="default" w:ascii="Times New Roman" w:hAnsi="Times New Roman" w:cs="Times New Roman"/>
                <w:bCs/>
                <w:color w:val="auto"/>
                <w:highlight w:val="none"/>
                <w:lang w:eastAsia="zh-CN"/>
              </w:rPr>
              <w:t>）</w:t>
            </w:r>
          </w:p>
          <w:p w14:paraId="1ED66B83">
            <w:pPr>
              <w:autoSpaceDE w:val="0"/>
              <w:autoSpaceDN w:val="0"/>
              <w:adjustRightInd w:val="0"/>
              <w:spacing w:line="360" w:lineRule="auto"/>
              <w:ind w:firstLine="420" w:firstLineChars="200"/>
              <w:rPr>
                <w:rFonts w:hint="eastAsia" w:ascii="Times New Roman" w:hAnsi="Times New Roman" w:eastAsia="宋体" w:cs="Times New Roman"/>
                <w:color w:val="auto"/>
                <w:szCs w:val="21"/>
                <w:highlight w:val="none"/>
                <w:lang w:eastAsia="zh-CN"/>
              </w:rPr>
            </w:pPr>
            <w:bookmarkStart w:id="3" w:name="_Hlk49542529"/>
            <w:r>
              <w:rPr>
                <w:rFonts w:hint="eastAsia" w:cs="Times New Roman"/>
                <w:color w:val="auto"/>
                <w:szCs w:val="21"/>
                <w:highlight w:val="none"/>
                <w:lang w:eastAsia="zh-CN"/>
              </w:rPr>
              <w:t>本项目</w:t>
            </w:r>
            <w:r>
              <w:rPr>
                <w:rFonts w:hint="eastAsia" w:cs="Times New Roman"/>
                <w:color w:val="auto"/>
                <w:szCs w:val="21"/>
                <w:highlight w:val="none"/>
                <w:lang w:val="en-US" w:eastAsia="zh-CN"/>
              </w:rPr>
              <w:t>新增</w:t>
            </w:r>
            <w:r>
              <w:rPr>
                <w:rFonts w:hint="default" w:ascii="Times New Roman" w:hAnsi="Times New Roman" w:eastAsia="宋体" w:cs="Times New Roman"/>
                <w:color w:val="auto"/>
                <w:szCs w:val="21"/>
                <w:highlight w:val="none"/>
              </w:rPr>
              <w:t>劳动定员为</w:t>
            </w:r>
            <w:r>
              <w:rPr>
                <w:rFonts w:hint="eastAsia" w:ascii="Times New Roman" w:hAnsi="Times New Roman" w:eastAsia="宋体" w:cs="Times New Roman"/>
                <w:color w:val="auto"/>
                <w:szCs w:val="21"/>
                <w:highlight w:val="none"/>
                <w:lang w:val="en-US" w:eastAsia="zh-CN"/>
              </w:rPr>
              <w:t>15</w:t>
            </w:r>
            <w:r>
              <w:rPr>
                <w:rFonts w:hint="default" w:ascii="Times New Roman" w:hAnsi="Times New Roman" w:eastAsia="宋体" w:cs="Times New Roman"/>
                <w:color w:val="auto"/>
                <w:szCs w:val="21"/>
                <w:highlight w:val="none"/>
              </w:rPr>
              <w:t>人，生活垃圾产生量按照0.5kg/人·d计，则</w:t>
            </w:r>
            <w:r>
              <w:rPr>
                <w:rFonts w:hint="eastAsia" w:ascii="Times New Roman" w:hAnsi="Times New Roman" w:eastAsia="宋体" w:cs="Times New Roman"/>
                <w:color w:val="auto"/>
                <w:szCs w:val="21"/>
                <w:highlight w:val="none"/>
                <w:lang w:val="en-US" w:eastAsia="zh-CN"/>
              </w:rPr>
              <w:t>本项目新增</w:t>
            </w:r>
            <w:r>
              <w:rPr>
                <w:rFonts w:hint="default" w:ascii="Times New Roman" w:hAnsi="Times New Roman" w:eastAsia="宋体" w:cs="Times New Roman"/>
                <w:color w:val="auto"/>
                <w:szCs w:val="21"/>
                <w:highlight w:val="none"/>
              </w:rPr>
              <w:t>生活垃圾产生量为</w:t>
            </w:r>
            <w:r>
              <w:rPr>
                <w:rFonts w:hint="eastAsia" w:cs="Times New Roman"/>
                <w:color w:val="auto"/>
                <w:szCs w:val="21"/>
                <w:highlight w:val="none"/>
                <w:lang w:val="en-US" w:eastAsia="zh-CN"/>
              </w:rPr>
              <w:t>2.25</w:t>
            </w:r>
            <w:r>
              <w:rPr>
                <w:rFonts w:hint="default" w:ascii="Times New Roman" w:hAnsi="Times New Roman" w:eastAsia="宋体" w:cs="Times New Roman"/>
                <w:color w:val="auto"/>
                <w:szCs w:val="21"/>
                <w:highlight w:val="none"/>
              </w:rPr>
              <w:t>t/a，由环卫部门定期清理</w:t>
            </w:r>
            <w:r>
              <w:rPr>
                <w:rFonts w:hint="eastAsia" w:ascii="Times New Roman" w:hAnsi="Times New Roman" w:eastAsia="宋体" w:cs="Times New Roman"/>
                <w:color w:val="auto"/>
                <w:szCs w:val="21"/>
                <w:highlight w:val="none"/>
                <w:lang w:eastAsia="zh-CN"/>
              </w:rPr>
              <w:t>。</w:t>
            </w:r>
          </w:p>
          <w:bookmarkEnd w:id="3"/>
          <w:p w14:paraId="08ACC773">
            <w:pPr>
              <w:autoSpaceDE w:val="0"/>
              <w:autoSpaceDN w:val="0"/>
              <w:adjustRightIn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根据《建设项目危险废物环境影响评价指南》（环保部公告[2017]43号）、《固体废物鉴别标准通则》（GB 34330-20</w:t>
            </w:r>
            <w:r>
              <w:rPr>
                <w:rFonts w:hint="eastAsia" w:cs="Times New Roman"/>
                <w:color w:val="auto"/>
                <w:szCs w:val="21"/>
                <w:highlight w:val="none"/>
                <w:lang w:val="en-US" w:eastAsia="zh-CN"/>
              </w:rPr>
              <w:t>25</w:t>
            </w:r>
            <w:r>
              <w:rPr>
                <w:rFonts w:hint="default" w:ascii="Times New Roman" w:hAnsi="Times New Roman" w:eastAsia="宋体" w:cs="Times New Roman"/>
                <w:color w:val="auto"/>
                <w:szCs w:val="21"/>
                <w:highlight w:val="none"/>
              </w:rPr>
              <w:t>）。项目产生的固废分为一般固体废物和危险固废，一般固体废物产生情况分别如下所示：</w:t>
            </w:r>
          </w:p>
          <w:p w14:paraId="0C3F94D8">
            <w:pPr>
              <w:autoSpaceDE w:val="0"/>
              <w:autoSpaceDN w:val="0"/>
              <w:adjustRightInd w:val="0"/>
              <w:spacing w:line="360" w:lineRule="auto"/>
              <w:ind w:firstLine="422" w:firstLineChars="200"/>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表4-</w:t>
            </w:r>
            <w:r>
              <w:rPr>
                <w:rFonts w:hint="eastAsia" w:cs="Times New Roman"/>
                <w:b/>
                <w:bCs/>
                <w:color w:val="auto"/>
                <w:szCs w:val="21"/>
                <w:highlight w:val="none"/>
                <w:lang w:val="en-US" w:eastAsia="zh-CN"/>
              </w:rPr>
              <w:t>12</w:t>
            </w:r>
            <w:r>
              <w:rPr>
                <w:rFonts w:hint="eastAsia" w:ascii="Times New Roman" w:hAnsi="Times New Roman" w:eastAsia="宋体" w:cs="Times New Roman"/>
                <w:b/>
                <w:bCs/>
                <w:color w:val="auto"/>
                <w:szCs w:val="21"/>
                <w:highlight w:val="none"/>
                <w:lang w:val="en-US" w:eastAsia="zh-CN"/>
              </w:rPr>
              <w:t>本项目</w:t>
            </w:r>
            <w:r>
              <w:rPr>
                <w:rFonts w:hint="default" w:ascii="Times New Roman" w:hAnsi="Times New Roman" w:eastAsia="宋体" w:cs="Times New Roman"/>
                <w:b/>
                <w:bCs/>
                <w:color w:val="auto"/>
                <w:szCs w:val="21"/>
                <w:highlight w:val="none"/>
                <w:lang w:val="en-US" w:eastAsia="zh-CN"/>
              </w:rPr>
              <w:t>固体废物分析结果汇总表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1245"/>
              <w:gridCol w:w="641"/>
              <w:gridCol w:w="1478"/>
              <w:gridCol w:w="1235"/>
              <w:gridCol w:w="1067"/>
              <w:gridCol w:w="1549"/>
            </w:tblGrid>
            <w:tr w14:paraId="646C4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1D3981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产生工序</w:t>
                  </w:r>
                </w:p>
              </w:tc>
              <w:tc>
                <w:tcPr>
                  <w:tcW w:w="744" w:type="pct"/>
                  <w:noWrap w:val="0"/>
                  <w:tcMar>
                    <w:top w:w="0" w:type="dxa"/>
                    <w:left w:w="28" w:type="dxa"/>
                    <w:bottom w:w="0" w:type="dxa"/>
                    <w:right w:w="28" w:type="dxa"/>
                  </w:tcMar>
                  <w:vAlign w:val="center"/>
                </w:tcPr>
                <w:p w14:paraId="396434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固体废物名称</w:t>
                  </w:r>
                </w:p>
              </w:tc>
              <w:tc>
                <w:tcPr>
                  <w:tcW w:w="383" w:type="pct"/>
                  <w:noWrap w:val="0"/>
                  <w:tcMar>
                    <w:top w:w="0" w:type="dxa"/>
                    <w:left w:w="28" w:type="dxa"/>
                    <w:bottom w:w="0" w:type="dxa"/>
                    <w:right w:w="28" w:type="dxa"/>
                  </w:tcMar>
                  <w:vAlign w:val="center"/>
                </w:tcPr>
                <w:p w14:paraId="4FAB96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形态</w:t>
                  </w:r>
                </w:p>
              </w:tc>
              <w:tc>
                <w:tcPr>
                  <w:tcW w:w="883" w:type="pct"/>
                  <w:noWrap w:val="0"/>
                  <w:tcMar>
                    <w:top w:w="0" w:type="dxa"/>
                    <w:left w:w="28" w:type="dxa"/>
                    <w:bottom w:w="0" w:type="dxa"/>
                    <w:right w:w="28" w:type="dxa"/>
                  </w:tcMar>
                  <w:vAlign w:val="center"/>
                </w:tcPr>
                <w:p w14:paraId="386CE4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属性</w:t>
                  </w:r>
                </w:p>
              </w:tc>
              <w:tc>
                <w:tcPr>
                  <w:tcW w:w="738" w:type="pct"/>
                  <w:noWrap w:val="0"/>
                  <w:tcMar>
                    <w:top w:w="0" w:type="dxa"/>
                    <w:left w:w="28" w:type="dxa"/>
                    <w:bottom w:w="0" w:type="dxa"/>
                    <w:right w:w="28" w:type="dxa"/>
                  </w:tcMar>
                  <w:vAlign w:val="center"/>
                </w:tcPr>
                <w:p w14:paraId="312786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废物代码</w:t>
                  </w:r>
                </w:p>
              </w:tc>
              <w:tc>
                <w:tcPr>
                  <w:tcW w:w="637" w:type="pct"/>
                  <w:noWrap w:val="0"/>
                  <w:tcMar>
                    <w:top w:w="0" w:type="dxa"/>
                    <w:left w:w="28" w:type="dxa"/>
                    <w:bottom w:w="0" w:type="dxa"/>
                    <w:right w:w="28" w:type="dxa"/>
                  </w:tcMar>
                  <w:vAlign w:val="center"/>
                </w:tcPr>
                <w:p w14:paraId="1ABBEA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产生量</w:t>
                  </w:r>
                </w:p>
              </w:tc>
              <w:tc>
                <w:tcPr>
                  <w:tcW w:w="925" w:type="pct"/>
                  <w:noWrap w:val="0"/>
                  <w:tcMar>
                    <w:top w:w="0" w:type="dxa"/>
                    <w:left w:w="28" w:type="dxa"/>
                    <w:bottom w:w="0" w:type="dxa"/>
                    <w:right w:w="28" w:type="dxa"/>
                  </w:tcMar>
                  <w:vAlign w:val="center"/>
                </w:tcPr>
                <w:p w14:paraId="443632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处理措施</w:t>
                  </w:r>
                </w:p>
              </w:tc>
            </w:tr>
            <w:tr w14:paraId="5C802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shd w:val="clear" w:color="auto" w:fill="auto"/>
                  <w:noWrap w:val="0"/>
                  <w:tcMar>
                    <w:top w:w="0" w:type="dxa"/>
                    <w:left w:w="28" w:type="dxa"/>
                    <w:bottom w:w="0" w:type="dxa"/>
                    <w:right w:w="28" w:type="dxa"/>
                  </w:tcMar>
                  <w:vAlign w:val="center"/>
                </w:tcPr>
                <w:p w14:paraId="232A67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原料包装</w:t>
                  </w:r>
                </w:p>
              </w:tc>
              <w:tc>
                <w:tcPr>
                  <w:tcW w:w="744" w:type="pct"/>
                  <w:shd w:val="clear" w:color="auto" w:fill="auto"/>
                  <w:noWrap w:val="0"/>
                  <w:tcMar>
                    <w:top w:w="0" w:type="dxa"/>
                    <w:left w:w="28" w:type="dxa"/>
                    <w:bottom w:w="0" w:type="dxa"/>
                    <w:right w:w="28" w:type="dxa"/>
                  </w:tcMar>
                  <w:vAlign w:val="center"/>
                </w:tcPr>
                <w:p w14:paraId="45F7DE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废包装材料</w:t>
                  </w:r>
                </w:p>
              </w:tc>
              <w:tc>
                <w:tcPr>
                  <w:tcW w:w="383" w:type="pct"/>
                  <w:noWrap w:val="0"/>
                  <w:tcMar>
                    <w:top w:w="0" w:type="dxa"/>
                    <w:left w:w="28" w:type="dxa"/>
                    <w:bottom w:w="0" w:type="dxa"/>
                    <w:right w:w="28" w:type="dxa"/>
                  </w:tcMar>
                  <w:vAlign w:val="center"/>
                </w:tcPr>
                <w:p w14:paraId="488C29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固态</w:t>
                  </w:r>
                </w:p>
              </w:tc>
              <w:tc>
                <w:tcPr>
                  <w:tcW w:w="883" w:type="pct"/>
                  <w:noWrap w:val="0"/>
                  <w:tcMar>
                    <w:top w:w="0" w:type="dxa"/>
                    <w:left w:w="28" w:type="dxa"/>
                    <w:bottom w:w="0" w:type="dxa"/>
                    <w:right w:w="28" w:type="dxa"/>
                  </w:tcMar>
                  <w:vAlign w:val="center"/>
                </w:tcPr>
                <w:p w14:paraId="6D3281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一般固废</w:t>
                  </w:r>
                </w:p>
              </w:tc>
              <w:tc>
                <w:tcPr>
                  <w:tcW w:w="738" w:type="pct"/>
                  <w:noWrap w:val="0"/>
                  <w:tcMar>
                    <w:top w:w="0" w:type="dxa"/>
                    <w:left w:w="28" w:type="dxa"/>
                    <w:bottom w:w="0" w:type="dxa"/>
                    <w:right w:w="28" w:type="dxa"/>
                  </w:tcMar>
                  <w:vAlign w:val="center"/>
                </w:tcPr>
                <w:p w14:paraId="38BF32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S59，900-099-S59</w:t>
                  </w:r>
                </w:p>
              </w:tc>
              <w:tc>
                <w:tcPr>
                  <w:tcW w:w="637" w:type="pct"/>
                  <w:noWrap w:val="0"/>
                  <w:tcMar>
                    <w:top w:w="0" w:type="dxa"/>
                    <w:left w:w="28" w:type="dxa"/>
                    <w:bottom w:w="0" w:type="dxa"/>
                    <w:right w:w="28" w:type="dxa"/>
                  </w:tcMar>
                  <w:vAlign w:val="center"/>
                </w:tcPr>
                <w:p w14:paraId="6ADDBB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0.8</w:t>
                  </w:r>
                  <w:r>
                    <w:rPr>
                      <w:rFonts w:hint="eastAsia" w:ascii="Times New Roman" w:hAnsi="Times New Roman" w:eastAsia="宋体" w:cs="Times New Roman"/>
                      <w:color w:val="auto"/>
                      <w:sz w:val="18"/>
                      <w:szCs w:val="18"/>
                      <w:highlight w:val="none"/>
                      <w:lang w:val="en-US" w:eastAsia="zh-CN"/>
                    </w:rPr>
                    <w:t>t/a</w:t>
                  </w:r>
                </w:p>
              </w:tc>
              <w:tc>
                <w:tcPr>
                  <w:tcW w:w="925" w:type="pct"/>
                  <w:vMerge w:val="restart"/>
                  <w:noWrap w:val="0"/>
                  <w:tcMar>
                    <w:top w:w="0" w:type="dxa"/>
                    <w:left w:w="28" w:type="dxa"/>
                    <w:bottom w:w="0" w:type="dxa"/>
                    <w:right w:w="28" w:type="dxa"/>
                  </w:tcMar>
                  <w:vAlign w:val="center"/>
                </w:tcPr>
                <w:p w14:paraId="7FB285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收集后外卖处理</w:t>
                  </w:r>
                </w:p>
              </w:tc>
            </w:tr>
            <w:tr w14:paraId="59EEC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759718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筛分</w:t>
                  </w:r>
                  <w:r>
                    <w:rPr>
                      <w:rFonts w:hint="default" w:ascii="Times New Roman" w:hAnsi="Times New Roman" w:eastAsia="宋体" w:cs="Times New Roman"/>
                      <w:color w:val="auto"/>
                      <w:sz w:val="18"/>
                      <w:szCs w:val="18"/>
                      <w:highlight w:val="none"/>
                      <w:lang w:val="en-US" w:eastAsia="zh-CN"/>
                    </w:rPr>
                    <w:t>过程</w:t>
                  </w:r>
                </w:p>
              </w:tc>
              <w:tc>
                <w:tcPr>
                  <w:tcW w:w="744" w:type="pct"/>
                  <w:shd w:val="clear" w:color="auto" w:fill="auto"/>
                  <w:noWrap w:val="0"/>
                  <w:tcMar>
                    <w:top w:w="0" w:type="dxa"/>
                    <w:left w:w="28" w:type="dxa"/>
                    <w:bottom w:w="0" w:type="dxa"/>
                    <w:right w:w="28" w:type="dxa"/>
                  </w:tcMar>
                  <w:vAlign w:val="center"/>
                </w:tcPr>
                <w:p w14:paraId="571CEF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筛分废料</w:t>
                  </w:r>
                </w:p>
              </w:tc>
              <w:tc>
                <w:tcPr>
                  <w:tcW w:w="383" w:type="pct"/>
                  <w:noWrap w:val="0"/>
                  <w:tcMar>
                    <w:top w:w="0" w:type="dxa"/>
                    <w:left w:w="28" w:type="dxa"/>
                    <w:bottom w:w="0" w:type="dxa"/>
                    <w:right w:w="28" w:type="dxa"/>
                  </w:tcMar>
                  <w:vAlign w:val="center"/>
                </w:tcPr>
                <w:p w14:paraId="51FDFE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固态</w:t>
                  </w:r>
                </w:p>
              </w:tc>
              <w:tc>
                <w:tcPr>
                  <w:tcW w:w="883" w:type="pct"/>
                  <w:noWrap w:val="0"/>
                  <w:tcMar>
                    <w:top w:w="0" w:type="dxa"/>
                    <w:left w:w="28" w:type="dxa"/>
                    <w:bottom w:w="0" w:type="dxa"/>
                    <w:right w:w="28" w:type="dxa"/>
                  </w:tcMar>
                  <w:vAlign w:val="center"/>
                </w:tcPr>
                <w:p w14:paraId="171EA6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一般固废</w:t>
                  </w:r>
                </w:p>
              </w:tc>
              <w:tc>
                <w:tcPr>
                  <w:tcW w:w="738" w:type="pct"/>
                  <w:noWrap w:val="0"/>
                  <w:tcMar>
                    <w:top w:w="0" w:type="dxa"/>
                    <w:left w:w="28" w:type="dxa"/>
                    <w:bottom w:w="0" w:type="dxa"/>
                    <w:right w:w="28" w:type="dxa"/>
                  </w:tcMar>
                  <w:vAlign w:val="center"/>
                </w:tcPr>
                <w:p w14:paraId="438AAB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S59，900-099-S59</w:t>
                  </w:r>
                </w:p>
              </w:tc>
              <w:tc>
                <w:tcPr>
                  <w:tcW w:w="637" w:type="pct"/>
                  <w:noWrap w:val="0"/>
                  <w:tcMar>
                    <w:top w:w="0" w:type="dxa"/>
                    <w:left w:w="28" w:type="dxa"/>
                    <w:bottom w:w="0" w:type="dxa"/>
                    <w:right w:w="28" w:type="dxa"/>
                  </w:tcMar>
                  <w:vAlign w:val="center"/>
                </w:tcPr>
                <w:p w14:paraId="2D750D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0.2</w:t>
                  </w:r>
                  <w:r>
                    <w:rPr>
                      <w:rFonts w:hint="eastAsia" w:ascii="Times New Roman" w:hAnsi="Times New Roman" w:eastAsia="宋体" w:cs="Times New Roman"/>
                      <w:color w:val="auto"/>
                      <w:sz w:val="18"/>
                      <w:szCs w:val="18"/>
                      <w:highlight w:val="none"/>
                      <w:lang w:val="en-US" w:eastAsia="zh-CN"/>
                    </w:rPr>
                    <w:t>t/a</w:t>
                  </w:r>
                </w:p>
              </w:tc>
              <w:tc>
                <w:tcPr>
                  <w:tcW w:w="925" w:type="pct"/>
                  <w:vMerge w:val="continue"/>
                  <w:noWrap w:val="0"/>
                  <w:tcMar>
                    <w:top w:w="0" w:type="dxa"/>
                    <w:left w:w="28" w:type="dxa"/>
                    <w:bottom w:w="0" w:type="dxa"/>
                    <w:right w:w="28" w:type="dxa"/>
                  </w:tcMar>
                  <w:vAlign w:val="center"/>
                </w:tcPr>
                <w:p w14:paraId="209B17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18"/>
                      <w:szCs w:val="18"/>
                      <w:highlight w:val="none"/>
                      <w:lang w:val="en-US" w:eastAsia="zh-CN"/>
                    </w:rPr>
                  </w:pPr>
                </w:p>
              </w:tc>
            </w:tr>
            <w:tr w14:paraId="457F7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3E536A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切割、车削、开孔、打磨</w:t>
                  </w:r>
                  <w:r>
                    <w:rPr>
                      <w:rFonts w:hint="default" w:ascii="Times New Roman" w:hAnsi="Times New Roman" w:eastAsia="宋体" w:cs="Times New Roman"/>
                      <w:color w:val="auto"/>
                      <w:sz w:val="18"/>
                      <w:szCs w:val="18"/>
                      <w:highlight w:val="none"/>
                      <w:lang w:val="en-US" w:eastAsia="zh-CN"/>
                    </w:rPr>
                    <w:t>过程</w:t>
                  </w:r>
                </w:p>
              </w:tc>
              <w:tc>
                <w:tcPr>
                  <w:tcW w:w="744" w:type="pct"/>
                  <w:shd w:val="clear" w:color="auto" w:fill="auto"/>
                  <w:noWrap w:val="0"/>
                  <w:tcMar>
                    <w:top w:w="0" w:type="dxa"/>
                    <w:left w:w="28" w:type="dxa"/>
                    <w:bottom w:w="0" w:type="dxa"/>
                    <w:right w:w="28" w:type="dxa"/>
                  </w:tcMar>
                  <w:vAlign w:val="center"/>
                </w:tcPr>
                <w:p w14:paraId="755D26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边角料</w:t>
                  </w:r>
                </w:p>
              </w:tc>
              <w:tc>
                <w:tcPr>
                  <w:tcW w:w="383" w:type="pct"/>
                  <w:shd w:val="clear" w:color="auto" w:fill="auto"/>
                  <w:noWrap w:val="0"/>
                  <w:tcMar>
                    <w:top w:w="0" w:type="dxa"/>
                    <w:left w:w="28" w:type="dxa"/>
                    <w:bottom w:w="0" w:type="dxa"/>
                    <w:right w:w="28" w:type="dxa"/>
                  </w:tcMar>
                  <w:vAlign w:val="center"/>
                </w:tcPr>
                <w:p w14:paraId="7FBF28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固态</w:t>
                  </w:r>
                </w:p>
              </w:tc>
              <w:tc>
                <w:tcPr>
                  <w:tcW w:w="883" w:type="pct"/>
                  <w:shd w:val="clear" w:color="auto" w:fill="auto"/>
                  <w:noWrap w:val="0"/>
                  <w:tcMar>
                    <w:top w:w="0" w:type="dxa"/>
                    <w:left w:w="28" w:type="dxa"/>
                    <w:bottom w:w="0" w:type="dxa"/>
                    <w:right w:w="28" w:type="dxa"/>
                  </w:tcMar>
                  <w:vAlign w:val="center"/>
                </w:tcPr>
                <w:p w14:paraId="235F5B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一般固废</w:t>
                  </w:r>
                </w:p>
              </w:tc>
              <w:tc>
                <w:tcPr>
                  <w:tcW w:w="738" w:type="pct"/>
                  <w:noWrap w:val="0"/>
                  <w:tcMar>
                    <w:top w:w="0" w:type="dxa"/>
                    <w:left w:w="28" w:type="dxa"/>
                    <w:bottom w:w="0" w:type="dxa"/>
                    <w:right w:w="28" w:type="dxa"/>
                  </w:tcMar>
                  <w:vAlign w:val="center"/>
                </w:tcPr>
                <w:p w14:paraId="76712E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S59，900-099-S59</w:t>
                  </w:r>
                </w:p>
              </w:tc>
              <w:tc>
                <w:tcPr>
                  <w:tcW w:w="637" w:type="pct"/>
                  <w:noWrap w:val="0"/>
                  <w:tcMar>
                    <w:top w:w="0" w:type="dxa"/>
                    <w:left w:w="28" w:type="dxa"/>
                    <w:bottom w:w="0" w:type="dxa"/>
                    <w:right w:w="28" w:type="dxa"/>
                  </w:tcMar>
                  <w:vAlign w:val="center"/>
                </w:tcPr>
                <w:p w14:paraId="5897C5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0.5</w:t>
                  </w:r>
                  <w:r>
                    <w:rPr>
                      <w:rFonts w:hint="eastAsia" w:ascii="Times New Roman" w:hAnsi="Times New Roman" w:eastAsia="宋体" w:cs="Times New Roman"/>
                      <w:color w:val="auto"/>
                      <w:sz w:val="18"/>
                      <w:szCs w:val="18"/>
                      <w:highlight w:val="none"/>
                      <w:lang w:val="en-US" w:eastAsia="zh-CN"/>
                    </w:rPr>
                    <w:t>t/a</w:t>
                  </w:r>
                </w:p>
              </w:tc>
              <w:tc>
                <w:tcPr>
                  <w:tcW w:w="925" w:type="pct"/>
                  <w:vMerge w:val="continue"/>
                  <w:noWrap w:val="0"/>
                  <w:tcMar>
                    <w:top w:w="0" w:type="dxa"/>
                    <w:left w:w="28" w:type="dxa"/>
                    <w:bottom w:w="0" w:type="dxa"/>
                    <w:right w:w="28" w:type="dxa"/>
                  </w:tcMar>
                  <w:vAlign w:val="center"/>
                </w:tcPr>
                <w:p w14:paraId="030B52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18"/>
                      <w:szCs w:val="18"/>
                      <w:highlight w:val="none"/>
                      <w:lang w:val="en-US" w:eastAsia="zh-CN"/>
                    </w:rPr>
                  </w:pPr>
                </w:p>
              </w:tc>
            </w:tr>
            <w:tr w14:paraId="24D76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37FB29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喷砂过程</w:t>
                  </w:r>
                </w:p>
              </w:tc>
              <w:tc>
                <w:tcPr>
                  <w:tcW w:w="744" w:type="pct"/>
                  <w:shd w:val="clear" w:color="auto" w:fill="auto"/>
                  <w:noWrap w:val="0"/>
                  <w:tcMar>
                    <w:top w:w="0" w:type="dxa"/>
                    <w:left w:w="28" w:type="dxa"/>
                    <w:bottom w:w="0" w:type="dxa"/>
                    <w:right w:w="28" w:type="dxa"/>
                  </w:tcMar>
                  <w:vAlign w:val="center"/>
                </w:tcPr>
                <w:p w14:paraId="4B9F43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废钢砂</w:t>
                  </w:r>
                </w:p>
              </w:tc>
              <w:tc>
                <w:tcPr>
                  <w:tcW w:w="641" w:type="dxa"/>
                  <w:noWrap w:val="0"/>
                  <w:tcMar>
                    <w:top w:w="0" w:type="dxa"/>
                    <w:left w:w="28" w:type="dxa"/>
                    <w:bottom w:w="0" w:type="dxa"/>
                    <w:right w:w="28" w:type="dxa"/>
                  </w:tcMar>
                  <w:vAlign w:val="center"/>
                </w:tcPr>
                <w:p w14:paraId="1C1458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固态</w:t>
                  </w:r>
                </w:p>
              </w:tc>
              <w:tc>
                <w:tcPr>
                  <w:tcW w:w="1478" w:type="dxa"/>
                  <w:shd w:val="clear" w:color="auto" w:fill="auto"/>
                  <w:noWrap w:val="0"/>
                  <w:tcMar>
                    <w:top w:w="0" w:type="dxa"/>
                    <w:left w:w="28" w:type="dxa"/>
                    <w:bottom w:w="0" w:type="dxa"/>
                    <w:right w:w="28" w:type="dxa"/>
                  </w:tcMar>
                  <w:vAlign w:val="center"/>
                </w:tcPr>
                <w:p w14:paraId="189830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一般固废</w:t>
                  </w:r>
                </w:p>
              </w:tc>
              <w:tc>
                <w:tcPr>
                  <w:tcW w:w="738" w:type="pct"/>
                  <w:shd w:val="clear" w:color="auto" w:fill="auto"/>
                  <w:noWrap w:val="0"/>
                  <w:tcMar>
                    <w:top w:w="0" w:type="dxa"/>
                    <w:left w:w="28" w:type="dxa"/>
                    <w:bottom w:w="0" w:type="dxa"/>
                    <w:right w:w="28" w:type="dxa"/>
                  </w:tcMar>
                  <w:vAlign w:val="center"/>
                </w:tcPr>
                <w:p w14:paraId="368025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S59，900-099-S59</w:t>
                  </w:r>
                </w:p>
              </w:tc>
              <w:tc>
                <w:tcPr>
                  <w:tcW w:w="637" w:type="pct"/>
                  <w:noWrap w:val="0"/>
                  <w:tcMar>
                    <w:top w:w="0" w:type="dxa"/>
                    <w:left w:w="28" w:type="dxa"/>
                    <w:bottom w:w="0" w:type="dxa"/>
                    <w:right w:w="28" w:type="dxa"/>
                  </w:tcMar>
                  <w:vAlign w:val="center"/>
                </w:tcPr>
                <w:p w14:paraId="2005B4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0.1</w:t>
                  </w:r>
                  <w:r>
                    <w:rPr>
                      <w:rFonts w:hint="eastAsia" w:ascii="Times New Roman" w:hAnsi="Times New Roman" w:eastAsia="宋体" w:cs="Times New Roman"/>
                      <w:color w:val="auto"/>
                      <w:sz w:val="18"/>
                      <w:szCs w:val="18"/>
                      <w:highlight w:val="none"/>
                      <w:lang w:val="en-US" w:eastAsia="zh-CN"/>
                    </w:rPr>
                    <w:t>t/a</w:t>
                  </w:r>
                </w:p>
              </w:tc>
              <w:tc>
                <w:tcPr>
                  <w:tcW w:w="925" w:type="pct"/>
                  <w:vMerge w:val="continue"/>
                  <w:noWrap w:val="0"/>
                  <w:tcMar>
                    <w:top w:w="0" w:type="dxa"/>
                    <w:left w:w="28" w:type="dxa"/>
                    <w:bottom w:w="0" w:type="dxa"/>
                    <w:right w:w="28" w:type="dxa"/>
                  </w:tcMar>
                  <w:vAlign w:val="center"/>
                </w:tcPr>
                <w:p w14:paraId="00EF67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18"/>
                      <w:szCs w:val="18"/>
                      <w:highlight w:val="none"/>
                      <w:lang w:val="en-US" w:eastAsia="zh-CN"/>
                    </w:rPr>
                  </w:pPr>
                </w:p>
              </w:tc>
            </w:tr>
            <w:tr w14:paraId="2486A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150757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喷砂过程</w:t>
                  </w:r>
                </w:p>
              </w:tc>
              <w:tc>
                <w:tcPr>
                  <w:tcW w:w="744" w:type="pct"/>
                  <w:shd w:val="clear" w:color="auto" w:fill="auto"/>
                  <w:noWrap w:val="0"/>
                  <w:tcMar>
                    <w:top w:w="0" w:type="dxa"/>
                    <w:left w:w="28" w:type="dxa"/>
                    <w:bottom w:w="0" w:type="dxa"/>
                    <w:right w:w="28" w:type="dxa"/>
                  </w:tcMar>
                  <w:vAlign w:val="center"/>
                </w:tcPr>
                <w:p w14:paraId="37BA2B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喷砂除尘器收集的粉尘</w:t>
                  </w:r>
                </w:p>
              </w:tc>
              <w:tc>
                <w:tcPr>
                  <w:tcW w:w="641" w:type="dxa"/>
                  <w:noWrap w:val="0"/>
                  <w:tcMar>
                    <w:top w:w="0" w:type="dxa"/>
                    <w:left w:w="28" w:type="dxa"/>
                    <w:bottom w:w="0" w:type="dxa"/>
                    <w:right w:w="28" w:type="dxa"/>
                  </w:tcMar>
                  <w:vAlign w:val="center"/>
                </w:tcPr>
                <w:p w14:paraId="4A8455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固态</w:t>
                  </w:r>
                </w:p>
              </w:tc>
              <w:tc>
                <w:tcPr>
                  <w:tcW w:w="1478" w:type="dxa"/>
                  <w:shd w:val="clear" w:color="auto" w:fill="auto"/>
                  <w:noWrap w:val="0"/>
                  <w:tcMar>
                    <w:top w:w="0" w:type="dxa"/>
                    <w:left w:w="28" w:type="dxa"/>
                    <w:bottom w:w="0" w:type="dxa"/>
                    <w:right w:w="28" w:type="dxa"/>
                  </w:tcMar>
                  <w:vAlign w:val="center"/>
                </w:tcPr>
                <w:p w14:paraId="3F068C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一般固废</w:t>
                  </w:r>
                </w:p>
              </w:tc>
              <w:tc>
                <w:tcPr>
                  <w:tcW w:w="738" w:type="pct"/>
                  <w:shd w:val="clear" w:color="auto" w:fill="auto"/>
                  <w:noWrap w:val="0"/>
                  <w:tcMar>
                    <w:top w:w="0" w:type="dxa"/>
                    <w:left w:w="28" w:type="dxa"/>
                    <w:bottom w:w="0" w:type="dxa"/>
                    <w:right w:w="28" w:type="dxa"/>
                  </w:tcMar>
                  <w:vAlign w:val="center"/>
                </w:tcPr>
                <w:p w14:paraId="7A3E27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S59，900-099-S59</w:t>
                  </w:r>
                </w:p>
              </w:tc>
              <w:tc>
                <w:tcPr>
                  <w:tcW w:w="637" w:type="pct"/>
                  <w:noWrap w:val="0"/>
                  <w:tcMar>
                    <w:top w:w="0" w:type="dxa"/>
                    <w:left w:w="28" w:type="dxa"/>
                    <w:bottom w:w="0" w:type="dxa"/>
                    <w:right w:w="28" w:type="dxa"/>
                  </w:tcMar>
                  <w:vAlign w:val="center"/>
                </w:tcPr>
                <w:p w14:paraId="0D2DDB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0.033</w:t>
                  </w:r>
                  <w:r>
                    <w:rPr>
                      <w:rFonts w:hint="eastAsia" w:ascii="Times New Roman" w:hAnsi="Times New Roman" w:eastAsia="宋体" w:cs="Times New Roman"/>
                      <w:color w:val="auto"/>
                      <w:sz w:val="18"/>
                      <w:szCs w:val="18"/>
                      <w:highlight w:val="none"/>
                      <w:lang w:val="en-US" w:eastAsia="zh-CN"/>
                    </w:rPr>
                    <w:t>t/a</w:t>
                  </w:r>
                </w:p>
              </w:tc>
              <w:tc>
                <w:tcPr>
                  <w:tcW w:w="925" w:type="pct"/>
                  <w:vMerge w:val="continue"/>
                  <w:noWrap w:val="0"/>
                  <w:tcMar>
                    <w:top w:w="0" w:type="dxa"/>
                    <w:left w:w="28" w:type="dxa"/>
                    <w:bottom w:w="0" w:type="dxa"/>
                    <w:right w:w="28" w:type="dxa"/>
                  </w:tcMar>
                  <w:vAlign w:val="center"/>
                </w:tcPr>
                <w:p w14:paraId="7F2064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18"/>
                      <w:szCs w:val="18"/>
                      <w:highlight w:val="none"/>
                      <w:lang w:val="en-US" w:eastAsia="zh-CN"/>
                    </w:rPr>
                  </w:pPr>
                </w:p>
              </w:tc>
            </w:tr>
            <w:tr w14:paraId="18281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4DA877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焊接过程</w:t>
                  </w:r>
                </w:p>
              </w:tc>
              <w:tc>
                <w:tcPr>
                  <w:tcW w:w="744" w:type="pct"/>
                  <w:shd w:val="clear" w:color="auto" w:fill="auto"/>
                  <w:noWrap w:val="0"/>
                  <w:tcMar>
                    <w:top w:w="0" w:type="dxa"/>
                    <w:left w:w="28" w:type="dxa"/>
                    <w:bottom w:w="0" w:type="dxa"/>
                    <w:right w:w="28" w:type="dxa"/>
                  </w:tcMar>
                  <w:vAlign w:val="center"/>
                </w:tcPr>
                <w:p w14:paraId="5B01E2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焊接废料</w:t>
                  </w:r>
                </w:p>
              </w:tc>
              <w:tc>
                <w:tcPr>
                  <w:tcW w:w="383" w:type="pct"/>
                  <w:noWrap w:val="0"/>
                  <w:tcMar>
                    <w:top w:w="0" w:type="dxa"/>
                    <w:left w:w="28" w:type="dxa"/>
                    <w:bottom w:w="0" w:type="dxa"/>
                    <w:right w:w="28" w:type="dxa"/>
                  </w:tcMar>
                  <w:vAlign w:val="center"/>
                </w:tcPr>
                <w:p w14:paraId="4EF617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固态</w:t>
                  </w:r>
                </w:p>
              </w:tc>
              <w:tc>
                <w:tcPr>
                  <w:tcW w:w="883" w:type="pct"/>
                  <w:shd w:val="clear" w:color="auto" w:fill="auto"/>
                  <w:noWrap w:val="0"/>
                  <w:tcMar>
                    <w:top w:w="0" w:type="dxa"/>
                    <w:left w:w="28" w:type="dxa"/>
                    <w:bottom w:w="0" w:type="dxa"/>
                    <w:right w:w="28" w:type="dxa"/>
                  </w:tcMar>
                  <w:vAlign w:val="center"/>
                </w:tcPr>
                <w:p w14:paraId="452EC2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一般固废</w:t>
                  </w:r>
                </w:p>
              </w:tc>
              <w:tc>
                <w:tcPr>
                  <w:tcW w:w="738" w:type="pct"/>
                  <w:shd w:val="clear" w:color="auto" w:fill="auto"/>
                  <w:noWrap w:val="0"/>
                  <w:tcMar>
                    <w:top w:w="0" w:type="dxa"/>
                    <w:left w:w="28" w:type="dxa"/>
                    <w:bottom w:w="0" w:type="dxa"/>
                    <w:right w:w="28" w:type="dxa"/>
                  </w:tcMar>
                  <w:vAlign w:val="center"/>
                </w:tcPr>
                <w:p w14:paraId="72EDFE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S59，900-099-S59</w:t>
                  </w:r>
                </w:p>
              </w:tc>
              <w:tc>
                <w:tcPr>
                  <w:tcW w:w="637" w:type="pct"/>
                  <w:noWrap w:val="0"/>
                  <w:tcMar>
                    <w:top w:w="0" w:type="dxa"/>
                    <w:left w:w="28" w:type="dxa"/>
                    <w:bottom w:w="0" w:type="dxa"/>
                    <w:right w:w="28" w:type="dxa"/>
                  </w:tcMar>
                  <w:vAlign w:val="center"/>
                </w:tcPr>
                <w:p w14:paraId="7F9B52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0.05</w:t>
                  </w:r>
                  <w:r>
                    <w:rPr>
                      <w:rFonts w:hint="eastAsia" w:ascii="Times New Roman" w:hAnsi="Times New Roman" w:eastAsia="宋体" w:cs="Times New Roman"/>
                      <w:color w:val="auto"/>
                      <w:sz w:val="18"/>
                      <w:szCs w:val="18"/>
                      <w:highlight w:val="none"/>
                      <w:lang w:val="en-US" w:eastAsia="zh-CN"/>
                    </w:rPr>
                    <w:t>t/a</w:t>
                  </w:r>
                </w:p>
              </w:tc>
              <w:tc>
                <w:tcPr>
                  <w:tcW w:w="925" w:type="pct"/>
                  <w:vMerge w:val="continue"/>
                  <w:noWrap w:val="0"/>
                  <w:tcMar>
                    <w:top w:w="0" w:type="dxa"/>
                    <w:left w:w="28" w:type="dxa"/>
                    <w:bottom w:w="0" w:type="dxa"/>
                    <w:right w:w="28" w:type="dxa"/>
                  </w:tcMar>
                  <w:vAlign w:val="center"/>
                </w:tcPr>
                <w:p w14:paraId="63FD7E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18"/>
                      <w:szCs w:val="18"/>
                      <w:highlight w:val="none"/>
                      <w:lang w:val="en-US" w:eastAsia="zh-CN"/>
                    </w:rPr>
                  </w:pPr>
                </w:p>
              </w:tc>
            </w:tr>
            <w:tr w14:paraId="30C6F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6DE475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焊接过程</w:t>
                  </w:r>
                </w:p>
              </w:tc>
              <w:tc>
                <w:tcPr>
                  <w:tcW w:w="744" w:type="pct"/>
                  <w:shd w:val="clear" w:color="auto" w:fill="auto"/>
                  <w:noWrap w:val="0"/>
                  <w:tcMar>
                    <w:top w:w="0" w:type="dxa"/>
                    <w:left w:w="28" w:type="dxa"/>
                    <w:bottom w:w="0" w:type="dxa"/>
                    <w:right w:w="28" w:type="dxa"/>
                  </w:tcMar>
                  <w:vAlign w:val="center"/>
                </w:tcPr>
                <w:p w14:paraId="598311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焊接烟尘净化器收集的烟尘</w:t>
                  </w:r>
                </w:p>
              </w:tc>
              <w:tc>
                <w:tcPr>
                  <w:tcW w:w="383" w:type="pct"/>
                  <w:noWrap w:val="0"/>
                  <w:tcMar>
                    <w:top w:w="0" w:type="dxa"/>
                    <w:left w:w="28" w:type="dxa"/>
                    <w:bottom w:w="0" w:type="dxa"/>
                    <w:right w:w="28" w:type="dxa"/>
                  </w:tcMar>
                  <w:vAlign w:val="center"/>
                </w:tcPr>
                <w:p w14:paraId="44D251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固态</w:t>
                  </w:r>
                </w:p>
              </w:tc>
              <w:tc>
                <w:tcPr>
                  <w:tcW w:w="883" w:type="pct"/>
                  <w:noWrap w:val="0"/>
                  <w:tcMar>
                    <w:top w:w="0" w:type="dxa"/>
                    <w:left w:w="28" w:type="dxa"/>
                    <w:bottom w:w="0" w:type="dxa"/>
                    <w:right w:w="28" w:type="dxa"/>
                  </w:tcMar>
                  <w:vAlign w:val="center"/>
                </w:tcPr>
                <w:p w14:paraId="042C49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一般固废</w:t>
                  </w:r>
                </w:p>
              </w:tc>
              <w:tc>
                <w:tcPr>
                  <w:tcW w:w="738" w:type="pct"/>
                  <w:noWrap w:val="0"/>
                  <w:tcMar>
                    <w:top w:w="0" w:type="dxa"/>
                    <w:left w:w="28" w:type="dxa"/>
                    <w:bottom w:w="0" w:type="dxa"/>
                    <w:right w:w="28" w:type="dxa"/>
                  </w:tcMar>
                  <w:vAlign w:val="center"/>
                </w:tcPr>
                <w:p w14:paraId="4A9768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S59，900-099-S59</w:t>
                  </w:r>
                </w:p>
              </w:tc>
              <w:tc>
                <w:tcPr>
                  <w:tcW w:w="637" w:type="pct"/>
                  <w:noWrap w:val="0"/>
                  <w:tcMar>
                    <w:top w:w="0" w:type="dxa"/>
                    <w:left w:w="28" w:type="dxa"/>
                    <w:bottom w:w="0" w:type="dxa"/>
                    <w:right w:w="28" w:type="dxa"/>
                  </w:tcMar>
                  <w:vAlign w:val="center"/>
                </w:tcPr>
                <w:p w14:paraId="003945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0.07</w:t>
                  </w:r>
                  <w:r>
                    <w:rPr>
                      <w:rFonts w:hint="eastAsia" w:ascii="Times New Roman" w:hAnsi="Times New Roman" w:eastAsia="宋体" w:cs="Times New Roman"/>
                      <w:color w:val="auto"/>
                      <w:sz w:val="18"/>
                      <w:szCs w:val="18"/>
                      <w:highlight w:val="none"/>
                      <w:lang w:val="en-US" w:eastAsia="zh-CN"/>
                    </w:rPr>
                    <w:t>t/a</w:t>
                  </w:r>
                </w:p>
              </w:tc>
              <w:tc>
                <w:tcPr>
                  <w:tcW w:w="925" w:type="pct"/>
                  <w:vMerge w:val="continue"/>
                  <w:noWrap w:val="0"/>
                  <w:tcMar>
                    <w:top w:w="0" w:type="dxa"/>
                    <w:left w:w="28" w:type="dxa"/>
                    <w:bottom w:w="0" w:type="dxa"/>
                    <w:right w:w="28" w:type="dxa"/>
                  </w:tcMar>
                  <w:vAlign w:val="center"/>
                </w:tcPr>
                <w:p w14:paraId="71AE19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18"/>
                      <w:szCs w:val="18"/>
                      <w:highlight w:val="none"/>
                      <w:lang w:val="en-US" w:eastAsia="zh-CN"/>
                    </w:rPr>
                  </w:pPr>
                </w:p>
              </w:tc>
            </w:tr>
            <w:tr w14:paraId="720D5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5F4BC5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打磨</w:t>
                  </w:r>
                  <w:r>
                    <w:rPr>
                      <w:rFonts w:hint="default" w:ascii="Times New Roman" w:hAnsi="Times New Roman" w:eastAsia="宋体" w:cs="Times New Roman"/>
                      <w:color w:val="auto"/>
                      <w:sz w:val="18"/>
                      <w:szCs w:val="18"/>
                      <w:highlight w:val="none"/>
                      <w:lang w:val="en-US" w:eastAsia="zh-CN"/>
                    </w:rPr>
                    <w:t>过程</w:t>
                  </w:r>
                </w:p>
              </w:tc>
              <w:tc>
                <w:tcPr>
                  <w:tcW w:w="744" w:type="pct"/>
                  <w:shd w:val="clear" w:color="auto" w:fill="auto"/>
                  <w:noWrap w:val="0"/>
                  <w:tcMar>
                    <w:top w:w="0" w:type="dxa"/>
                    <w:left w:w="28" w:type="dxa"/>
                    <w:bottom w:w="0" w:type="dxa"/>
                    <w:right w:w="28" w:type="dxa"/>
                  </w:tcMar>
                  <w:vAlign w:val="center"/>
                </w:tcPr>
                <w:p w14:paraId="4ECE3B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废砂轮片</w:t>
                  </w:r>
                </w:p>
              </w:tc>
              <w:tc>
                <w:tcPr>
                  <w:tcW w:w="383" w:type="pct"/>
                  <w:shd w:val="clear" w:color="auto" w:fill="auto"/>
                  <w:noWrap w:val="0"/>
                  <w:tcMar>
                    <w:top w:w="0" w:type="dxa"/>
                    <w:left w:w="28" w:type="dxa"/>
                    <w:bottom w:w="0" w:type="dxa"/>
                    <w:right w:w="28" w:type="dxa"/>
                  </w:tcMar>
                  <w:vAlign w:val="center"/>
                </w:tcPr>
                <w:p w14:paraId="69FD7C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固态</w:t>
                  </w:r>
                </w:p>
              </w:tc>
              <w:tc>
                <w:tcPr>
                  <w:tcW w:w="883" w:type="pct"/>
                  <w:shd w:val="clear" w:color="auto" w:fill="auto"/>
                  <w:noWrap w:val="0"/>
                  <w:tcMar>
                    <w:top w:w="0" w:type="dxa"/>
                    <w:left w:w="28" w:type="dxa"/>
                    <w:bottom w:w="0" w:type="dxa"/>
                    <w:right w:w="28" w:type="dxa"/>
                  </w:tcMar>
                  <w:vAlign w:val="center"/>
                </w:tcPr>
                <w:p w14:paraId="617F36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一般固废</w:t>
                  </w:r>
                </w:p>
              </w:tc>
              <w:tc>
                <w:tcPr>
                  <w:tcW w:w="738" w:type="pct"/>
                  <w:shd w:val="clear" w:color="auto" w:fill="auto"/>
                  <w:noWrap w:val="0"/>
                  <w:tcMar>
                    <w:top w:w="0" w:type="dxa"/>
                    <w:left w:w="28" w:type="dxa"/>
                    <w:bottom w:w="0" w:type="dxa"/>
                    <w:right w:w="28" w:type="dxa"/>
                  </w:tcMar>
                  <w:vAlign w:val="center"/>
                </w:tcPr>
                <w:p w14:paraId="1D27DF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SW17，900-099-S17</w:t>
                  </w:r>
                </w:p>
              </w:tc>
              <w:tc>
                <w:tcPr>
                  <w:tcW w:w="637" w:type="pct"/>
                  <w:shd w:val="clear" w:color="auto" w:fill="auto"/>
                  <w:noWrap w:val="0"/>
                  <w:tcMar>
                    <w:top w:w="0" w:type="dxa"/>
                    <w:left w:w="28" w:type="dxa"/>
                    <w:bottom w:w="0" w:type="dxa"/>
                    <w:right w:w="28" w:type="dxa"/>
                  </w:tcMar>
                  <w:vAlign w:val="center"/>
                </w:tcPr>
                <w:p w14:paraId="67302D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0.01</w:t>
                  </w:r>
                  <w:r>
                    <w:rPr>
                      <w:rFonts w:hint="default" w:ascii="Times New Roman" w:hAnsi="Times New Roman" w:eastAsia="宋体" w:cs="Times New Roman"/>
                      <w:color w:val="auto"/>
                      <w:sz w:val="18"/>
                      <w:szCs w:val="18"/>
                      <w:highlight w:val="none"/>
                      <w:lang w:val="en-US" w:eastAsia="zh-CN"/>
                    </w:rPr>
                    <w:t>t/a</w:t>
                  </w:r>
                </w:p>
              </w:tc>
              <w:tc>
                <w:tcPr>
                  <w:tcW w:w="925" w:type="pct"/>
                  <w:vMerge w:val="continue"/>
                  <w:noWrap w:val="0"/>
                  <w:tcMar>
                    <w:top w:w="0" w:type="dxa"/>
                    <w:left w:w="28" w:type="dxa"/>
                    <w:bottom w:w="0" w:type="dxa"/>
                    <w:right w:w="28" w:type="dxa"/>
                  </w:tcMar>
                  <w:vAlign w:val="center"/>
                </w:tcPr>
                <w:p w14:paraId="3E9956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p>
              </w:tc>
            </w:tr>
            <w:tr w14:paraId="06ABB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shd w:val="clear" w:color="auto" w:fill="auto"/>
                  <w:noWrap w:val="0"/>
                  <w:tcMar>
                    <w:top w:w="0" w:type="dxa"/>
                    <w:left w:w="28" w:type="dxa"/>
                    <w:bottom w:w="0" w:type="dxa"/>
                    <w:right w:w="28" w:type="dxa"/>
                  </w:tcMar>
                  <w:vAlign w:val="center"/>
                </w:tcPr>
                <w:p w14:paraId="42D50E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废气治理</w:t>
                  </w:r>
                </w:p>
              </w:tc>
              <w:tc>
                <w:tcPr>
                  <w:tcW w:w="744" w:type="pct"/>
                  <w:shd w:val="clear" w:color="auto" w:fill="auto"/>
                  <w:noWrap w:val="0"/>
                  <w:tcMar>
                    <w:top w:w="0" w:type="dxa"/>
                    <w:left w:w="28" w:type="dxa"/>
                    <w:bottom w:w="0" w:type="dxa"/>
                    <w:right w:w="28" w:type="dxa"/>
                  </w:tcMar>
                  <w:vAlign w:val="center"/>
                </w:tcPr>
                <w:p w14:paraId="1D451F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废布袋</w:t>
                  </w:r>
                </w:p>
              </w:tc>
              <w:tc>
                <w:tcPr>
                  <w:tcW w:w="383" w:type="pct"/>
                  <w:shd w:val="clear" w:color="auto" w:fill="auto"/>
                  <w:noWrap w:val="0"/>
                  <w:tcMar>
                    <w:top w:w="0" w:type="dxa"/>
                    <w:left w:w="28" w:type="dxa"/>
                    <w:bottom w:w="0" w:type="dxa"/>
                    <w:right w:w="28" w:type="dxa"/>
                  </w:tcMar>
                  <w:vAlign w:val="center"/>
                </w:tcPr>
                <w:p w14:paraId="56EC6D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固态</w:t>
                  </w:r>
                </w:p>
              </w:tc>
              <w:tc>
                <w:tcPr>
                  <w:tcW w:w="883" w:type="pct"/>
                  <w:shd w:val="clear" w:color="auto" w:fill="auto"/>
                  <w:noWrap w:val="0"/>
                  <w:tcMar>
                    <w:top w:w="0" w:type="dxa"/>
                    <w:left w:w="28" w:type="dxa"/>
                    <w:bottom w:w="0" w:type="dxa"/>
                    <w:right w:w="28" w:type="dxa"/>
                  </w:tcMar>
                  <w:vAlign w:val="center"/>
                </w:tcPr>
                <w:p w14:paraId="10558E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一般固废</w:t>
                  </w:r>
                </w:p>
              </w:tc>
              <w:tc>
                <w:tcPr>
                  <w:tcW w:w="738" w:type="pct"/>
                  <w:shd w:val="clear" w:color="auto" w:fill="auto"/>
                  <w:noWrap w:val="0"/>
                  <w:tcMar>
                    <w:top w:w="0" w:type="dxa"/>
                    <w:left w:w="28" w:type="dxa"/>
                    <w:bottom w:w="0" w:type="dxa"/>
                    <w:right w:w="28" w:type="dxa"/>
                  </w:tcMar>
                  <w:vAlign w:val="center"/>
                </w:tcPr>
                <w:p w14:paraId="0812FE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S59，900-099-S59</w:t>
                  </w:r>
                </w:p>
              </w:tc>
              <w:tc>
                <w:tcPr>
                  <w:tcW w:w="637" w:type="pct"/>
                  <w:shd w:val="clear" w:color="auto" w:fill="auto"/>
                  <w:noWrap w:val="0"/>
                  <w:tcMar>
                    <w:top w:w="0" w:type="dxa"/>
                    <w:left w:w="28" w:type="dxa"/>
                    <w:bottom w:w="0" w:type="dxa"/>
                    <w:right w:w="28" w:type="dxa"/>
                  </w:tcMar>
                  <w:vAlign w:val="center"/>
                </w:tcPr>
                <w:p w14:paraId="243BC3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0.03</w:t>
                  </w:r>
                  <w:r>
                    <w:rPr>
                      <w:rFonts w:hint="eastAsia" w:ascii="Times New Roman" w:hAnsi="Times New Roman" w:eastAsia="宋体" w:cs="Times New Roman"/>
                      <w:color w:val="auto"/>
                      <w:sz w:val="18"/>
                      <w:szCs w:val="18"/>
                      <w:highlight w:val="none"/>
                      <w:lang w:val="en-US" w:eastAsia="zh-CN"/>
                    </w:rPr>
                    <w:t>t/a</w:t>
                  </w:r>
                </w:p>
              </w:tc>
              <w:tc>
                <w:tcPr>
                  <w:tcW w:w="925" w:type="pct"/>
                  <w:vMerge w:val="continue"/>
                  <w:noWrap w:val="0"/>
                  <w:tcMar>
                    <w:top w:w="0" w:type="dxa"/>
                    <w:left w:w="28" w:type="dxa"/>
                    <w:bottom w:w="0" w:type="dxa"/>
                    <w:right w:w="28" w:type="dxa"/>
                  </w:tcMar>
                  <w:vAlign w:val="center"/>
                </w:tcPr>
                <w:p w14:paraId="0971BB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p>
              </w:tc>
            </w:tr>
            <w:tr w14:paraId="7411A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shd w:val="clear" w:color="auto" w:fill="auto"/>
                  <w:noWrap w:val="0"/>
                  <w:tcMar>
                    <w:top w:w="0" w:type="dxa"/>
                    <w:left w:w="28" w:type="dxa"/>
                    <w:bottom w:w="0" w:type="dxa"/>
                    <w:right w:w="28" w:type="dxa"/>
                  </w:tcMar>
                  <w:vAlign w:val="center"/>
                </w:tcPr>
                <w:p w14:paraId="537361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胶水包装</w:t>
                  </w:r>
                </w:p>
              </w:tc>
              <w:tc>
                <w:tcPr>
                  <w:tcW w:w="744" w:type="pct"/>
                  <w:shd w:val="clear" w:color="auto" w:fill="auto"/>
                  <w:noWrap w:val="0"/>
                  <w:tcMar>
                    <w:top w:w="0" w:type="dxa"/>
                    <w:left w:w="28" w:type="dxa"/>
                    <w:bottom w:w="0" w:type="dxa"/>
                    <w:right w:w="28" w:type="dxa"/>
                  </w:tcMar>
                  <w:vAlign w:val="center"/>
                </w:tcPr>
                <w:p w14:paraId="16E4D0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胶水废包装桶</w:t>
                  </w:r>
                </w:p>
              </w:tc>
              <w:tc>
                <w:tcPr>
                  <w:tcW w:w="383" w:type="pct"/>
                  <w:shd w:val="clear" w:color="auto" w:fill="auto"/>
                  <w:noWrap w:val="0"/>
                  <w:tcMar>
                    <w:top w:w="0" w:type="dxa"/>
                    <w:left w:w="28" w:type="dxa"/>
                    <w:bottom w:w="0" w:type="dxa"/>
                    <w:right w:w="28" w:type="dxa"/>
                  </w:tcMar>
                  <w:vAlign w:val="center"/>
                </w:tcPr>
                <w:p w14:paraId="7E0CD0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固态</w:t>
                  </w:r>
                </w:p>
              </w:tc>
              <w:tc>
                <w:tcPr>
                  <w:tcW w:w="883" w:type="pct"/>
                  <w:shd w:val="clear" w:color="auto" w:fill="auto"/>
                  <w:noWrap w:val="0"/>
                  <w:tcMar>
                    <w:top w:w="0" w:type="dxa"/>
                    <w:left w:w="28" w:type="dxa"/>
                    <w:bottom w:w="0" w:type="dxa"/>
                    <w:right w:w="28" w:type="dxa"/>
                  </w:tcMar>
                  <w:vAlign w:val="center"/>
                </w:tcPr>
                <w:p w14:paraId="7AEAE9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危险废物</w:t>
                  </w:r>
                </w:p>
              </w:tc>
              <w:tc>
                <w:tcPr>
                  <w:tcW w:w="738" w:type="pct"/>
                  <w:shd w:val="clear" w:color="auto" w:fill="auto"/>
                  <w:noWrap w:val="0"/>
                  <w:tcMar>
                    <w:top w:w="0" w:type="dxa"/>
                    <w:left w:w="28" w:type="dxa"/>
                    <w:bottom w:w="0" w:type="dxa"/>
                    <w:right w:w="28" w:type="dxa"/>
                  </w:tcMar>
                  <w:vAlign w:val="center"/>
                </w:tcPr>
                <w:p w14:paraId="1C5BAE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HW49，</w:t>
                  </w:r>
                  <w:r>
                    <w:rPr>
                      <w:rFonts w:hint="default" w:ascii="Times New Roman" w:hAnsi="Times New Roman" w:eastAsia="宋体" w:cs="Times New Roman"/>
                      <w:color w:val="auto"/>
                      <w:sz w:val="18"/>
                      <w:szCs w:val="18"/>
                      <w:highlight w:val="none"/>
                      <w:lang w:val="en-US" w:eastAsia="zh-CN"/>
                    </w:rPr>
                    <w:t>900-041-49</w:t>
                  </w:r>
                </w:p>
              </w:tc>
              <w:tc>
                <w:tcPr>
                  <w:tcW w:w="637" w:type="pct"/>
                  <w:shd w:val="clear" w:color="auto" w:fill="auto"/>
                  <w:noWrap w:val="0"/>
                  <w:tcMar>
                    <w:top w:w="0" w:type="dxa"/>
                    <w:left w:w="28" w:type="dxa"/>
                    <w:bottom w:w="0" w:type="dxa"/>
                    <w:right w:w="28" w:type="dxa"/>
                  </w:tcMar>
                  <w:vAlign w:val="center"/>
                </w:tcPr>
                <w:p w14:paraId="4CBB75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0.024t/a</w:t>
                  </w:r>
                </w:p>
              </w:tc>
              <w:tc>
                <w:tcPr>
                  <w:tcW w:w="925" w:type="pct"/>
                  <w:vMerge w:val="restart"/>
                  <w:noWrap w:val="0"/>
                  <w:tcMar>
                    <w:top w:w="0" w:type="dxa"/>
                    <w:left w:w="28" w:type="dxa"/>
                    <w:bottom w:w="0" w:type="dxa"/>
                    <w:right w:w="28" w:type="dxa"/>
                  </w:tcMar>
                  <w:vAlign w:val="center"/>
                </w:tcPr>
                <w:p w14:paraId="76D58F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暂存在</w:t>
                  </w:r>
                  <w:r>
                    <w:rPr>
                      <w:rFonts w:hint="eastAsia" w:cs="Times New Roman"/>
                      <w:color w:val="auto"/>
                      <w:sz w:val="18"/>
                      <w:szCs w:val="18"/>
                      <w:highlight w:val="none"/>
                      <w:lang w:val="en-US" w:eastAsia="zh-CN"/>
                    </w:rPr>
                    <w:t>危废间</w:t>
                  </w:r>
                  <w:r>
                    <w:rPr>
                      <w:rFonts w:hint="eastAsia" w:ascii="Times New Roman" w:hAnsi="Times New Roman" w:eastAsia="宋体" w:cs="Times New Roman"/>
                      <w:color w:val="auto"/>
                      <w:sz w:val="18"/>
                      <w:szCs w:val="18"/>
                      <w:highlight w:val="none"/>
                      <w:lang w:val="en-US" w:eastAsia="zh-CN"/>
                    </w:rPr>
                    <w:t>，交由有资质单位处置</w:t>
                  </w:r>
                </w:p>
              </w:tc>
            </w:tr>
            <w:tr w14:paraId="0BF77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shd w:val="clear" w:color="auto" w:fill="auto"/>
                  <w:noWrap w:val="0"/>
                  <w:tcMar>
                    <w:top w:w="0" w:type="dxa"/>
                    <w:left w:w="28" w:type="dxa"/>
                    <w:bottom w:w="0" w:type="dxa"/>
                    <w:right w:w="28" w:type="dxa"/>
                  </w:tcMar>
                  <w:vAlign w:val="center"/>
                </w:tcPr>
                <w:p w14:paraId="4D6C50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废气治理</w:t>
                  </w:r>
                </w:p>
              </w:tc>
              <w:tc>
                <w:tcPr>
                  <w:tcW w:w="744" w:type="pct"/>
                  <w:shd w:val="clear" w:color="auto" w:fill="auto"/>
                  <w:noWrap w:val="0"/>
                  <w:tcMar>
                    <w:top w:w="0" w:type="dxa"/>
                    <w:left w:w="28" w:type="dxa"/>
                    <w:bottom w:w="0" w:type="dxa"/>
                    <w:right w:w="28" w:type="dxa"/>
                  </w:tcMar>
                  <w:vAlign w:val="center"/>
                </w:tcPr>
                <w:p w14:paraId="7C4395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废活性炭</w:t>
                  </w:r>
                </w:p>
              </w:tc>
              <w:tc>
                <w:tcPr>
                  <w:tcW w:w="383" w:type="pct"/>
                  <w:shd w:val="clear" w:color="auto" w:fill="auto"/>
                  <w:noWrap w:val="0"/>
                  <w:tcMar>
                    <w:top w:w="0" w:type="dxa"/>
                    <w:left w:w="28" w:type="dxa"/>
                    <w:bottom w:w="0" w:type="dxa"/>
                    <w:right w:w="28" w:type="dxa"/>
                  </w:tcMar>
                  <w:vAlign w:val="center"/>
                </w:tcPr>
                <w:p w14:paraId="463A40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固态</w:t>
                  </w:r>
                </w:p>
              </w:tc>
              <w:tc>
                <w:tcPr>
                  <w:tcW w:w="883" w:type="pct"/>
                  <w:shd w:val="clear" w:color="auto" w:fill="auto"/>
                  <w:noWrap w:val="0"/>
                  <w:tcMar>
                    <w:top w:w="0" w:type="dxa"/>
                    <w:left w:w="28" w:type="dxa"/>
                    <w:bottom w:w="0" w:type="dxa"/>
                    <w:right w:w="28" w:type="dxa"/>
                  </w:tcMar>
                  <w:vAlign w:val="center"/>
                </w:tcPr>
                <w:p w14:paraId="055970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危险废物</w:t>
                  </w:r>
                </w:p>
              </w:tc>
              <w:tc>
                <w:tcPr>
                  <w:tcW w:w="738" w:type="pct"/>
                  <w:shd w:val="clear" w:color="auto" w:fill="auto"/>
                  <w:noWrap w:val="0"/>
                  <w:tcMar>
                    <w:top w:w="0" w:type="dxa"/>
                    <w:left w:w="28" w:type="dxa"/>
                    <w:bottom w:w="0" w:type="dxa"/>
                    <w:right w:w="28" w:type="dxa"/>
                  </w:tcMar>
                  <w:vAlign w:val="center"/>
                </w:tcPr>
                <w:p w14:paraId="5C7014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HW49，</w:t>
                  </w:r>
                  <w:r>
                    <w:rPr>
                      <w:rFonts w:hint="default" w:ascii="Times New Roman" w:hAnsi="Times New Roman" w:eastAsia="宋体" w:cs="Times New Roman"/>
                      <w:color w:val="auto"/>
                      <w:sz w:val="18"/>
                      <w:szCs w:val="18"/>
                      <w:highlight w:val="none"/>
                      <w:lang w:val="en-US" w:eastAsia="zh-CN"/>
                    </w:rPr>
                    <w:t>900-039-49</w:t>
                  </w:r>
                </w:p>
              </w:tc>
              <w:tc>
                <w:tcPr>
                  <w:tcW w:w="637" w:type="pct"/>
                  <w:shd w:val="clear" w:color="auto" w:fill="auto"/>
                  <w:noWrap w:val="0"/>
                  <w:tcMar>
                    <w:top w:w="0" w:type="dxa"/>
                    <w:left w:w="28" w:type="dxa"/>
                    <w:bottom w:w="0" w:type="dxa"/>
                    <w:right w:w="28" w:type="dxa"/>
                  </w:tcMar>
                  <w:vAlign w:val="center"/>
                </w:tcPr>
                <w:p w14:paraId="013CB3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0.615</w:t>
                  </w:r>
                  <w:r>
                    <w:rPr>
                      <w:rFonts w:hint="default" w:ascii="Times New Roman" w:hAnsi="Times New Roman" w:eastAsia="宋体" w:cs="Times New Roman"/>
                      <w:color w:val="auto"/>
                      <w:sz w:val="18"/>
                      <w:szCs w:val="18"/>
                      <w:highlight w:val="none"/>
                      <w:lang w:val="en-US" w:eastAsia="zh-CN"/>
                    </w:rPr>
                    <w:t>t/a</w:t>
                  </w:r>
                </w:p>
              </w:tc>
              <w:tc>
                <w:tcPr>
                  <w:tcW w:w="925" w:type="pct"/>
                  <w:vMerge w:val="continue"/>
                  <w:noWrap w:val="0"/>
                  <w:tcMar>
                    <w:top w:w="0" w:type="dxa"/>
                    <w:left w:w="28" w:type="dxa"/>
                    <w:bottom w:w="0" w:type="dxa"/>
                    <w:right w:w="28" w:type="dxa"/>
                  </w:tcMar>
                  <w:vAlign w:val="center"/>
                </w:tcPr>
                <w:p w14:paraId="036E14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p>
              </w:tc>
            </w:tr>
            <w:tr w14:paraId="4C34C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5FB934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职工生活</w:t>
                  </w:r>
                </w:p>
              </w:tc>
              <w:tc>
                <w:tcPr>
                  <w:tcW w:w="744" w:type="pct"/>
                  <w:shd w:val="clear" w:color="auto" w:fill="auto"/>
                  <w:noWrap w:val="0"/>
                  <w:tcMar>
                    <w:top w:w="0" w:type="dxa"/>
                    <w:left w:w="28" w:type="dxa"/>
                    <w:bottom w:w="0" w:type="dxa"/>
                    <w:right w:w="28" w:type="dxa"/>
                  </w:tcMar>
                  <w:vAlign w:val="center"/>
                </w:tcPr>
                <w:p w14:paraId="16378D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职工生活垃圾</w:t>
                  </w:r>
                </w:p>
              </w:tc>
              <w:tc>
                <w:tcPr>
                  <w:tcW w:w="383" w:type="pct"/>
                  <w:noWrap w:val="0"/>
                  <w:tcMar>
                    <w:top w:w="0" w:type="dxa"/>
                    <w:left w:w="28" w:type="dxa"/>
                    <w:bottom w:w="0" w:type="dxa"/>
                    <w:right w:w="28" w:type="dxa"/>
                  </w:tcMar>
                  <w:vAlign w:val="center"/>
                </w:tcPr>
                <w:p w14:paraId="4489F3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固态</w:t>
                  </w:r>
                </w:p>
              </w:tc>
              <w:tc>
                <w:tcPr>
                  <w:tcW w:w="883" w:type="pct"/>
                  <w:noWrap w:val="0"/>
                  <w:tcMar>
                    <w:top w:w="0" w:type="dxa"/>
                    <w:left w:w="28" w:type="dxa"/>
                    <w:bottom w:w="0" w:type="dxa"/>
                    <w:right w:w="28" w:type="dxa"/>
                  </w:tcMar>
                  <w:vAlign w:val="center"/>
                </w:tcPr>
                <w:p w14:paraId="28B0EA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738" w:type="pct"/>
                  <w:noWrap w:val="0"/>
                  <w:tcMar>
                    <w:top w:w="0" w:type="dxa"/>
                    <w:left w:w="28" w:type="dxa"/>
                    <w:bottom w:w="0" w:type="dxa"/>
                    <w:right w:w="28" w:type="dxa"/>
                  </w:tcMar>
                  <w:vAlign w:val="center"/>
                </w:tcPr>
                <w:p w14:paraId="28BF70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637" w:type="pct"/>
                  <w:noWrap w:val="0"/>
                  <w:tcMar>
                    <w:top w:w="0" w:type="dxa"/>
                    <w:left w:w="28" w:type="dxa"/>
                    <w:bottom w:w="0" w:type="dxa"/>
                    <w:right w:w="28" w:type="dxa"/>
                  </w:tcMar>
                  <w:vAlign w:val="center"/>
                </w:tcPr>
                <w:p w14:paraId="3A3A21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2.25t</w:t>
                  </w:r>
                  <w:r>
                    <w:rPr>
                      <w:rFonts w:hint="eastAsia" w:ascii="Times New Roman" w:hAnsi="Times New Roman" w:eastAsia="宋体" w:cs="Times New Roman"/>
                      <w:color w:val="auto"/>
                      <w:sz w:val="18"/>
                      <w:szCs w:val="18"/>
                      <w:highlight w:val="none"/>
                      <w:lang w:val="en-US" w:eastAsia="zh-CN"/>
                    </w:rPr>
                    <w:t>/a</w:t>
                  </w:r>
                </w:p>
              </w:tc>
              <w:tc>
                <w:tcPr>
                  <w:tcW w:w="925" w:type="pct"/>
                  <w:noWrap w:val="0"/>
                  <w:tcMar>
                    <w:top w:w="0" w:type="dxa"/>
                    <w:left w:w="28" w:type="dxa"/>
                    <w:bottom w:w="0" w:type="dxa"/>
                    <w:right w:w="28" w:type="dxa"/>
                  </w:tcMar>
                  <w:vAlign w:val="center"/>
                </w:tcPr>
                <w:p w14:paraId="3DBC3E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全部交由当地环卫部门统一收集处理</w:t>
                  </w:r>
                </w:p>
              </w:tc>
            </w:tr>
          </w:tbl>
          <w:p w14:paraId="0C3C9AE1">
            <w:pPr>
              <w:keepNext w:val="0"/>
              <w:keepLines w:val="0"/>
              <w:pageBreakBefore w:val="0"/>
              <w:kinsoku/>
              <w:wordWrap/>
              <w:overflowPunct/>
              <w:topLinePunct w:val="0"/>
              <w:bidi w:val="0"/>
              <w:adjustRightInd w:val="0"/>
              <w:snapToGrid w:val="0"/>
              <w:spacing w:line="480" w:lineRule="exact"/>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本项目危险废物产生情况</w:t>
            </w:r>
            <w:r>
              <w:rPr>
                <w:rFonts w:hint="eastAsia" w:cs="Times New Roman"/>
                <w:color w:val="auto"/>
                <w:sz w:val="21"/>
                <w:szCs w:val="21"/>
                <w:highlight w:val="none"/>
                <w:lang w:eastAsia="zh-CN"/>
              </w:rPr>
              <w:t>及</w:t>
            </w:r>
            <w:r>
              <w:rPr>
                <w:rFonts w:hint="default" w:ascii="Times New Roman" w:hAnsi="Times New Roman" w:cs="Times New Roman"/>
                <w:color w:val="auto"/>
                <w:sz w:val="21"/>
                <w:szCs w:val="21"/>
                <w:highlight w:val="none"/>
              </w:rPr>
              <w:t>见下表：</w:t>
            </w:r>
          </w:p>
          <w:p w14:paraId="70A3762A">
            <w:pPr>
              <w:pStyle w:val="1313"/>
              <w:keepNext w:val="0"/>
              <w:keepLines w:val="0"/>
              <w:pageBreakBefore w:val="0"/>
              <w:widowControl w:val="0"/>
              <w:kinsoku/>
              <w:wordWrap/>
              <w:overflowPunct/>
              <w:topLinePunct w:val="0"/>
              <w:autoSpaceDE/>
              <w:autoSpaceDN/>
              <w:bidi w:val="0"/>
              <w:adjustRightInd w:val="0"/>
              <w:snapToGrid w:val="0"/>
              <w:spacing w:before="79" w:beforeLines="25" w:after="79" w:afterLines="25" w:line="240" w:lineRule="auto"/>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表4-</w:t>
            </w:r>
            <w:r>
              <w:rPr>
                <w:rFonts w:hint="eastAsia" w:ascii="Times New Roman" w:hAnsi="Times New Roman" w:eastAsia="宋体" w:cs="Times New Roman"/>
                <w:b/>
                <w:bCs/>
                <w:color w:val="auto"/>
                <w:kern w:val="0"/>
                <w:sz w:val="21"/>
                <w:szCs w:val="21"/>
                <w:highlight w:val="none"/>
                <w:lang w:val="en-US" w:eastAsia="zh-CN" w:bidi="ar-SA"/>
              </w:rPr>
              <w:t>13</w:t>
            </w:r>
            <w:r>
              <w:rPr>
                <w:rFonts w:hint="default" w:ascii="Times New Roman" w:hAnsi="Times New Roman" w:eastAsia="宋体" w:cs="Times New Roman"/>
                <w:b/>
                <w:bCs/>
                <w:color w:val="auto"/>
                <w:kern w:val="0"/>
                <w:sz w:val="21"/>
                <w:szCs w:val="21"/>
                <w:highlight w:val="none"/>
                <w:lang w:val="en-US" w:eastAsia="zh-CN" w:bidi="ar-SA"/>
              </w:rPr>
              <w:t xml:space="preserve">  </w:t>
            </w:r>
            <w:r>
              <w:rPr>
                <w:rFonts w:hint="default" w:ascii="Times New Roman" w:hAnsi="Times New Roman" w:eastAsia="宋体" w:cs="Times New Roman"/>
                <w:b/>
                <w:bCs/>
                <w:color w:val="auto"/>
                <w:sz w:val="21"/>
                <w:szCs w:val="21"/>
                <w:highlight w:val="none"/>
              </w:rPr>
              <w:t>本项目</w:t>
            </w:r>
            <w:r>
              <w:rPr>
                <w:rFonts w:hint="default" w:ascii="Times New Roman" w:hAnsi="Times New Roman" w:eastAsia="宋体" w:cs="Times New Roman"/>
                <w:b/>
                <w:bCs/>
                <w:color w:val="auto"/>
                <w:kern w:val="0"/>
                <w:sz w:val="21"/>
                <w:szCs w:val="21"/>
                <w:highlight w:val="none"/>
                <w:lang w:val="en-US" w:eastAsia="zh-CN" w:bidi="ar-SA"/>
              </w:rPr>
              <w:t>危险废物汇总表</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3"/>
              <w:gridCol w:w="1272"/>
              <w:gridCol w:w="944"/>
              <w:gridCol w:w="626"/>
              <w:gridCol w:w="926"/>
              <w:gridCol w:w="840"/>
              <w:gridCol w:w="840"/>
              <w:gridCol w:w="840"/>
              <w:gridCol w:w="840"/>
              <w:gridCol w:w="842"/>
            </w:tblGrid>
            <w:tr w14:paraId="21241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tcBorders>
                    <w:tl2br w:val="nil"/>
                    <w:tr2bl w:val="nil"/>
                  </w:tcBorders>
                  <w:noWrap w:val="0"/>
                  <w:tcMar>
                    <w:top w:w="0" w:type="dxa"/>
                    <w:left w:w="28" w:type="dxa"/>
                    <w:bottom w:w="0" w:type="dxa"/>
                    <w:right w:w="28" w:type="dxa"/>
                  </w:tcMar>
                  <w:vAlign w:val="center"/>
                </w:tcPr>
                <w:p w14:paraId="7501642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序号</w:t>
                  </w:r>
                </w:p>
              </w:tc>
              <w:tc>
                <w:tcPr>
                  <w:tcW w:w="760" w:type="pct"/>
                  <w:tcBorders>
                    <w:tl2br w:val="nil"/>
                    <w:tr2bl w:val="nil"/>
                  </w:tcBorders>
                  <w:noWrap w:val="0"/>
                  <w:tcMar>
                    <w:top w:w="0" w:type="dxa"/>
                    <w:left w:w="28" w:type="dxa"/>
                    <w:bottom w:w="0" w:type="dxa"/>
                    <w:right w:w="28" w:type="dxa"/>
                  </w:tcMar>
                  <w:vAlign w:val="center"/>
                </w:tcPr>
                <w:p w14:paraId="48BBD6A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产生工序及装置</w:t>
                  </w:r>
                </w:p>
              </w:tc>
              <w:tc>
                <w:tcPr>
                  <w:tcW w:w="564" w:type="pct"/>
                  <w:tcBorders>
                    <w:tl2br w:val="nil"/>
                    <w:tr2bl w:val="nil"/>
                  </w:tcBorders>
                  <w:noWrap w:val="0"/>
                  <w:tcMar>
                    <w:top w:w="0" w:type="dxa"/>
                    <w:left w:w="28" w:type="dxa"/>
                    <w:bottom w:w="0" w:type="dxa"/>
                    <w:right w:w="28" w:type="dxa"/>
                  </w:tcMar>
                  <w:vAlign w:val="center"/>
                </w:tcPr>
                <w:p w14:paraId="6302D35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危险废物名称</w:t>
                  </w:r>
                </w:p>
              </w:tc>
              <w:tc>
                <w:tcPr>
                  <w:tcW w:w="374" w:type="pct"/>
                  <w:tcBorders>
                    <w:tl2br w:val="nil"/>
                    <w:tr2bl w:val="nil"/>
                  </w:tcBorders>
                  <w:noWrap w:val="0"/>
                  <w:tcMar>
                    <w:top w:w="0" w:type="dxa"/>
                    <w:left w:w="28" w:type="dxa"/>
                    <w:bottom w:w="0" w:type="dxa"/>
                    <w:right w:w="28" w:type="dxa"/>
                  </w:tcMar>
                  <w:vAlign w:val="center"/>
                </w:tcPr>
                <w:p w14:paraId="7790E34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形态</w:t>
                  </w:r>
                </w:p>
              </w:tc>
              <w:tc>
                <w:tcPr>
                  <w:tcW w:w="553" w:type="pct"/>
                  <w:tcBorders>
                    <w:tl2br w:val="nil"/>
                    <w:tr2bl w:val="nil"/>
                  </w:tcBorders>
                  <w:noWrap w:val="0"/>
                  <w:tcMar>
                    <w:top w:w="0" w:type="dxa"/>
                    <w:left w:w="28" w:type="dxa"/>
                    <w:bottom w:w="0" w:type="dxa"/>
                    <w:right w:w="28" w:type="dxa"/>
                  </w:tcMar>
                  <w:vAlign w:val="center"/>
                </w:tcPr>
                <w:p w14:paraId="4F7B6CF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危险废物代码</w:t>
                  </w:r>
                </w:p>
              </w:tc>
              <w:tc>
                <w:tcPr>
                  <w:tcW w:w="502" w:type="pct"/>
                  <w:tcBorders>
                    <w:tl2br w:val="nil"/>
                    <w:tr2bl w:val="nil"/>
                  </w:tcBorders>
                  <w:noWrap w:val="0"/>
                  <w:tcMar>
                    <w:top w:w="0" w:type="dxa"/>
                    <w:left w:w="28" w:type="dxa"/>
                    <w:bottom w:w="0" w:type="dxa"/>
                    <w:right w:w="28" w:type="dxa"/>
                  </w:tcMar>
                  <w:vAlign w:val="center"/>
                </w:tcPr>
                <w:p w14:paraId="662CC0B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18"/>
                      <w:szCs w:val="18"/>
                      <w:highlight w:val="none"/>
                      <w:lang w:eastAsia="zh-CN"/>
                    </w:rPr>
                  </w:pPr>
                  <w:r>
                    <w:rPr>
                      <w:rFonts w:hint="default" w:ascii="Times New Roman" w:hAnsi="Times New Roman" w:eastAsia="宋体" w:cs="Times New Roman"/>
                      <w:b w:val="0"/>
                      <w:bCs w:val="0"/>
                      <w:color w:val="auto"/>
                      <w:sz w:val="18"/>
                      <w:szCs w:val="18"/>
                      <w:highlight w:val="none"/>
                    </w:rPr>
                    <w:t>产生量</w:t>
                  </w:r>
                </w:p>
              </w:tc>
              <w:tc>
                <w:tcPr>
                  <w:tcW w:w="502" w:type="pct"/>
                  <w:tcBorders>
                    <w:tl2br w:val="nil"/>
                    <w:tr2bl w:val="nil"/>
                  </w:tcBorders>
                  <w:noWrap w:val="0"/>
                  <w:tcMar>
                    <w:top w:w="0" w:type="dxa"/>
                    <w:left w:w="28" w:type="dxa"/>
                    <w:bottom w:w="0" w:type="dxa"/>
                    <w:right w:w="28" w:type="dxa"/>
                  </w:tcMar>
                  <w:vAlign w:val="center"/>
                </w:tcPr>
                <w:p w14:paraId="54C00B6B">
                  <w:pPr>
                    <w:ind w:left="-80" w:leftChars="-38" w:right="-8" w:rightChars="-4"/>
                    <w:jc w:val="center"/>
                    <w:rPr>
                      <w:rFonts w:hint="default" w:ascii="Times New Roman" w:hAnsi="Times New Roman" w:cs="Times New Roman"/>
                      <w:b w:val="0"/>
                      <w:bCs w:val="0"/>
                      <w:color w:val="auto"/>
                      <w:sz w:val="18"/>
                      <w:szCs w:val="18"/>
                      <w:highlight w:val="none"/>
                    </w:rPr>
                  </w:pPr>
                  <w:r>
                    <w:rPr>
                      <w:rFonts w:hint="default" w:ascii="Times New Roman" w:hAnsi="Times New Roman" w:cs="Times New Roman"/>
                      <w:b w:val="0"/>
                      <w:bCs w:val="0"/>
                      <w:color w:val="auto"/>
                      <w:sz w:val="18"/>
                      <w:szCs w:val="18"/>
                      <w:highlight w:val="none"/>
                    </w:rPr>
                    <w:t>有害</w:t>
                  </w:r>
                </w:p>
                <w:p w14:paraId="50783C3E">
                  <w:pPr>
                    <w:ind w:left="-80" w:leftChars="-38" w:right="-8" w:rightChars="-4"/>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cs="Times New Roman"/>
                      <w:b w:val="0"/>
                      <w:bCs w:val="0"/>
                      <w:color w:val="auto"/>
                      <w:sz w:val="18"/>
                      <w:szCs w:val="18"/>
                      <w:highlight w:val="none"/>
                    </w:rPr>
                    <w:t>成分</w:t>
                  </w:r>
                </w:p>
              </w:tc>
              <w:tc>
                <w:tcPr>
                  <w:tcW w:w="502" w:type="pct"/>
                  <w:tcBorders>
                    <w:tl2br w:val="nil"/>
                    <w:tr2bl w:val="nil"/>
                  </w:tcBorders>
                  <w:noWrap w:val="0"/>
                  <w:tcMar>
                    <w:top w:w="0" w:type="dxa"/>
                    <w:left w:w="28" w:type="dxa"/>
                    <w:bottom w:w="0" w:type="dxa"/>
                    <w:right w:w="28" w:type="dxa"/>
                  </w:tcMar>
                  <w:vAlign w:val="center"/>
                </w:tcPr>
                <w:p w14:paraId="17852A54">
                  <w:pPr>
                    <w:ind w:left="-113" w:leftChars="-54" w:right="-103" w:rightChars="-49"/>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cs="Times New Roman"/>
                      <w:b w:val="0"/>
                      <w:bCs w:val="0"/>
                      <w:color w:val="auto"/>
                      <w:sz w:val="18"/>
                      <w:szCs w:val="18"/>
                      <w:highlight w:val="none"/>
                    </w:rPr>
                    <w:t>处置量</w:t>
                  </w:r>
                </w:p>
              </w:tc>
              <w:tc>
                <w:tcPr>
                  <w:tcW w:w="502" w:type="pct"/>
                  <w:tcBorders>
                    <w:tl2br w:val="nil"/>
                    <w:tr2bl w:val="nil"/>
                  </w:tcBorders>
                  <w:noWrap w:val="0"/>
                  <w:tcMar>
                    <w:top w:w="0" w:type="dxa"/>
                    <w:left w:w="28" w:type="dxa"/>
                    <w:bottom w:w="0" w:type="dxa"/>
                    <w:right w:w="28" w:type="dxa"/>
                  </w:tcMar>
                  <w:vAlign w:val="center"/>
                </w:tcPr>
                <w:p w14:paraId="682F9764">
                  <w:pPr>
                    <w:jc w:val="center"/>
                    <w:rPr>
                      <w:rFonts w:hint="default" w:ascii="Times New Roman" w:hAnsi="Times New Roman" w:cs="Times New Roman"/>
                      <w:b w:val="0"/>
                      <w:bCs w:val="0"/>
                      <w:color w:val="auto"/>
                      <w:sz w:val="18"/>
                      <w:szCs w:val="18"/>
                      <w:highlight w:val="none"/>
                    </w:rPr>
                  </w:pPr>
                  <w:r>
                    <w:rPr>
                      <w:rFonts w:hint="default" w:ascii="Times New Roman" w:hAnsi="Times New Roman" w:cs="Times New Roman"/>
                      <w:b w:val="0"/>
                      <w:bCs w:val="0"/>
                      <w:color w:val="auto"/>
                      <w:sz w:val="18"/>
                      <w:szCs w:val="18"/>
                      <w:highlight w:val="none"/>
                    </w:rPr>
                    <w:t>危险</w:t>
                  </w:r>
                </w:p>
                <w:p w14:paraId="739BEDF8">
                  <w:pPr>
                    <w:jc w:val="center"/>
                    <w:rPr>
                      <w:rFonts w:hint="default" w:ascii="Times New Roman" w:hAnsi="Times New Roman" w:eastAsia="宋体" w:cs="Times New Roman"/>
                      <w:b w:val="0"/>
                      <w:bCs w:val="0"/>
                      <w:color w:val="auto"/>
                      <w:sz w:val="18"/>
                      <w:szCs w:val="18"/>
                      <w:highlight w:val="none"/>
                    </w:rPr>
                  </w:pPr>
                  <w:r>
                    <w:rPr>
                      <w:rFonts w:hint="default" w:ascii="Times New Roman" w:hAnsi="Times New Roman" w:cs="Times New Roman"/>
                      <w:b w:val="0"/>
                      <w:bCs w:val="0"/>
                      <w:color w:val="auto"/>
                      <w:sz w:val="18"/>
                      <w:szCs w:val="18"/>
                      <w:highlight w:val="none"/>
                    </w:rPr>
                    <w:t>特性</w:t>
                  </w:r>
                </w:p>
              </w:tc>
              <w:tc>
                <w:tcPr>
                  <w:tcW w:w="503" w:type="pct"/>
                  <w:tcBorders>
                    <w:tl2br w:val="nil"/>
                    <w:tr2bl w:val="nil"/>
                  </w:tcBorders>
                  <w:noWrap w:val="0"/>
                  <w:tcMar>
                    <w:top w:w="0" w:type="dxa"/>
                    <w:left w:w="28" w:type="dxa"/>
                    <w:bottom w:w="0" w:type="dxa"/>
                    <w:right w:w="28" w:type="dxa"/>
                  </w:tcMar>
                  <w:vAlign w:val="center"/>
                </w:tcPr>
                <w:p w14:paraId="68BD18E7">
                  <w:pPr>
                    <w:jc w:val="center"/>
                    <w:rPr>
                      <w:rFonts w:hint="default" w:ascii="Times New Roman" w:hAnsi="Times New Roman" w:eastAsia="宋体" w:cs="Times New Roman"/>
                      <w:b w:val="0"/>
                      <w:bCs w:val="0"/>
                      <w:color w:val="auto"/>
                      <w:sz w:val="18"/>
                      <w:szCs w:val="18"/>
                      <w:highlight w:val="none"/>
                      <w:lang w:val="en-US" w:eastAsia="zh-CN"/>
                    </w:rPr>
                  </w:pPr>
                  <w:r>
                    <w:rPr>
                      <w:rFonts w:hint="eastAsia" w:ascii="Times New Roman" w:hAnsi="Times New Roman" w:cs="Times New Roman"/>
                      <w:b w:val="0"/>
                      <w:bCs w:val="0"/>
                      <w:color w:val="auto"/>
                      <w:sz w:val="18"/>
                      <w:szCs w:val="18"/>
                      <w:highlight w:val="none"/>
                      <w:lang w:val="en-US" w:eastAsia="zh-CN"/>
                    </w:rPr>
                    <w:t>储存及处置设施</w:t>
                  </w:r>
                </w:p>
              </w:tc>
            </w:tr>
            <w:tr w14:paraId="499C6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tcBorders>
                    <w:tl2br w:val="nil"/>
                    <w:tr2bl w:val="nil"/>
                  </w:tcBorders>
                  <w:noWrap w:val="0"/>
                  <w:tcMar>
                    <w:top w:w="0" w:type="dxa"/>
                    <w:left w:w="28" w:type="dxa"/>
                    <w:bottom w:w="0" w:type="dxa"/>
                    <w:right w:w="28" w:type="dxa"/>
                  </w:tcMar>
                  <w:vAlign w:val="center"/>
                </w:tcPr>
                <w:p w14:paraId="5597AFD2">
                  <w:pPr>
                    <w:topLinePunct/>
                    <w:adjustRightInd w:val="0"/>
                    <w:snapToGrid w:val="0"/>
                    <w:jc w:val="center"/>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1</w:t>
                  </w:r>
                </w:p>
              </w:tc>
              <w:tc>
                <w:tcPr>
                  <w:tcW w:w="760" w:type="pct"/>
                  <w:tcBorders>
                    <w:tl2br w:val="nil"/>
                    <w:tr2bl w:val="nil"/>
                  </w:tcBorders>
                  <w:shd w:val="clear" w:color="auto" w:fill="auto"/>
                  <w:noWrap w:val="0"/>
                  <w:tcMar>
                    <w:top w:w="0" w:type="dxa"/>
                    <w:left w:w="28" w:type="dxa"/>
                    <w:bottom w:w="0" w:type="dxa"/>
                    <w:right w:w="28" w:type="dxa"/>
                  </w:tcMar>
                  <w:vAlign w:val="center"/>
                </w:tcPr>
                <w:p w14:paraId="54E920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胶水包装</w:t>
                  </w:r>
                </w:p>
              </w:tc>
              <w:tc>
                <w:tcPr>
                  <w:tcW w:w="564" w:type="pct"/>
                  <w:tcBorders>
                    <w:tl2br w:val="nil"/>
                    <w:tr2bl w:val="nil"/>
                  </w:tcBorders>
                  <w:shd w:val="clear" w:color="auto" w:fill="auto"/>
                  <w:noWrap w:val="0"/>
                  <w:tcMar>
                    <w:top w:w="0" w:type="dxa"/>
                    <w:left w:w="28" w:type="dxa"/>
                    <w:bottom w:w="0" w:type="dxa"/>
                    <w:right w:w="28" w:type="dxa"/>
                  </w:tcMar>
                  <w:vAlign w:val="center"/>
                </w:tcPr>
                <w:p w14:paraId="2344946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胶水废包装桶</w:t>
                  </w:r>
                </w:p>
              </w:tc>
              <w:tc>
                <w:tcPr>
                  <w:tcW w:w="374" w:type="pct"/>
                  <w:tcBorders>
                    <w:tl2br w:val="nil"/>
                    <w:tr2bl w:val="nil"/>
                  </w:tcBorders>
                  <w:shd w:val="clear" w:color="auto" w:fill="auto"/>
                  <w:noWrap w:val="0"/>
                  <w:tcMar>
                    <w:top w:w="0" w:type="dxa"/>
                    <w:left w:w="28" w:type="dxa"/>
                    <w:bottom w:w="0" w:type="dxa"/>
                    <w:right w:w="28" w:type="dxa"/>
                  </w:tcMar>
                  <w:vAlign w:val="center"/>
                </w:tcPr>
                <w:p w14:paraId="20A43D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固态</w:t>
                  </w:r>
                </w:p>
              </w:tc>
              <w:tc>
                <w:tcPr>
                  <w:tcW w:w="553" w:type="pct"/>
                  <w:tcBorders>
                    <w:tl2br w:val="nil"/>
                    <w:tr2bl w:val="nil"/>
                  </w:tcBorders>
                  <w:shd w:val="clear" w:color="auto" w:fill="auto"/>
                  <w:noWrap w:val="0"/>
                  <w:tcMar>
                    <w:top w:w="0" w:type="dxa"/>
                    <w:left w:w="28" w:type="dxa"/>
                    <w:bottom w:w="0" w:type="dxa"/>
                    <w:right w:w="28" w:type="dxa"/>
                  </w:tcMar>
                  <w:vAlign w:val="center"/>
                </w:tcPr>
                <w:p w14:paraId="5E2430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HW49，</w:t>
                  </w:r>
                  <w:r>
                    <w:rPr>
                      <w:rFonts w:hint="default" w:ascii="Times New Roman" w:hAnsi="Times New Roman" w:eastAsia="宋体" w:cs="Times New Roman"/>
                      <w:color w:val="auto"/>
                      <w:sz w:val="18"/>
                      <w:szCs w:val="18"/>
                      <w:highlight w:val="none"/>
                      <w:lang w:val="en-US" w:eastAsia="zh-CN"/>
                    </w:rPr>
                    <w:t>900-041-49</w:t>
                  </w:r>
                </w:p>
              </w:tc>
              <w:tc>
                <w:tcPr>
                  <w:tcW w:w="502" w:type="pct"/>
                  <w:tcBorders>
                    <w:tl2br w:val="nil"/>
                    <w:tr2bl w:val="nil"/>
                  </w:tcBorders>
                  <w:shd w:val="clear" w:color="auto" w:fill="auto"/>
                  <w:noWrap w:val="0"/>
                  <w:tcMar>
                    <w:top w:w="0" w:type="dxa"/>
                    <w:left w:w="28" w:type="dxa"/>
                    <w:bottom w:w="0" w:type="dxa"/>
                    <w:right w:w="28" w:type="dxa"/>
                  </w:tcMar>
                  <w:vAlign w:val="center"/>
                </w:tcPr>
                <w:p w14:paraId="6AF13B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0.024t/a</w:t>
                  </w:r>
                </w:p>
              </w:tc>
              <w:tc>
                <w:tcPr>
                  <w:tcW w:w="502" w:type="pct"/>
                  <w:tcBorders>
                    <w:tl2br w:val="nil"/>
                    <w:tr2bl w:val="nil"/>
                  </w:tcBorders>
                  <w:shd w:val="clear" w:color="auto" w:fill="auto"/>
                  <w:noWrap w:val="0"/>
                  <w:tcMar>
                    <w:top w:w="0" w:type="dxa"/>
                    <w:left w:w="28" w:type="dxa"/>
                    <w:bottom w:w="0" w:type="dxa"/>
                    <w:right w:w="28" w:type="dxa"/>
                  </w:tcMar>
                  <w:vAlign w:val="center"/>
                </w:tcPr>
                <w:p w14:paraId="26810AB1">
                  <w:pPr>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沾染胶水</w:t>
                  </w:r>
                </w:p>
              </w:tc>
              <w:tc>
                <w:tcPr>
                  <w:tcW w:w="502" w:type="pct"/>
                  <w:tcBorders>
                    <w:tl2br w:val="nil"/>
                    <w:tr2bl w:val="nil"/>
                  </w:tcBorders>
                  <w:shd w:val="clear" w:color="auto" w:fill="auto"/>
                  <w:noWrap w:val="0"/>
                  <w:tcMar>
                    <w:top w:w="0" w:type="dxa"/>
                    <w:left w:w="28" w:type="dxa"/>
                    <w:bottom w:w="0" w:type="dxa"/>
                    <w:right w:w="28" w:type="dxa"/>
                  </w:tcMar>
                  <w:vAlign w:val="center"/>
                </w:tcPr>
                <w:p w14:paraId="546E13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0.024t/a</w:t>
                  </w:r>
                </w:p>
              </w:tc>
              <w:tc>
                <w:tcPr>
                  <w:tcW w:w="502" w:type="pct"/>
                  <w:tcBorders>
                    <w:tl2br w:val="nil"/>
                    <w:tr2bl w:val="nil"/>
                  </w:tcBorders>
                  <w:shd w:val="clear" w:color="auto" w:fill="auto"/>
                  <w:noWrap w:val="0"/>
                  <w:tcMar>
                    <w:top w:w="0" w:type="dxa"/>
                    <w:left w:w="28" w:type="dxa"/>
                    <w:bottom w:w="0" w:type="dxa"/>
                    <w:right w:w="28" w:type="dxa"/>
                  </w:tcMar>
                  <w:vAlign w:val="center"/>
                </w:tcPr>
                <w:p w14:paraId="529E9A89">
                  <w:pPr>
                    <w:keepNext w:val="0"/>
                    <w:keepLines w:val="0"/>
                    <w:widowControl/>
                    <w:suppressLineNumbers w:val="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default" w:ascii="Times New Roman" w:hAnsi="Times New Roman" w:eastAsia="宋体" w:cs="Times New Roman"/>
                      <w:color w:val="auto"/>
                      <w:sz w:val="18"/>
                      <w:szCs w:val="18"/>
                      <w:highlight w:val="none"/>
                    </w:rPr>
                    <w:t>T/In</w:t>
                  </w:r>
                </w:p>
              </w:tc>
              <w:tc>
                <w:tcPr>
                  <w:tcW w:w="503" w:type="pct"/>
                  <w:vMerge w:val="restart"/>
                  <w:tcBorders>
                    <w:tl2br w:val="nil"/>
                    <w:tr2bl w:val="nil"/>
                  </w:tcBorders>
                  <w:noWrap w:val="0"/>
                  <w:tcMar>
                    <w:top w:w="0" w:type="dxa"/>
                    <w:left w:w="28" w:type="dxa"/>
                    <w:bottom w:w="0" w:type="dxa"/>
                    <w:right w:w="28" w:type="dxa"/>
                  </w:tcMar>
                  <w:vAlign w:val="center"/>
                </w:tcPr>
                <w:p w14:paraId="7D6FD5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18"/>
                      <w:szCs w:val="18"/>
                      <w:highlight w:val="none"/>
                      <w:lang w:val="en-US" w:eastAsia="zh-CN" w:bidi="ar"/>
                    </w:rPr>
                  </w:pPr>
                  <w:r>
                    <w:rPr>
                      <w:rFonts w:hint="eastAsia" w:ascii="Times New Roman" w:hAnsi="Times New Roman" w:cs="Times New Roman"/>
                      <w:color w:val="auto"/>
                      <w:kern w:val="2"/>
                      <w:sz w:val="18"/>
                      <w:szCs w:val="18"/>
                      <w:highlight w:val="none"/>
                      <w:lang w:val="en-US" w:eastAsia="zh-CN" w:bidi="ar-SA"/>
                    </w:rPr>
                    <w:t>暂存在</w:t>
                  </w:r>
                  <w:r>
                    <w:rPr>
                      <w:rFonts w:hint="eastAsia" w:cs="Times New Roman"/>
                      <w:color w:val="auto"/>
                      <w:kern w:val="2"/>
                      <w:sz w:val="18"/>
                      <w:szCs w:val="18"/>
                      <w:highlight w:val="none"/>
                      <w:lang w:val="en-US" w:eastAsia="zh-CN" w:bidi="ar-SA"/>
                    </w:rPr>
                    <w:t>危废间</w:t>
                  </w:r>
                  <w:r>
                    <w:rPr>
                      <w:rFonts w:hint="eastAsia" w:ascii="Times New Roman" w:hAnsi="Times New Roman" w:cs="Times New Roman"/>
                      <w:color w:val="auto"/>
                      <w:kern w:val="2"/>
                      <w:sz w:val="18"/>
                      <w:szCs w:val="18"/>
                      <w:highlight w:val="none"/>
                      <w:lang w:val="en-US" w:eastAsia="zh-CN" w:bidi="ar-SA"/>
                    </w:rPr>
                    <w:t>，交由有资质单位处置</w:t>
                  </w:r>
                </w:p>
              </w:tc>
            </w:tr>
            <w:tr w14:paraId="0E256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tcBorders>
                    <w:tl2br w:val="nil"/>
                    <w:tr2bl w:val="nil"/>
                  </w:tcBorders>
                  <w:noWrap w:val="0"/>
                  <w:tcMar>
                    <w:top w:w="0" w:type="dxa"/>
                    <w:left w:w="28" w:type="dxa"/>
                    <w:bottom w:w="0" w:type="dxa"/>
                    <w:right w:w="28" w:type="dxa"/>
                  </w:tcMar>
                  <w:vAlign w:val="center"/>
                </w:tcPr>
                <w:p w14:paraId="0C1935FA">
                  <w:pPr>
                    <w:topLinePunct/>
                    <w:adjustRightInd w:val="0"/>
                    <w:snapToGrid w:val="0"/>
                    <w:jc w:val="center"/>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w:t>
                  </w:r>
                </w:p>
              </w:tc>
              <w:tc>
                <w:tcPr>
                  <w:tcW w:w="760" w:type="pct"/>
                  <w:tcBorders>
                    <w:tl2br w:val="nil"/>
                    <w:tr2bl w:val="nil"/>
                  </w:tcBorders>
                  <w:shd w:val="clear" w:color="auto" w:fill="auto"/>
                  <w:noWrap w:val="0"/>
                  <w:tcMar>
                    <w:top w:w="0" w:type="dxa"/>
                    <w:left w:w="28" w:type="dxa"/>
                    <w:bottom w:w="0" w:type="dxa"/>
                    <w:right w:w="28" w:type="dxa"/>
                  </w:tcMar>
                  <w:vAlign w:val="center"/>
                </w:tcPr>
                <w:p w14:paraId="6BC20B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废气治理</w:t>
                  </w:r>
                </w:p>
              </w:tc>
              <w:tc>
                <w:tcPr>
                  <w:tcW w:w="564" w:type="pct"/>
                  <w:tcBorders>
                    <w:tl2br w:val="nil"/>
                    <w:tr2bl w:val="nil"/>
                  </w:tcBorders>
                  <w:shd w:val="clear" w:color="auto" w:fill="auto"/>
                  <w:noWrap w:val="0"/>
                  <w:tcMar>
                    <w:top w:w="0" w:type="dxa"/>
                    <w:left w:w="28" w:type="dxa"/>
                    <w:bottom w:w="0" w:type="dxa"/>
                    <w:right w:w="28" w:type="dxa"/>
                  </w:tcMar>
                  <w:vAlign w:val="center"/>
                </w:tcPr>
                <w:p w14:paraId="2E49FD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废活性炭</w:t>
                  </w:r>
                </w:p>
              </w:tc>
              <w:tc>
                <w:tcPr>
                  <w:tcW w:w="374" w:type="pct"/>
                  <w:tcBorders>
                    <w:tl2br w:val="nil"/>
                    <w:tr2bl w:val="nil"/>
                  </w:tcBorders>
                  <w:shd w:val="clear" w:color="auto" w:fill="auto"/>
                  <w:noWrap w:val="0"/>
                  <w:tcMar>
                    <w:top w:w="0" w:type="dxa"/>
                    <w:left w:w="28" w:type="dxa"/>
                    <w:bottom w:w="0" w:type="dxa"/>
                    <w:right w:w="28" w:type="dxa"/>
                  </w:tcMar>
                  <w:vAlign w:val="center"/>
                </w:tcPr>
                <w:p w14:paraId="1C8621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固态</w:t>
                  </w:r>
                </w:p>
              </w:tc>
              <w:tc>
                <w:tcPr>
                  <w:tcW w:w="553" w:type="pct"/>
                  <w:tcBorders>
                    <w:tl2br w:val="nil"/>
                    <w:tr2bl w:val="nil"/>
                  </w:tcBorders>
                  <w:shd w:val="clear" w:color="auto" w:fill="auto"/>
                  <w:noWrap w:val="0"/>
                  <w:tcMar>
                    <w:top w:w="0" w:type="dxa"/>
                    <w:left w:w="28" w:type="dxa"/>
                    <w:bottom w:w="0" w:type="dxa"/>
                    <w:right w:w="28" w:type="dxa"/>
                  </w:tcMar>
                  <w:vAlign w:val="center"/>
                </w:tcPr>
                <w:p w14:paraId="1286C3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HW49，</w:t>
                  </w:r>
                  <w:r>
                    <w:rPr>
                      <w:rFonts w:hint="default" w:ascii="Times New Roman" w:hAnsi="Times New Roman" w:eastAsia="宋体" w:cs="Times New Roman"/>
                      <w:color w:val="auto"/>
                      <w:sz w:val="18"/>
                      <w:szCs w:val="18"/>
                      <w:highlight w:val="none"/>
                      <w:lang w:val="en-US" w:eastAsia="zh-CN"/>
                    </w:rPr>
                    <w:t>900-039-49</w:t>
                  </w:r>
                </w:p>
              </w:tc>
              <w:tc>
                <w:tcPr>
                  <w:tcW w:w="502" w:type="pct"/>
                  <w:tcBorders>
                    <w:tl2br w:val="nil"/>
                    <w:tr2bl w:val="nil"/>
                  </w:tcBorders>
                  <w:shd w:val="clear" w:color="auto" w:fill="auto"/>
                  <w:noWrap w:val="0"/>
                  <w:tcMar>
                    <w:top w:w="0" w:type="dxa"/>
                    <w:left w:w="28" w:type="dxa"/>
                    <w:bottom w:w="0" w:type="dxa"/>
                    <w:right w:w="28" w:type="dxa"/>
                  </w:tcMar>
                  <w:vAlign w:val="center"/>
                </w:tcPr>
                <w:p w14:paraId="626710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0.615</w:t>
                  </w:r>
                  <w:r>
                    <w:rPr>
                      <w:rFonts w:hint="default" w:ascii="Times New Roman" w:hAnsi="Times New Roman" w:eastAsia="宋体" w:cs="Times New Roman"/>
                      <w:color w:val="auto"/>
                      <w:sz w:val="18"/>
                      <w:szCs w:val="18"/>
                      <w:highlight w:val="none"/>
                      <w:lang w:val="en-US" w:eastAsia="zh-CN"/>
                    </w:rPr>
                    <w:t>t/a</w:t>
                  </w:r>
                </w:p>
              </w:tc>
              <w:tc>
                <w:tcPr>
                  <w:tcW w:w="502" w:type="pct"/>
                  <w:tcBorders>
                    <w:tl2br w:val="nil"/>
                    <w:tr2bl w:val="nil"/>
                  </w:tcBorders>
                  <w:shd w:val="clear" w:color="auto" w:fill="auto"/>
                  <w:noWrap w:val="0"/>
                  <w:tcMar>
                    <w:top w:w="0" w:type="dxa"/>
                    <w:left w:w="28" w:type="dxa"/>
                    <w:bottom w:w="0" w:type="dxa"/>
                    <w:right w:w="28" w:type="dxa"/>
                  </w:tcMar>
                  <w:vAlign w:val="center"/>
                </w:tcPr>
                <w:p w14:paraId="172B3A10">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吸附VOCs</w:t>
                  </w:r>
                  <w:r>
                    <w:rPr>
                      <w:rFonts w:hint="eastAsia" w:ascii="Times New Roman" w:hAnsi="Times New Roman" w:eastAsia="宋体" w:cs="Times New Roman"/>
                      <w:color w:val="auto"/>
                      <w:kern w:val="2"/>
                      <w:sz w:val="18"/>
                      <w:szCs w:val="18"/>
                      <w:highlight w:val="none"/>
                      <w:lang w:val="en-US" w:eastAsia="zh-CN" w:bidi="ar-SA"/>
                    </w:rPr>
                    <w:t>、甲醛、苯酚</w:t>
                  </w:r>
                </w:p>
              </w:tc>
              <w:tc>
                <w:tcPr>
                  <w:tcW w:w="502" w:type="pct"/>
                  <w:tcBorders>
                    <w:tl2br w:val="nil"/>
                    <w:tr2bl w:val="nil"/>
                  </w:tcBorders>
                  <w:shd w:val="clear" w:color="auto" w:fill="auto"/>
                  <w:noWrap w:val="0"/>
                  <w:tcMar>
                    <w:top w:w="0" w:type="dxa"/>
                    <w:left w:w="28" w:type="dxa"/>
                    <w:bottom w:w="0" w:type="dxa"/>
                    <w:right w:w="28" w:type="dxa"/>
                  </w:tcMar>
                  <w:vAlign w:val="center"/>
                </w:tcPr>
                <w:p w14:paraId="26665E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0.615</w:t>
                  </w:r>
                  <w:r>
                    <w:rPr>
                      <w:rFonts w:hint="default" w:ascii="Times New Roman" w:hAnsi="Times New Roman" w:eastAsia="宋体" w:cs="Times New Roman"/>
                      <w:color w:val="auto"/>
                      <w:sz w:val="18"/>
                      <w:szCs w:val="18"/>
                      <w:highlight w:val="none"/>
                      <w:lang w:val="en-US" w:eastAsia="zh-CN"/>
                    </w:rPr>
                    <w:t>t/a</w:t>
                  </w:r>
                </w:p>
              </w:tc>
              <w:tc>
                <w:tcPr>
                  <w:tcW w:w="502" w:type="pct"/>
                  <w:tcBorders>
                    <w:tl2br w:val="nil"/>
                    <w:tr2bl w:val="nil"/>
                  </w:tcBorders>
                  <w:shd w:val="clear" w:color="auto" w:fill="auto"/>
                  <w:noWrap w:val="0"/>
                  <w:tcMar>
                    <w:top w:w="0" w:type="dxa"/>
                    <w:left w:w="28" w:type="dxa"/>
                    <w:bottom w:w="0" w:type="dxa"/>
                    <w:right w:w="28" w:type="dxa"/>
                  </w:tcMar>
                  <w:vAlign w:val="center"/>
                </w:tcPr>
                <w:p w14:paraId="48BA4004">
                  <w:pPr>
                    <w:keepNext w:val="0"/>
                    <w:keepLines w:val="0"/>
                    <w:widowControl/>
                    <w:suppressLineNumbers w:val="0"/>
                    <w:jc w:val="center"/>
                    <w:rPr>
                      <w:rFonts w:hint="default" w:ascii="Times New Roman" w:hAnsi="Times New Roman" w:eastAsia="宋体" w:cs="Times New Roman"/>
                      <w:b w:val="0"/>
                      <w:bCs w:val="0"/>
                      <w:color w:val="auto"/>
                      <w:kern w:val="0"/>
                      <w:sz w:val="18"/>
                      <w:szCs w:val="18"/>
                      <w:highlight w:val="none"/>
                      <w:lang w:val="en-US" w:eastAsia="zh-CN" w:bidi="ar"/>
                    </w:rPr>
                  </w:pPr>
                  <w:r>
                    <w:rPr>
                      <w:rFonts w:hint="eastAsia" w:ascii="Times New Roman" w:hAnsi="Times New Roman" w:eastAsia="宋体" w:cs="Times New Roman"/>
                      <w:color w:val="auto"/>
                      <w:sz w:val="18"/>
                      <w:szCs w:val="18"/>
                      <w:highlight w:val="none"/>
                      <w:lang w:val="en-US" w:eastAsia="zh-CN"/>
                    </w:rPr>
                    <w:t>T</w:t>
                  </w:r>
                </w:p>
              </w:tc>
              <w:tc>
                <w:tcPr>
                  <w:tcW w:w="503" w:type="pct"/>
                  <w:vMerge w:val="continue"/>
                  <w:tcBorders>
                    <w:tl2br w:val="nil"/>
                    <w:tr2bl w:val="nil"/>
                  </w:tcBorders>
                  <w:noWrap w:val="0"/>
                  <w:tcMar>
                    <w:top w:w="0" w:type="dxa"/>
                    <w:left w:w="28" w:type="dxa"/>
                    <w:bottom w:w="0" w:type="dxa"/>
                    <w:right w:w="28" w:type="dxa"/>
                  </w:tcMar>
                  <w:vAlign w:val="center"/>
                </w:tcPr>
                <w:p w14:paraId="4F5A4998">
                  <w:pPr>
                    <w:keepNext w:val="0"/>
                    <w:keepLines w:val="0"/>
                    <w:widowControl/>
                    <w:suppressLineNumbers w:val="0"/>
                    <w:jc w:val="center"/>
                    <w:rPr>
                      <w:rFonts w:hint="default" w:ascii="Times New Roman" w:hAnsi="Times New Roman" w:eastAsia="宋体" w:cs="Times New Roman"/>
                      <w:b w:val="0"/>
                      <w:bCs w:val="0"/>
                      <w:color w:val="auto"/>
                      <w:kern w:val="0"/>
                      <w:sz w:val="18"/>
                      <w:szCs w:val="18"/>
                      <w:highlight w:val="none"/>
                      <w:lang w:val="en-US" w:eastAsia="zh-CN" w:bidi="ar"/>
                    </w:rPr>
                  </w:pPr>
                </w:p>
              </w:tc>
            </w:tr>
          </w:tbl>
          <w:p w14:paraId="680D5EEE">
            <w:pPr>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2、环境管理要求</w:t>
            </w:r>
          </w:p>
          <w:p w14:paraId="2CB21DDB">
            <w:pPr>
              <w:autoSpaceDE w:val="0"/>
              <w:autoSpaceDN w:val="0"/>
              <w:adjustRightIn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rPr>
                <w:rFonts w:hint="eastAsia"/>
                <w:color w:val="auto"/>
                <w:highlight w:val="none"/>
                <w:lang w:eastAsia="zh-CN"/>
              </w:rPr>
              <w:t>。</w:t>
            </w:r>
            <w:r>
              <w:rPr>
                <w:color w:val="auto"/>
                <w:highlight w:val="none"/>
              </w:rPr>
              <w:t>贮存区采取防风防雨措施；各类固废应分类收集；贮存区按照《环境保护图形标志——固体废物贮存（处置）场》（GB15562.2）的要求设置环保图形标志；指定专人进行日常管理</w:t>
            </w:r>
            <w:r>
              <w:rPr>
                <w:rFonts w:hint="eastAsia"/>
                <w:color w:val="auto"/>
                <w:highlight w:val="none"/>
                <w:lang w:eastAsia="zh-CN"/>
              </w:rPr>
              <w:t>；做好一般固体废物台账记录，记录一般固废的产生及处置情况</w:t>
            </w:r>
            <w:r>
              <w:rPr>
                <w:rFonts w:hint="default" w:ascii="Times New Roman" w:hAnsi="Times New Roman" w:eastAsia="宋体" w:cs="Times New Roman"/>
                <w:color w:val="auto"/>
                <w:szCs w:val="21"/>
                <w:highlight w:val="none"/>
              </w:rPr>
              <w:t>。</w:t>
            </w:r>
          </w:p>
          <w:p w14:paraId="0A3EFA23">
            <w:pPr>
              <w:spacing w:line="360" w:lineRule="auto"/>
              <w:ind w:firstLine="420" w:firstLineChars="200"/>
              <w:rPr>
                <w:rFonts w:hint="eastAsia"/>
                <w:color w:val="auto"/>
                <w:szCs w:val="21"/>
                <w:highlight w:val="none"/>
                <w:lang w:eastAsia="zh-CN"/>
              </w:rPr>
            </w:pPr>
            <w:r>
              <w:rPr>
                <w:rFonts w:hint="eastAsia"/>
                <w:color w:val="auto"/>
                <w:szCs w:val="21"/>
                <w:highlight w:val="none"/>
                <w:lang w:eastAsia="zh-CN"/>
              </w:rPr>
              <w:t>厂区</w:t>
            </w:r>
            <w:r>
              <w:rPr>
                <w:rFonts w:hint="eastAsia"/>
                <w:color w:val="auto"/>
                <w:szCs w:val="21"/>
                <w:highlight w:val="none"/>
              </w:rPr>
              <w:t>内</w:t>
            </w:r>
            <w:r>
              <w:rPr>
                <w:rFonts w:hint="eastAsia"/>
                <w:color w:val="auto"/>
                <w:szCs w:val="21"/>
                <w:highlight w:val="none"/>
                <w:lang w:val="en-US" w:eastAsia="zh-CN"/>
              </w:rPr>
              <w:t>拟建设</w:t>
            </w:r>
            <w:r>
              <w:rPr>
                <w:color w:val="auto"/>
                <w:szCs w:val="21"/>
                <w:highlight w:val="none"/>
              </w:rPr>
              <w:t>1</w:t>
            </w:r>
            <w:r>
              <w:rPr>
                <w:rFonts w:hint="eastAsia"/>
                <w:color w:val="auto"/>
                <w:szCs w:val="21"/>
                <w:highlight w:val="none"/>
                <w:lang w:eastAsia="zh-CN"/>
              </w:rPr>
              <w:t>座</w:t>
            </w:r>
            <w:r>
              <w:rPr>
                <w:rFonts w:hint="eastAsia"/>
                <w:color w:val="auto"/>
                <w:szCs w:val="21"/>
                <w:highlight w:val="none"/>
                <w:lang w:val="en-US" w:eastAsia="zh-CN"/>
              </w:rPr>
              <w:t>10</w:t>
            </w:r>
            <w:r>
              <w:rPr>
                <w:rFonts w:hint="eastAsia"/>
                <w:color w:val="auto"/>
                <w:szCs w:val="21"/>
                <w:highlight w:val="none"/>
              </w:rPr>
              <w:t>m</w:t>
            </w:r>
            <w:r>
              <w:rPr>
                <w:rFonts w:hint="eastAsia"/>
                <w:color w:val="auto"/>
                <w:szCs w:val="21"/>
                <w:highlight w:val="none"/>
                <w:vertAlign w:val="superscript"/>
              </w:rPr>
              <w:t>2</w:t>
            </w:r>
            <w:r>
              <w:rPr>
                <w:rFonts w:hint="eastAsia"/>
                <w:color w:val="auto"/>
                <w:szCs w:val="21"/>
                <w:highlight w:val="none"/>
                <w:lang w:eastAsia="zh-CN"/>
              </w:rPr>
              <w:t>危废间，高约</w:t>
            </w:r>
            <w:r>
              <w:rPr>
                <w:rFonts w:hint="eastAsia"/>
                <w:color w:val="auto"/>
                <w:szCs w:val="21"/>
                <w:highlight w:val="none"/>
                <w:lang w:val="en-US" w:eastAsia="zh-CN"/>
              </w:rPr>
              <w:t>10m</w:t>
            </w:r>
            <w:r>
              <w:rPr>
                <w:rFonts w:hint="eastAsia"/>
                <w:color w:val="auto"/>
                <w:szCs w:val="21"/>
                <w:highlight w:val="none"/>
              </w:rPr>
              <w:t>，位于</w:t>
            </w:r>
            <w:r>
              <w:rPr>
                <w:rFonts w:hint="eastAsia"/>
                <w:color w:val="auto"/>
                <w:szCs w:val="21"/>
                <w:highlight w:val="none"/>
                <w:lang w:val="en-US" w:eastAsia="zh-CN"/>
              </w:rPr>
              <w:t>生产</w:t>
            </w:r>
            <w:r>
              <w:rPr>
                <w:rFonts w:hint="eastAsia"/>
                <w:color w:val="auto"/>
                <w:szCs w:val="21"/>
                <w:highlight w:val="none"/>
              </w:rPr>
              <w:t>车间</w:t>
            </w:r>
            <w:r>
              <w:rPr>
                <w:rFonts w:hint="eastAsia"/>
                <w:color w:val="auto"/>
                <w:szCs w:val="21"/>
                <w:highlight w:val="none"/>
                <w:lang w:val="en-US" w:eastAsia="zh-CN"/>
              </w:rPr>
              <w:t>西北</w:t>
            </w:r>
            <w:r>
              <w:rPr>
                <w:rFonts w:hint="eastAsia"/>
                <w:color w:val="auto"/>
                <w:szCs w:val="21"/>
                <w:highlight w:val="none"/>
              </w:rPr>
              <w:t>角</w:t>
            </w:r>
            <w:r>
              <w:rPr>
                <w:rFonts w:hint="eastAsia"/>
                <w:color w:val="auto"/>
                <w:szCs w:val="21"/>
                <w:highlight w:val="none"/>
                <w:lang w:eastAsia="zh-CN"/>
              </w:rPr>
              <w:t>。</w:t>
            </w:r>
          </w:p>
          <w:p w14:paraId="5D11B133">
            <w:pPr>
              <w:spacing w:line="360" w:lineRule="auto"/>
              <w:ind w:firstLine="420" w:firstLineChars="200"/>
              <w:rPr>
                <w:color w:val="auto"/>
                <w:szCs w:val="21"/>
                <w:highlight w:val="none"/>
              </w:rPr>
            </w:pPr>
            <w:r>
              <w:rPr>
                <w:rFonts w:hint="eastAsia"/>
                <w:color w:val="auto"/>
                <w:szCs w:val="21"/>
                <w:highlight w:val="none"/>
                <w:lang w:val="en-US" w:eastAsia="zh-CN"/>
              </w:rPr>
              <w:t>本项目</w:t>
            </w:r>
            <w:r>
              <w:rPr>
                <w:rFonts w:hint="eastAsia"/>
                <w:color w:val="auto"/>
                <w:szCs w:val="21"/>
                <w:highlight w:val="none"/>
                <w:lang w:eastAsia="zh-CN"/>
              </w:rPr>
              <w:t>危险废物产生情况如下：</w:t>
            </w:r>
            <w:r>
              <w:rPr>
                <w:rFonts w:hint="eastAsia"/>
                <w:color w:val="auto"/>
                <w:szCs w:val="21"/>
                <w:highlight w:val="none"/>
                <w:lang w:val="en-US" w:eastAsia="zh-CN"/>
              </w:rPr>
              <w:t>胶水废包装桶产生量为0.024t/a，</w:t>
            </w:r>
            <w:r>
              <w:rPr>
                <w:rFonts w:hint="eastAsia"/>
                <w:bCs/>
                <w:color w:val="auto"/>
                <w:highlight w:val="none"/>
                <w:lang w:val="en-US" w:eastAsia="zh-CN"/>
              </w:rPr>
              <w:t>占地</w:t>
            </w:r>
            <w:r>
              <w:rPr>
                <w:rFonts w:hint="eastAsia" w:ascii="Times New Roman" w:hAnsi="Times New Roman" w:eastAsia="宋体" w:cs="Times New Roman"/>
                <w:color w:val="auto"/>
                <w:sz w:val="21"/>
                <w:szCs w:val="21"/>
                <w:highlight w:val="none"/>
                <w:lang w:val="en-US" w:eastAsia="zh-CN"/>
              </w:rPr>
              <w:t>约2</w:t>
            </w:r>
            <w:r>
              <w:rPr>
                <w:rFonts w:hint="eastAsia"/>
                <w:bCs/>
                <w:color w:val="auto"/>
                <w:highlight w:val="none"/>
                <w:lang w:val="en-US" w:eastAsia="zh-CN"/>
              </w:rPr>
              <w:t>m</w:t>
            </w:r>
            <w:r>
              <w:rPr>
                <w:rFonts w:hint="eastAsia"/>
                <w:bCs/>
                <w:color w:val="auto"/>
                <w:highlight w:val="none"/>
                <w:vertAlign w:val="superscript"/>
                <w:lang w:val="en-US" w:eastAsia="zh-CN"/>
              </w:rPr>
              <w:t>2</w:t>
            </w:r>
            <w:r>
              <w:rPr>
                <w:rFonts w:hint="eastAsia"/>
                <w:bCs/>
                <w:color w:val="auto"/>
                <w:highlight w:val="none"/>
                <w:lang w:val="de-DE" w:eastAsia="zh-CN"/>
              </w:rPr>
              <w:t>；</w:t>
            </w:r>
            <w:r>
              <w:rPr>
                <w:rFonts w:hint="eastAsia" w:ascii="Times New Roman" w:hAnsi="Times New Roman" w:eastAsia="宋体" w:cs="Times New Roman"/>
                <w:color w:val="auto"/>
                <w:sz w:val="21"/>
                <w:szCs w:val="21"/>
                <w:highlight w:val="none"/>
                <w:lang w:val="en-US" w:eastAsia="zh-CN"/>
              </w:rPr>
              <w:t>废活性炭</w:t>
            </w:r>
            <w:r>
              <w:rPr>
                <w:rFonts w:hint="eastAsia" w:cs="Times New Roman"/>
                <w:color w:val="auto"/>
                <w:sz w:val="21"/>
                <w:szCs w:val="21"/>
                <w:highlight w:val="none"/>
                <w:lang w:val="en-US" w:eastAsia="zh-CN"/>
              </w:rPr>
              <w:t>6.518</w:t>
            </w:r>
            <w:r>
              <w:rPr>
                <w:rFonts w:hint="eastAsia" w:ascii="Times New Roman" w:hAnsi="Times New Roman" w:eastAsia="宋体" w:cs="Times New Roman"/>
                <w:color w:val="auto"/>
                <w:sz w:val="21"/>
                <w:szCs w:val="21"/>
                <w:highlight w:val="none"/>
                <w:lang w:val="en-US" w:eastAsia="zh-CN"/>
              </w:rPr>
              <w:t>t/a，占地约</w:t>
            </w:r>
            <w:r>
              <w:rPr>
                <w:rFonts w:hint="eastAsia" w:cs="Times New Roman"/>
                <w:color w:val="auto"/>
                <w:sz w:val="21"/>
                <w:szCs w:val="21"/>
                <w:highlight w:val="none"/>
                <w:lang w:val="en-US" w:eastAsia="zh-CN"/>
              </w:rPr>
              <w:t>2</w:t>
            </w:r>
            <w:r>
              <w:rPr>
                <w:rFonts w:hint="eastAsia"/>
                <w:bCs/>
                <w:color w:val="auto"/>
                <w:highlight w:val="none"/>
                <w:lang w:val="en-US" w:eastAsia="zh-CN"/>
              </w:rPr>
              <w:t>m</w:t>
            </w:r>
            <w:r>
              <w:rPr>
                <w:rFonts w:hint="eastAsia"/>
                <w:bCs/>
                <w:color w:val="auto"/>
                <w:highlight w:val="none"/>
                <w:vertAlign w:val="superscript"/>
                <w:lang w:val="en-US" w:eastAsia="zh-CN"/>
              </w:rPr>
              <w:t>2</w:t>
            </w:r>
            <w:r>
              <w:rPr>
                <w:rFonts w:hint="eastAsia"/>
                <w:bCs/>
                <w:color w:val="auto"/>
                <w:highlight w:val="none"/>
                <w:lang w:val="de-DE" w:eastAsia="zh-CN"/>
              </w:rPr>
              <w:t>。本项目建成后危险废物总占地约</w:t>
            </w:r>
            <w:r>
              <w:rPr>
                <w:rFonts w:hint="eastAsia"/>
                <w:bCs/>
                <w:color w:val="auto"/>
                <w:highlight w:val="none"/>
                <w:lang w:val="en-US" w:eastAsia="zh-CN"/>
              </w:rPr>
              <w:t>4m</w:t>
            </w:r>
            <w:r>
              <w:rPr>
                <w:rFonts w:hint="eastAsia"/>
                <w:bCs/>
                <w:color w:val="auto"/>
                <w:highlight w:val="none"/>
                <w:vertAlign w:val="superscript"/>
                <w:lang w:val="en-US" w:eastAsia="zh-CN"/>
              </w:rPr>
              <w:t>2</w:t>
            </w:r>
            <w:r>
              <w:rPr>
                <w:rFonts w:hint="eastAsia"/>
                <w:bCs/>
                <w:color w:val="auto"/>
                <w:highlight w:val="none"/>
                <w:lang w:val="de-DE" w:eastAsia="zh-CN"/>
              </w:rPr>
              <w:t>。定期做好危废处置工作，</w:t>
            </w:r>
            <w:r>
              <w:rPr>
                <w:rFonts w:hint="eastAsia"/>
                <w:color w:val="auto"/>
                <w:szCs w:val="21"/>
                <w:highlight w:val="none"/>
                <w:lang w:eastAsia="zh-CN"/>
              </w:rPr>
              <w:t>厂区</w:t>
            </w:r>
            <w:r>
              <w:rPr>
                <w:rFonts w:hint="eastAsia"/>
                <w:color w:val="auto"/>
                <w:szCs w:val="21"/>
                <w:highlight w:val="none"/>
              </w:rPr>
              <w:t>内</w:t>
            </w:r>
            <w:r>
              <w:rPr>
                <w:rFonts w:hint="eastAsia"/>
                <w:color w:val="auto"/>
                <w:szCs w:val="21"/>
                <w:highlight w:val="none"/>
                <w:lang w:val="en-US" w:eastAsia="zh-CN"/>
              </w:rPr>
              <w:t>拟建设</w:t>
            </w:r>
            <w:r>
              <w:rPr>
                <w:color w:val="auto"/>
                <w:szCs w:val="21"/>
                <w:highlight w:val="none"/>
              </w:rPr>
              <w:t>1</w:t>
            </w:r>
            <w:r>
              <w:rPr>
                <w:rFonts w:hint="eastAsia"/>
                <w:color w:val="auto"/>
                <w:szCs w:val="21"/>
                <w:highlight w:val="none"/>
                <w:lang w:eastAsia="zh-CN"/>
              </w:rPr>
              <w:t>座</w:t>
            </w:r>
            <w:r>
              <w:rPr>
                <w:rFonts w:hint="eastAsia"/>
                <w:color w:val="auto"/>
                <w:szCs w:val="21"/>
                <w:highlight w:val="none"/>
                <w:lang w:val="en-US" w:eastAsia="zh-CN"/>
              </w:rPr>
              <w:t>10</w:t>
            </w:r>
            <w:r>
              <w:rPr>
                <w:rFonts w:hint="eastAsia"/>
                <w:color w:val="auto"/>
                <w:szCs w:val="21"/>
                <w:highlight w:val="none"/>
              </w:rPr>
              <w:t>m</w:t>
            </w:r>
            <w:r>
              <w:rPr>
                <w:rFonts w:hint="eastAsia"/>
                <w:color w:val="auto"/>
                <w:szCs w:val="21"/>
                <w:highlight w:val="none"/>
                <w:vertAlign w:val="superscript"/>
              </w:rPr>
              <w:t>2</w:t>
            </w:r>
            <w:r>
              <w:rPr>
                <w:rFonts w:hint="eastAsia"/>
                <w:color w:val="auto"/>
                <w:szCs w:val="21"/>
                <w:highlight w:val="none"/>
                <w:lang w:eastAsia="zh-CN"/>
              </w:rPr>
              <w:t>危废间</w:t>
            </w:r>
            <w:r>
              <w:rPr>
                <w:rFonts w:hint="eastAsia"/>
                <w:color w:val="auto"/>
                <w:szCs w:val="21"/>
                <w:highlight w:val="none"/>
              </w:rPr>
              <w:t>可以满足存放要求。</w:t>
            </w:r>
            <w:r>
              <w:rPr>
                <w:color w:val="auto"/>
                <w:szCs w:val="21"/>
                <w:highlight w:val="none"/>
              </w:rPr>
              <w:t>危险废物储存在该危险废物暂存间中，分类储存，严谨烟火和外人出入。危废</w:t>
            </w:r>
            <w:r>
              <w:rPr>
                <w:rFonts w:hint="eastAsia"/>
                <w:color w:val="auto"/>
                <w:szCs w:val="21"/>
                <w:highlight w:val="none"/>
                <w:lang w:eastAsia="zh-CN"/>
              </w:rPr>
              <w:t>仓库</w:t>
            </w:r>
            <w:r>
              <w:rPr>
                <w:color w:val="auto"/>
                <w:szCs w:val="21"/>
                <w:highlight w:val="none"/>
              </w:rPr>
              <w:t>地面做硬化处理，设置围堰，不同种类的危险废物分类存放。</w:t>
            </w:r>
            <w:r>
              <w:rPr>
                <w:rFonts w:hint="eastAsia"/>
                <w:color w:val="auto"/>
                <w:szCs w:val="21"/>
                <w:highlight w:val="none"/>
                <w:lang w:eastAsia="zh-CN"/>
              </w:rPr>
              <w:t>危废间</w:t>
            </w:r>
            <w:r>
              <w:rPr>
                <w:color w:val="auto"/>
                <w:szCs w:val="21"/>
                <w:highlight w:val="none"/>
              </w:rPr>
              <w:t>设置相应的环境保护图形标志。</w:t>
            </w:r>
          </w:p>
          <w:p w14:paraId="6A6388BD">
            <w:pPr>
              <w:autoSpaceDE w:val="0"/>
              <w:autoSpaceDN w:val="0"/>
              <w:adjustRightInd w:val="0"/>
              <w:spacing w:line="420" w:lineRule="exact"/>
              <w:ind w:firstLine="25" w:firstLineChars="12"/>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表4-</w:t>
            </w:r>
            <w:r>
              <w:rPr>
                <w:rFonts w:hint="eastAsia" w:cs="Times New Roman"/>
                <w:b/>
                <w:bCs/>
                <w:color w:val="auto"/>
                <w:szCs w:val="21"/>
                <w:highlight w:val="none"/>
                <w:lang w:val="en-US" w:eastAsia="zh-CN"/>
              </w:rPr>
              <w:t>14</w:t>
            </w:r>
            <w:r>
              <w:rPr>
                <w:rFonts w:hint="default" w:ascii="Times New Roman" w:hAnsi="Times New Roman" w:eastAsia="宋体" w:cs="Times New Roman"/>
                <w:b/>
                <w:bCs/>
                <w:color w:val="auto"/>
                <w:szCs w:val="21"/>
                <w:highlight w:val="none"/>
              </w:rPr>
              <w:t>项目危险废物贮存场所（设施）基本情况表</w:t>
            </w:r>
          </w:p>
          <w:tbl>
            <w:tblPr>
              <w:tblStyle w:val="83"/>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72"/>
              <w:gridCol w:w="1348"/>
              <w:gridCol w:w="1070"/>
              <w:gridCol w:w="1429"/>
              <w:gridCol w:w="975"/>
              <w:gridCol w:w="755"/>
              <w:gridCol w:w="1189"/>
              <w:gridCol w:w="1132"/>
            </w:tblGrid>
            <w:tr w14:paraId="187EFFC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1" w:type="pct"/>
                  <w:tcBorders>
                    <w:top w:val="single" w:color="auto" w:sz="2" w:space="0"/>
                    <w:left w:val="single" w:color="auto" w:sz="2" w:space="0"/>
                    <w:bottom w:val="single" w:color="auto" w:sz="2" w:space="0"/>
                    <w:right w:val="single" w:color="auto" w:sz="2" w:space="0"/>
                  </w:tcBorders>
                  <w:vAlign w:val="center"/>
                </w:tcPr>
                <w:p w14:paraId="48832296">
                  <w:pPr>
                    <w:spacing w:before="120"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序号</w:t>
                  </w:r>
                </w:p>
              </w:tc>
              <w:tc>
                <w:tcPr>
                  <w:tcW w:w="805" w:type="pct"/>
                  <w:tcBorders>
                    <w:top w:val="single" w:color="auto" w:sz="2" w:space="0"/>
                    <w:left w:val="single" w:color="auto" w:sz="2" w:space="0"/>
                    <w:bottom w:val="single" w:color="auto" w:sz="2" w:space="0"/>
                    <w:right w:val="single" w:color="auto" w:sz="2" w:space="0"/>
                  </w:tcBorders>
                  <w:vAlign w:val="center"/>
                </w:tcPr>
                <w:p w14:paraId="57F06B70">
                  <w:pPr>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贮存场所</w:t>
                  </w:r>
                </w:p>
                <w:p w14:paraId="5A5E3AFC">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rPr>
                    <w:t>名称</w:t>
                  </w:r>
                </w:p>
              </w:tc>
              <w:tc>
                <w:tcPr>
                  <w:tcW w:w="639" w:type="pct"/>
                  <w:tcBorders>
                    <w:top w:val="single" w:color="auto" w:sz="2" w:space="0"/>
                    <w:left w:val="single" w:color="auto" w:sz="2" w:space="0"/>
                    <w:bottom w:val="single" w:color="auto" w:sz="2" w:space="0"/>
                    <w:right w:val="single" w:color="auto" w:sz="2" w:space="0"/>
                  </w:tcBorders>
                  <w:vAlign w:val="center"/>
                </w:tcPr>
                <w:p w14:paraId="3D91FB50">
                  <w:pPr>
                    <w:spacing w:before="120"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危险废物名称</w:t>
                  </w:r>
                </w:p>
              </w:tc>
              <w:tc>
                <w:tcPr>
                  <w:tcW w:w="853" w:type="pct"/>
                  <w:tcBorders>
                    <w:top w:val="single" w:color="auto" w:sz="2" w:space="0"/>
                    <w:left w:val="single" w:color="auto" w:sz="2" w:space="0"/>
                    <w:bottom w:val="single" w:color="auto" w:sz="2" w:space="0"/>
                    <w:right w:val="single" w:color="auto" w:sz="2" w:space="0"/>
                  </w:tcBorders>
                  <w:vAlign w:val="center"/>
                </w:tcPr>
                <w:p w14:paraId="5FEFDF37">
                  <w:pPr>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bCs/>
                      <w:color w:val="auto"/>
                      <w:sz w:val="18"/>
                      <w:szCs w:val="18"/>
                      <w:highlight w:val="none"/>
                    </w:rPr>
                    <w:t>危险废物代码</w:t>
                  </w:r>
                </w:p>
              </w:tc>
              <w:tc>
                <w:tcPr>
                  <w:tcW w:w="582" w:type="pct"/>
                  <w:tcBorders>
                    <w:top w:val="single" w:color="auto" w:sz="2" w:space="0"/>
                    <w:left w:val="single" w:color="auto" w:sz="2" w:space="0"/>
                    <w:bottom w:val="single" w:color="auto" w:sz="2" w:space="0"/>
                    <w:right w:val="single" w:color="auto" w:sz="2" w:space="0"/>
                  </w:tcBorders>
                  <w:vAlign w:val="center"/>
                </w:tcPr>
                <w:p w14:paraId="0DD182FB">
                  <w:pPr>
                    <w:spacing w:before="120"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位置</w:t>
                  </w:r>
                </w:p>
              </w:tc>
              <w:tc>
                <w:tcPr>
                  <w:tcW w:w="451" w:type="pct"/>
                  <w:tcBorders>
                    <w:top w:val="single" w:color="auto" w:sz="2" w:space="0"/>
                    <w:left w:val="single" w:color="auto" w:sz="2" w:space="0"/>
                    <w:bottom w:val="single" w:color="auto" w:sz="2" w:space="0"/>
                    <w:right w:val="single" w:color="auto" w:sz="2" w:space="0"/>
                  </w:tcBorders>
                  <w:vAlign w:val="center"/>
                </w:tcPr>
                <w:p w14:paraId="0682E0E8">
                  <w:pPr>
                    <w:spacing w:before="120"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占地面积</w:t>
                  </w:r>
                </w:p>
              </w:tc>
              <w:tc>
                <w:tcPr>
                  <w:tcW w:w="710" w:type="pct"/>
                  <w:tcBorders>
                    <w:top w:val="single" w:color="auto" w:sz="2" w:space="0"/>
                    <w:left w:val="single" w:color="auto" w:sz="2" w:space="0"/>
                    <w:bottom w:val="single" w:color="auto" w:sz="2" w:space="0"/>
                    <w:right w:val="single" w:color="auto" w:sz="2" w:space="0"/>
                  </w:tcBorders>
                  <w:vAlign w:val="center"/>
                </w:tcPr>
                <w:p w14:paraId="263C205C">
                  <w:pPr>
                    <w:spacing w:before="120"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贮存方式</w:t>
                  </w:r>
                </w:p>
              </w:tc>
              <w:tc>
                <w:tcPr>
                  <w:tcW w:w="676" w:type="pct"/>
                  <w:tcBorders>
                    <w:top w:val="single" w:color="auto" w:sz="2" w:space="0"/>
                    <w:left w:val="single" w:color="auto" w:sz="2" w:space="0"/>
                    <w:bottom w:val="single" w:color="auto" w:sz="2" w:space="0"/>
                    <w:right w:val="single" w:color="auto" w:sz="2" w:space="0"/>
                  </w:tcBorders>
                  <w:vAlign w:val="center"/>
                </w:tcPr>
                <w:p w14:paraId="0A6700CC">
                  <w:pPr>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贮存</w:t>
                  </w:r>
                </w:p>
                <w:p w14:paraId="18329A18">
                  <w:pPr>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周期</w:t>
                  </w:r>
                </w:p>
              </w:tc>
            </w:tr>
            <w:tr w14:paraId="145AEC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1" w:type="pct"/>
                  <w:vMerge w:val="restart"/>
                  <w:tcBorders>
                    <w:top w:val="single" w:color="auto" w:sz="2" w:space="0"/>
                    <w:left w:val="single" w:color="auto" w:sz="2" w:space="0"/>
                    <w:right w:val="single" w:color="auto" w:sz="2" w:space="0"/>
                  </w:tcBorders>
                  <w:vAlign w:val="center"/>
                </w:tcPr>
                <w:p w14:paraId="31ACC94E">
                  <w:pPr>
                    <w:pStyle w:val="1042"/>
                    <w:numPr>
                      <w:ilvl w:val="0"/>
                      <w:numId w:val="19"/>
                    </w:numPr>
                    <w:spacing w:before="120" w:beforeLines="50"/>
                    <w:ind w:right="-124" w:rightChars="-59" w:firstLine="0" w:firstLineChars="0"/>
                    <w:jc w:val="center"/>
                    <w:rPr>
                      <w:rStyle w:val="227"/>
                      <w:rFonts w:hint="default" w:ascii="Times New Roman" w:hAnsi="Times New Roman" w:eastAsia="宋体" w:cs="Times New Roman"/>
                      <w:color w:val="auto"/>
                      <w:sz w:val="18"/>
                      <w:szCs w:val="18"/>
                      <w:highlight w:val="none"/>
                    </w:rPr>
                  </w:pPr>
                </w:p>
              </w:tc>
              <w:tc>
                <w:tcPr>
                  <w:tcW w:w="805" w:type="pct"/>
                  <w:vMerge w:val="restart"/>
                  <w:tcBorders>
                    <w:top w:val="single" w:color="auto" w:sz="2" w:space="0"/>
                    <w:left w:val="single" w:color="auto" w:sz="2" w:space="0"/>
                    <w:right w:val="single" w:color="auto" w:sz="2" w:space="0"/>
                  </w:tcBorders>
                  <w:vAlign w:val="center"/>
                </w:tcPr>
                <w:p w14:paraId="6ACF3417">
                  <w:pPr>
                    <w:autoSpaceDE w:val="0"/>
                    <w:autoSpaceDN w:val="0"/>
                    <w:adjustRightInd w:val="0"/>
                    <w:spacing w:line="300" w:lineRule="exact"/>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危废间</w:t>
                  </w:r>
                </w:p>
              </w:tc>
              <w:tc>
                <w:tcPr>
                  <w:tcW w:w="639" w:type="pct"/>
                  <w:tcBorders>
                    <w:top w:val="single" w:color="auto" w:sz="2" w:space="0"/>
                    <w:left w:val="single" w:color="auto" w:sz="2" w:space="0"/>
                    <w:bottom w:val="single" w:color="auto" w:sz="2" w:space="0"/>
                    <w:right w:val="single" w:color="auto" w:sz="2" w:space="0"/>
                  </w:tcBorders>
                  <w:shd w:val="clear" w:color="auto" w:fill="auto"/>
                  <w:vAlign w:val="center"/>
                </w:tcPr>
                <w:p w14:paraId="5AD18E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胶水废包装桶</w:t>
                  </w:r>
                </w:p>
              </w:tc>
              <w:tc>
                <w:tcPr>
                  <w:tcW w:w="853" w:type="pct"/>
                  <w:tcBorders>
                    <w:top w:val="single" w:color="auto" w:sz="2" w:space="0"/>
                    <w:left w:val="single" w:color="auto" w:sz="2" w:space="0"/>
                    <w:bottom w:val="single" w:color="auto" w:sz="2" w:space="0"/>
                    <w:right w:val="single" w:color="auto" w:sz="2" w:space="0"/>
                  </w:tcBorders>
                  <w:shd w:val="clear" w:color="auto" w:fill="auto"/>
                  <w:vAlign w:val="center"/>
                </w:tcPr>
                <w:p w14:paraId="7391F5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HW49，</w:t>
                  </w:r>
                  <w:r>
                    <w:rPr>
                      <w:rFonts w:hint="default" w:ascii="Times New Roman" w:hAnsi="Times New Roman" w:eastAsia="宋体" w:cs="Times New Roman"/>
                      <w:color w:val="auto"/>
                      <w:sz w:val="18"/>
                      <w:szCs w:val="18"/>
                      <w:highlight w:val="none"/>
                      <w:lang w:val="en-US" w:eastAsia="zh-CN"/>
                    </w:rPr>
                    <w:t>900-041-49</w:t>
                  </w:r>
                </w:p>
              </w:tc>
              <w:tc>
                <w:tcPr>
                  <w:tcW w:w="582" w:type="pct"/>
                  <w:vMerge w:val="restart"/>
                  <w:tcBorders>
                    <w:top w:val="single" w:color="auto" w:sz="2" w:space="0"/>
                    <w:left w:val="single" w:color="auto" w:sz="2" w:space="0"/>
                    <w:right w:val="single" w:color="auto" w:sz="2" w:space="0"/>
                  </w:tcBorders>
                  <w:vAlign w:val="center"/>
                </w:tcPr>
                <w:p w14:paraId="5D2F3008">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生产</w:t>
                  </w:r>
                  <w:r>
                    <w:rPr>
                      <w:rFonts w:hint="default" w:ascii="Times New Roman" w:hAnsi="Times New Roman" w:eastAsia="宋体" w:cs="Times New Roman"/>
                      <w:color w:val="auto"/>
                      <w:sz w:val="18"/>
                      <w:szCs w:val="18"/>
                      <w:highlight w:val="none"/>
                    </w:rPr>
                    <w:t>车间</w:t>
                  </w:r>
                  <w:r>
                    <w:rPr>
                      <w:rFonts w:hint="eastAsia" w:cs="Times New Roman"/>
                      <w:color w:val="auto"/>
                      <w:sz w:val="18"/>
                      <w:szCs w:val="18"/>
                      <w:highlight w:val="none"/>
                      <w:lang w:val="en-US" w:eastAsia="zh-CN"/>
                    </w:rPr>
                    <w:t>西北</w:t>
                  </w:r>
                  <w:r>
                    <w:rPr>
                      <w:rFonts w:hint="default" w:ascii="Times New Roman" w:hAnsi="Times New Roman" w:eastAsia="宋体" w:cs="Times New Roman"/>
                      <w:color w:val="auto"/>
                      <w:sz w:val="18"/>
                      <w:szCs w:val="18"/>
                      <w:highlight w:val="none"/>
                    </w:rPr>
                    <w:t>角</w:t>
                  </w:r>
                </w:p>
              </w:tc>
              <w:tc>
                <w:tcPr>
                  <w:tcW w:w="451" w:type="pct"/>
                  <w:tcBorders>
                    <w:top w:val="single" w:color="auto" w:sz="2" w:space="0"/>
                    <w:left w:val="single" w:color="auto" w:sz="2" w:space="0"/>
                    <w:right w:val="single" w:color="auto" w:sz="2" w:space="0"/>
                  </w:tcBorders>
                  <w:vAlign w:val="center"/>
                </w:tcPr>
                <w:p w14:paraId="42A2DAD8">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2</w:t>
                  </w:r>
                </w:p>
              </w:tc>
              <w:tc>
                <w:tcPr>
                  <w:tcW w:w="710" w:type="pct"/>
                  <w:tcBorders>
                    <w:top w:val="single" w:color="auto" w:sz="2" w:space="0"/>
                    <w:left w:val="single" w:color="auto" w:sz="2" w:space="0"/>
                    <w:bottom w:val="single" w:color="auto" w:sz="2" w:space="0"/>
                    <w:right w:val="single" w:color="auto" w:sz="2" w:space="0"/>
                  </w:tcBorders>
                  <w:vAlign w:val="center"/>
                </w:tcPr>
                <w:p w14:paraId="777AF62F">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密闭堆存</w:t>
                  </w:r>
                </w:p>
              </w:tc>
              <w:tc>
                <w:tcPr>
                  <w:tcW w:w="676" w:type="pct"/>
                  <w:tcBorders>
                    <w:top w:val="single" w:color="auto" w:sz="2" w:space="0"/>
                    <w:left w:val="single" w:color="auto" w:sz="2" w:space="0"/>
                    <w:bottom w:val="single" w:color="auto" w:sz="2" w:space="0"/>
                    <w:right w:val="single" w:color="auto" w:sz="2" w:space="0"/>
                  </w:tcBorders>
                  <w:vAlign w:val="center"/>
                </w:tcPr>
                <w:p w14:paraId="557DA35F">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12个月</w:t>
                  </w:r>
                </w:p>
              </w:tc>
            </w:tr>
            <w:tr w14:paraId="273AB97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1" w:type="pct"/>
                  <w:vMerge w:val="continue"/>
                  <w:tcBorders>
                    <w:left w:val="single" w:color="auto" w:sz="2" w:space="0"/>
                    <w:right w:val="single" w:color="auto" w:sz="2" w:space="0"/>
                  </w:tcBorders>
                  <w:vAlign w:val="center"/>
                </w:tcPr>
                <w:p w14:paraId="25C793EE">
                  <w:pPr>
                    <w:pStyle w:val="1042"/>
                    <w:spacing w:before="120" w:beforeLines="50"/>
                    <w:ind w:right="-124" w:rightChars="-59" w:firstLine="0" w:firstLineChars="0"/>
                    <w:rPr>
                      <w:rStyle w:val="227"/>
                      <w:rFonts w:hint="default" w:ascii="Times New Roman" w:hAnsi="Times New Roman" w:eastAsia="宋体" w:cs="Times New Roman"/>
                      <w:color w:val="auto"/>
                      <w:sz w:val="18"/>
                      <w:szCs w:val="18"/>
                      <w:highlight w:val="none"/>
                    </w:rPr>
                  </w:pPr>
                </w:p>
              </w:tc>
              <w:tc>
                <w:tcPr>
                  <w:tcW w:w="805" w:type="pct"/>
                  <w:vMerge w:val="continue"/>
                  <w:tcBorders>
                    <w:left w:val="single" w:color="auto" w:sz="2" w:space="0"/>
                    <w:right w:val="single" w:color="auto" w:sz="2" w:space="0"/>
                  </w:tcBorders>
                  <w:vAlign w:val="center"/>
                </w:tcPr>
                <w:p w14:paraId="73B0D2E8">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p>
              </w:tc>
              <w:tc>
                <w:tcPr>
                  <w:tcW w:w="639" w:type="pct"/>
                  <w:tcBorders>
                    <w:top w:val="single" w:color="auto" w:sz="2" w:space="0"/>
                    <w:left w:val="single" w:color="auto" w:sz="2" w:space="0"/>
                    <w:bottom w:val="single" w:color="auto" w:sz="2" w:space="0"/>
                    <w:right w:val="single" w:color="auto" w:sz="2" w:space="0"/>
                  </w:tcBorders>
                  <w:shd w:val="clear" w:color="auto" w:fill="auto"/>
                  <w:vAlign w:val="center"/>
                </w:tcPr>
                <w:p w14:paraId="6853DF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废活性炭</w:t>
                  </w:r>
                </w:p>
              </w:tc>
              <w:tc>
                <w:tcPr>
                  <w:tcW w:w="853" w:type="pct"/>
                  <w:tcBorders>
                    <w:top w:val="single" w:color="auto" w:sz="2" w:space="0"/>
                    <w:left w:val="single" w:color="auto" w:sz="2" w:space="0"/>
                    <w:bottom w:val="single" w:color="auto" w:sz="2" w:space="0"/>
                    <w:right w:val="single" w:color="auto" w:sz="2" w:space="0"/>
                  </w:tcBorders>
                  <w:shd w:val="clear" w:color="auto" w:fill="auto"/>
                  <w:vAlign w:val="center"/>
                </w:tcPr>
                <w:p w14:paraId="313481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HW49，</w:t>
                  </w:r>
                  <w:r>
                    <w:rPr>
                      <w:rFonts w:hint="default" w:ascii="Times New Roman" w:hAnsi="Times New Roman" w:eastAsia="宋体" w:cs="Times New Roman"/>
                      <w:color w:val="auto"/>
                      <w:sz w:val="18"/>
                      <w:szCs w:val="18"/>
                      <w:highlight w:val="none"/>
                      <w:lang w:val="en-US" w:eastAsia="zh-CN"/>
                    </w:rPr>
                    <w:t>900-039-49</w:t>
                  </w:r>
                </w:p>
              </w:tc>
              <w:tc>
                <w:tcPr>
                  <w:tcW w:w="582" w:type="pct"/>
                  <w:vMerge w:val="continue"/>
                  <w:tcBorders>
                    <w:left w:val="single" w:color="auto" w:sz="2" w:space="0"/>
                    <w:right w:val="single" w:color="auto" w:sz="2" w:space="0"/>
                  </w:tcBorders>
                  <w:vAlign w:val="center"/>
                </w:tcPr>
                <w:p w14:paraId="4A99E9D3">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p>
              </w:tc>
              <w:tc>
                <w:tcPr>
                  <w:tcW w:w="451" w:type="pct"/>
                  <w:tcBorders>
                    <w:left w:val="single" w:color="auto" w:sz="2" w:space="0"/>
                    <w:right w:val="single" w:color="auto" w:sz="2" w:space="0"/>
                  </w:tcBorders>
                  <w:vAlign w:val="center"/>
                </w:tcPr>
                <w:p w14:paraId="5FDAD80F">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2</w:t>
                  </w:r>
                </w:p>
              </w:tc>
              <w:tc>
                <w:tcPr>
                  <w:tcW w:w="710" w:type="pct"/>
                  <w:tcBorders>
                    <w:top w:val="single" w:color="auto" w:sz="2" w:space="0"/>
                    <w:left w:val="single" w:color="auto" w:sz="2" w:space="0"/>
                    <w:bottom w:val="single" w:color="auto" w:sz="2" w:space="0"/>
                    <w:right w:val="single" w:color="auto" w:sz="2" w:space="0"/>
                  </w:tcBorders>
                  <w:vAlign w:val="center"/>
                </w:tcPr>
                <w:p w14:paraId="7202BD05">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密闭堆存</w:t>
                  </w:r>
                </w:p>
              </w:tc>
              <w:tc>
                <w:tcPr>
                  <w:tcW w:w="676" w:type="pct"/>
                  <w:tcBorders>
                    <w:top w:val="single" w:color="auto" w:sz="2" w:space="0"/>
                    <w:left w:val="single" w:color="auto" w:sz="2" w:space="0"/>
                    <w:bottom w:val="single" w:color="auto" w:sz="2" w:space="0"/>
                    <w:right w:val="single" w:color="auto" w:sz="2" w:space="0"/>
                  </w:tcBorders>
                  <w:vAlign w:val="center"/>
                </w:tcPr>
                <w:p w14:paraId="339BD00E">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12个月</w:t>
                  </w:r>
                </w:p>
              </w:tc>
            </w:tr>
          </w:tbl>
          <w:p w14:paraId="0779721C">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 w:val="21"/>
                <w:szCs w:val="21"/>
                <w:highlight w:val="none"/>
                <w:lang w:val="zh-CN" w:eastAsia="zh-CN"/>
              </w:rPr>
            </w:pPr>
            <w:r>
              <w:rPr>
                <w:rFonts w:hint="eastAsia" w:cs="Times New Roman"/>
                <w:color w:val="auto"/>
                <w:kern w:val="0"/>
                <w:sz w:val="21"/>
                <w:szCs w:val="21"/>
                <w:highlight w:val="none"/>
                <w:lang w:val="zh-CN" w:eastAsia="zh-CN"/>
              </w:rPr>
              <w:t>危废间的建设及管理严格按照相关技术规范进行：</w:t>
            </w:r>
          </w:p>
          <w:p w14:paraId="49502D8F">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危险废物贮存容器使用符合标准的容器。容器及材质要满足相应的强度要求，且完好无损，材质和衬里与危险废物相容。</w:t>
            </w:r>
          </w:p>
          <w:p w14:paraId="7C6A34E0">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危废存储转运作好危险废物情况的记录，记录上注明危险废物的名称、来源、数量、特性和包装容器的类别、入库日期、存放库位、废物出库日期及接收单位名称；危险废物的相关记录台账应继续保留</w:t>
            </w:r>
            <w:r>
              <w:rPr>
                <w:rFonts w:hint="eastAsia" w:cs="Times New Roman"/>
                <w:color w:val="auto"/>
                <w:szCs w:val="21"/>
                <w:highlight w:val="none"/>
                <w:lang w:eastAsia="zh-CN"/>
              </w:rPr>
              <w:t>五</w:t>
            </w:r>
            <w:r>
              <w:rPr>
                <w:rFonts w:hint="default" w:ascii="Times New Roman" w:hAnsi="Times New Roman" w:cs="Times New Roman"/>
                <w:color w:val="auto"/>
                <w:szCs w:val="21"/>
                <w:highlight w:val="none"/>
              </w:rPr>
              <w:t>年。</w:t>
            </w:r>
          </w:p>
          <w:p w14:paraId="1C51E796">
            <w:pPr>
              <w:autoSpaceDE w:val="0"/>
              <w:autoSpaceDN w:val="0"/>
              <w:adjustRightInd w:val="0"/>
              <w:spacing w:line="360" w:lineRule="auto"/>
              <w:ind w:firstLine="420" w:firstLineChars="200"/>
              <w:rPr>
                <w:rFonts w:hint="eastAsia" w:eastAsia="宋体"/>
                <w:color w:val="auto"/>
                <w:szCs w:val="21"/>
                <w:highlight w:val="none"/>
                <w:lang w:eastAsia="zh-CN"/>
              </w:rPr>
            </w:pPr>
            <w:r>
              <w:rPr>
                <w:rFonts w:hint="default" w:ascii="Times New Roman" w:hAnsi="Times New Roman" w:cs="Times New Roman"/>
                <w:color w:val="auto"/>
                <w:szCs w:val="21"/>
                <w:highlight w:val="none"/>
              </w:rPr>
              <w:t>本项目产生的危险废物储存时间较短，危险废物定期清理，存放于危险暂存间中，及时交由相应的危险废物处置单位进行处理。采取以上措施后，本项目危险废物可以得到有效处理，不会对环境造成影响</w:t>
            </w:r>
            <w:r>
              <w:rPr>
                <w:rFonts w:hint="eastAsia" w:ascii="Times New Roman" w:hAnsi="Times New Roman" w:cs="Times New Roman"/>
                <w:color w:val="auto"/>
                <w:szCs w:val="21"/>
                <w:highlight w:val="none"/>
                <w:lang w:eastAsia="zh-CN"/>
              </w:rPr>
              <w:t>。</w:t>
            </w:r>
          </w:p>
          <w:p w14:paraId="68D4DDA8">
            <w:pPr>
              <w:adjustRightInd w:val="0"/>
              <w:snapToGrid w:val="0"/>
              <w:spacing w:line="360" w:lineRule="auto"/>
              <w:ind w:firstLine="422" w:firstLineChars="200"/>
              <w:rPr>
                <w:b/>
                <w:color w:val="auto"/>
                <w:highlight w:val="none"/>
              </w:rPr>
            </w:pPr>
            <w:r>
              <w:rPr>
                <w:b/>
                <w:color w:val="auto"/>
                <w:highlight w:val="none"/>
              </w:rPr>
              <w:t>五、地下水</w:t>
            </w:r>
          </w:p>
          <w:p w14:paraId="16F55C56">
            <w:pPr>
              <w:adjustRightInd w:val="0"/>
              <w:snapToGrid w:val="0"/>
              <w:spacing w:line="360" w:lineRule="auto"/>
              <w:ind w:firstLine="420" w:firstLineChars="200"/>
              <w:rPr>
                <w:bCs/>
                <w:color w:val="auto"/>
              </w:rPr>
            </w:pPr>
            <w:r>
              <w:rPr>
                <w:bCs/>
                <w:color w:val="auto"/>
              </w:rPr>
              <w:t>1、污染途径、类型</w:t>
            </w:r>
          </w:p>
          <w:p w14:paraId="53F4795E">
            <w:pPr>
              <w:adjustRightInd w:val="0"/>
              <w:snapToGrid w:val="0"/>
              <w:spacing w:line="360" w:lineRule="auto"/>
              <w:ind w:firstLine="420" w:firstLineChars="200"/>
              <w:rPr>
                <w:color w:val="auto"/>
              </w:rPr>
            </w:pPr>
            <w:r>
              <w:rPr>
                <w:color w:val="auto"/>
              </w:rPr>
              <w:t>本项目污染源主要为</w:t>
            </w:r>
            <w:r>
              <w:rPr>
                <w:rFonts w:hint="eastAsia"/>
                <w:color w:val="auto"/>
                <w:lang w:eastAsia="zh-CN"/>
              </w:rPr>
              <w:t>危废间、</w:t>
            </w:r>
            <w:r>
              <w:rPr>
                <w:color w:val="auto"/>
              </w:rPr>
              <w:t>化粪池。主要污染因子为COD、氨氮等。由于</w:t>
            </w:r>
            <w:r>
              <w:rPr>
                <w:rFonts w:hint="eastAsia"/>
                <w:color w:val="auto"/>
                <w:lang w:eastAsia="zh-CN"/>
              </w:rPr>
              <w:t>危废间、</w:t>
            </w:r>
            <w:r>
              <w:rPr>
                <w:color w:val="auto"/>
              </w:rPr>
              <w:t>化粪池进行相应的防渗和硬化处理，即使上述污染源发生泄漏在防渗层完好的情况下也不会发生垂直入渗现象。故而本项目对地下水几乎无影响途径。</w:t>
            </w:r>
          </w:p>
          <w:p w14:paraId="54FDEDF1">
            <w:pPr>
              <w:adjustRightInd w:val="0"/>
              <w:snapToGrid w:val="0"/>
              <w:spacing w:line="360" w:lineRule="auto"/>
              <w:ind w:firstLine="420" w:firstLineChars="200"/>
              <w:rPr>
                <w:bCs/>
                <w:color w:val="auto"/>
              </w:rPr>
            </w:pPr>
            <w:r>
              <w:rPr>
                <w:bCs/>
                <w:color w:val="auto"/>
              </w:rPr>
              <w:t>2、采取保护措施</w:t>
            </w:r>
          </w:p>
          <w:p w14:paraId="4167C97C">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本项目</w:t>
            </w:r>
            <w:r>
              <w:rPr>
                <w:rFonts w:hint="eastAsia" w:cs="Times New Roman"/>
                <w:bCs/>
                <w:color w:val="auto"/>
                <w:szCs w:val="21"/>
                <w:lang w:val="en-US" w:eastAsia="zh-CN"/>
              </w:rPr>
              <w:t>危废间</w:t>
            </w:r>
            <w:r>
              <w:rPr>
                <w:rFonts w:hint="default" w:ascii="Times New Roman" w:hAnsi="Times New Roman" w:eastAsia="宋体" w:cs="Times New Roman"/>
                <w:bCs/>
                <w:color w:val="auto"/>
                <w:szCs w:val="21"/>
                <w:lang w:val="en-US" w:eastAsia="zh-CN"/>
              </w:rPr>
              <w:t>、</w:t>
            </w:r>
            <w:r>
              <w:rPr>
                <w:rFonts w:hint="default" w:ascii="Times New Roman" w:hAnsi="Times New Roman" w:eastAsia="宋体" w:cs="Times New Roman"/>
                <w:bCs/>
                <w:color w:val="auto"/>
                <w:szCs w:val="21"/>
              </w:rPr>
              <w:t>化粪池需严格进行防渗硬化，进行重点防渗处理，车间进行一般防渗。分区防渗措施见表4-</w:t>
            </w:r>
            <w:r>
              <w:rPr>
                <w:rFonts w:hint="eastAsia" w:cs="Times New Roman"/>
                <w:bCs/>
                <w:color w:val="auto"/>
                <w:szCs w:val="21"/>
                <w:lang w:val="en-US" w:eastAsia="zh-CN"/>
              </w:rPr>
              <w:t>15</w:t>
            </w:r>
            <w:r>
              <w:rPr>
                <w:rFonts w:hint="default" w:ascii="Times New Roman" w:hAnsi="Times New Roman" w:eastAsia="宋体" w:cs="Times New Roman"/>
                <w:bCs/>
                <w:color w:val="auto"/>
                <w:szCs w:val="21"/>
              </w:rPr>
              <w:t>。企业定期对地面进行检查维护，防止防渗层的破坏，在采取相应的措施后，即使发生泄漏由于进行防渗处理，废液也无法进行下渗，本项目的运营几乎没有影响途径，对地下水影响较小。</w:t>
            </w:r>
          </w:p>
          <w:p w14:paraId="2F2D0FC4">
            <w:pPr>
              <w:keepNext w:val="0"/>
              <w:keepLines w:val="0"/>
              <w:pageBreakBefore w:val="0"/>
              <w:widowControl w:val="0"/>
              <w:kinsoku/>
              <w:wordWrap/>
              <w:overflowPunct/>
              <w:topLinePunct w:val="0"/>
              <w:autoSpaceDE w:val="0"/>
              <w:autoSpaceDN w:val="0"/>
              <w:bidi w:val="0"/>
              <w:adjustRightInd w:val="0"/>
              <w:snapToGrid w:val="0"/>
              <w:spacing w:line="360" w:lineRule="auto"/>
              <w:ind w:firstLine="25" w:firstLineChars="12"/>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表4-</w:t>
            </w:r>
            <w:r>
              <w:rPr>
                <w:rFonts w:hint="eastAsia" w:cs="Times New Roman"/>
                <w:b/>
                <w:bCs/>
                <w:color w:val="auto"/>
                <w:szCs w:val="21"/>
                <w:lang w:val="en-US" w:eastAsia="zh-CN"/>
              </w:rPr>
              <w:t>15</w:t>
            </w:r>
            <w:r>
              <w:rPr>
                <w:rFonts w:hint="eastAsia" w:cs="Times New Roman"/>
                <w:b/>
                <w:bCs/>
                <w:color w:val="auto"/>
                <w:szCs w:val="21"/>
                <w:lang w:eastAsia="zh-CN"/>
              </w:rPr>
              <w:t>本项目</w:t>
            </w:r>
            <w:r>
              <w:rPr>
                <w:rFonts w:hint="default" w:ascii="Times New Roman" w:hAnsi="Times New Roman" w:eastAsia="宋体" w:cs="Times New Roman"/>
                <w:b/>
                <w:bCs/>
                <w:color w:val="auto"/>
                <w:szCs w:val="21"/>
              </w:rPr>
              <w:t>拟采取的防腐、防渗措施</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5"/>
              <w:gridCol w:w="1140"/>
              <w:gridCol w:w="1903"/>
              <w:gridCol w:w="4527"/>
            </w:tblGrid>
            <w:tr w14:paraId="206E8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tcBorders>
                    <w:top w:val="single" w:color="auto" w:sz="4" w:space="0"/>
                    <w:left w:val="single" w:color="auto" w:sz="4" w:space="0"/>
                    <w:bottom w:val="single" w:color="auto" w:sz="4" w:space="0"/>
                    <w:right w:val="single" w:color="auto" w:sz="4" w:space="0"/>
                  </w:tcBorders>
                  <w:vAlign w:val="center"/>
                </w:tcPr>
                <w:p w14:paraId="1C130FCC">
                  <w:pPr>
                    <w:adjustRightInd w:val="0"/>
                    <w:snapToGrid w:val="0"/>
                    <w:spacing w:line="300" w:lineRule="exact"/>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序号</w:t>
                  </w:r>
                </w:p>
              </w:tc>
              <w:tc>
                <w:tcPr>
                  <w:tcW w:w="681" w:type="pct"/>
                  <w:tcBorders>
                    <w:top w:val="single" w:color="auto" w:sz="4" w:space="0"/>
                    <w:left w:val="single" w:color="auto" w:sz="4" w:space="0"/>
                    <w:bottom w:val="single" w:color="auto" w:sz="4" w:space="0"/>
                    <w:right w:val="single" w:color="auto" w:sz="4" w:space="0"/>
                  </w:tcBorders>
                  <w:vAlign w:val="center"/>
                </w:tcPr>
                <w:p w14:paraId="35B601D4">
                  <w:pPr>
                    <w:adjustRightInd w:val="0"/>
                    <w:snapToGrid w:val="0"/>
                    <w:spacing w:line="300" w:lineRule="exact"/>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分区</w:t>
                  </w:r>
                </w:p>
              </w:tc>
              <w:tc>
                <w:tcPr>
                  <w:tcW w:w="1137" w:type="pct"/>
                  <w:tcBorders>
                    <w:top w:val="single" w:color="auto" w:sz="4" w:space="0"/>
                    <w:left w:val="single" w:color="auto" w:sz="4" w:space="0"/>
                    <w:bottom w:val="single" w:color="auto" w:sz="4" w:space="0"/>
                    <w:right w:val="single" w:color="auto" w:sz="4" w:space="0"/>
                  </w:tcBorders>
                  <w:vAlign w:val="center"/>
                </w:tcPr>
                <w:p w14:paraId="18D88579">
                  <w:pPr>
                    <w:adjustRightInd w:val="0"/>
                    <w:snapToGrid w:val="0"/>
                    <w:spacing w:line="300" w:lineRule="exact"/>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名称</w:t>
                  </w:r>
                </w:p>
              </w:tc>
              <w:tc>
                <w:tcPr>
                  <w:tcW w:w="2704" w:type="pct"/>
                  <w:tcBorders>
                    <w:top w:val="single" w:color="auto" w:sz="4" w:space="0"/>
                    <w:left w:val="single" w:color="auto" w:sz="4" w:space="0"/>
                    <w:bottom w:val="single" w:color="auto" w:sz="4" w:space="0"/>
                    <w:right w:val="single" w:color="auto" w:sz="4" w:space="0"/>
                  </w:tcBorders>
                  <w:vAlign w:val="center"/>
                </w:tcPr>
                <w:p w14:paraId="490F26D0">
                  <w:pPr>
                    <w:adjustRightInd w:val="0"/>
                    <w:snapToGrid w:val="0"/>
                    <w:spacing w:line="300" w:lineRule="exact"/>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防渗要求</w:t>
                  </w:r>
                </w:p>
              </w:tc>
            </w:tr>
            <w:tr w14:paraId="48761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restart"/>
                  <w:tcBorders>
                    <w:top w:val="single" w:color="auto" w:sz="4" w:space="0"/>
                    <w:left w:val="single" w:color="auto" w:sz="4" w:space="0"/>
                    <w:bottom w:val="single" w:color="auto" w:sz="4" w:space="0"/>
                    <w:right w:val="single" w:color="auto" w:sz="4" w:space="0"/>
                  </w:tcBorders>
                  <w:vAlign w:val="center"/>
                </w:tcPr>
                <w:p w14:paraId="0C64D864">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681" w:type="pct"/>
                  <w:vMerge w:val="restart"/>
                  <w:tcBorders>
                    <w:top w:val="single" w:color="auto" w:sz="4" w:space="0"/>
                    <w:left w:val="single" w:color="auto" w:sz="4" w:space="0"/>
                    <w:bottom w:val="single" w:color="auto" w:sz="4" w:space="0"/>
                    <w:right w:val="single" w:color="auto" w:sz="4" w:space="0"/>
                  </w:tcBorders>
                  <w:vAlign w:val="center"/>
                </w:tcPr>
                <w:p w14:paraId="46BB13C0">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重点防渗区</w:t>
                  </w:r>
                </w:p>
              </w:tc>
              <w:tc>
                <w:tcPr>
                  <w:tcW w:w="1137" w:type="pct"/>
                  <w:tcBorders>
                    <w:top w:val="single" w:color="auto" w:sz="4" w:space="0"/>
                    <w:left w:val="single" w:color="auto" w:sz="4" w:space="0"/>
                    <w:bottom w:val="single" w:color="auto" w:sz="4" w:space="0"/>
                    <w:right w:val="single" w:color="auto" w:sz="4" w:space="0"/>
                  </w:tcBorders>
                  <w:vAlign w:val="center"/>
                </w:tcPr>
                <w:p w14:paraId="1C975D42">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化粪池</w:t>
                  </w:r>
                </w:p>
              </w:tc>
              <w:tc>
                <w:tcPr>
                  <w:tcW w:w="2704" w:type="pct"/>
                  <w:tcBorders>
                    <w:top w:val="single" w:color="auto" w:sz="4" w:space="0"/>
                    <w:left w:val="single" w:color="auto" w:sz="4" w:space="0"/>
                    <w:bottom w:val="single" w:color="auto" w:sz="4" w:space="0"/>
                    <w:right w:val="single" w:color="auto" w:sz="4" w:space="0"/>
                  </w:tcBorders>
                  <w:vAlign w:val="center"/>
                </w:tcPr>
                <w:p w14:paraId="00287255">
                  <w:pPr>
                    <w:adjustRightInd w:val="0"/>
                    <w:snapToGri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等效黏土防渗层Mb≥6.0m，K≤1×10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w:t>
                  </w:r>
                </w:p>
              </w:tc>
            </w:tr>
            <w:tr w14:paraId="44AD5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continue"/>
                  <w:tcBorders>
                    <w:top w:val="single" w:color="auto" w:sz="4" w:space="0"/>
                    <w:left w:val="single" w:color="auto" w:sz="4" w:space="0"/>
                    <w:bottom w:val="single" w:color="auto" w:sz="4" w:space="0"/>
                    <w:right w:val="single" w:color="auto" w:sz="4" w:space="0"/>
                  </w:tcBorders>
                  <w:vAlign w:val="center"/>
                </w:tcPr>
                <w:p w14:paraId="7F473F1C">
                  <w:pPr>
                    <w:adjustRightInd w:val="0"/>
                    <w:snapToGrid w:val="0"/>
                    <w:spacing w:line="300" w:lineRule="exact"/>
                    <w:jc w:val="center"/>
                    <w:rPr>
                      <w:rFonts w:hint="default" w:ascii="Times New Roman" w:hAnsi="Times New Roman" w:eastAsia="宋体" w:cs="Times New Roman"/>
                      <w:color w:val="auto"/>
                      <w:sz w:val="18"/>
                      <w:szCs w:val="18"/>
                    </w:rPr>
                  </w:pPr>
                </w:p>
              </w:tc>
              <w:tc>
                <w:tcPr>
                  <w:tcW w:w="681" w:type="pct"/>
                  <w:vMerge w:val="continue"/>
                  <w:tcBorders>
                    <w:top w:val="single" w:color="auto" w:sz="4" w:space="0"/>
                    <w:left w:val="single" w:color="auto" w:sz="4" w:space="0"/>
                    <w:bottom w:val="single" w:color="auto" w:sz="4" w:space="0"/>
                    <w:right w:val="single" w:color="auto" w:sz="4" w:space="0"/>
                  </w:tcBorders>
                  <w:vAlign w:val="center"/>
                </w:tcPr>
                <w:p w14:paraId="7B9A6B4E">
                  <w:pPr>
                    <w:adjustRightInd w:val="0"/>
                    <w:snapToGrid w:val="0"/>
                    <w:spacing w:line="300" w:lineRule="exact"/>
                    <w:jc w:val="center"/>
                    <w:rPr>
                      <w:rFonts w:hint="default" w:ascii="Times New Roman" w:hAnsi="Times New Roman" w:eastAsia="宋体" w:cs="Times New Roman"/>
                      <w:color w:val="auto"/>
                      <w:sz w:val="18"/>
                      <w:szCs w:val="18"/>
                    </w:rPr>
                  </w:pPr>
                </w:p>
              </w:tc>
              <w:tc>
                <w:tcPr>
                  <w:tcW w:w="1137" w:type="pct"/>
                  <w:tcBorders>
                    <w:top w:val="single" w:color="auto" w:sz="4" w:space="0"/>
                    <w:left w:val="single" w:color="auto" w:sz="4" w:space="0"/>
                    <w:bottom w:val="single" w:color="auto" w:sz="4" w:space="0"/>
                    <w:right w:val="single" w:color="auto" w:sz="4" w:space="0"/>
                  </w:tcBorders>
                  <w:vAlign w:val="center"/>
                </w:tcPr>
                <w:p w14:paraId="54CE140B">
                  <w:pPr>
                    <w:adjustRightInd w:val="0"/>
                    <w:snapToGrid w:val="0"/>
                    <w:spacing w:line="300" w:lineRule="exact"/>
                    <w:jc w:val="center"/>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危废间</w:t>
                  </w:r>
                </w:p>
              </w:tc>
              <w:tc>
                <w:tcPr>
                  <w:tcW w:w="2704" w:type="pct"/>
                  <w:tcBorders>
                    <w:top w:val="single" w:color="auto" w:sz="4" w:space="0"/>
                    <w:left w:val="single" w:color="auto" w:sz="4" w:space="0"/>
                    <w:bottom w:val="single" w:color="auto" w:sz="4" w:space="0"/>
                    <w:right w:val="single" w:color="auto" w:sz="4" w:space="0"/>
                  </w:tcBorders>
                  <w:vAlign w:val="center"/>
                </w:tcPr>
                <w:p w14:paraId="359E685D">
                  <w:pPr>
                    <w:adjustRightInd w:val="0"/>
                    <w:snapToGri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至少1m厚黏土层（渗透系数K≤1×10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cm/s），或2mm厚高密度聚乙烯膜，或至少2mm厚的其他人工材料，渗透系数≤10</w:t>
                  </w:r>
                  <w:r>
                    <w:rPr>
                      <w:rFonts w:hint="default" w:ascii="Times New Roman" w:hAnsi="Times New Roman" w:eastAsia="宋体" w:cs="Times New Roman"/>
                      <w:color w:val="auto"/>
                      <w:sz w:val="18"/>
                      <w:szCs w:val="18"/>
                      <w:highlight w:val="none"/>
                      <w:vertAlign w:val="superscript"/>
                    </w:rPr>
                    <w:t>-10</w:t>
                  </w:r>
                  <w:r>
                    <w:rPr>
                      <w:rFonts w:hint="default" w:ascii="Times New Roman" w:hAnsi="Times New Roman" w:eastAsia="宋体" w:cs="Times New Roman"/>
                      <w:color w:val="auto"/>
                      <w:sz w:val="18"/>
                      <w:szCs w:val="18"/>
                      <w:highlight w:val="none"/>
                    </w:rPr>
                    <w:t>cm/s</w:t>
                  </w:r>
                </w:p>
              </w:tc>
            </w:tr>
            <w:tr w14:paraId="6972C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restart"/>
                  <w:tcBorders>
                    <w:top w:val="single" w:color="auto" w:sz="4" w:space="0"/>
                    <w:left w:val="single" w:color="auto" w:sz="4" w:space="0"/>
                    <w:bottom w:val="single" w:color="auto" w:sz="4" w:space="0"/>
                    <w:right w:val="single" w:color="auto" w:sz="4" w:space="0"/>
                  </w:tcBorders>
                  <w:vAlign w:val="center"/>
                </w:tcPr>
                <w:p w14:paraId="3CD3AAAF">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w:t>
                  </w:r>
                </w:p>
              </w:tc>
              <w:tc>
                <w:tcPr>
                  <w:tcW w:w="681" w:type="pct"/>
                  <w:vMerge w:val="restart"/>
                  <w:tcBorders>
                    <w:top w:val="single" w:color="auto" w:sz="4" w:space="0"/>
                    <w:left w:val="single" w:color="auto" w:sz="4" w:space="0"/>
                    <w:bottom w:val="single" w:color="auto" w:sz="4" w:space="0"/>
                    <w:right w:val="single" w:color="auto" w:sz="4" w:space="0"/>
                  </w:tcBorders>
                  <w:vAlign w:val="center"/>
                </w:tcPr>
                <w:p w14:paraId="16694CFB">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一般防渗区</w:t>
                  </w:r>
                </w:p>
              </w:tc>
              <w:tc>
                <w:tcPr>
                  <w:tcW w:w="1137" w:type="pct"/>
                  <w:tcBorders>
                    <w:top w:val="single" w:color="auto" w:sz="4" w:space="0"/>
                    <w:left w:val="single" w:color="auto" w:sz="4" w:space="0"/>
                    <w:bottom w:val="single" w:color="auto" w:sz="4" w:space="0"/>
                    <w:right w:val="single" w:color="auto" w:sz="4" w:space="0"/>
                  </w:tcBorders>
                  <w:vAlign w:val="center"/>
                </w:tcPr>
                <w:p w14:paraId="49FD91AD">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生产区</w:t>
                  </w:r>
                </w:p>
              </w:tc>
              <w:tc>
                <w:tcPr>
                  <w:tcW w:w="2704" w:type="pct"/>
                  <w:vMerge w:val="restart"/>
                  <w:tcBorders>
                    <w:top w:val="single" w:color="auto" w:sz="4" w:space="0"/>
                    <w:left w:val="single" w:color="auto" w:sz="4" w:space="0"/>
                    <w:bottom w:val="single" w:color="auto" w:sz="4" w:space="0"/>
                    <w:right w:val="single" w:color="auto" w:sz="4" w:space="0"/>
                  </w:tcBorders>
                  <w:vAlign w:val="center"/>
                </w:tcPr>
                <w:p w14:paraId="2390C43B">
                  <w:pPr>
                    <w:adjustRightInd w:val="0"/>
                    <w:snapToGri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等效黏土防渗层Mb≥1.5m，K≤1×10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w:t>
                  </w:r>
                </w:p>
              </w:tc>
            </w:tr>
            <w:tr w14:paraId="2C9F4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continue"/>
                  <w:tcBorders>
                    <w:top w:val="single" w:color="auto" w:sz="4" w:space="0"/>
                    <w:left w:val="single" w:color="auto" w:sz="4" w:space="0"/>
                    <w:bottom w:val="single" w:color="auto" w:sz="4" w:space="0"/>
                    <w:right w:val="single" w:color="auto" w:sz="4" w:space="0"/>
                  </w:tcBorders>
                  <w:vAlign w:val="center"/>
                </w:tcPr>
                <w:p w14:paraId="7F3648B1">
                  <w:pPr>
                    <w:adjustRightInd w:val="0"/>
                    <w:snapToGrid w:val="0"/>
                    <w:spacing w:line="300" w:lineRule="exact"/>
                    <w:jc w:val="center"/>
                    <w:rPr>
                      <w:rFonts w:hint="default" w:ascii="Times New Roman" w:hAnsi="Times New Roman" w:eastAsia="宋体" w:cs="Times New Roman"/>
                      <w:color w:val="auto"/>
                      <w:sz w:val="18"/>
                      <w:szCs w:val="18"/>
                    </w:rPr>
                  </w:pPr>
                </w:p>
              </w:tc>
              <w:tc>
                <w:tcPr>
                  <w:tcW w:w="681" w:type="pct"/>
                  <w:vMerge w:val="continue"/>
                  <w:tcBorders>
                    <w:top w:val="single" w:color="auto" w:sz="4" w:space="0"/>
                    <w:left w:val="single" w:color="auto" w:sz="4" w:space="0"/>
                    <w:bottom w:val="single" w:color="auto" w:sz="4" w:space="0"/>
                    <w:right w:val="single" w:color="auto" w:sz="4" w:space="0"/>
                  </w:tcBorders>
                  <w:vAlign w:val="center"/>
                </w:tcPr>
                <w:p w14:paraId="390EDCA0">
                  <w:pPr>
                    <w:adjustRightInd w:val="0"/>
                    <w:snapToGrid w:val="0"/>
                    <w:spacing w:line="300" w:lineRule="exact"/>
                    <w:jc w:val="center"/>
                    <w:rPr>
                      <w:rFonts w:hint="default" w:ascii="Times New Roman" w:hAnsi="Times New Roman" w:eastAsia="宋体" w:cs="Times New Roman"/>
                      <w:color w:val="auto"/>
                      <w:sz w:val="18"/>
                      <w:szCs w:val="18"/>
                    </w:rPr>
                  </w:pPr>
                </w:p>
              </w:tc>
              <w:tc>
                <w:tcPr>
                  <w:tcW w:w="1137" w:type="pct"/>
                  <w:tcBorders>
                    <w:top w:val="single" w:color="auto" w:sz="4" w:space="0"/>
                    <w:left w:val="single" w:color="auto" w:sz="4" w:space="0"/>
                    <w:bottom w:val="single" w:color="auto" w:sz="4" w:space="0"/>
                    <w:right w:val="single" w:color="auto" w:sz="4" w:space="0"/>
                  </w:tcBorders>
                  <w:vAlign w:val="center"/>
                </w:tcPr>
                <w:p w14:paraId="3C8F8F94">
                  <w:pPr>
                    <w:adjustRightInd w:val="0"/>
                    <w:snapToGrid w:val="0"/>
                    <w:spacing w:line="30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一般</w:t>
                  </w:r>
                  <w:r>
                    <w:rPr>
                      <w:rFonts w:hint="default" w:ascii="Times New Roman" w:hAnsi="Times New Roman" w:eastAsia="宋体" w:cs="Times New Roman"/>
                      <w:color w:val="auto"/>
                      <w:sz w:val="18"/>
                      <w:szCs w:val="18"/>
                      <w:lang w:val="en-US" w:eastAsia="zh-CN"/>
                    </w:rPr>
                    <w:t>固废暂存间</w:t>
                  </w:r>
                </w:p>
              </w:tc>
              <w:tc>
                <w:tcPr>
                  <w:tcW w:w="2704" w:type="pct"/>
                  <w:vMerge w:val="continue"/>
                  <w:tcBorders>
                    <w:top w:val="single" w:color="auto" w:sz="4" w:space="0"/>
                    <w:left w:val="single" w:color="auto" w:sz="4" w:space="0"/>
                    <w:bottom w:val="single" w:color="auto" w:sz="4" w:space="0"/>
                    <w:right w:val="single" w:color="auto" w:sz="4" w:space="0"/>
                  </w:tcBorders>
                  <w:vAlign w:val="center"/>
                </w:tcPr>
                <w:p w14:paraId="0574746A">
                  <w:pPr>
                    <w:adjustRightInd w:val="0"/>
                    <w:snapToGrid w:val="0"/>
                    <w:spacing w:line="300" w:lineRule="exact"/>
                    <w:jc w:val="center"/>
                    <w:rPr>
                      <w:rFonts w:hint="default" w:ascii="Times New Roman" w:hAnsi="Times New Roman" w:eastAsia="宋体" w:cs="Times New Roman"/>
                      <w:color w:val="auto"/>
                      <w:sz w:val="18"/>
                      <w:szCs w:val="18"/>
                      <w:highlight w:val="none"/>
                    </w:rPr>
                  </w:pPr>
                </w:p>
              </w:tc>
            </w:tr>
            <w:tr w14:paraId="11138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tcBorders>
                    <w:top w:val="single" w:color="auto" w:sz="4" w:space="0"/>
                    <w:left w:val="single" w:color="auto" w:sz="4" w:space="0"/>
                    <w:bottom w:val="single" w:color="auto" w:sz="4" w:space="0"/>
                    <w:right w:val="single" w:color="auto" w:sz="4" w:space="0"/>
                  </w:tcBorders>
                  <w:vAlign w:val="center"/>
                </w:tcPr>
                <w:p w14:paraId="15739B4D">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w:t>
                  </w:r>
                </w:p>
              </w:tc>
              <w:tc>
                <w:tcPr>
                  <w:tcW w:w="681" w:type="pct"/>
                  <w:tcBorders>
                    <w:top w:val="single" w:color="auto" w:sz="4" w:space="0"/>
                    <w:left w:val="single" w:color="auto" w:sz="4" w:space="0"/>
                    <w:bottom w:val="single" w:color="auto" w:sz="4" w:space="0"/>
                    <w:right w:val="single" w:color="auto" w:sz="4" w:space="0"/>
                  </w:tcBorders>
                  <w:vAlign w:val="center"/>
                </w:tcPr>
                <w:p w14:paraId="60B7F1DD">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简单防渗区</w:t>
                  </w:r>
                </w:p>
              </w:tc>
              <w:tc>
                <w:tcPr>
                  <w:tcW w:w="1137" w:type="pct"/>
                  <w:tcBorders>
                    <w:top w:val="single" w:color="auto" w:sz="4" w:space="0"/>
                    <w:left w:val="single" w:color="auto" w:sz="4" w:space="0"/>
                    <w:bottom w:val="single" w:color="auto" w:sz="4" w:space="0"/>
                    <w:right w:val="single" w:color="auto" w:sz="4" w:space="0"/>
                  </w:tcBorders>
                  <w:vAlign w:val="center"/>
                </w:tcPr>
                <w:p w14:paraId="7AC4F815">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其他区域</w:t>
                  </w:r>
                </w:p>
              </w:tc>
              <w:tc>
                <w:tcPr>
                  <w:tcW w:w="2704" w:type="pct"/>
                  <w:tcBorders>
                    <w:top w:val="single" w:color="auto" w:sz="4" w:space="0"/>
                    <w:left w:val="single" w:color="auto" w:sz="4" w:space="0"/>
                    <w:bottom w:val="single" w:color="auto" w:sz="4" w:space="0"/>
                    <w:right w:val="single" w:color="auto" w:sz="4" w:space="0"/>
                  </w:tcBorders>
                  <w:vAlign w:val="center"/>
                </w:tcPr>
                <w:p w14:paraId="21450512">
                  <w:pPr>
                    <w:adjustRightInd w:val="0"/>
                    <w:snapToGri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一般地面硬化措施</w:t>
                  </w:r>
                </w:p>
              </w:tc>
            </w:tr>
          </w:tbl>
          <w:p w14:paraId="176705B5">
            <w:pPr>
              <w:adjustRightInd w:val="0"/>
              <w:snapToGrid w:val="0"/>
              <w:spacing w:line="360" w:lineRule="auto"/>
              <w:ind w:firstLine="420" w:firstLineChars="200"/>
              <w:rPr>
                <w:bCs/>
                <w:color w:val="auto"/>
              </w:rPr>
            </w:pPr>
            <w:r>
              <w:rPr>
                <w:bCs/>
                <w:color w:val="auto"/>
              </w:rPr>
              <w:t>在日常运行时应当加强车间</w:t>
            </w:r>
            <w:r>
              <w:rPr>
                <w:rFonts w:hint="eastAsia"/>
                <w:bCs/>
                <w:color w:val="auto"/>
                <w:lang w:eastAsia="zh-CN"/>
              </w:rPr>
              <w:t>原料储存处</w:t>
            </w:r>
            <w:r>
              <w:rPr>
                <w:bCs/>
                <w:color w:val="auto"/>
              </w:rPr>
              <w:t>、危废间、化粪池的防渗的巡检和维护工作，确保防渗层不破损。在污染防治措施到位，严格管理的前提下，本项目对地下水影响极小。</w:t>
            </w:r>
          </w:p>
          <w:p w14:paraId="3852D141">
            <w:pPr>
              <w:adjustRightInd w:val="0"/>
              <w:snapToGrid w:val="0"/>
              <w:spacing w:line="360" w:lineRule="auto"/>
              <w:ind w:left="420"/>
              <w:rPr>
                <w:bCs/>
                <w:color w:val="auto"/>
              </w:rPr>
            </w:pPr>
            <w:r>
              <w:rPr>
                <w:bCs/>
                <w:color w:val="auto"/>
              </w:rPr>
              <w:t>3、跟踪监测要求</w:t>
            </w:r>
          </w:p>
          <w:p w14:paraId="3682F5E8">
            <w:pPr>
              <w:adjustRightInd w:val="0"/>
              <w:snapToGrid w:val="0"/>
              <w:spacing w:line="360" w:lineRule="auto"/>
              <w:ind w:firstLine="420" w:firstLineChars="200"/>
              <w:rPr>
                <w:bCs/>
                <w:color w:val="auto"/>
              </w:rPr>
            </w:pPr>
            <w:r>
              <w:rPr>
                <w:bCs/>
                <w:color w:val="auto"/>
                <w:lang w:val="zh-CN"/>
              </w:rPr>
              <w:t>根据以上分析，本项目正常工况下无污染地下水、土壤环境等重大污染源，且项目500米范围内无地下水集中式饮用水水源和热水、矿泉水、温泉等特殊地下水资源，运营期正常工况下不需要针对地下水、土壤环境污染进行跟踪监测</w:t>
            </w:r>
            <w:r>
              <w:rPr>
                <w:bCs/>
                <w:color w:val="auto"/>
              </w:rPr>
              <w:t>。</w:t>
            </w:r>
          </w:p>
          <w:p w14:paraId="5F2B2EA5">
            <w:pPr>
              <w:adjustRightInd w:val="0"/>
              <w:snapToGrid w:val="0"/>
              <w:spacing w:line="360" w:lineRule="auto"/>
              <w:ind w:firstLine="422" w:firstLineChars="200"/>
              <w:rPr>
                <w:b/>
                <w:color w:val="auto"/>
              </w:rPr>
            </w:pPr>
            <w:r>
              <w:rPr>
                <w:b/>
                <w:color w:val="auto"/>
              </w:rPr>
              <w:t>六、土壤</w:t>
            </w:r>
          </w:p>
          <w:p w14:paraId="017AAF6A">
            <w:pPr>
              <w:adjustRightInd w:val="0"/>
              <w:snapToGrid w:val="0"/>
              <w:spacing w:line="360" w:lineRule="auto"/>
              <w:ind w:firstLine="420" w:firstLineChars="200"/>
              <w:rPr>
                <w:bCs/>
                <w:color w:val="auto"/>
              </w:rPr>
            </w:pPr>
            <w:r>
              <w:rPr>
                <w:bCs/>
                <w:color w:val="auto"/>
              </w:rPr>
              <w:t>1、污染途径、类型</w:t>
            </w:r>
          </w:p>
          <w:p w14:paraId="0386C690">
            <w:pPr>
              <w:adjustRightInd w:val="0"/>
              <w:snapToGrid w:val="0"/>
              <w:spacing w:line="360" w:lineRule="auto"/>
              <w:ind w:firstLine="420" w:firstLineChars="200"/>
              <w:rPr>
                <w:bCs/>
                <w:color w:val="auto"/>
              </w:rPr>
            </w:pPr>
            <w:r>
              <w:rPr>
                <w:bCs/>
                <w:color w:val="auto"/>
              </w:rPr>
              <w:t>本项目对土壤可能造成的污染途径主要是危废间、化粪池、生产车间等区域的渗漏引起的土壤污染，以及废气有组织、无组织排放源排放的相关污染物的沉降，主要污染因子为</w:t>
            </w:r>
            <w:r>
              <w:rPr>
                <w:rFonts w:hint="eastAsia"/>
                <w:bCs/>
                <w:color w:val="auto"/>
                <w:lang w:val="en-US" w:eastAsia="zh-CN"/>
              </w:rPr>
              <w:t>颗粒物、VOCs、甲醛、苯酚</w:t>
            </w:r>
            <w:r>
              <w:rPr>
                <w:rFonts w:hint="eastAsia"/>
                <w:bCs/>
                <w:color w:val="auto"/>
                <w:lang w:eastAsia="zh-CN"/>
              </w:rPr>
              <w:t>、</w:t>
            </w:r>
            <w:r>
              <w:rPr>
                <w:bCs/>
                <w:color w:val="auto"/>
              </w:rPr>
              <w:t>COD、氨氮等。化粪池和危废暂存间均进行相应的重点防渗和硬化处理，生产车间内均进行一般防渗处理。拟建项目对土壤环境影响不大。</w:t>
            </w:r>
          </w:p>
          <w:p w14:paraId="3060FFFC">
            <w:pPr>
              <w:adjustRightInd w:val="0"/>
              <w:snapToGrid w:val="0"/>
              <w:spacing w:line="360" w:lineRule="auto"/>
              <w:ind w:firstLine="420" w:firstLineChars="200"/>
              <w:rPr>
                <w:bCs/>
                <w:color w:val="auto"/>
              </w:rPr>
            </w:pPr>
            <w:r>
              <w:rPr>
                <w:bCs/>
                <w:color w:val="auto"/>
              </w:rPr>
              <w:t>2、采取保护措施</w:t>
            </w:r>
          </w:p>
          <w:p w14:paraId="60BED808">
            <w:pPr>
              <w:adjustRightInd w:val="0"/>
              <w:snapToGrid w:val="0"/>
              <w:spacing w:line="360" w:lineRule="auto"/>
              <w:ind w:firstLine="420" w:firstLineChars="200"/>
              <w:rPr>
                <w:bCs/>
                <w:color w:val="auto"/>
              </w:rPr>
            </w:pPr>
            <w:r>
              <w:rPr>
                <w:rFonts w:hint="default" w:ascii="Times New Roman" w:hAnsi="Times New Roman" w:cs="Times New Roman"/>
                <w:bCs/>
                <w:color w:val="auto"/>
                <w:szCs w:val="21"/>
              </w:rPr>
              <w:t>本项目厂区车间根据生产情况的防渗硬化处理，防渗措施详见表4-</w:t>
            </w:r>
            <w:r>
              <w:rPr>
                <w:rFonts w:hint="eastAsia" w:cs="Times New Roman"/>
                <w:bCs/>
                <w:color w:val="auto"/>
                <w:szCs w:val="21"/>
                <w:lang w:val="en-US" w:eastAsia="zh-CN"/>
              </w:rPr>
              <w:t>15</w:t>
            </w:r>
            <w:r>
              <w:rPr>
                <w:rFonts w:hint="default" w:ascii="Times New Roman" w:hAnsi="Times New Roman" w:cs="Times New Roman"/>
                <w:bCs/>
                <w:color w:val="auto"/>
                <w:szCs w:val="21"/>
              </w:rPr>
              <w:t>。企业定期对地面进行检查维护，防止防渗层的破坏，在采取相应的措施后，本项目基本无法在防渗区下渗。综上，本项目的运营对土壤影响较小</w:t>
            </w:r>
            <w:r>
              <w:rPr>
                <w:bCs/>
                <w:color w:val="auto"/>
              </w:rPr>
              <w:t>。</w:t>
            </w:r>
          </w:p>
          <w:p w14:paraId="2D2099A4">
            <w:pPr>
              <w:adjustRightInd w:val="0"/>
              <w:snapToGrid w:val="0"/>
              <w:spacing w:line="360" w:lineRule="auto"/>
              <w:ind w:firstLine="420" w:firstLineChars="200"/>
              <w:rPr>
                <w:bCs/>
                <w:color w:val="auto"/>
              </w:rPr>
            </w:pPr>
            <w:r>
              <w:rPr>
                <w:bCs/>
                <w:color w:val="auto"/>
              </w:rPr>
              <w:t>3、跟踪监测</w:t>
            </w:r>
          </w:p>
          <w:p w14:paraId="7116FD11">
            <w:pPr>
              <w:adjustRightInd w:val="0"/>
              <w:snapToGrid w:val="0"/>
              <w:spacing w:line="360" w:lineRule="auto"/>
              <w:ind w:firstLine="420" w:firstLineChars="200"/>
              <w:rPr>
                <w:rFonts w:hint="eastAsia" w:ascii="Times New Roman" w:hAnsi="Times New Roman" w:eastAsia="宋体" w:cs="Times New Roman"/>
                <w:bCs/>
                <w:szCs w:val="21"/>
                <w:lang w:val="en-US" w:eastAsia="zh-CN"/>
              </w:rPr>
            </w:pPr>
            <w:r>
              <w:rPr>
                <w:rFonts w:hint="default" w:ascii="Times New Roman" w:hAnsi="Times New Roman" w:cs="Times New Roman"/>
                <w:bCs/>
                <w:szCs w:val="21"/>
              </w:rPr>
              <w:t>拟建项目拟设置一个厂内监测点</w:t>
            </w:r>
            <w:r>
              <w:rPr>
                <w:rFonts w:hint="eastAsia" w:cs="Times New Roman"/>
                <w:bCs/>
                <w:szCs w:val="21"/>
                <w:lang w:eastAsia="zh-CN"/>
              </w:rPr>
              <w:t>。</w:t>
            </w:r>
          </w:p>
          <w:p w14:paraId="7AA005D7">
            <w:pPr>
              <w:keepNext w:val="0"/>
              <w:keepLines w:val="0"/>
              <w:pageBreakBefore w:val="0"/>
              <w:widowControl w:val="0"/>
              <w:kinsoku/>
              <w:wordWrap/>
              <w:overflowPunct/>
              <w:topLinePunct w:val="0"/>
              <w:autoSpaceDE w:val="0"/>
              <w:autoSpaceDN w:val="0"/>
              <w:bidi w:val="0"/>
              <w:adjustRightInd w:val="0"/>
              <w:snapToGrid w:val="0"/>
              <w:spacing w:line="360" w:lineRule="auto"/>
              <w:ind w:firstLine="25" w:firstLineChars="12"/>
              <w:jc w:val="center"/>
              <w:textAlignment w:val="auto"/>
              <w:rPr>
                <w:rFonts w:hint="default" w:cs="Times New Roman"/>
                <w:b/>
                <w:bCs/>
                <w:color w:val="auto"/>
                <w:szCs w:val="21"/>
                <w:lang w:val="en-US" w:eastAsia="zh-CN"/>
              </w:rPr>
            </w:pPr>
            <w:r>
              <w:rPr>
                <w:rFonts w:hint="default" w:cs="Times New Roman"/>
                <w:b/>
                <w:bCs/>
                <w:color w:val="auto"/>
                <w:szCs w:val="21"/>
                <w:lang w:val="en-US" w:eastAsia="zh-CN"/>
              </w:rPr>
              <w:t>表4-</w:t>
            </w:r>
            <w:r>
              <w:rPr>
                <w:rFonts w:hint="eastAsia" w:cs="Times New Roman"/>
                <w:b/>
                <w:bCs/>
                <w:color w:val="auto"/>
                <w:szCs w:val="21"/>
                <w:lang w:val="en-US" w:eastAsia="zh-CN"/>
              </w:rPr>
              <w:t>16</w:t>
            </w:r>
            <w:r>
              <w:rPr>
                <w:rFonts w:hint="default" w:cs="Times New Roman"/>
                <w:b/>
                <w:bCs/>
                <w:color w:val="auto"/>
                <w:szCs w:val="21"/>
                <w:lang w:val="en-US" w:eastAsia="zh-CN"/>
              </w:rPr>
              <w:t>土壤跟踪监测方案</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1939"/>
              <w:gridCol w:w="1664"/>
              <w:gridCol w:w="1515"/>
              <w:gridCol w:w="2087"/>
            </w:tblGrid>
            <w:tr w14:paraId="0E68E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73" w:type="dxa"/>
                  <w:tcBorders>
                    <w:top w:val="single" w:color="auto" w:sz="4" w:space="0"/>
                    <w:left w:val="single" w:color="auto" w:sz="4" w:space="0"/>
                    <w:bottom w:val="single" w:color="auto" w:sz="4" w:space="0"/>
                    <w:right w:val="single" w:color="auto" w:sz="4" w:space="0"/>
                  </w:tcBorders>
                  <w:vAlign w:val="center"/>
                </w:tcPr>
                <w:p w14:paraId="18FC66BF">
                  <w:pPr>
                    <w:adjustRightInd w:val="0"/>
                    <w:snapToGrid w:val="0"/>
                    <w:spacing w:line="300" w:lineRule="exact"/>
                    <w:jc w:val="center"/>
                    <w:rPr>
                      <w:rFonts w:hint="default" w:ascii="Times New Roman" w:hAnsi="Times New Roman" w:cs="Times New Roman"/>
                      <w:b/>
                      <w:sz w:val="18"/>
                      <w:szCs w:val="18"/>
                    </w:rPr>
                  </w:pPr>
                  <w:r>
                    <w:rPr>
                      <w:rFonts w:hint="default" w:ascii="Times New Roman" w:hAnsi="Times New Roman" w:cs="Times New Roman"/>
                      <w:b/>
                      <w:sz w:val="18"/>
                      <w:szCs w:val="18"/>
                    </w:rPr>
                    <w:t>点位</w:t>
                  </w:r>
                </w:p>
              </w:tc>
              <w:tc>
                <w:tcPr>
                  <w:tcW w:w="1954" w:type="dxa"/>
                  <w:tcBorders>
                    <w:top w:val="single" w:color="auto" w:sz="4" w:space="0"/>
                    <w:left w:val="single" w:color="auto" w:sz="4" w:space="0"/>
                    <w:bottom w:val="single" w:color="auto" w:sz="4" w:space="0"/>
                    <w:right w:val="single" w:color="auto" w:sz="4" w:space="0"/>
                  </w:tcBorders>
                  <w:vAlign w:val="center"/>
                </w:tcPr>
                <w:p w14:paraId="1FAE6016">
                  <w:pPr>
                    <w:adjustRightInd w:val="0"/>
                    <w:snapToGrid w:val="0"/>
                    <w:spacing w:line="300" w:lineRule="exact"/>
                    <w:jc w:val="center"/>
                    <w:rPr>
                      <w:rFonts w:hint="default" w:ascii="Times New Roman" w:hAnsi="Times New Roman" w:cs="Times New Roman"/>
                      <w:b/>
                      <w:sz w:val="18"/>
                      <w:szCs w:val="18"/>
                    </w:rPr>
                  </w:pPr>
                  <w:r>
                    <w:rPr>
                      <w:rFonts w:hint="default" w:ascii="Times New Roman" w:hAnsi="Times New Roman" w:cs="Times New Roman"/>
                      <w:b/>
                      <w:sz w:val="18"/>
                      <w:szCs w:val="18"/>
                    </w:rPr>
                    <w:t>位置</w:t>
                  </w:r>
                </w:p>
              </w:tc>
              <w:tc>
                <w:tcPr>
                  <w:tcW w:w="1677" w:type="dxa"/>
                  <w:tcBorders>
                    <w:top w:val="single" w:color="auto" w:sz="4" w:space="0"/>
                    <w:left w:val="single" w:color="auto" w:sz="4" w:space="0"/>
                    <w:bottom w:val="single" w:color="auto" w:sz="4" w:space="0"/>
                    <w:right w:val="single" w:color="auto" w:sz="4" w:space="0"/>
                  </w:tcBorders>
                  <w:vAlign w:val="center"/>
                </w:tcPr>
                <w:p w14:paraId="33D87C86">
                  <w:pPr>
                    <w:adjustRightInd w:val="0"/>
                    <w:snapToGrid w:val="0"/>
                    <w:spacing w:line="300" w:lineRule="exact"/>
                    <w:jc w:val="center"/>
                    <w:rPr>
                      <w:rFonts w:hint="default" w:ascii="Times New Roman" w:hAnsi="Times New Roman" w:cs="Times New Roman"/>
                      <w:b/>
                      <w:sz w:val="18"/>
                      <w:szCs w:val="18"/>
                    </w:rPr>
                  </w:pPr>
                  <w:r>
                    <w:rPr>
                      <w:rFonts w:hint="default" w:ascii="Times New Roman" w:hAnsi="Times New Roman" w:cs="Times New Roman"/>
                      <w:b/>
                      <w:sz w:val="18"/>
                      <w:szCs w:val="18"/>
                    </w:rPr>
                    <w:t>特征因子</w:t>
                  </w:r>
                </w:p>
              </w:tc>
              <w:tc>
                <w:tcPr>
                  <w:tcW w:w="1527" w:type="dxa"/>
                  <w:tcBorders>
                    <w:top w:val="single" w:color="auto" w:sz="4" w:space="0"/>
                    <w:left w:val="single" w:color="auto" w:sz="4" w:space="0"/>
                    <w:bottom w:val="single" w:color="auto" w:sz="4" w:space="0"/>
                    <w:right w:val="single" w:color="auto" w:sz="4" w:space="0"/>
                  </w:tcBorders>
                  <w:vAlign w:val="center"/>
                </w:tcPr>
                <w:p w14:paraId="66138933">
                  <w:pPr>
                    <w:adjustRightInd w:val="0"/>
                    <w:snapToGrid w:val="0"/>
                    <w:spacing w:line="300" w:lineRule="exact"/>
                    <w:jc w:val="center"/>
                    <w:rPr>
                      <w:rFonts w:hint="default" w:ascii="Times New Roman" w:hAnsi="Times New Roman" w:cs="Times New Roman"/>
                      <w:b/>
                      <w:sz w:val="18"/>
                      <w:szCs w:val="18"/>
                    </w:rPr>
                  </w:pPr>
                  <w:r>
                    <w:rPr>
                      <w:rFonts w:hint="default" w:ascii="Times New Roman" w:hAnsi="Times New Roman" w:cs="Times New Roman"/>
                      <w:b/>
                      <w:sz w:val="18"/>
                      <w:szCs w:val="18"/>
                    </w:rPr>
                    <w:t>监测频次</w:t>
                  </w:r>
                </w:p>
              </w:tc>
              <w:tc>
                <w:tcPr>
                  <w:tcW w:w="2103" w:type="dxa"/>
                  <w:tcBorders>
                    <w:top w:val="single" w:color="auto" w:sz="4" w:space="0"/>
                    <w:left w:val="single" w:color="auto" w:sz="4" w:space="0"/>
                    <w:bottom w:val="single" w:color="auto" w:sz="4" w:space="0"/>
                    <w:right w:val="single" w:color="auto" w:sz="4" w:space="0"/>
                  </w:tcBorders>
                  <w:vAlign w:val="center"/>
                </w:tcPr>
                <w:p w14:paraId="7B951C9A">
                  <w:pPr>
                    <w:adjustRightInd w:val="0"/>
                    <w:snapToGrid w:val="0"/>
                    <w:spacing w:line="300" w:lineRule="exact"/>
                    <w:jc w:val="center"/>
                    <w:rPr>
                      <w:rFonts w:hint="default" w:ascii="Times New Roman" w:hAnsi="Times New Roman" w:cs="Times New Roman"/>
                      <w:b/>
                      <w:sz w:val="18"/>
                      <w:szCs w:val="18"/>
                    </w:rPr>
                  </w:pPr>
                  <w:r>
                    <w:rPr>
                      <w:rFonts w:hint="default" w:ascii="Times New Roman" w:hAnsi="Times New Roman" w:cs="Times New Roman"/>
                      <w:b/>
                      <w:sz w:val="18"/>
                      <w:szCs w:val="18"/>
                    </w:rPr>
                    <w:t>布设意义</w:t>
                  </w:r>
                </w:p>
              </w:tc>
            </w:tr>
            <w:tr w14:paraId="11878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3" w:type="dxa"/>
                  <w:tcBorders>
                    <w:top w:val="single" w:color="auto" w:sz="4" w:space="0"/>
                    <w:left w:val="single" w:color="auto" w:sz="4" w:space="0"/>
                    <w:bottom w:val="single" w:color="auto" w:sz="4" w:space="0"/>
                    <w:right w:val="single" w:color="auto" w:sz="4" w:space="0"/>
                  </w:tcBorders>
                  <w:vAlign w:val="center"/>
                </w:tcPr>
                <w:p w14:paraId="6D73C948">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1#</w:t>
                  </w:r>
                </w:p>
              </w:tc>
              <w:tc>
                <w:tcPr>
                  <w:tcW w:w="1954" w:type="dxa"/>
                  <w:tcBorders>
                    <w:top w:val="single" w:color="auto" w:sz="4" w:space="0"/>
                    <w:left w:val="single" w:color="auto" w:sz="4" w:space="0"/>
                    <w:bottom w:val="single" w:color="auto" w:sz="4" w:space="0"/>
                    <w:right w:val="single" w:color="auto" w:sz="4" w:space="0"/>
                  </w:tcBorders>
                  <w:vAlign w:val="center"/>
                </w:tcPr>
                <w:p w14:paraId="66AC04D3">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拟建项目厂区内</w:t>
                  </w:r>
                </w:p>
              </w:tc>
              <w:tc>
                <w:tcPr>
                  <w:tcW w:w="1677" w:type="dxa"/>
                  <w:tcBorders>
                    <w:top w:val="single" w:color="auto" w:sz="4" w:space="0"/>
                    <w:left w:val="single" w:color="auto" w:sz="4" w:space="0"/>
                    <w:bottom w:val="single" w:color="auto" w:sz="4" w:space="0"/>
                    <w:right w:val="single" w:color="auto" w:sz="4" w:space="0"/>
                  </w:tcBorders>
                  <w:vAlign w:val="center"/>
                </w:tcPr>
                <w:p w14:paraId="06BAE962">
                  <w:pPr>
                    <w:adjustRightInd w:val="0"/>
                    <w:snapToGrid w:val="0"/>
                    <w:spacing w:line="300" w:lineRule="exact"/>
                    <w:jc w:val="center"/>
                    <w:rPr>
                      <w:rFonts w:hint="default" w:ascii="Times New Roman" w:hAnsi="Times New Roman" w:eastAsia="宋体" w:cs="Times New Roman"/>
                      <w:sz w:val="18"/>
                      <w:szCs w:val="18"/>
                      <w:lang w:eastAsia="zh-CN"/>
                    </w:rPr>
                  </w:pPr>
                  <w:r>
                    <w:rPr>
                      <w:rFonts w:hint="eastAsia" w:cs="Times New Roman"/>
                      <w:sz w:val="18"/>
                      <w:szCs w:val="18"/>
                      <w:lang w:eastAsia="zh-CN"/>
                    </w:rPr>
                    <w:t>苯酚、甲醛</w:t>
                  </w:r>
                </w:p>
              </w:tc>
              <w:tc>
                <w:tcPr>
                  <w:tcW w:w="1527" w:type="dxa"/>
                  <w:tcBorders>
                    <w:top w:val="single" w:color="auto" w:sz="4" w:space="0"/>
                    <w:left w:val="single" w:color="auto" w:sz="4" w:space="0"/>
                    <w:bottom w:val="single" w:color="auto" w:sz="4" w:space="0"/>
                    <w:right w:val="single" w:color="auto" w:sz="4" w:space="0"/>
                  </w:tcBorders>
                  <w:vAlign w:val="center"/>
                </w:tcPr>
                <w:p w14:paraId="53AB8818">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5年1次</w:t>
                  </w:r>
                </w:p>
              </w:tc>
              <w:tc>
                <w:tcPr>
                  <w:tcW w:w="2103" w:type="dxa"/>
                  <w:tcBorders>
                    <w:top w:val="single" w:color="auto" w:sz="4" w:space="0"/>
                    <w:left w:val="single" w:color="auto" w:sz="4" w:space="0"/>
                    <w:bottom w:val="single" w:color="auto" w:sz="4" w:space="0"/>
                    <w:right w:val="single" w:color="auto" w:sz="4" w:space="0"/>
                  </w:tcBorders>
                  <w:vAlign w:val="center"/>
                </w:tcPr>
                <w:p w14:paraId="604DF29A">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委托第三方有资质单位</w:t>
                  </w:r>
                </w:p>
              </w:tc>
            </w:tr>
          </w:tbl>
          <w:p w14:paraId="038E69E9">
            <w:pPr>
              <w:adjustRightInd w:val="0"/>
              <w:snapToGrid w:val="0"/>
              <w:spacing w:line="360" w:lineRule="auto"/>
              <w:ind w:firstLine="422" w:firstLineChars="200"/>
              <w:rPr>
                <w:b/>
                <w:color w:val="auto"/>
              </w:rPr>
            </w:pPr>
            <w:r>
              <w:rPr>
                <w:b/>
                <w:color w:val="auto"/>
              </w:rPr>
              <w:t>七、生态</w:t>
            </w:r>
          </w:p>
          <w:p w14:paraId="129CD614">
            <w:pPr>
              <w:adjustRightInd w:val="0"/>
              <w:snapToGrid w:val="0"/>
              <w:spacing w:line="360" w:lineRule="auto"/>
              <w:ind w:firstLine="420" w:firstLineChars="200"/>
              <w:rPr>
                <w:bCs/>
                <w:color w:val="auto"/>
              </w:rPr>
            </w:pPr>
            <w:r>
              <w:rPr>
                <w:bCs/>
                <w:color w:val="auto"/>
              </w:rPr>
              <w:t>项目在</w:t>
            </w:r>
            <w:r>
              <w:rPr>
                <w:rFonts w:hint="eastAsia"/>
                <w:bCs/>
                <w:color w:val="auto"/>
                <w:lang w:val="en-US" w:eastAsia="zh-CN"/>
              </w:rPr>
              <w:t>租赁现有车间进行</w:t>
            </w:r>
            <w:r>
              <w:rPr>
                <w:bCs/>
                <w:color w:val="auto"/>
              </w:rPr>
              <w:t>开展</w:t>
            </w:r>
            <w:r>
              <w:rPr>
                <w:rFonts w:hint="eastAsia"/>
                <w:bCs/>
                <w:color w:val="auto"/>
                <w:lang w:eastAsia="zh-CN"/>
              </w:rPr>
              <w:t>，不需新增占地</w:t>
            </w:r>
            <w:r>
              <w:rPr>
                <w:bCs/>
                <w:color w:val="auto"/>
              </w:rPr>
              <w:t>。项目占地内没有珍稀动植物物种，生态环境质量一般。项目占地内原有生物物种在项目周围地域广泛存在，基本不影响评价区域的生物多样性，项目运营对周围生态环境基本上没有产生明显的影响。</w:t>
            </w:r>
          </w:p>
          <w:p w14:paraId="7C79C87C">
            <w:pPr>
              <w:adjustRightInd w:val="0"/>
              <w:snapToGrid w:val="0"/>
              <w:spacing w:line="360" w:lineRule="auto"/>
              <w:ind w:firstLine="422" w:firstLineChars="200"/>
              <w:rPr>
                <w:b/>
                <w:color w:val="auto"/>
              </w:rPr>
            </w:pPr>
            <w:r>
              <w:rPr>
                <w:b/>
                <w:color w:val="auto"/>
              </w:rPr>
              <w:t>八、环境风险分析</w:t>
            </w:r>
          </w:p>
          <w:p w14:paraId="126D91F1">
            <w:pPr>
              <w:spacing w:line="420" w:lineRule="exact"/>
              <w:ind w:firstLine="420" w:firstLineChars="200"/>
              <w:rPr>
                <w:color w:val="auto"/>
                <w:highlight w:val="none"/>
              </w:rPr>
            </w:pPr>
            <w:r>
              <w:rPr>
                <w:color w:val="auto"/>
              </w:rPr>
              <w:t>1、本项目危险</w:t>
            </w:r>
            <w:r>
              <w:rPr>
                <w:color w:val="auto"/>
                <w:highlight w:val="none"/>
              </w:rPr>
              <w:t>物质和风险源分布及可能影响途径</w:t>
            </w:r>
          </w:p>
          <w:p w14:paraId="4F9818BF">
            <w:pPr>
              <w:spacing w:line="420" w:lineRule="exact"/>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（1）危险物质和风险源分布</w:t>
            </w:r>
          </w:p>
          <w:p w14:paraId="14E665DB">
            <w:pPr>
              <w:spacing w:line="420" w:lineRule="exact"/>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szCs w:val="21"/>
                <w:highlight w:val="none"/>
              </w:rPr>
              <w:t>根据项目生产用原辅材料及生产工艺分析，本项目使用的原辅材料、产品、能耗及固体废物中涉及《建设项目环境风险评价技术导则》（HJ169-2018）附录B、《企业突发环境事件风险分级方法》中“附录A突发环境事件风险物质及临</w:t>
            </w:r>
            <w:r>
              <w:rPr>
                <w:rFonts w:hint="default" w:ascii="Times New Roman" w:hAnsi="Times New Roman" w:cs="Times New Roman"/>
                <w:color w:val="auto"/>
                <w:szCs w:val="21"/>
                <w:highlight w:val="none"/>
              </w:rPr>
              <w:t>界量清单”和</w:t>
            </w:r>
            <w:r>
              <w:rPr>
                <w:rFonts w:hint="default" w:ascii="Times New Roman" w:hAnsi="Times New Roman" w:cs="Times New Roman"/>
                <w:color w:val="auto"/>
                <w:highlight w:val="none"/>
              </w:rPr>
              <w:t>《危险化学品重大危险源辨识》（GB18218-2018）</w:t>
            </w:r>
            <w:r>
              <w:rPr>
                <w:rFonts w:hint="default" w:ascii="Times New Roman" w:hAnsi="Times New Roman" w:cs="Times New Roman"/>
                <w:color w:val="auto"/>
                <w:szCs w:val="21"/>
                <w:highlight w:val="none"/>
              </w:rPr>
              <w:t>中的危险物质，主要为</w:t>
            </w:r>
            <w:r>
              <w:rPr>
                <w:rFonts w:hint="eastAsia" w:cs="Times New Roman"/>
                <w:color w:val="auto"/>
                <w:szCs w:val="21"/>
                <w:highlight w:val="none"/>
                <w:lang w:eastAsia="zh-CN"/>
              </w:rPr>
              <w:t>苯酚（</w:t>
            </w:r>
            <w:r>
              <w:rPr>
                <w:rFonts w:hint="eastAsia" w:cs="Times New Roman"/>
                <w:color w:val="auto"/>
                <w:szCs w:val="21"/>
                <w:highlight w:val="none"/>
                <w:lang w:val="en-US" w:eastAsia="zh-CN"/>
              </w:rPr>
              <w:t>酚醛树脂</w:t>
            </w:r>
            <w:r>
              <w:rPr>
                <w:rFonts w:hint="eastAsia" w:cs="Times New Roman"/>
                <w:color w:val="auto"/>
                <w:szCs w:val="21"/>
                <w:highlight w:val="none"/>
                <w:lang w:eastAsia="zh-CN"/>
              </w:rPr>
              <w:t>中含有）、甲醛（</w:t>
            </w:r>
            <w:r>
              <w:rPr>
                <w:rFonts w:hint="eastAsia" w:cs="Times New Roman"/>
                <w:color w:val="auto"/>
                <w:szCs w:val="21"/>
                <w:highlight w:val="none"/>
                <w:lang w:val="en-US" w:eastAsia="zh-CN"/>
              </w:rPr>
              <w:t>酚醛树脂及密胺树脂</w:t>
            </w:r>
            <w:r>
              <w:rPr>
                <w:rFonts w:hint="eastAsia" w:cs="Times New Roman"/>
                <w:color w:val="auto"/>
                <w:szCs w:val="21"/>
                <w:highlight w:val="none"/>
                <w:lang w:eastAsia="zh-CN"/>
              </w:rPr>
              <w:t>中含有）、废活性炭</w:t>
            </w:r>
            <w:r>
              <w:rPr>
                <w:rFonts w:hint="default" w:ascii="Times New Roman" w:hAnsi="Times New Roman" w:cs="Times New Roman"/>
                <w:color w:val="auto"/>
                <w:szCs w:val="21"/>
                <w:highlight w:val="none"/>
              </w:rPr>
              <w:t>等。主要分布于</w:t>
            </w:r>
            <w:r>
              <w:rPr>
                <w:rFonts w:hint="eastAsia" w:cs="Times New Roman"/>
                <w:color w:val="auto"/>
                <w:szCs w:val="21"/>
                <w:highlight w:val="none"/>
                <w:lang w:eastAsia="zh-CN"/>
              </w:rPr>
              <w:t>生产车间及危废间</w:t>
            </w:r>
            <w:r>
              <w:rPr>
                <w:rFonts w:hint="default" w:ascii="Times New Roman" w:hAnsi="Times New Roman" w:cs="Times New Roman"/>
                <w:color w:val="auto"/>
                <w:szCs w:val="21"/>
                <w:highlight w:val="none"/>
              </w:rPr>
              <w:t>。</w:t>
            </w:r>
          </w:p>
          <w:p w14:paraId="34CC4C07">
            <w:pPr>
              <w:keepNext w:val="0"/>
              <w:keepLines w:val="0"/>
              <w:pageBreakBefore w:val="0"/>
              <w:widowControl w:val="0"/>
              <w:kinsoku/>
              <w:wordWrap/>
              <w:overflowPunct/>
              <w:topLinePunct w:val="0"/>
              <w:autoSpaceDE w:val="0"/>
              <w:autoSpaceDN w:val="0"/>
              <w:bidi w:val="0"/>
              <w:adjustRightInd w:val="0"/>
              <w:snapToGrid w:val="0"/>
              <w:spacing w:line="360" w:lineRule="auto"/>
              <w:ind w:firstLine="25" w:firstLineChars="12"/>
              <w:jc w:val="center"/>
              <w:textAlignment w:val="auto"/>
              <w:rPr>
                <w:rFonts w:hint="default" w:cs="Times New Roman"/>
                <w:b/>
                <w:bCs/>
                <w:color w:val="auto"/>
                <w:szCs w:val="21"/>
                <w:lang w:val="en-US" w:eastAsia="zh-CN"/>
              </w:rPr>
            </w:pPr>
            <w:r>
              <w:rPr>
                <w:rFonts w:hint="default" w:cs="Times New Roman"/>
                <w:b/>
                <w:bCs/>
                <w:color w:val="auto"/>
                <w:szCs w:val="21"/>
                <w:lang w:val="en-US" w:eastAsia="zh-CN"/>
              </w:rPr>
              <w:t>表4-</w:t>
            </w:r>
            <w:r>
              <w:rPr>
                <w:rFonts w:hint="eastAsia" w:cs="Times New Roman"/>
                <w:b/>
                <w:bCs/>
                <w:color w:val="auto"/>
                <w:szCs w:val="21"/>
                <w:lang w:val="en-US" w:eastAsia="zh-CN"/>
              </w:rPr>
              <w:t>17</w:t>
            </w:r>
            <w:r>
              <w:rPr>
                <w:rFonts w:hint="default" w:cs="Times New Roman"/>
                <w:b/>
                <w:bCs/>
                <w:color w:val="auto"/>
                <w:szCs w:val="21"/>
                <w:lang w:val="en-US" w:eastAsia="zh-CN"/>
              </w:rPr>
              <w:t xml:space="preserve"> 项目风险物质存放情况</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63"/>
              <w:gridCol w:w="1914"/>
              <w:gridCol w:w="1914"/>
              <w:gridCol w:w="984"/>
              <w:gridCol w:w="993"/>
            </w:tblGrid>
            <w:tr w14:paraId="16CFA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3" w:type="dxa"/>
                  <w:tcBorders>
                    <w:top w:val="single" w:color="auto" w:sz="4" w:space="0"/>
                    <w:left w:val="single" w:color="auto" w:sz="4" w:space="0"/>
                    <w:bottom w:val="single" w:color="auto" w:sz="4" w:space="0"/>
                    <w:right w:val="single" w:color="auto" w:sz="4" w:space="0"/>
                  </w:tcBorders>
                  <w:vAlign w:val="center"/>
                </w:tcPr>
                <w:p w14:paraId="05349333">
                  <w:pPr>
                    <w:autoSpaceDE w:val="0"/>
                    <w:autoSpaceDN w:val="0"/>
                    <w:adjustRightInd w:val="0"/>
                    <w:spacing w:line="300" w:lineRule="exact"/>
                    <w:jc w:val="center"/>
                    <w:rPr>
                      <w:rFonts w:hint="eastAsia" w:ascii="Times New Roman" w:hAnsi="Times New Roman" w:eastAsia="宋体" w:cs="Times New Roman"/>
                      <w:b/>
                      <w:bCs/>
                      <w:color w:val="auto"/>
                      <w:sz w:val="18"/>
                      <w:szCs w:val="18"/>
                      <w:highlight w:val="none"/>
                      <w:lang w:eastAsia="zh-CN"/>
                    </w:rPr>
                  </w:pPr>
                  <w:r>
                    <w:rPr>
                      <w:rFonts w:hint="eastAsia" w:cs="Times New Roman"/>
                      <w:b/>
                      <w:bCs/>
                      <w:color w:val="auto"/>
                      <w:sz w:val="18"/>
                      <w:szCs w:val="18"/>
                      <w:highlight w:val="none"/>
                      <w:lang w:val="en-US" w:eastAsia="zh-CN"/>
                    </w:rPr>
                    <w:t>编号</w:t>
                  </w:r>
                </w:p>
              </w:tc>
              <w:tc>
                <w:tcPr>
                  <w:tcW w:w="1914" w:type="dxa"/>
                  <w:tcBorders>
                    <w:top w:val="single" w:color="auto" w:sz="4" w:space="0"/>
                    <w:left w:val="single" w:color="auto" w:sz="4" w:space="0"/>
                    <w:bottom w:val="single" w:color="auto" w:sz="4" w:space="0"/>
                    <w:right w:val="single" w:color="auto" w:sz="4" w:space="0"/>
                  </w:tcBorders>
                  <w:vAlign w:val="center"/>
                </w:tcPr>
                <w:p w14:paraId="245C5CFE">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风险物质</w:t>
                  </w:r>
                </w:p>
              </w:tc>
              <w:tc>
                <w:tcPr>
                  <w:tcW w:w="1914" w:type="dxa"/>
                  <w:tcBorders>
                    <w:top w:val="single" w:color="auto" w:sz="4" w:space="0"/>
                    <w:left w:val="single" w:color="auto" w:sz="4" w:space="0"/>
                    <w:bottom w:val="single" w:color="auto" w:sz="4" w:space="0"/>
                    <w:right w:val="single" w:color="auto" w:sz="4" w:space="0"/>
                  </w:tcBorders>
                  <w:vAlign w:val="center"/>
                </w:tcPr>
                <w:p w14:paraId="5171B070">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eastAsia" w:cs="Times New Roman"/>
                      <w:b/>
                      <w:bCs/>
                      <w:color w:val="auto"/>
                      <w:sz w:val="18"/>
                      <w:szCs w:val="18"/>
                      <w:highlight w:val="none"/>
                      <w:lang w:eastAsia="zh-CN"/>
                    </w:rPr>
                    <w:t>最大</w:t>
                  </w:r>
                  <w:r>
                    <w:rPr>
                      <w:rFonts w:hint="default" w:ascii="Times New Roman" w:hAnsi="Times New Roman" w:cs="Times New Roman"/>
                      <w:b/>
                      <w:bCs/>
                      <w:color w:val="auto"/>
                      <w:sz w:val="18"/>
                      <w:szCs w:val="18"/>
                      <w:highlight w:val="none"/>
                    </w:rPr>
                    <w:t>储存量t/a</w:t>
                  </w:r>
                </w:p>
              </w:tc>
              <w:tc>
                <w:tcPr>
                  <w:tcW w:w="984" w:type="dxa"/>
                  <w:tcBorders>
                    <w:top w:val="single" w:color="auto" w:sz="4" w:space="0"/>
                    <w:left w:val="single" w:color="auto" w:sz="4" w:space="0"/>
                    <w:bottom w:val="single" w:color="auto" w:sz="4" w:space="0"/>
                    <w:right w:val="single" w:color="auto" w:sz="4" w:space="0"/>
                  </w:tcBorders>
                  <w:vAlign w:val="center"/>
                </w:tcPr>
                <w:p w14:paraId="2650B8AC">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临界量t</w:t>
                  </w:r>
                </w:p>
              </w:tc>
              <w:tc>
                <w:tcPr>
                  <w:tcW w:w="993" w:type="dxa"/>
                  <w:tcBorders>
                    <w:top w:val="single" w:color="auto" w:sz="4" w:space="0"/>
                    <w:left w:val="single" w:color="auto" w:sz="4" w:space="0"/>
                    <w:bottom w:val="single" w:color="auto" w:sz="4" w:space="0"/>
                    <w:right w:val="single" w:color="auto" w:sz="4" w:space="0"/>
                  </w:tcBorders>
                  <w:vAlign w:val="center"/>
                </w:tcPr>
                <w:p w14:paraId="50BFED39">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Q值</w:t>
                  </w:r>
                </w:p>
              </w:tc>
            </w:tr>
            <w:tr w14:paraId="0480A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3" w:type="dxa"/>
                  <w:tcBorders>
                    <w:top w:val="single" w:color="auto" w:sz="4" w:space="0"/>
                    <w:left w:val="single" w:color="auto" w:sz="4" w:space="0"/>
                    <w:right w:val="single" w:color="auto" w:sz="4" w:space="0"/>
                  </w:tcBorders>
                  <w:vAlign w:val="center"/>
                </w:tcPr>
                <w:p w14:paraId="26A02C9E">
                  <w:pPr>
                    <w:autoSpaceDE w:val="0"/>
                    <w:autoSpaceDN w:val="0"/>
                    <w:adjustRightInd w:val="0"/>
                    <w:spacing w:line="30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val="en-US" w:eastAsia="zh-CN"/>
                    </w:rPr>
                    <w:t>1</w:t>
                  </w:r>
                </w:p>
              </w:tc>
              <w:tc>
                <w:tcPr>
                  <w:tcW w:w="1914" w:type="dxa"/>
                  <w:tcBorders>
                    <w:top w:val="single" w:color="auto" w:sz="4" w:space="0"/>
                    <w:left w:val="single" w:color="auto" w:sz="4" w:space="0"/>
                    <w:bottom w:val="single" w:color="auto" w:sz="4" w:space="0"/>
                    <w:right w:val="single" w:color="auto" w:sz="4" w:space="0"/>
                  </w:tcBorders>
                  <w:vAlign w:val="center"/>
                </w:tcPr>
                <w:p w14:paraId="00BC614D">
                  <w:pPr>
                    <w:autoSpaceDE w:val="0"/>
                    <w:autoSpaceDN w:val="0"/>
                    <w:adjustRightInd w:val="0"/>
                    <w:spacing w:line="300" w:lineRule="exact"/>
                    <w:jc w:val="center"/>
                    <w:rPr>
                      <w:rFonts w:hint="eastAsia" w:cs="Times New Roman"/>
                      <w:sz w:val="18"/>
                      <w:szCs w:val="18"/>
                      <w:highlight w:val="none"/>
                      <w:lang w:val="en-US" w:eastAsia="zh-CN"/>
                    </w:rPr>
                  </w:pPr>
                  <w:r>
                    <w:rPr>
                      <w:rFonts w:hint="eastAsia" w:cs="Times New Roman"/>
                      <w:sz w:val="18"/>
                      <w:szCs w:val="18"/>
                      <w:highlight w:val="none"/>
                      <w:lang w:eastAsia="zh-CN"/>
                    </w:rPr>
                    <w:t>废活性炭</w:t>
                  </w:r>
                </w:p>
              </w:tc>
              <w:tc>
                <w:tcPr>
                  <w:tcW w:w="1914" w:type="dxa"/>
                  <w:tcBorders>
                    <w:top w:val="single" w:color="auto" w:sz="4" w:space="0"/>
                    <w:left w:val="single" w:color="auto" w:sz="4" w:space="0"/>
                    <w:bottom w:val="single" w:color="auto" w:sz="4" w:space="0"/>
                    <w:right w:val="single" w:color="auto" w:sz="4" w:space="0"/>
                  </w:tcBorders>
                  <w:vAlign w:val="center"/>
                </w:tcPr>
                <w:p w14:paraId="180FBE3A">
                  <w:pPr>
                    <w:autoSpaceDE w:val="0"/>
                    <w:autoSpaceDN w:val="0"/>
                    <w:adjustRightInd w:val="0"/>
                    <w:spacing w:line="300" w:lineRule="exact"/>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0.615</w:t>
                  </w:r>
                </w:p>
              </w:tc>
              <w:tc>
                <w:tcPr>
                  <w:tcW w:w="984" w:type="dxa"/>
                  <w:tcBorders>
                    <w:top w:val="single" w:color="auto" w:sz="4" w:space="0"/>
                    <w:left w:val="single" w:color="auto" w:sz="4" w:space="0"/>
                    <w:bottom w:val="single" w:color="auto" w:sz="4" w:space="0"/>
                    <w:right w:val="single" w:color="auto" w:sz="4" w:space="0"/>
                  </w:tcBorders>
                  <w:vAlign w:val="center"/>
                </w:tcPr>
                <w:p w14:paraId="11FD234B">
                  <w:pPr>
                    <w:autoSpaceDE w:val="0"/>
                    <w:autoSpaceDN w:val="0"/>
                    <w:adjustRightInd w:val="0"/>
                    <w:spacing w:line="300" w:lineRule="exact"/>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200</w:t>
                  </w:r>
                </w:p>
              </w:tc>
              <w:tc>
                <w:tcPr>
                  <w:tcW w:w="993" w:type="dxa"/>
                  <w:tcBorders>
                    <w:top w:val="single" w:color="auto" w:sz="4" w:space="0"/>
                    <w:left w:val="single" w:color="auto" w:sz="4" w:space="0"/>
                    <w:bottom w:val="single" w:color="auto" w:sz="4" w:space="0"/>
                    <w:right w:val="single" w:color="auto" w:sz="4" w:space="0"/>
                  </w:tcBorders>
                  <w:vAlign w:val="center"/>
                </w:tcPr>
                <w:p w14:paraId="2E2A923A">
                  <w:pPr>
                    <w:autoSpaceDE w:val="0"/>
                    <w:autoSpaceDN w:val="0"/>
                    <w:adjustRightInd w:val="0"/>
                    <w:spacing w:line="300" w:lineRule="exact"/>
                    <w:jc w:val="center"/>
                    <w:rPr>
                      <w:rFonts w:hint="default" w:ascii="Times New Roman" w:hAnsi="Times New Roman" w:eastAsia="宋体" w:cs="Times New Roman"/>
                      <w:sz w:val="18"/>
                      <w:szCs w:val="18"/>
                      <w:highlight w:val="none"/>
                      <w:lang w:val="en-US" w:eastAsia="zh-CN"/>
                    </w:rPr>
                  </w:pPr>
                  <w:r>
                    <w:rPr>
                      <w:rFonts w:hint="default" w:ascii="Times New Roman" w:hAnsi="Times New Roman" w:cs="Times New Roman"/>
                      <w:sz w:val="18"/>
                      <w:szCs w:val="18"/>
                      <w:highlight w:val="none"/>
                    </w:rPr>
                    <w:t>0.0</w:t>
                  </w:r>
                  <w:r>
                    <w:rPr>
                      <w:rFonts w:hint="eastAsia" w:cs="Times New Roman"/>
                      <w:sz w:val="18"/>
                      <w:szCs w:val="18"/>
                      <w:highlight w:val="none"/>
                      <w:lang w:val="en-US" w:eastAsia="zh-CN"/>
                    </w:rPr>
                    <w:t>03</w:t>
                  </w:r>
                </w:p>
              </w:tc>
            </w:tr>
            <w:tr w14:paraId="79CC8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3" w:type="dxa"/>
                  <w:tcBorders>
                    <w:left w:val="single" w:color="auto" w:sz="4" w:space="0"/>
                    <w:right w:val="single" w:color="auto" w:sz="4" w:space="0"/>
                  </w:tcBorders>
                  <w:vAlign w:val="center"/>
                </w:tcPr>
                <w:p w14:paraId="06ABC391">
                  <w:pPr>
                    <w:autoSpaceDE w:val="0"/>
                    <w:autoSpaceDN w:val="0"/>
                    <w:adjustRightInd w:val="0"/>
                    <w:spacing w:line="300" w:lineRule="exact"/>
                    <w:jc w:val="center"/>
                    <w:rPr>
                      <w:rFonts w:hint="default" w:ascii="Times New Roman" w:hAnsi="Times New Roman" w:eastAsia="宋体" w:cs="Times New Roman"/>
                      <w:sz w:val="18"/>
                      <w:szCs w:val="18"/>
                      <w:highlight w:val="none"/>
                      <w:lang w:val="en-US" w:eastAsia="zh-CN"/>
                    </w:rPr>
                  </w:pPr>
                  <w:r>
                    <w:rPr>
                      <w:rFonts w:hint="eastAsia" w:ascii="Times New Roman" w:hAnsi="Times New Roman" w:eastAsia="宋体" w:cs="Times New Roman"/>
                      <w:sz w:val="18"/>
                      <w:szCs w:val="18"/>
                      <w:highlight w:val="none"/>
                      <w:lang w:val="en-US" w:eastAsia="zh-CN"/>
                    </w:rPr>
                    <w:t>2</w:t>
                  </w:r>
                </w:p>
              </w:tc>
              <w:tc>
                <w:tcPr>
                  <w:tcW w:w="1914" w:type="dxa"/>
                  <w:tcBorders>
                    <w:top w:val="single" w:color="auto" w:sz="4" w:space="0"/>
                    <w:left w:val="single" w:color="auto" w:sz="4" w:space="0"/>
                    <w:bottom w:val="single" w:color="auto" w:sz="4" w:space="0"/>
                    <w:right w:val="single" w:color="auto" w:sz="4" w:space="0"/>
                  </w:tcBorders>
                  <w:vAlign w:val="center"/>
                </w:tcPr>
                <w:p w14:paraId="661F3EB3">
                  <w:pPr>
                    <w:autoSpaceDE w:val="0"/>
                    <w:autoSpaceDN w:val="0"/>
                    <w:adjustRightInd w:val="0"/>
                    <w:spacing w:line="300" w:lineRule="exact"/>
                    <w:jc w:val="center"/>
                    <w:rPr>
                      <w:rFonts w:hint="eastAsia" w:cs="Times New Roman"/>
                      <w:sz w:val="18"/>
                      <w:szCs w:val="18"/>
                      <w:highlight w:val="none"/>
                      <w:lang w:val="en-US" w:eastAsia="zh-CN"/>
                    </w:rPr>
                  </w:pPr>
                  <w:r>
                    <w:rPr>
                      <w:rFonts w:hint="eastAsia" w:cs="Times New Roman"/>
                      <w:sz w:val="18"/>
                      <w:szCs w:val="18"/>
                      <w:highlight w:val="none"/>
                      <w:lang w:eastAsia="zh-CN"/>
                    </w:rPr>
                    <w:t>苯酚（酚醛树脂胶中含量为</w:t>
                  </w:r>
                  <w:r>
                    <w:rPr>
                      <w:rFonts w:hint="eastAsia" w:cs="Times New Roman"/>
                      <w:sz w:val="18"/>
                      <w:szCs w:val="18"/>
                      <w:highlight w:val="none"/>
                      <w:lang w:val="en-US" w:eastAsia="zh-CN"/>
                    </w:rPr>
                    <w:t>0.7%</w:t>
                  </w:r>
                  <w:r>
                    <w:rPr>
                      <w:rFonts w:hint="eastAsia" w:cs="Times New Roman"/>
                      <w:sz w:val="18"/>
                      <w:szCs w:val="18"/>
                      <w:highlight w:val="none"/>
                      <w:lang w:eastAsia="zh-CN"/>
                    </w:rPr>
                    <w:t>）</w:t>
                  </w:r>
                </w:p>
              </w:tc>
              <w:tc>
                <w:tcPr>
                  <w:tcW w:w="1914" w:type="dxa"/>
                  <w:tcBorders>
                    <w:top w:val="single" w:color="auto" w:sz="4" w:space="0"/>
                    <w:left w:val="single" w:color="auto" w:sz="4" w:space="0"/>
                    <w:bottom w:val="single" w:color="auto" w:sz="4" w:space="0"/>
                    <w:right w:val="single" w:color="auto" w:sz="4" w:space="0"/>
                  </w:tcBorders>
                  <w:vAlign w:val="center"/>
                </w:tcPr>
                <w:p w14:paraId="7C5562D5">
                  <w:pPr>
                    <w:autoSpaceDE w:val="0"/>
                    <w:autoSpaceDN w:val="0"/>
                    <w:adjustRightInd w:val="0"/>
                    <w:spacing w:line="300" w:lineRule="exact"/>
                    <w:jc w:val="center"/>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0.015（酚醛树脂2t）</w:t>
                  </w:r>
                </w:p>
              </w:tc>
              <w:tc>
                <w:tcPr>
                  <w:tcW w:w="984" w:type="dxa"/>
                  <w:tcBorders>
                    <w:top w:val="single" w:color="auto" w:sz="4" w:space="0"/>
                    <w:left w:val="single" w:color="auto" w:sz="4" w:space="0"/>
                    <w:bottom w:val="single" w:color="auto" w:sz="4" w:space="0"/>
                    <w:right w:val="single" w:color="auto" w:sz="4" w:space="0"/>
                  </w:tcBorders>
                  <w:vAlign w:val="center"/>
                </w:tcPr>
                <w:p w14:paraId="28FBADB1">
                  <w:pPr>
                    <w:autoSpaceDE w:val="0"/>
                    <w:autoSpaceDN w:val="0"/>
                    <w:adjustRightInd w:val="0"/>
                    <w:spacing w:line="300" w:lineRule="exact"/>
                    <w:jc w:val="center"/>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5</w:t>
                  </w:r>
                </w:p>
              </w:tc>
              <w:tc>
                <w:tcPr>
                  <w:tcW w:w="993" w:type="dxa"/>
                  <w:tcBorders>
                    <w:top w:val="single" w:color="auto" w:sz="4" w:space="0"/>
                    <w:left w:val="single" w:color="auto" w:sz="4" w:space="0"/>
                    <w:bottom w:val="single" w:color="auto" w:sz="4" w:space="0"/>
                    <w:right w:val="single" w:color="auto" w:sz="4" w:space="0"/>
                  </w:tcBorders>
                  <w:vAlign w:val="center"/>
                </w:tcPr>
                <w:p w14:paraId="680320C3">
                  <w:pPr>
                    <w:autoSpaceDE w:val="0"/>
                    <w:autoSpaceDN w:val="0"/>
                    <w:adjustRightInd w:val="0"/>
                    <w:spacing w:line="300" w:lineRule="exact"/>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0.003</w:t>
                  </w:r>
                </w:p>
              </w:tc>
            </w:tr>
            <w:tr w14:paraId="2569C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3" w:type="dxa"/>
                  <w:tcBorders>
                    <w:left w:val="single" w:color="auto" w:sz="4" w:space="0"/>
                    <w:right w:val="single" w:color="auto" w:sz="4" w:space="0"/>
                  </w:tcBorders>
                  <w:vAlign w:val="center"/>
                </w:tcPr>
                <w:p w14:paraId="71CA344D">
                  <w:pPr>
                    <w:autoSpaceDE w:val="0"/>
                    <w:autoSpaceDN w:val="0"/>
                    <w:adjustRightInd w:val="0"/>
                    <w:spacing w:line="300" w:lineRule="exact"/>
                    <w:jc w:val="center"/>
                    <w:rPr>
                      <w:rFonts w:hint="default" w:cs="Times New Roman"/>
                      <w:sz w:val="18"/>
                      <w:szCs w:val="18"/>
                      <w:highlight w:val="none"/>
                      <w:lang w:val="en-US" w:eastAsia="zh-CN"/>
                    </w:rPr>
                  </w:pPr>
                  <w:r>
                    <w:rPr>
                      <w:rFonts w:hint="eastAsia" w:cs="Times New Roman"/>
                      <w:sz w:val="18"/>
                      <w:szCs w:val="18"/>
                      <w:highlight w:val="none"/>
                      <w:lang w:val="en-US" w:eastAsia="zh-CN"/>
                    </w:rPr>
                    <w:t>3</w:t>
                  </w:r>
                </w:p>
              </w:tc>
              <w:tc>
                <w:tcPr>
                  <w:tcW w:w="1914" w:type="dxa"/>
                  <w:tcBorders>
                    <w:top w:val="single" w:color="auto" w:sz="4" w:space="0"/>
                    <w:left w:val="single" w:color="auto" w:sz="4" w:space="0"/>
                    <w:bottom w:val="single" w:color="auto" w:sz="4" w:space="0"/>
                    <w:right w:val="single" w:color="auto" w:sz="4" w:space="0"/>
                  </w:tcBorders>
                  <w:vAlign w:val="center"/>
                </w:tcPr>
                <w:p w14:paraId="4EC05FDF">
                  <w:pPr>
                    <w:autoSpaceDE w:val="0"/>
                    <w:autoSpaceDN w:val="0"/>
                    <w:adjustRightInd w:val="0"/>
                    <w:spacing w:line="300" w:lineRule="exact"/>
                    <w:jc w:val="center"/>
                    <w:rPr>
                      <w:rFonts w:hint="eastAsia" w:cs="Times New Roman"/>
                      <w:sz w:val="18"/>
                      <w:szCs w:val="18"/>
                      <w:highlight w:val="none"/>
                      <w:lang w:val="en-US" w:eastAsia="zh-CN"/>
                    </w:rPr>
                  </w:pPr>
                  <w:r>
                    <w:rPr>
                      <w:rFonts w:hint="eastAsia" w:cs="Times New Roman"/>
                      <w:sz w:val="18"/>
                      <w:szCs w:val="18"/>
                      <w:highlight w:val="none"/>
                      <w:lang w:eastAsia="zh-CN"/>
                    </w:rPr>
                    <w:t>甲醛（酚醛树脂中含量为</w:t>
                  </w:r>
                  <w:r>
                    <w:rPr>
                      <w:rFonts w:hint="eastAsia" w:cs="Times New Roman"/>
                      <w:sz w:val="18"/>
                      <w:szCs w:val="18"/>
                      <w:highlight w:val="none"/>
                      <w:lang w:val="en-US" w:eastAsia="zh-CN"/>
                    </w:rPr>
                    <w:t>0.35%；酚醛树脂中含量为0.1%</w:t>
                  </w:r>
                  <w:r>
                    <w:rPr>
                      <w:rFonts w:hint="eastAsia" w:cs="Times New Roman"/>
                      <w:sz w:val="18"/>
                      <w:szCs w:val="18"/>
                      <w:highlight w:val="none"/>
                      <w:lang w:eastAsia="zh-CN"/>
                    </w:rPr>
                    <w:t>）</w:t>
                  </w:r>
                </w:p>
              </w:tc>
              <w:tc>
                <w:tcPr>
                  <w:tcW w:w="1914" w:type="dxa"/>
                  <w:tcBorders>
                    <w:top w:val="single" w:color="auto" w:sz="4" w:space="0"/>
                    <w:left w:val="single" w:color="auto" w:sz="4" w:space="0"/>
                    <w:bottom w:val="single" w:color="auto" w:sz="4" w:space="0"/>
                    <w:right w:val="single" w:color="auto" w:sz="4" w:space="0"/>
                  </w:tcBorders>
                  <w:vAlign w:val="center"/>
                </w:tcPr>
                <w:p w14:paraId="78F51966">
                  <w:pPr>
                    <w:autoSpaceDE w:val="0"/>
                    <w:autoSpaceDN w:val="0"/>
                    <w:adjustRightInd w:val="0"/>
                    <w:spacing w:line="300" w:lineRule="exact"/>
                    <w:jc w:val="center"/>
                    <w:rPr>
                      <w:rFonts w:hint="eastAsia" w:cs="Times New Roman"/>
                      <w:sz w:val="18"/>
                      <w:szCs w:val="18"/>
                      <w:highlight w:val="none"/>
                      <w:lang w:val="en-US" w:eastAsia="zh-CN"/>
                    </w:rPr>
                  </w:pPr>
                  <w:r>
                    <w:rPr>
                      <w:rFonts w:hint="eastAsia" w:cs="Times New Roman"/>
                      <w:sz w:val="18"/>
                      <w:szCs w:val="18"/>
                      <w:highlight w:val="none"/>
                      <w:lang w:val="en-US" w:eastAsia="zh-CN"/>
                    </w:rPr>
                    <w:t>0.01（酚醛树脂2t，密胺树脂3t）</w:t>
                  </w:r>
                </w:p>
              </w:tc>
              <w:tc>
                <w:tcPr>
                  <w:tcW w:w="984" w:type="dxa"/>
                  <w:tcBorders>
                    <w:top w:val="single" w:color="auto" w:sz="4" w:space="0"/>
                    <w:left w:val="single" w:color="auto" w:sz="4" w:space="0"/>
                    <w:bottom w:val="single" w:color="auto" w:sz="4" w:space="0"/>
                    <w:right w:val="single" w:color="auto" w:sz="4" w:space="0"/>
                  </w:tcBorders>
                  <w:vAlign w:val="center"/>
                </w:tcPr>
                <w:p w14:paraId="77C0419B">
                  <w:pPr>
                    <w:autoSpaceDE w:val="0"/>
                    <w:autoSpaceDN w:val="0"/>
                    <w:adjustRightInd w:val="0"/>
                    <w:spacing w:line="300" w:lineRule="exact"/>
                    <w:jc w:val="center"/>
                    <w:rPr>
                      <w:rFonts w:hint="default" w:cs="Times New Roman"/>
                      <w:sz w:val="18"/>
                      <w:szCs w:val="18"/>
                      <w:highlight w:val="none"/>
                      <w:lang w:val="en-US" w:eastAsia="zh-CN"/>
                    </w:rPr>
                  </w:pPr>
                  <w:r>
                    <w:rPr>
                      <w:rFonts w:hint="eastAsia" w:cs="Times New Roman"/>
                      <w:sz w:val="18"/>
                      <w:szCs w:val="18"/>
                      <w:highlight w:val="none"/>
                      <w:lang w:val="en-US" w:eastAsia="zh-CN"/>
                    </w:rPr>
                    <w:t>0.5</w:t>
                  </w:r>
                </w:p>
              </w:tc>
              <w:tc>
                <w:tcPr>
                  <w:tcW w:w="993" w:type="dxa"/>
                  <w:tcBorders>
                    <w:top w:val="single" w:color="auto" w:sz="4" w:space="0"/>
                    <w:left w:val="single" w:color="auto" w:sz="4" w:space="0"/>
                    <w:bottom w:val="single" w:color="auto" w:sz="4" w:space="0"/>
                    <w:right w:val="single" w:color="auto" w:sz="4" w:space="0"/>
                  </w:tcBorders>
                  <w:vAlign w:val="center"/>
                </w:tcPr>
                <w:p w14:paraId="5E43DB67">
                  <w:pPr>
                    <w:autoSpaceDE w:val="0"/>
                    <w:autoSpaceDN w:val="0"/>
                    <w:adjustRightInd w:val="0"/>
                    <w:spacing w:line="300" w:lineRule="exact"/>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0.02</w:t>
                  </w:r>
                </w:p>
              </w:tc>
            </w:tr>
            <w:tr w14:paraId="17826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3" w:type="dxa"/>
                  <w:tcBorders>
                    <w:left w:val="single" w:color="auto" w:sz="4" w:space="0"/>
                    <w:right w:val="single" w:color="auto" w:sz="4" w:space="0"/>
                  </w:tcBorders>
                  <w:vAlign w:val="center"/>
                </w:tcPr>
                <w:p w14:paraId="1D74C7BC">
                  <w:pPr>
                    <w:autoSpaceDE w:val="0"/>
                    <w:autoSpaceDN w:val="0"/>
                    <w:adjustRightInd w:val="0"/>
                    <w:spacing w:line="300" w:lineRule="exact"/>
                    <w:jc w:val="center"/>
                    <w:rPr>
                      <w:rFonts w:hint="default" w:ascii="Times New Roman" w:hAnsi="Times New Roman" w:eastAsia="宋体" w:cs="Times New Roman"/>
                      <w:sz w:val="18"/>
                      <w:szCs w:val="18"/>
                      <w:highlight w:val="none"/>
                      <w:lang w:val="en-US" w:eastAsia="zh-CN"/>
                    </w:rPr>
                  </w:pPr>
                  <w:r>
                    <w:rPr>
                      <w:rFonts w:hint="eastAsia" w:ascii="Times New Roman" w:hAnsi="Times New Roman" w:cs="Times New Roman"/>
                      <w:sz w:val="18"/>
                      <w:szCs w:val="18"/>
                      <w:highlight w:val="none"/>
                      <w:lang w:val="en-US" w:eastAsia="zh-CN"/>
                    </w:rPr>
                    <w:t>--</w:t>
                  </w:r>
                </w:p>
              </w:tc>
              <w:tc>
                <w:tcPr>
                  <w:tcW w:w="1914" w:type="dxa"/>
                  <w:tcBorders>
                    <w:top w:val="single" w:color="auto" w:sz="4" w:space="0"/>
                    <w:left w:val="single" w:color="auto" w:sz="4" w:space="0"/>
                    <w:bottom w:val="single" w:color="auto" w:sz="4" w:space="0"/>
                    <w:right w:val="single" w:color="auto" w:sz="4" w:space="0"/>
                  </w:tcBorders>
                  <w:vAlign w:val="center"/>
                </w:tcPr>
                <w:p w14:paraId="43FEB23E">
                  <w:pPr>
                    <w:autoSpaceDE w:val="0"/>
                    <w:autoSpaceDN w:val="0"/>
                    <w:adjustRightInd w:val="0"/>
                    <w:spacing w:line="300" w:lineRule="exact"/>
                    <w:jc w:val="center"/>
                    <w:rPr>
                      <w:rFonts w:hint="default" w:ascii="Times New Roman" w:hAnsi="Times New Roman" w:cs="Times New Roman"/>
                      <w:sz w:val="18"/>
                      <w:szCs w:val="18"/>
                      <w:highlight w:val="none"/>
                    </w:rPr>
                  </w:pPr>
                  <w:r>
                    <w:rPr>
                      <w:rFonts w:hint="eastAsia" w:ascii="Times New Roman" w:hAnsi="Times New Roman" w:cs="Times New Roman"/>
                      <w:sz w:val="18"/>
                      <w:szCs w:val="18"/>
                      <w:highlight w:val="none"/>
                      <w:lang w:eastAsia="zh-CN"/>
                    </w:rPr>
                    <w:t>合计</w:t>
                  </w:r>
                </w:p>
              </w:tc>
              <w:tc>
                <w:tcPr>
                  <w:tcW w:w="1914" w:type="dxa"/>
                  <w:tcBorders>
                    <w:top w:val="single" w:color="auto" w:sz="4" w:space="0"/>
                    <w:left w:val="single" w:color="auto" w:sz="4" w:space="0"/>
                    <w:bottom w:val="single" w:color="auto" w:sz="4" w:space="0"/>
                    <w:right w:val="single" w:color="auto" w:sz="4" w:space="0"/>
                  </w:tcBorders>
                  <w:vAlign w:val="center"/>
                </w:tcPr>
                <w:p w14:paraId="0B789346">
                  <w:pPr>
                    <w:autoSpaceDE w:val="0"/>
                    <w:autoSpaceDN w:val="0"/>
                    <w:adjustRightInd w:val="0"/>
                    <w:spacing w:line="30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w:t>
                  </w:r>
                </w:p>
              </w:tc>
              <w:tc>
                <w:tcPr>
                  <w:tcW w:w="984" w:type="dxa"/>
                  <w:tcBorders>
                    <w:top w:val="single" w:color="auto" w:sz="4" w:space="0"/>
                    <w:left w:val="single" w:color="auto" w:sz="4" w:space="0"/>
                    <w:bottom w:val="single" w:color="auto" w:sz="4" w:space="0"/>
                    <w:right w:val="single" w:color="auto" w:sz="4" w:space="0"/>
                  </w:tcBorders>
                  <w:vAlign w:val="center"/>
                </w:tcPr>
                <w:p w14:paraId="41F8A1FE">
                  <w:pPr>
                    <w:autoSpaceDE w:val="0"/>
                    <w:autoSpaceDN w:val="0"/>
                    <w:adjustRightInd w:val="0"/>
                    <w:spacing w:line="30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w:t>
                  </w:r>
                </w:p>
              </w:tc>
              <w:tc>
                <w:tcPr>
                  <w:tcW w:w="993" w:type="dxa"/>
                  <w:tcBorders>
                    <w:top w:val="single" w:color="auto" w:sz="4" w:space="0"/>
                    <w:left w:val="single" w:color="auto" w:sz="4" w:space="0"/>
                    <w:bottom w:val="single" w:color="auto" w:sz="4" w:space="0"/>
                    <w:right w:val="single" w:color="auto" w:sz="4" w:space="0"/>
                  </w:tcBorders>
                  <w:vAlign w:val="center"/>
                </w:tcPr>
                <w:p w14:paraId="70370D7E">
                  <w:pPr>
                    <w:autoSpaceDE w:val="0"/>
                    <w:autoSpaceDN w:val="0"/>
                    <w:adjustRightInd w:val="0"/>
                    <w:spacing w:line="300" w:lineRule="exact"/>
                    <w:jc w:val="center"/>
                    <w:rPr>
                      <w:rFonts w:hint="default" w:ascii="Times New Roman" w:hAnsi="Times New Roman" w:eastAsia="宋体" w:cs="Times New Roman"/>
                      <w:color w:val="000000"/>
                      <w:kern w:val="0"/>
                      <w:sz w:val="18"/>
                      <w:szCs w:val="18"/>
                      <w:highlight w:val="none"/>
                      <w:lang w:val="en-US" w:eastAsia="zh-CN"/>
                    </w:rPr>
                  </w:pPr>
                  <w:r>
                    <w:rPr>
                      <w:rFonts w:hint="default" w:ascii="Times New Roman" w:hAnsi="Times New Roman" w:cs="Times New Roman"/>
                      <w:sz w:val="18"/>
                      <w:szCs w:val="18"/>
                      <w:highlight w:val="none"/>
                    </w:rPr>
                    <w:t>0</w:t>
                  </w:r>
                  <w:r>
                    <w:rPr>
                      <w:rFonts w:hint="eastAsia" w:cs="Times New Roman"/>
                      <w:sz w:val="18"/>
                      <w:szCs w:val="18"/>
                      <w:highlight w:val="none"/>
                      <w:lang w:val="en-US" w:eastAsia="zh-CN"/>
                    </w:rPr>
                    <w:t>.026</w:t>
                  </w:r>
                </w:p>
              </w:tc>
            </w:tr>
          </w:tbl>
          <w:p w14:paraId="533FB456">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由上表可知，</w:t>
            </w:r>
            <w:r>
              <w:rPr>
                <w:rFonts w:hint="eastAsia" w:cs="Times New Roman"/>
                <w:szCs w:val="21"/>
                <w:highlight w:val="none"/>
                <w:lang w:eastAsia="zh-CN"/>
              </w:rPr>
              <w:t>全厂</w:t>
            </w:r>
            <w:r>
              <w:rPr>
                <w:rFonts w:hint="default" w:ascii="Times New Roman" w:hAnsi="Times New Roman" w:cs="Times New Roman"/>
                <w:szCs w:val="21"/>
                <w:highlight w:val="none"/>
              </w:rPr>
              <w:t>风险物质储存量均小于临界量，总Q值为0.</w:t>
            </w:r>
            <w:r>
              <w:rPr>
                <w:rFonts w:hint="eastAsia" w:cs="Times New Roman"/>
                <w:szCs w:val="21"/>
                <w:highlight w:val="none"/>
                <w:lang w:val="en-US" w:eastAsia="zh-CN"/>
              </w:rPr>
              <w:t>026</w:t>
            </w:r>
            <w:r>
              <w:rPr>
                <w:rFonts w:hint="default" w:ascii="Times New Roman" w:hAnsi="Times New Roman" w:cs="Times New Roman"/>
                <w:szCs w:val="21"/>
                <w:highlight w:val="none"/>
              </w:rPr>
              <w:t>＜1，风险评价等级为简单分析。</w:t>
            </w:r>
          </w:p>
          <w:p w14:paraId="2A780B8A">
            <w:pPr>
              <w:pStyle w:val="55"/>
              <w:keepNext w:val="0"/>
              <w:keepLines w:val="0"/>
              <w:pageBreakBefore w:val="0"/>
              <w:tabs>
                <w:tab w:val="left" w:pos="1470"/>
              </w:tabs>
              <w:kinsoku/>
              <w:wordWrap/>
              <w:overflowPunct/>
              <w:topLinePunct w:val="0"/>
              <w:autoSpaceDE/>
              <w:autoSpaceDN/>
              <w:bidi w:val="0"/>
              <w:adjustRightInd w:val="0"/>
              <w:snapToGrid w:val="0"/>
              <w:spacing w:before="0" w:after="0" w:line="360" w:lineRule="auto"/>
              <w:ind w:right="0" w:firstLine="422" w:firstLineChars="200"/>
              <w:textAlignment w:val="auto"/>
              <w:rPr>
                <w:b/>
                <w:color w:val="auto"/>
                <w:sz w:val="21"/>
                <w:highlight w:val="none"/>
              </w:rPr>
            </w:pPr>
            <w:r>
              <w:rPr>
                <w:rFonts w:hint="eastAsia"/>
                <w:b/>
                <w:color w:val="auto"/>
                <w:sz w:val="21"/>
                <w:highlight w:val="none"/>
              </w:rPr>
              <w:t>（2）</w:t>
            </w:r>
            <w:r>
              <w:rPr>
                <w:b/>
                <w:color w:val="auto"/>
                <w:sz w:val="21"/>
                <w:highlight w:val="none"/>
              </w:rPr>
              <w:t>环境风险分析</w:t>
            </w:r>
          </w:p>
          <w:p w14:paraId="2CEAF331">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color w:val="auto"/>
                <w:kern w:val="0"/>
              </w:rPr>
            </w:pPr>
            <w:r>
              <w:rPr>
                <w:rFonts w:hint="eastAsia" w:cs="Times New Roman"/>
                <w:color w:val="auto"/>
                <w:szCs w:val="21"/>
                <w:lang w:val="en-US" w:eastAsia="zh-CN"/>
              </w:rPr>
              <w:t>酚醛树脂、密胺树脂</w:t>
            </w:r>
            <w:r>
              <w:rPr>
                <w:rFonts w:hint="eastAsia"/>
                <w:color w:val="auto"/>
                <w:lang w:val="en-US" w:eastAsia="zh-CN"/>
              </w:rPr>
              <w:t>等</w:t>
            </w:r>
            <w:r>
              <w:rPr>
                <w:rFonts w:hint="eastAsia"/>
                <w:color w:val="auto"/>
              </w:rPr>
              <w:t>均存于专门的暂存处，危险废物存放于</w:t>
            </w:r>
            <w:r>
              <w:rPr>
                <w:rFonts w:hint="eastAsia"/>
                <w:color w:val="auto"/>
                <w:lang w:eastAsia="zh-CN"/>
              </w:rPr>
              <w:t>危废间</w:t>
            </w:r>
            <w:r>
              <w:rPr>
                <w:rFonts w:hint="eastAsia"/>
                <w:color w:val="auto"/>
                <w:kern w:val="0"/>
              </w:rPr>
              <w:t>，储存过程一般不会发生泄漏。但操作人员在装卸过程中不严格按操作规程取用，容易引起泄漏；本项目</w:t>
            </w:r>
            <w:r>
              <w:rPr>
                <w:rFonts w:hint="eastAsia" w:cs="Times New Roman"/>
                <w:color w:val="auto"/>
                <w:szCs w:val="21"/>
                <w:lang w:val="en-US" w:eastAsia="zh-CN"/>
              </w:rPr>
              <w:t>酚醛树脂、密胺树脂、塑料卡板、橡胶皮</w:t>
            </w:r>
            <w:r>
              <w:rPr>
                <w:rFonts w:hint="eastAsia"/>
                <w:color w:val="auto"/>
                <w:lang w:val="en-US" w:eastAsia="zh-CN"/>
              </w:rPr>
              <w:t>等</w:t>
            </w:r>
            <w:r>
              <w:rPr>
                <w:color w:val="auto"/>
                <w:kern w:val="0"/>
              </w:rPr>
              <w:t>属于</w:t>
            </w:r>
            <w:r>
              <w:rPr>
                <w:rFonts w:hint="eastAsia"/>
                <w:color w:val="auto"/>
                <w:kern w:val="0"/>
                <w:lang w:val="en-US" w:eastAsia="zh-CN"/>
              </w:rPr>
              <w:t>可</w:t>
            </w:r>
            <w:r>
              <w:rPr>
                <w:rFonts w:hint="eastAsia"/>
                <w:color w:val="auto"/>
                <w:kern w:val="0"/>
              </w:rPr>
              <w:t>燃</w:t>
            </w:r>
            <w:r>
              <w:rPr>
                <w:color w:val="auto"/>
                <w:kern w:val="0"/>
              </w:rPr>
              <w:t>物质，</w:t>
            </w:r>
            <w:r>
              <w:rPr>
                <w:rFonts w:hint="eastAsia"/>
                <w:color w:val="auto"/>
                <w:kern w:val="0"/>
              </w:rPr>
              <w:t>电器设备维护管理和使用不当，明火管理不当，吸烟等，均可能导致火灾事故发生。综合考虑本项目最大可信事故为火灾事故。电气使用不当等引起火灾事故以及火灾事故引发的次生污染CO、消防废水等将会对大气、水环境及人群健康产生影响。燃烧产生的次生污染物一氧化碳等将会向大气扩散，对周围人群、大气环境以及生态环境产生影响。消防废水如不能完全收集并处理达标，将会对区域污水处理厂造成冲击，进而影响周围地表水，加之防渗措施不当，会造成地下水环境污染</w:t>
            </w:r>
            <w:r>
              <w:rPr>
                <w:bCs/>
                <w:color w:val="auto"/>
              </w:rPr>
              <w:t>。</w:t>
            </w:r>
          </w:p>
          <w:p w14:paraId="33B7865D">
            <w:pPr>
              <w:keepNext w:val="0"/>
              <w:keepLines w:val="0"/>
              <w:pageBreakBefore w:val="0"/>
              <w:kinsoku/>
              <w:wordWrap/>
              <w:overflowPunct/>
              <w:topLinePunct w:val="0"/>
              <w:autoSpaceDE/>
              <w:autoSpaceDN/>
              <w:bidi w:val="0"/>
              <w:adjustRightInd w:val="0"/>
              <w:snapToGrid w:val="0"/>
              <w:spacing w:line="360" w:lineRule="auto"/>
              <w:ind w:right="0" w:firstLine="422" w:firstLineChars="200"/>
              <w:textAlignment w:val="auto"/>
              <w:rPr>
                <w:b/>
                <w:bCs/>
                <w:color w:val="auto"/>
              </w:rPr>
            </w:pPr>
            <w:r>
              <w:rPr>
                <w:rFonts w:hint="eastAsia"/>
                <w:b/>
                <w:bCs/>
                <w:color w:val="auto"/>
              </w:rPr>
              <w:t>（3）</w:t>
            </w:r>
            <w:r>
              <w:rPr>
                <w:b/>
                <w:bCs/>
                <w:color w:val="auto"/>
              </w:rPr>
              <w:t>风险防范措施</w:t>
            </w:r>
          </w:p>
          <w:p w14:paraId="3FCF78C6">
            <w:pPr>
              <w:pStyle w:val="381"/>
              <w:keepNext w:val="0"/>
              <w:keepLines w:val="0"/>
              <w:pageBreakBefore w:val="0"/>
              <w:kinsoku/>
              <w:wordWrap/>
              <w:overflowPunct/>
              <w:topLinePunct w:val="0"/>
              <w:autoSpaceDE/>
              <w:autoSpaceDN/>
              <w:bidi w:val="0"/>
              <w:adjustRightInd w:val="0"/>
              <w:snapToGrid w:val="0"/>
              <w:ind w:right="0" w:firstLine="420"/>
              <w:textAlignment w:val="auto"/>
              <w:rPr>
                <w:color w:val="auto"/>
                <w:sz w:val="21"/>
              </w:rPr>
            </w:pPr>
            <w:r>
              <w:rPr>
                <w:rFonts w:hint="eastAsia"/>
                <w:color w:val="auto"/>
                <w:sz w:val="21"/>
              </w:rPr>
              <w:t>事故发生后，一方面对本项目工作人员造成人身伤害及经济损失，另一方面也会影响周围人群及环境。为从源头上消除环境风险，企业应进一步加强如下措施：</w:t>
            </w:r>
          </w:p>
          <w:p w14:paraId="2627B3F2">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bCs/>
                <w:color w:val="auto"/>
              </w:rPr>
            </w:pPr>
            <w:r>
              <w:rPr>
                <w:bCs/>
                <w:color w:val="auto"/>
              </w:rPr>
              <w:t>①生产车间内配备灭火设施；</w:t>
            </w:r>
          </w:p>
          <w:p w14:paraId="43901F7A">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bCs/>
                <w:color w:val="auto"/>
              </w:rPr>
            </w:pPr>
            <w:r>
              <w:rPr>
                <w:bCs/>
                <w:color w:val="auto"/>
              </w:rPr>
              <w:t>②定期检查电气线路，防止线路老化、设备漏电等引发火灾；</w:t>
            </w:r>
          </w:p>
          <w:p w14:paraId="1EF06969">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bCs/>
                <w:color w:val="auto"/>
              </w:rPr>
            </w:pPr>
            <w:r>
              <w:rPr>
                <w:bCs/>
                <w:color w:val="auto"/>
              </w:rPr>
              <w:t>③对灭火器等消防器材，定期检查，保持完整好用，设置专人负责；</w:t>
            </w:r>
          </w:p>
          <w:p w14:paraId="3A38DD71">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bCs/>
                <w:color w:val="auto"/>
              </w:rPr>
            </w:pPr>
            <w:r>
              <w:rPr>
                <w:bCs/>
                <w:color w:val="auto"/>
              </w:rPr>
              <w:t>④</w:t>
            </w:r>
            <w:r>
              <w:rPr>
                <w:rFonts w:hint="eastAsia"/>
                <w:color w:val="auto"/>
              </w:rPr>
              <w:t>规范上述风险物质的使用及储存，</w:t>
            </w:r>
            <w:r>
              <w:rPr>
                <w:bCs/>
                <w:color w:val="auto"/>
              </w:rPr>
              <w:t>危险废物入库时要分类整齐堆放，随时检查容器的密闭情况</w:t>
            </w:r>
            <w:r>
              <w:rPr>
                <w:rFonts w:hint="eastAsia"/>
                <w:bCs/>
                <w:color w:val="auto"/>
              </w:rPr>
              <w:t>，</w:t>
            </w:r>
            <w:r>
              <w:rPr>
                <w:rFonts w:hint="eastAsia"/>
                <w:color w:val="auto"/>
              </w:rPr>
              <w:t>严格按照安全规范要求组织生产，定期对机油储存区进行巡检，风险物质所在区域进行围堰的设置和重点防渗硬化</w:t>
            </w:r>
            <w:r>
              <w:rPr>
                <w:bCs/>
                <w:color w:val="auto"/>
              </w:rPr>
              <w:t>；</w:t>
            </w:r>
          </w:p>
          <w:p w14:paraId="43983633">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bCs/>
                <w:color w:val="auto"/>
              </w:rPr>
            </w:pPr>
            <w:r>
              <w:rPr>
                <w:rFonts w:hint="eastAsia" w:ascii="宋体" w:hAnsi="宋体" w:cs="宋体"/>
                <w:bCs/>
                <w:color w:val="auto"/>
              </w:rPr>
              <w:t>⑤</w:t>
            </w:r>
            <w:r>
              <w:rPr>
                <w:color w:val="auto"/>
              </w:rPr>
              <w:t>为预防事故的发生，应成立应急事故领导小组</w:t>
            </w:r>
          </w:p>
          <w:p w14:paraId="6661380D">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bCs/>
                <w:color w:val="auto"/>
              </w:rPr>
            </w:pPr>
            <w:r>
              <w:rPr>
                <w:rFonts w:hint="eastAsia" w:ascii="宋体" w:hAnsi="宋体" w:cs="宋体"/>
                <w:bCs/>
                <w:color w:val="auto"/>
              </w:rPr>
              <w:t>⑥</w:t>
            </w:r>
            <w:r>
              <w:rPr>
                <w:rFonts w:hint="eastAsia"/>
                <w:color w:val="auto"/>
              </w:rPr>
              <w:t>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p>
          <w:p w14:paraId="27A67456">
            <w:pPr>
              <w:keepNext w:val="0"/>
              <w:keepLines w:val="0"/>
              <w:pageBreakBefore w:val="0"/>
              <w:kinsoku/>
              <w:wordWrap/>
              <w:overflowPunct/>
              <w:topLinePunct w:val="0"/>
              <w:autoSpaceDE/>
              <w:autoSpaceDN/>
              <w:bidi w:val="0"/>
              <w:adjustRightInd w:val="0"/>
              <w:snapToGrid w:val="0"/>
              <w:spacing w:line="360" w:lineRule="auto"/>
              <w:ind w:right="0" w:firstLine="422" w:firstLineChars="200"/>
              <w:textAlignment w:val="auto"/>
              <w:rPr>
                <w:rFonts w:hint="eastAsia"/>
                <w:b/>
                <w:bCs/>
                <w:color w:val="auto"/>
              </w:rPr>
            </w:pPr>
            <w:r>
              <w:rPr>
                <w:rFonts w:hint="eastAsia"/>
                <w:b/>
                <w:bCs/>
                <w:color w:val="auto"/>
              </w:rPr>
              <w:t>（4）环境风险分析结论</w:t>
            </w:r>
          </w:p>
          <w:p w14:paraId="2CC129C8">
            <w:pPr>
              <w:spacing w:line="360" w:lineRule="auto"/>
              <w:ind w:firstLine="420" w:firstLineChars="200"/>
              <w:rPr>
                <w:rFonts w:hint="eastAsia"/>
                <w:color w:val="auto"/>
                <w:lang w:eastAsia="zh-CN"/>
              </w:rPr>
            </w:pPr>
            <w:r>
              <w:rPr>
                <w:color w:val="auto"/>
              </w:rPr>
              <w:t>综上所述，在落实好环评报告中提出的风险防范措施的前提下，项目风险水平处于</w:t>
            </w:r>
            <w:r>
              <w:rPr>
                <w:rFonts w:hint="eastAsia"/>
                <w:color w:val="auto"/>
                <w:lang w:val="en-US" w:eastAsia="zh-CN"/>
              </w:rPr>
              <w:t>可控</w:t>
            </w:r>
            <w:r>
              <w:rPr>
                <w:color w:val="auto"/>
              </w:rPr>
              <w:t>范围之内，不会对周围环境产生明显不利影响</w:t>
            </w:r>
            <w:r>
              <w:rPr>
                <w:rFonts w:hint="eastAsia"/>
                <w:color w:val="auto"/>
                <w:lang w:eastAsia="zh-CN"/>
              </w:rPr>
              <w:t>。</w:t>
            </w:r>
          </w:p>
          <w:p w14:paraId="29301BC5">
            <w:pPr>
              <w:adjustRightInd w:val="0"/>
              <w:snapToGrid w:val="0"/>
              <w:spacing w:line="360" w:lineRule="auto"/>
              <w:ind w:firstLine="422" w:firstLineChars="200"/>
              <w:rPr>
                <w:b/>
                <w:color w:val="auto"/>
              </w:rPr>
            </w:pPr>
            <w:r>
              <w:rPr>
                <w:b/>
                <w:color w:val="auto"/>
              </w:rPr>
              <w:t>九、环保投资及三同时分析</w:t>
            </w:r>
          </w:p>
          <w:p w14:paraId="19F66CF9">
            <w:pPr>
              <w:adjustRightInd w:val="0"/>
              <w:snapToGrid w:val="0"/>
              <w:spacing w:line="360" w:lineRule="auto"/>
              <w:ind w:firstLine="420" w:firstLineChars="200"/>
              <w:rPr>
                <w:bCs/>
                <w:color w:val="auto"/>
              </w:rPr>
            </w:pPr>
            <w:r>
              <w:rPr>
                <w:color w:val="auto"/>
              </w:rPr>
              <w:t>工程总投资</w:t>
            </w:r>
            <w:r>
              <w:rPr>
                <w:rFonts w:hint="eastAsia"/>
                <w:color w:val="auto"/>
                <w:lang w:val="en-US" w:eastAsia="zh-CN"/>
              </w:rPr>
              <w:t>5</w:t>
            </w:r>
            <w:r>
              <w:rPr>
                <w:color w:val="auto"/>
              </w:rPr>
              <w:t>00万元，环保投资50万元，占投资的</w:t>
            </w:r>
            <w:r>
              <w:rPr>
                <w:rFonts w:hint="eastAsia"/>
                <w:color w:val="auto"/>
                <w:lang w:val="en-US" w:eastAsia="zh-CN"/>
              </w:rPr>
              <w:t>10</w:t>
            </w:r>
            <w:r>
              <w:rPr>
                <w:color w:val="auto"/>
              </w:rPr>
              <w:t>%，</w:t>
            </w:r>
            <w:r>
              <w:rPr>
                <w:bCs/>
                <w:color w:val="auto"/>
              </w:rPr>
              <w:t>根据项目的工程分析，污染因素分析及治理对策分析和调查，项目环保投资及三同时一览表如下：</w:t>
            </w:r>
          </w:p>
          <w:p w14:paraId="327FDCCA">
            <w:pPr>
              <w:adjustRightInd w:val="0"/>
              <w:snapToGrid w:val="0"/>
              <w:spacing w:line="360" w:lineRule="auto"/>
              <w:jc w:val="center"/>
              <w:rPr>
                <w:b/>
                <w:color w:val="auto"/>
              </w:rPr>
            </w:pPr>
            <w:r>
              <w:rPr>
                <w:b/>
                <w:color w:val="auto"/>
              </w:rPr>
              <w:t>表4-</w:t>
            </w:r>
            <w:r>
              <w:rPr>
                <w:rFonts w:hint="eastAsia"/>
                <w:b/>
                <w:color w:val="auto"/>
                <w:lang w:val="en-US" w:eastAsia="zh-CN"/>
              </w:rPr>
              <w:t>18</w:t>
            </w:r>
            <w:r>
              <w:rPr>
                <w:b/>
                <w:color w:val="auto"/>
              </w:rPr>
              <w:t>项目环保投资及“三同时”一览表     单位：万元</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1296"/>
              <w:gridCol w:w="3579"/>
              <w:gridCol w:w="1254"/>
              <w:gridCol w:w="1195"/>
            </w:tblGrid>
            <w:tr w14:paraId="302F6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753" w:type="dxa"/>
                  <w:vAlign w:val="center"/>
                </w:tcPr>
                <w:p w14:paraId="4289C224">
                  <w:pPr>
                    <w:spacing w:line="240" w:lineRule="atLeast"/>
                    <w:jc w:val="center"/>
                    <w:rPr>
                      <w:b/>
                      <w:bCs/>
                      <w:color w:val="auto"/>
                      <w:sz w:val="18"/>
                      <w:szCs w:val="18"/>
                    </w:rPr>
                  </w:pPr>
                  <w:r>
                    <w:rPr>
                      <w:b/>
                      <w:bCs/>
                      <w:color w:val="auto"/>
                      <w:sz w:val="18"/>
                      <w:szCs w:val="18"/>
                    </w:rPr>
                    <w:t>序号</w:t>
                  </w:r>
                </w:p>
              </w:tc>
              <w:tc>
                <w:tcPr>
                  <w:tcW w:w="1296" w:type="dxa"/>
                  <w:vAlign w:val="center"/>
                </w:tcPr>
                <w:p w14:paraId="7CF07732">
                  <w:pPr>
                    <w:spacing w:line="240" w:lineRule="atLeast"/>
                    <w:jc w:val="center"/>
                    <w:rPr>
                      <w:b/>
                      <w:bCs/>
                      <w:color w:val="auto"/>
                      <w:sz w:val="18"/>
                      <w:szCs w:val="18"/>
                    </w:rPr>
                  </w:pPr>
                  <w:r>
                    <w:rPr>
                      <w:b/>
                      <w:bCs/>
                      <w:color w:val="auto"/>
                      <w:sz w:val="18"/>
                      <w:szCs w:val="18"/>
                    </w:rPr>
                    <w:t>项目</w:t>
                  </w:r>
                </w:p>
              </w:tc>
              <w:tc>
                <w:tcPr>
                  <w:tcW w:w="3579" w:type="dxa"/>
                  <w:vAlign w:val="center"/>
                </w:tcPr>
                <w:p w14:paraId="41DB2D57">
                  <w:pPr>
                    <w:spacing w:line="240" w:lineRule="atLeast"/>
                    <w:jc w:val="center"/>
                    <w:rPr>
                      <w:b/>
                      <w:bCs/>
                      <w:color w:val="auto"/>
                      <w:sz w:val="18"/>
                      <w:szCs w:val="18"/>
                    </w:rPr>
                  </w:pPr>
                  <w:r>
                    <w:rPr>
                      <w:b/>
                      <w:bCs/>
                      <w:color w:val="auto"/>
                      <w:sz w:val="18"/>
                      <w:szCs w:val="18"/>
                    </w:rPr>
                    <w:t>环保措施及验收内容</w:t>
                  </w:r>
                </w:p>
              </w:tc>
              <w:tc>
                <w:tcPr>
                  <w:tcW w:w="1254" w:type="dxa"/>
                  <w:vAlign w:val="center"/>
                </w:tcPr>
                <w:p w14:paraId="61592BA3">
                  <w:pPr>
                    <w:spacing w:line="240" w:lineRule="atLeast"/>
                    <w:jc w:val="center"/>
                    <w:rPr>
                      <w:b/>
                      <w:bCs/>
                      <w:color w:val="auto"/>
                      <w:sz w:val="18"/>
                      <w:szCs w:val="18"/>
                    </w:rPr>
                  </w:pPr>
                  <w:r>
                    <w:rPr>
                      <w:b/>
                      <w:bCs/>
                      <w:color w:val="auto"/>
                      <w:sz w:val="18"/>
                      <w:szCs w:val="18"/>
                    </w:rPr>
                    <w:t>投资估算</w:t>
                  </w:r>
                </w:p>
              </w:tc>
              <w:tc>
                <w:tcPr>
                  <w:tcW w:w="1195" w:type="dxa"/>
                  <w:vAlign w:val="center"/>
                </w:tcPr>
                <w:p w14:paraId="3554667C">
                  <w:pPr>
                    <w:spacing w:line="240" w:lineRule="atLeast"/>
                    <w:jc w:val="center"/>
                    <w:rPr>
                      <w:b/>
                      <w:bCs/>
                      <w:color w:val="auto"/>
                      <w:sz w:val="18"/>
                      <w:szCs w:val="18"/>
                    </w:rPr>
                  </w:pPr>
                  <w:r>
                    <w:rPr>
                      <w:b/>
                      <w:bCs/>
                      <w:color w:val="auto"/>
                      <w:sz w:val="18"/>
                      <w:szCs w:val="18"/>
                    </w:rPr>
                    <w:t>备注</w:t>
                  </w:r>
                </w:p>
              </w:tc>
            </w:tr>
            <w:tr w14:paraId="57538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53" w:type="dxa"/>
                  <w:vAlign w:val="center"/>
                </w:tcPr>
                <w:p w14:paraId="43EAFC27">
                  <w:pPr>
                    <w:spacing w:line="240" w:lineRule="atLeast"/>
                    <w:jc w:val="center"/>
                    <w:rPr>
                      <w:bCs/>
                      <w:color w:val="auto"/>
                      <w:sz w:val="18"/>
                      <w:szCs w:val="18"/>
                    </w:rPr>
                  </w:pPr>
                  <w:r>
                    <w:rPr>
                      <w:bCs/>
                      <w:color w:val="auto"/>
                      <w:sz w:val="18"/>
                      <w:szCs w:val="18"/>
                    </w:rPr>
                    <w:t>1</w:t>
                  </w:r>
                </w:p>
              </w:tc>
              <w:tc>
                <w:tcPr>
                  <w:tcW w:w="1296" w:type="dxa"/>
                  <w:vAlign w:val="center"/>
                </w:tcPr>
                <w:p w14:paraId="708160BB">
                  <w:pPr>
                    <w:widowControl/>
                    <w:spacing w:line="300" w:lineRule="exact"/>
                    <w:jc w:val="center"/>
                    <w:rPr>
                      <w:bCs/>
                      <w:color w:val="auto"/>
                      <w:sz w:val="18"/>
                      <w:szCs w:val="18"/>
                    </w:rPr>
                  </w:pPr>
                  <w:r>
                    <w:rPr>
                      <w:bCs/>
                      <w:color w:val="auto"/>
                      <w:sz w:val="18"/>
                      <w:szCs w:val="18"/>
                    </w:rPr>
                    <w:t>大气污染防治措施</w:t>
                  </w:r>
                </w:p>
              </w:tc>
              <w:tc>
                <w:tcPr>
                  <w:tcW w:w="3579" w:type="dxa"/>
                  <w:vAlign w:val="center"/>
                </w:tcPr>
                <w:p w14:paraId="56356518">
                  <w:pPr>
                    <w:pStyle w:val="82"/>
                    <w:widowControl/>
                    <w:spacing w:line="300" w:lineRule="exact"/>
                    <w:ind w:firstLine="0" w:firstLineChars="0"/>
                    <w:jc w:val="center"/>
                    <w:rPr>
                      <w:bCs/>
                      <w:color w:val="auto"/>
                      <w:sz w:val="18"/>
                      <w:szCs w:val="18"/>
                    </w:rPr>
                  </w:pPr>
                  <w:r>
                    <w:rPr>
                      <w:bCs/>
                      <w:color w:val="auto"/>
                      <w:sz w:val="18"/>
                      <w:szCs w:val="18"/>
                    </w:rPr>
                    <w:t>布袋除尘器、</w:t>
                  </w:r>
                  <w:r>
                    <w:rPr>
                      <w:rFonts w:hint="eastAsia"/>
                      <w:bCs/>
                      <w:color w:val="auto"/>
                      <w:sz w:val="18"/>
                      <w:szCs w:val="18"/>
                      <w:lang w:val="en-US" w:eastAsia="zh-CN"/>
                    </w:rPr>
                    <w:t>二级活性炭吸附装置、移动式焊接烟尘净化器、</w:t>
                  </w:r>
                  <w:r>
                    <w:rPr>
                      <w:bCs/>
                      <w:color w:val="auto"/>
                      <w:sz w:val="18"/>
                      <w:szCs w:val="18"/>
                    </w:rPr>
                    <w:t>集气罩、输送管道、排气筒</w:t>
                  </w:r>
                </w:p>
              </w:tc>
              <w:tc>
                <w:tcPr>
                  <w:tcW w:w="1254" w:type="dxa"/>
                  <w:vAlign w:val="center"/>
                </w:tcPr>
                <w:p w14:paraId="6E2AA175">
                  <w:pPr>
                    <w:spacing w:line="240" w:lineRule="atLeast"/>
                    <w:jc w:val="center"/>
                    <w:rPr>
                      <w:rFonts w:hint="default" w:eastAsia="宋体"/>
                      <w:bCs/>
                      <w:color w:val="auto"/>
                      <w:sz w:val="18"/>
                      <w:szCs w:val="18"/>
                      <w:lang w:val="en-US" w:eastAsia="zh-CN"/>
                    </w:rPr>
                  </w:pPr>
                  <w:r>
                    <w:rPr>
                      <w:rFonts w:hint="eastAsia"/>
                      <w:bCs/>
                      <w:color w:val="auto"/>
                      <w:sz w:val="18"/>
                      <w:szCs w:val="18"/>
                      <w:lang w:val="en-US" w:eastAsia="zh-CN"/>
                    </w:rPr>
                    <w:t>25</w:t>
                  </w:r>
                </w:p>
              </w:tc>
              <w:tc>
                <w:tcPr>
                  <w:tcW w:w="1195" w:type="dxa"/>
                  <w:vMerge w:val="restart"/>
                  <w:vAlign w:val="center"/>
                </w:tcPr>
                <w:p w14:paraId="7BC22793">
                  <w:pPr>
                    <w:widowControl/>
                    <w:spacing w:line="300" w:lineRule="exact"/>
                    <w:jc w:val="center"/>
                    <w:rPr>
                      <w:bCs/>
                      <w:color w:val="auto"/>
                      <w:sz w:val="18"/>
                      <w:szCs w:val="18"/>
                    </w:rPr>
                  </w:pPr>
                  <w:r>
                    <w:rPr>
                      <w:bCs/>
                      <w:color w:val="auto"/>
                      <w:sz w:val="18"/>
                      <w:szCs w:val="18"/>
                    </w:rPr>
                    <w:t>项目的污染治理设施与主体工程同时设计、同时施工、同时投入使用</w:t>
                  </w:r>
                </w:p>
              </w:tc>
            </w:tr>
            <w:tr w14:paraId="651F2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753" w:type="dxa"/>
                  <w:vAlign w:val="center"/>
                </w:tcPr>
                <w:p w14:paraId="47DBFA6D">
                  <w:pPr>
                    <w:spacing w:line="240" w:lineRule="atLeast"/>
                    <w:jc w:val="center"/>
                    <w:rPr>
                      <w:bCs/>
                      <w:color w:val="auto"/>
                      <w:sz w:val="18"/>
                      <w:szCs w:val="18"/>
                    </w:rPr>
                  </w:pPr>
                  <w:r>
                    <w:rPr>
                      <w:bCs/>
                      <w:color w:val="auto"/>
                      <w:sz w:val="18"/>
                      <w:szCs w:val="18"/>
                    </w:rPr>
                    <w:t>2</w:t>
                  </w:r>
                </w:p>
              </w:tc>
              <w:tc>
                <w:tcPr>
                  <w:tcW w:w="1296" w:type="dxa"/>
                  <w:vAlign w:val="center"/>
                </w:tcPr>
                <w:p w14:paraId="25CDE1E1">
                  <w:pPr>
                    <w:widowControl/>
                    <w:spacing w:line="300" w:lineRule="exact"/>
                    <w:jc w:val="center"/>
                    <w:rPr>
                      <w:bCs/>
                      <w:color w:val="auto"/>
                      <w:sz w:val="18"/>
                      <w:szCs w:val="18"/>
                    </w:rPr>
                  </w:pPr>
                  <w:r>
                    <w:rPr>
                      <w:bCs/>
                      <w:color w:val="auto"/>
                      <w:sz w:val="18"/>
                      <w:szCs w:val="18"/>
                    </w:rPr>
                    <w:t>水污染物防治措施</w:t>
                  </w:r>
                </w:p>
              </w:tc>
              <w:tc>
                <w:tcPr>
                  <w:tcW w:w="3579" w:type="dxa"/>
                  <w:vAlign w:val="center"/>
                </w:tcPr>
                <w:p w14:paraId="0EBB8D38">
                  <w:pPr>
                    <w:adjustRightInd w:val="0"/>
                    <w:snapToGrid w:val="0"/>
                    <w:spacing w:line="240" w:lineRule="atLeast"/>
                    <w:jc w:val="center"/>
                    <w:rPr>
                      <w:rFonts w:hint="eastAsia" w:eastAsia="宋体"/>
                      <w:color w:val="auto"/>
                      <w:lang w:eastAsia="zh-CN"/>
                    </w:rPr>
                  </w:pPr>
                  <w:r>
                    <w:rPr>
                      <w:color w:val="auto"/>
                      <w:sz w:val="18"/>
                      <w:szCs w:val="18"/>
                    </w:rPr>
                    <w:t>化粪池</w:t>
                  </w:r>
                </w:p>
              </w:tc>
              <w:tc>
                <w:tcPr>
                  <w:tcW w:w="1254" w:type="dxa"/>
                  <w:vAlign w:val="center"/>
                </w:tcPr>
                <w:p w14:paraId="0012AD69">
                  <w:pPr>
                    <w:spacing w:line="240" w:lineRule="atLeast"/>
                    <w:jc w:val="center"/>
                    <w:rPr>
                      <w:rFonts w:hint="eastAsia" w:eastAsia="宋体"/>
                      <w:bCs/>
                      <w:color w:val="auto"/>
                      <w:sz w:val="18"/>
                      <w:szCs w:val="18"/>
                      <w:lang w:eastAsia="zh-CN"/>
                    </w:rPr>
                  </w:pPr>
                  <w:r>
                    <w:rPr>
                      <w:rFonts w:hint="eastAsia"/>
                      <w:bCs/>
                      <w:color w:val="auto"/>
                      <w:sz w:val="18"/>
                      <w:szCs w:val="18"/>
                      <w:lang w:val="en-US" w:eastAsia="zh-CN"/>
                    </w:rPr>
                    <w:t>2</w:t>
                  </w:r>
                </w:p>
              </w:tc>
              <w:tc>
                <w:tcPr>
                  <w:tcW w:w="1195" w:type="dxa"/>
                  <w:vMerge w:val="continue"/>
                  <w:vAlign w:val="center"/>
                </w:tcPr>
                <w:p w14:paraId="17FF3833">
                  <w:pPr>
                    <w:widowControl/>
                    <w:spacing w:line="300" w:lineRule="exact"/>
                    <w:jc w:val="center"/>
                    <w:rPr>
                      <w:bCs/>
                      <w:color w:val="auto"/>
                      <w:sz w:val="18"/>
                      <w:szCs w:val="18"/>
                    </w:rPr>
                  </w:pPr>
                </w:p>
              </w:tc>
            </w:tr>
            <w:tr w14:paraId="46354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753" w:type="dxa"/>
                  <w:vAlign w:val="center"/>
                </w:tcPr>
                <w:p w14:paraId="1387FE7E">
                  <w:pPr>
                    <w:spacing w:line="240" w:lineRule="atLeast"/>
                    <w:jc w:val="center"/>
                    <w:rPr>
                      <w:bCs/>
                      <w:color w:val="auto"/>
                      <w:sz w:val="18"/>
                      <w:szCs w:val="18"/>
                    </w:rPr>
                  </w:pPr>
                  <w:r>
                    <w:rPr>
                      <w:bCs/>
                      <w:color w:val="auto"/>
                      <w:sz w:val="18"/>
                      <w:szCs w:val="18"/>
                    </w:rPr>
                    <w:t>3</w:t>
                  </w:r>
                </w:p>
              </w:tc>
              <w:tc>
                <w:tcPr>
                  <w:tcW w:w="1296" w:type="dxa"/>
                  <w:vAlign w:val="center"/>
                </w:tcPr>
                <w:p w14:paraId="705B90D3">
                  <w:pPr>
                    <w:widowControl/>
                    <w:spacing w:line="300" w:lineRule="exact"/>
                    <w:jc w:val="center"/>
                    <w:rPr>
                      <w:bCs/>
                      <w:color w:val="auto"/>
                      <w:sz w:val="18"/>
                      <w:szCs w:val="18"/>
                    </w:rPr>
                  </w:pPr>
                  <w:r>
                    <w:rPr>
                      <w:bCs/>
                      <w:color w:val="auto"/>
                      <w:sz w:val="18"/>
                      <w:szCs w:val="18"/>
                    </w:rPr>
                    <w:t>噪声污染防治措施</w:t>
                  </w:r>
                </w:p>
              </w:tc>
              <w:tc>
                <w:tcPr>
                  <w:tcW w:w="3579" w:type="dxa"/>
                  <w:vAlign w:val="center"/>
                </w:tcPr>
                <w:p w14:paraId="050717DE">
                  <w:pPr>
                    <w:widowControl/>
                    <w:spacing w:line="300" w:lineRule="exact"/>
                    <w:jc w:val="center"/>
                    <w:rPr>
                      <w:bCs/>
                      <w:color w:val="auto"/>
                      <w:sz w:val="18"/>
                      <w:szCs w:val="18"/>
                    </w:rPr>
                  </w:pPr>
                  <w:r>
                    <w:rPr>
                      <w:bCs/>
                      <w:color w:val="auto"/>
                      <w:sz w:val="18"/>
                      <w:szCs w:val="18"/>
                    </w:rPr>
                    <w:t>合理布置，高噪声设备采用减震、消声、隔声等降噪措施。</w:t>
                  </w:r>
                </w:p>
              </w:tc>
              <w:tc>
                <w:tcPr>
                  <w:tcW w:w="1254" w:type="dxa"/>
                  <w:vAlign w:val="center"/>
                </w:tcPr>
                <w:p w14:paraId="5D1F2A24">
                  <w:pPr>
                    <w:spacing w:line="240" w:lineRule="atLeast"/>
                    <w:jc w:val="center"/>
                    <w:rPr>
                      <w:bCs/>
                      <w:color w:val="auto"/>
                      <w:sz w:val="18"/>
                      <w:szCs w:val="18"/>
                    </w:rPr>
                  </w:pPr>
                  <w:r>
                    <w:rPr>
                      <w:bCs/>
                      <w:color w:val="auto"/>
                      <w:sz w:val="18"/>
                      <w:szCs w:val="18"/>
                    </w:rPr>
                    <w:t>5</w:t>
                  </w:r>
                </w:p>
              </w:tc>
              <w:tc>
                <w:tcPr>
                  <w:tcW w:w="1195" w:type="dxa"/>
                  <w:vMerge w:val="continue"/>
                  <w:vAlign w:val="center"/>
                </w:tcPr>
                <w:p w14:paraId="39A7D7D6">
                  <w:pPr>
                    <w:widowControl/>
                    <w:spacing w:line="300" w:lineRule="exact"/>
                    <w:jc w:val="center"/>
                    <w:rPr>
                      <w:bCs/>
                      <w:color w:val="auto"/>
                      <w:sz w:val="18"/>
                      <w:szCs w:val="18"/>
                    </w:rPr>
                  </w:pPr>
                </w:p>
              </w:tc>
            </w:tr>
            <w:tr w14:paraId="36955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753" w:type="dxa"/>
                  <w:vAlign w:val="center"/>
                </w:tcPr>
                <w:p w14:paraId="72210F87">
                  <w:pPr>
                    <w:spacing w:line="240" w:lineRule="atLeast"/>
                    <w:jc w:val="center"/>
                    <w:rPr>
                      <w:bCs/>
                      <w:color w:val="auto"/>
                      <w:sz w:val="18"/>
                      <w:szCs w:val="18"/>
                    </w:rPr>
                  </w:pPr>
                  <w:r>
                    <w:rPr>
                      <w:bCs/>
                      <w:color w:val="auto"/>
                      <w:sz w:val="18"/>
                      <w:szCs w:val="18"/>
                    </w:rPr>
                    <w:t>4</w:t>
                  </w:r>
                </w:p>
              </w:tc>
              <w:tc>
                <w:tcPr>
                  <w:tcW w:w="1296" w:type="dxa"/>
                  <w:vAlign w:val="center"/>
                </w:tcPr>
                <w:p w14:paraId="2EE57235">
                  <w:pPr>
                    <w:widowControl/>
                    <w:spacing w:line="300" w:lineRule="exact"/>
                    <w:jc w:val="center"/>
                    <w:rPr>
                      <w:bCs/>
                      <w:color w:val="auto"/>
                      <w:sz w:val="18"/>
                      <w:szCs w:val="18"/>
                    </w:rPr>
                  </w:pPr>
                  <w:r>
                    <w:rPr>
                      <w:bCs/>
                      <w:color w:val="auto"/>
                      <w:sz w:val="18"/>
                      <w:szCs w:val="18"/>
                    </w:rPr>
                    <w:t>固体废物处理处置措施</w:t>
                  </w:r>
                </w:p>
              </w:tc>
              <w:tc>
                <w:tcPr>
                  <w:tcW w:w="3579" w:type="dxa"/>
                  <w:vAlign w:val="center"/>
                </w:tcPr>
                <w:p w14:paraId="7A719958">
                  <w:pPr>
                    <w:widowControl/>
                    <w:spacing w:line="300" w:lineRule="exact"/>
                    <w:jc w:val="center"/>
                    <w:rPr>
                      <w:rFonts w:hint="default" w:eastAsia="宋体"/>
                      <w:bCs/>
                      <w:color w:val="auto"/>
                      <w:sz w:val="18"/>
                      <w:szCs w:val="18"/>
                      <w:lang w:val="en-US" w:eastAsia="zh-CN"/>
                    </w:rPr>
                  </w:pPr>
                  <w:r>
                    <w:rPr>
                      <w:bCs/>
                      <w:color w:val="auto"/>
                      <w:sz w:val="18"/>
                      <w:szCs w:val="18"/>
                    </w:rPr>
                    <w:t>危废间</w:t>
                  </w:r>
                  <w:r>
                    <w:rPr>
                      <w:rFonts w:hint="eastAsia"/>
                      <w:bCs/>
                      <w:color w:val="auto"/>
                      <w:sz w:val="18"/>
                      <w:szCs w:val="18"/>
                      <w:lang w:eastAsia="zh-CN"/>
                    </w:rPr>
                    <w:t>、</w:t>
                  </w:r>
                  <w:r>
                    <w:rPr>
                      <w:rFonts w:hint="eastAsia"/>
                      <w:bCs/>
                      <w:color w:val="auto"/>
                      <w:sz w:val="18"/>
                      <w:szCs w:val="18"/>
                      <w:lang w:val="en-US" w:eastAsia="zh-CN"/>
                    </w:rPr>
                    <w:t>一般固废暂存处</w:t>
                  </w:r>
                </w:p>
              </w:tc>
              <w:tc>
                <w:tcPr>
                  <w:tcW w:w="1254" w:type="dxa"/>
                  <w:vAlign w:val="center"/>
                </w:tcPr>
                <w:p w14:paraId="3DEA3AC2">
                  <w:pPr>
                    <w:spacing w:line="240" w:lineRule="atLeast"/>
                    <w:jc w:val="center"/>
                    <w:rPr>
                      <w:rFonts w:hint="eastAsia" w:eastAsia="宋体"/>
                      <w:bCs/>
                      <w:color w:val="auto"/>
                      <w:sz w:val="18"/>
                      <w:szCs w:val="18"/>
                      <w:lang w:eastAsia="zh-CN"/>
                    </w:rPr>
                  </w:pPr>
                  <w:r>
                    <w:rPr>
                      <w:rFonts w:hint="eastAsia"/>
                      <w:bCs/>
                      <w:color w:val="auto"/>
                      <w:sz w:val="18"/>
                      <w:szCs w:val="18"/>
                      <w:lang w:val="en-US" w:eastAsia="zh-CN"/>
                    </w:rPr>
                    <w:t>3</w:t>
                  </w:r>
                </w:p>
              </w:tc>
              <w:tc>
                <w:tcPr>
                  <w:tcW w:w="1195" w:type="dxa"/>
                  <w:vMerge w:val="continue"/>
                  <w:vAlign w:val="center"/>
                </w:tcPr>
                <w:p w14:paraId="5B194D3A">
                  <w:pPr>
                    <w:widowControl/>
                    <w:spacing w:line="300" w:lineRule="exact"/>
                    <w:jc w:val="center"/>
                    <w:rPr>
                      <w:bCs/>
                      <w:color w:val="auto"/>
                      <w:sz w:val="18"/>
                      <w:szCs w:val="18"/>
                    </w:rPr>
                  </w:pPr>
                </w:p>
              </w:tc>
            </w:tr>
            <w:tr w14:paraId="3AF94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753" w:type="dxa"/>
                  <w:vAlign w:val="center"/>
                </w:tcPr>
                <w:p w14:paraId="527A0731">
                  <w:pPr>
                    <w:spacing w:line="240" w:lineRule="atLeast"/>
                    <w:jc w:val="center"/>
                    <w:rPr>
                      <w:bCs/>
                      <w:color w:val="auto"/>
                      <w:sz w:val="18"/>
                      <w:szCs w:val="18"/>
                    </w:rPr>
                  </w:pPr>
                  <w:r>
                    <w:rPr>
                      <w:bCs/>
                      <w:color w:val="auto"/>
                      <w:sz w:val="18"/>
                      <w:szCs w:val="18"/>
                    </w:rPr>
                    <w:t>5</w:t>
                  </w:r>
                </w:p>
              </w:tc>
              <w:tc>
                <w:tcPr>
                  <w:tcW w:w="1296" w:type="dxa"/>
                  <w:vAlign w:val="center"/>
                </w:tcPr>
                <w:p w14:paraId="0F23BA22">
                  <w:pPr>
                    <w:widowControl/>
                    <w:spacing w:line="300" w:lineRule="exact"/>
                    <w:jc w:val="center"/>
                    <w:rPr>
                      <w:bCs/>
                      <w:color w:val="auto"/>
                      <w:sz w:val="18"/>
                      <w:szCs w:val="18"/>
                    </w:rPr>
                  </w:pPr>
                  <w:r>
                    <w:rPr>
                      <w:bCs/>
                      <w:color w:val="auto"/>
                      <w:sz w:val="18"/>
                      <w:szCs w:val="18"/>
                    </w:rPr>
                    <w:t>地下水、土壤防治措施</w:t>
                  </w:r>
                </w:p>
              </w:tc>
              <w:tc>
                <w:tcPr>
                  <w:tcW w:w="3579" w:type="dxa"/>
                  <w:vAlign w:val="center"/>
                </w:tcPr>
                <w:p w14:paraId="281648F3">
                  <w:pPr>
                    <w:widowControl/>
                    <w:spacing w:line="300" w:lineRule="exact"/>
                    <w:jc w:val="center"/>
                    <w:rPr>
                      <w:bCs/>
                      <w:color w:val="auto"/>
                      <w:sz w:val="18"/>
                      <w:szCs w:val="18"/>
                    </w:rPr>
                  </w:pPr>
                  <w:r>
                    <w:rPr>
                      <w:bCs/>
                      <w:color w:val="auto"/>
                      <w:sz w:val="18"/>
                      <w:szCs w:val="18"/>
                    </w:rPr>
                    <w:t>地面硬化+防渗处理</w:t>
                  </w:r>
                </w:p>
              </w:tc>
              <w:tc>
                <w:tcPr>
                  <w:tcW w:w="1254" w:type="dxa"/>
                  <w:vAlign w:val="center"/>
                </w:tcPr>
                <w:p w14:paraId="7AC3119D">
                  <w:pPr>
                    <w:spacing w:line="240" w:lineRule="atLeast"/>
                    <w:jc w:val="center"/>
                    <w:rPr>
                      <w:rFonts w:hint="default" w:eastAsia="宋体"/>
                      <w:bCs/>
                      <w:color w:val="auto"/>
                      <w:sz w:val="18"/>
                      <w:szCs w:val="18"/>
                      <w:lang w:val="en-US" w:eastAsia="zh-CN"/>
                    </w:rPr>
                  </w:pPr>
                  <w:r>
                    <w:rPr>
                      <w:rFonts w:hint="eastAsia"/>
                      <w:bCs/>
                      <w:color w:val="auto"/>
                      <w:sz w:val="18"/>
                      <w:szCs w:val="18"/>
                      <w:lang w:val="en-US" w:eastAsia="zh-CN"/>
                    </w:rPr>
                    <w:t>15</w:t>
                  </w:r>
                </w:p>
              </w:tc>
              <w:tc>
                <w:tcPr>
                  <w:tcW w:w="1195" w:type="dxa"/>
                  <w:vMerge w:val="continue"/>
                  <w:vAlign w:val="center"/>
                </w:tcPr>
                <w:p w14:paraId="255EBB73">
                  <w:pPr>
                    <w:widowControl/>
                    <w:spacing w:line="300" w:lineRule="exact"/>
                    <w:jc w:val="center"/>
                    <w:rPr>
                      <w:bCs/>
                      <w:color w:val="auto"/>
                      <w:sz w:val="18"/>
                      <w:szCs w:val="18"/>
                    </w:rPr>
                  </w:pPr>
                </w:p>
              </w:tc>
            </w:tr>
            <w:tr w14:paraId="4F024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628" w:type="dxa"/>
                  <w:gridSpan w:val="3"/>
                  <w:vAlign w:val="center"/>
                </w:tcPr>
                <w:p w14:paraId="298B2D97">
                  <w:pPr>
                    <w:pStyle w:val="894"/>
                    <w:tabs>
                      <w:tab w:val="clear" w:pos="400"/>
                    </w:tabs>
                    <w:spacing w:line="300" w:lineRule="exact"/>
                    <w:ind w:firstLine="0"/>
                    <w:jc w:val="center"/>
                    <w:rPr>
                      <w:bCs/>
                      <w:color w:val="auto"/>
                      <w:sz w:val="18"/>
                      <w:szCs w:val="18"/>
                    </w:rPr>
                  </w:pPr>
                  <w:r>
                    <w:rPr>
                      <w:bCs/>
                      <w:color w:val="auto"/>
                      <w:sz w:val="18"/>
                      <w:szCs w:val="18"/>
                    </w:rPr>
                    <w:t>合计</w:t>
                  </w:r>
                </w:p>
              </w:tc>
              <w:tc>
                <w:tcPr>
                  <w:tcW w:w="1254" w:type="dxa"/>
                  <w:vAlign w:val="center"/>
                </w:tcPr>
                <w:p w14:paraId="2B56CA3A">
                  <w:pPr>
                    <w:pStyle w:val="894"/>
                    <w:tabs>
                      <w:tab w:val="clear" w:pos="400"/>
                    </w:tabs>
                    <w:spacing w:line="300" w:lineRule="exact"/>
                    <w:ind w:firstLine="0"/>
                    <w:jc w:val="center"/>
                    <w:rPr>
                      <w:bCs/>
                      <w:color w:val="auto"/>
                      <w:sz w:val="18"/>
                      <w:szCs w:val="18"/>
                    </w:rPr>
                  </w:pPr>
                  <w:r>
                    <w:rPr>
                      <w:bCs/>
                      <w:color w:val="auto"/>
                      <w:sz w:val="18"/>
                      <w:szCs w:val="18"/>
                    </w:rPr>
                    <w:t>50</w:t>
                  </w:r>
                </w:p>
              </w:tc>
              <w:tc>
                <w:tcPr>
                  <w:tcW w:w="1195" w:type="dxa"/>
                  <w:vMerge w:val="continue"/>
                  <w:vAlign w:val="center"/>
                </w:tcPr>
                <w:p w14:paraId="01AA8F99">
                  <w:pPr>
                    <w:spacing w:line="240" w:lineRule="atLeast"/>
                    <w:jc w:val="center"/>
                    <w:rPr>
                      <w:bCs/>
                      <w:color w:val="auto"/>
                      <w:sz w:val="18"/>
                      <w:szCs w:val="18"/>
                    </w:rPr>
                  </w:pPr>
                </w:p>
              </w:tc>
            </w:tr>
          </w:tbl>
          <w:p w14:paraId="14317B3C">
            <w:pPr>
              <w:adjustRightInd w:val="0"/>
              <w:snapToGrid w:val="0"/>
              <w:spacing w:line="360" w:lineRule="auto"/>
              <w:ind w:firstLine="422" w:firstLineChars="200"/>
              <w:rPr>
                <w:b/>
                <w:bCs/>
                <w:color w:val="auto"/>
                <w:highlight w:val="none"/>
              </w:rPr>
            </w:pPr>
            <w:r>
              <w:rPr>
                <w:rFonts w:hint="eastAsia"/>
                <w:b/>
                <w:bCs/>
                <w:color w:val="auto"/>
                <w:highlight w:val="none"/>
              </w:rPr>
              <w:t>十</w:t>
            </w:r>
            <w:r>
              <w:rPr>
                <w:b/>
                <w:bCs/>
                <w:color w:val="auto"/>
                <w:highlight w:val="none"/>
              </w:rPr>
              <w:t>、环境管理</w:t>
            </w:r>
          </w:p>
          <w:p w14:paraId="7E5D69F2">
            <w:pPr>
              <w:pStyle w:val="31"/>
              <w:adjustRightInd w:val="0"/>
              <w:spacing w:before="0" w:after="0" w:line="360" w:lineRule="auto"/>
              <w:ind w:right="0" w:firstLine="422" w:firstLineChars="200"/>
              <w:rPr>
                <w:b/>
                <w:bCs/>
                <w:color w:val="auto"/>
                <w:sz w:val="21"/>
                <w:szCs w:val="21"/>
                <w:highlight w:val="none"/>
              </w:rPr>
            </w:pPr>
            <w:r>
              <w:rPr>
                <w:rFonts w:hint="eastAsia"/>
                <w:b/>
                <w:bCs/>
                <w:color w:val="auto"/>
                <w:sz w:val="21"/>
                <w:szCs w:val="21"/>
                <w:highlight w:val="none"/>
              </w:rPr>
              <w:t>（1）</w:t>
            </w:r>
            <w:r>
              <w:rPr>
                <w:b/>
                <w:bCs/>
                <w:color w:val="auto"/>
                <w:sz w:val="21"/>
                <w:szCs w:val="21"/>
                <w:highlight w:val="none"/>
              </w:rPr>
              <w:t>环境信息公开</w:t>
            </w:r>
          </w:p>
          <w:p w14:paraId="40850419">
            <w:pPr>
              <w:pStyle w:val="31"/>
              <w:adjustRightInd w:val="0"/>
              <w:spacing w:before="0" w:after="0" w:line="360" w:lineRule="auto"/>
              <w:ind w:right="0" w:firstLine="480"/>
              <w:rPr>
                <w:color w:val="auto"/>
                <w:sz w:val="21"/>
                <w:szCs w:val="21"/>
                <w:highlight w:val="none"/>
              </w:rPr>
            </w:pPr>
            <w:r>
              <w:rPr>
                <w:color w:val="auto"/>
                <w:sz w:val="21"/>
                <w:szCs w:val="21"/>
                <w:highlight w:val="none"/>
              </w:rPr>
              <w:t>环保机构合理设置对于有效地管理较为重要，一般分为环境管理机构和监测机构两部分。本项目建成后，建设单位应设立专门的环境管理机构，配备专职（可兼职）环保人员，负责该公司日常环保监督管理工作。保证工作质量，且专职环保人员需经过专职的培训，并定期参加国家或地方环保部门的考核。</w:t>
            </w:r>
          </w:p>
          <w:p w14:paraId="070ED476">
            <w:pPr>
              <w:pStyle w:val="31"/>
              <w:adjustRightInd w:val="0"/>
              <w:spacing w:before="0" w:after="0" w:line="360" w:lineRule="auto"/>
              <w:ind w:right="0" w:firstLine="422" w:firstLineChars="200"/>
              <w:rPr>
                <w:b/>
                <w:bCs/>
                <w:color w:val="auto"/>
                <w:sz w:val="21"/>
                <w:szCs w:val="21"/>
                <w:highlight w:val="none"/>
              </w:rPr>
            </w:pPr>
            <w:r>
              <w:rPr>
                <w:rFonts w:hint="eastAsia"/>
                <w:b/>
                <w:bCs/>
                <w:color w:val="auto"/>
                <w:sz w:val="21"/>
                <w:szCs w:val="21"/>
                <w:highlight w:val="none"/>
              </w:rPr>
              <w:t>（2）</w:t>
            </w:r>
            <w:r>
              <w:rPr>
                <w:b/>
                <w:bCs/>
                <w:color w:val="auto"/>
                <w:sz w:val="21"/>
                <w:szCs w:val="21"/>
                <w:highlight w:val="none"/>
              </w:rPr>
              <w:t>环保机构职责</w:t>
            </w:r>
          </w:p>
          <w:p w14:paraId="4AFCFDB5">
            <w:pPr>
              <w:pStyle w:val="31"/>
              <w:adjustRightInd w:val="0"/>
              <w:spacing w:before="0" w:after="0" w:line="360" w:lineRule="auto"/>
              <w:ind w:right="0" w:firstLine="420" w:firstLineChars="200"/>
              <w:rPr>
                <w:color w:val="auto"/>
                <w:sz w:val="21"/>
                <w:szCs w:val="21"/>
                <w:highlight w:val="none"/>
              </w:rPr>
            </w:pPr>
            <w:r>
              <w:rPr>
                <w:color w:val="auto"/>
                <w:sz w:val="21"/>
                <w:szCs w:val="21"/>
                <w:highlight w:val="none"/>
              </w:rPr>
              <w:t>本项目环境管理机构应履行以下主要职责：</w:t>
            </w:r>
          </w:p>
          <w:p w14:paraId="2B8EE3F7">
            <w:pPr>
              <w:pStyle w:val="31"/>
              <w:adjustRightInd w:val="0"/>
              <w:spacing w:before="0" w:after="0" w:line="360" w:lineRule="auto"/>
              <w:ind w:right="0" w:firstLine="480"/>
              <w:rPr>
                <w:color w:val="auto"/>
                <w:sz w:val="21"/>
                <w:szCs w:val="21"/>
                <w:highlight w:val="none"/>
              </w:rPr>
            </w:pPr>
            <w:r>
              <w:rPr>
                <w:color w:val="auto"/>
                <w:sz w:val="21"/>
                <w:szCs w:val="21"/>
                <w:highlight w:val="none"/>
              </w:rPr>
              <w:t>①组织宣传贯彻国家和地方的环境保护方针、政策、标准，对企业员工进行环保知识教育；</w:t>
            </w:r>
          </w:p>
          <w:p w14:paraId="6C7C6799">
            <w:pPr>
              <w:pStyle w:val="31"/>
              <w:adjustRightInd w:val="0"/>
              <w:spacing w:before="0" w:after="0" w:line="360" w:lineRule="auto"/>
              <w:ind w:right="0" w:firstLine="420" w:firstLineChars="200"/>
              <w:rPr>
                <w:color w:val="auto"/>
                <w:sz w:val="21"/>
                <w:szCs w:val="21"/>
                <w:highlight w:val="none"/>
              </w:rPr>
            </w:pPr>
            <w:r>
              <w:rPr>
                <w:color w:val="auto"/>
                <w:sz w:val="21"/>
                <w:szCs w:val="21"/>
                <w:highlight w:val="none"/>
              </w:rPr>
              <w:t>②组织制定和修改项目的环境保护管理规章制度并监督执行；</w:t>
            </w:r>
          </w:p>
          <w:p w14:paraId="05214D3A">
            <w:pPr>
              <w:pStyle w:val="31"/>
              <w:adjustRightInd w:val="0"/>
              <w:spacing w:before="0" w:after="0" w:line="360" w:lineRule="auto"/>
              <w:ind w:right="0" w:firstLine="480"/>
              <w:rPr>
                <w:color w:val="auto"/>
                <w:sz w:val="21"/>
                <w:szCs w:val="21"/>
                <w:highlight w:val="none"/>
              </w:rPr>
            </w:pPr>
            <w:r>
              <w:rPr>
                <w:color w:val="auto"/>
                <w:sz w:val="21"/>
                <w:szCs w:val="21"/>
                <w:highlight w:val="none"/>
              </w:rPr>
              <w:t>③根据国家、地方政府等规定的环境质量要求，结合本项目实际情况制定并组织实施各项环境保护规则和计划，协调经济发展和环境保护之间的关系；</w:t>
            </w:r>
          </w:p>
          <w:p w14:paraId="5864B234">
            <w:pPr>
              <w:pStyle w:val="31"/>
              <w:adjustRightInd w:val="0"/>
              <w:spacing w:before="0" w:after="0" w:line="360" w:lineRule="auto"/>
              <w:ind w:right="0" w:firstLine="480"/>
              <w:rPr>
                <w:color w:val="auto"/>
                <w:sz w:val="21"/>
                <w:szCs w:val="21"/>
                <w:highlight w:val="none"/>
              </w:rPr>
            </w:pPr>
            <w:r>
              <w:rPr>
                <w:color w:val="auto"/>
                <w:sz w:val="21"/>
                <w:szCs w:val="21"/>
                <w:highlight w:val="none"/>
              </w:rPr>
              <w:t>④检查项目环境保护设施运行状况，配合厂内日常环境监测，确保各污染物控制措施可靠、有效；</w:t>
            </w:r>
          </w:p>
          <w:p w14:paraId="528DA67D">
            <w:pPr>
              <w:pStyle w:val="31"/>
              <w:adjustRightInd w:val="0"/>
              <w:spacing w:before="0" w:after="0" w:line="360" w:lineRule="auto"/>
              <w:ind w:right="0" w:firstLine="420" w:firstLineChars="200"/>
              <w:rPr>
                <w:color w:val="auto"/>
                <w:sz w:val="21"/>
                <w:szCs w:val="21"/>
                <w:highlight w:val="none"/>
              </w:rPr>
            </w:pPr>
            <w:r>
              <w:rPr>
                <w:color w:val="auto"/>
                <w:sz w:val="21"/>
                <w:szCs w:val="21"/>
                <w:highlight w:val="none"/>
              </w:rPr>
              <w:t>⑤对可能造成的环境污染及时向上级汇报，并提出防治、应急措施；</w:t>
            </w:r>
          </w:p>
          <w:p w14:paraId="63CA34BD">
            <w:pPr>
              <w:pStyle w:val="31"/>
              <w:adjustRightInd w:val="0"/>
              <w:spacing w:before="0" w:after="0" w:line="360" w:lineRule="auto"/>
              <w:ind w:right="0" w:firstLine="420" w:firstLineChars="200"/>
              <w:rPr>
                <w:color w:val="auto"/>
                <w:sz w:val="21"/>
                <w:szCs w:val="21"/>
                <w:highlight w:val="none"/>
              </w:rPr>
            </w:pPr>
            <w:r>
              <w:rPr>
                <w:color w:val="auto"/>
                <w:sz w:val="21"/>
                <w:szCs w:val="21"/>
                <w:highlight w:val="none"/>
              </w:rPr>
              <w:t>⑥组织开展项目的环境保护专业技术培训，提高员工环保素质；</w:t>
            </w:r>
          </w:p>
          <w:p w14:paraId="77426106">
            <w:pPr>
              <w:pStyle w:val="31"/>
              <w:adjustRightInd w:val="0"/>
              <w:spacing w:before="0" w:after="0" w:line="360" w:lineRule="auto"/>
              <w:ind w:right="0" w:firstLine="480"/>
              <w:rPr>
                <w:color w:val="auto"/>
                <w:sz w:val="21"/>
                <w:szCs w:val="21"/>
                <w:highlight w:val="none"/>
              </w:rPr>
            </w:pPr>
            <w:r>
              <w:rPr>
                <w:color w:val="auto"/>
                <w:sz w:val="21"/>
                <w:szCs w:val="21"/>
                <w:highlight w:val="none"/>
              </w:rPr>
              <w:t>⑦接受地方</w:t>
            </w:r>
            <w:r>
              <w:rPr>
                <w:rFonts w:hint="eastAsia"/>
                <w:color w:val="auto"/>
                <w:sz w:val="21"/>
                <w:szCs w:val="21"/>
                <w:highlight w:val="none"/>
              </w:rPr>
              <w:t>生态环境</w:t>
            </w:r>
            <w:r>
              <w:rPr>
                <w:color w:val="auto"/>
                <w:sz w:val="21"/>
                <w:szCs w:val="21"/>
                <w:highlight w:val="none"/>
              </w:rPr>
              <w:t>局的业务指导和监督，按要求上报各项管理工作的执行情况及有关环境数据，为区域整体环境管理服务；</w:t>
            </w:r>
          </w:p>
          <w:p w14:paraId="3F919804">
            <w:pPr>
              <w:pStyle w:val="31"/>
              <w:adjustRightInd w:val="0"/>
              <w:spacing w:before="0" w:after="0" w:line="360" w:lineRule="auto"/>
              <w:ind w:right="0" w:firstLine="420" w:firstLineChars="200"/>
              <w:rPr>
                <w:color w:val="auto"/>
                <w:sz w:val="21"/>
                <w:szCs w:val="21"/>
                <w:highlight w:val="none"/>
              </w:rPr>
            </w:pPr>
            <w:r>
              <w:rPr>
                <w:color w:val="auto"/>
                <w:sz w:val="21"/>
                <w:szCs w:val="21"/>
                <w:highlight w:val="none"/>
              </w:rPr>
              <w:t>⑧推广应用环境保护先进技术和经验。</w:t>
            </w:r>
          </w:p>
          <w:p w14:paraId="5C5E3637">
            <w:pPr>
              <w:pStyle w:val="31"/>
              <w:adjustRightInd w:val="0"/>
              <w:spacing w:before="0" w:after="0" w:line="360" w:lineRule="auto"/>
              <w:ind w:right="0" w:firstLine="422" w:firstLineChars="200"/>
              <w:rPr>
                <w:b/>
                <w:bCs/>
                <w:color w:val="auto"/>
                <w:sz w:val="21"/>
                <w:szCs w:val="21"/>
                <w:highlight w:val="none"/>
              </w:rPr>
            </w:pPr>
            <w:r>
              <w:rPr>
                <w:rFonts w:hint="eastAsia"/>
                <w:b/>
                <w:bCs/>
                <w:color w:val="auto"/>
                <w:sz w:val="21"/>
                <w:szCs w:val="21"/>
                <w:highlight w:val="none"/>
              </w:rPr>
              <w:t>（3）</w:t>
            </w:r>
            <w:r>
              <w:rPr>
                <w:b/>
                <w:bCs/>
                <w:color w:val="auto"/>
                <w:sz w:val="21"/>
                <w:szCs w:val="21"/>
                <w:highlight w:val="none"/>
              </w:rPr>
              <w:t>环境保护管理制度</w:t>
            </w:r>
          </w:p>
          <w:p w14:paraId="49ADBBBB">
            <w:pPr>
              <w:pStyle w:val="31"/>
              <w:adjustRightInd w:val="0"/>
              <w:spacing w:before="0" w:after="0" w:line="360" w:lineRule="auto"/>
              <w:ind w:right="0" w:firstLine="480"/>
              <w:rPr>
                <w:color w:val="auto"/>
                <w:sz w:val="21"/>
                <w:szCs w:val="21"/>
                <w:highlight w:val="none"/>
              </w:rPr>
            </w:pPr>
            <w:r>
              <w:rPr>
                <w:color w:val="auto"/>
                <w:sz w:val="21"/>
                <w:szCs w:val="21"/>
                <w:highlight w:val="none"/>
              </w:rPr>
              <w:t>①对技术工人进行上岗前的环保知识法规教育及操作规范的培训，使各项环保设施的操作规范化，保证环保设施的正常运转；</w:t>
            </w:r>
          </w:p>
          <w:p w14:paraId="04F8D8A8">
            <w:pPr>
              <w:pStyle w:val="31"/>
              <w:adjustRightInd w:val="0"/>
              <w:spacing w:before="0" w:after="0" w:line="360" w:lineRule="auto"/>
              <w:ind w:right="0" w:firstLine="480"/>
              <w:rPr>
                <w:color w:val="auto"/>
                <w:sz w:val="21"/>
                <w:szCs w:val="21"/>
                <w:highlight w:val="none"/>
              </w:rPr>
            </w:pPr>
            <w:r>
              <w:rPr>
                <w:color w:val="auto"/>
                <w:sz w:val="21"/>
                <w:szCs w:val="21"/>
                <w:highlight w:val="none"/>
              </w:rPr>
              <w:t>②定期向环保主管部门汇报环保工作情况，污染治理设施运行情况，监视性监测结果；</w:t>
            </w:r>
          </w:p>
          <w:p w14:paraId="7F2A4024">
            <w:pPr>
              <w:pStyle w:val="31"/>
              <w:adjustRightInd w:val="0"/>
              <w:spacing w:before="0" w:after="0" w:line="360" w:lineRule="auto"/>
              <w:ind w:right="0" w:firstLine="480"/>
              <w:rPr>
                <w:color w:val="auto"/>
                <w:sz w:val="21"/>
                <w:szCs w:val="21"/>
                <w:highlight w:val="none"/>
              </w:rPr>
            </w:pPr>
            <w:r>
              <w:rPr>
                <w:color w:val="auto"/>
                <w:sz w:val="21"/>
                <w:szCs w:val="21"/>
                <w:highlight w:val="none"/>
              </w:rPr>
              <w:t>③加强环境监测工作，重点是各污染源的监测，并注意做好记录，监测中如发现异常情况应及时向有关部门通报，及时采取应急措施，防止事故排放；</w:t>
            </w:r>
          </w:p>
          <w:p w14:paraId="489DF7FE">
            <w:pPr>
              <w:pStyle w:val="31"/>
              <w:adjustRightInd w:val="0"/>
              <w:spacing w:before="0" w:after="0" w:line="360" w:lineRule="auto"/>
              <w:ind w:right="0" w:firstLine="480"/>
              <w:rPr>
                <w:color w:val="auto"/>
                <w:sz w:val="21"/>
                <w:szCs w:val="21"/>
                <w:highlight w:val="none"/>
              </w:rPr>
            </w:pPr>
            <w:r>
              <w:rPr>
                <w:color w:val="auto"/>
                <w:sz w:val="21"/>
                <w:szCs w:val="21"/>
                <w:highlight w:val="none"/>
              </w:rPr>
              <w:t>④建立本企业的环境保护工作档案，包括污染物排放情况；污染治理设施的运行、操作和管理情况；监测记录；污染事故情况及有关记录；其他与污染防治有关的情况和资料等。</w:t>
            </w:r>
          </w:p>
          <w:p w14:paraId="519BD4DA">
            <w:pPr>
              <w:pStyle w:val="31"/>
              <w:adjustRightInd w:val="0"/>
              <w:spacing w:before="0" w:after="0" w:line="360" w:lineRule="auto"/>
              <w:ind w:right="0" w:firstLine="420" w:firstLineChars="200"/>
              <w:rPr>
                <w:color w:val="auto"/>
                <w:sz w:val="21"/>
                <w:szCs w:val="21"/>
                <w:highlight w:val="none"/>
              </w:rPr>
            </w:pPr>
            <w:r>
              <w:rPr>
                <w:color w:val="auto"/>
                <w:sz w:val="21"/>
                <w:szCs w:val="21"/>
                <w:highlight w:val="none"/>
              </w:rPr>
              <w:t>⑤贯彻落实建设项目环境影响评价和“三同时”制度</w:t>
            </w:r>
          </w:p>
          <w:p w14:paraId="3FF3F2CE">
            <w:pPr>
              <w:pStyle w:val="31"/>
              <w:adjustRightInd w:val="0"/>
              <w:spacing w:before="0" w:after="0" w:line="360" w:lineRule="auto"/>
              <w:ind w:right="0" w:firstLine="422" w:firstLineChars="200"/>
              <w:rPr>
                <w:b/>
                <w:bCs/>
                <w:color w:val="auto"/>
                <w:sz w:val="21"/>
                <w:szCs w:val="21"/>
                <w:highlight w:val="none"/>
              </w:rPr>
            </w:pPr>
            <w:r>
              <w:rPr>
                <w:rFonts w:hint="eastAsia"/>
                <w:b/>
                <w:bCs/>
                <w:color w:val="auto"/>
                <w:sz w:val="21"/>
                <w:szCs w:val="21"/>
                <w:highlight w:val="none"/>
              </w:rPr>
              <w:t>（4）</w:t>
            </w:r>
            <w:r>
              <w:rPr>
                <w:b/>
                <w:bCs/>
                <w:color w:val="auto"/>
                <w:sz w:val="21"/>
                <w:szCs w:val="21"/>
                <w:highlight w:val="none"/>
              </w:rPr>
              <w:t>环保设施运行维护制度</w:t>
            </w:r>
          </w:p>
          <w:p w14:paraId="32F58767">
            <w:pPr>
              <w:pStyle w:val="31"/>
              <w:adjustRightInd w:val="0"/>
              <w:spacing w:before="0" w:after="0" w:line="360" w:lineRule="auto"/>
              <w:ind w:right="0" w:firstLine="480"/>
              <w:rPr>
                <w:color w:val="auto"/>
                <w:sz w:val="21"/>
                <w:szCs w:val="21"/>
                <w:highlight w:val="none"/>
              </w:rPr>
            </w:pPr>
            <w:r>
              <w:rPr>
                <w:color w:val="auto"/>
                <w:sz w:val="21"/>
                <w:szCs w:val="21"/>
                <w:highlight w:val="none"/>
              </w:rPr>
              <w:t>①制定各环保设施操作规程，定期维修制度，使各项环保设施在生产过程中处于良好地运行状态；</w:t>
            </w:r>
          </w:p>
          <w:p w14:paraId="65E0C583">
            <w:pPr>
              <w:pStyle w:val="31"/>
              <w:adjustRightInd w:val="0"/>
              <w:spacing w:before="0" w:after="0" w:line="360" w:lineRule="auto"/>
              <w:ind w:right="0" w:firstLine="480"/>
              <w:rPr>
                <w:color w:val="auto"/>
                <w:sz w:val="21"/>
                <w:szCs w:val="21"/>
                <w:highlight w:val="none"/>
              </w:rPr>
            </w:pPr>
            <w:r>
              <w:rPr>
                <w:color w:val="auto"/>
                <w:sz w:val="21"/>
                <w:szCs w:val="21"/>
                <w:highlight w:val="none"/>
              </w:rPr>
              <w:t>②加强对环保设施的运行管理，制定定期维修制度，如环保设施出现故障，应立即停产检修，严禁事故排放；</w:t>
            </w:r>
          </w:p>
          <w:p w14:paraId="6FE3EAF9">
            <w:pPr>
              <w:adjustRightInd w:val="0"/>
              <w:snapToGrid w:val="0"/>
              <w:spacing w:line="360" w:lineRule="auto"/>
              <w:ind w:firstLine="420" w:firstLineChars="200"/>
              <w:rPr>
                <w:color w:val="auto"/>
                <w:highlight w:val="none"/>
              </w:rPr>
            </w:pPr>
            <w:r>
              <w:rPr>
                <w:color w:val="auto"/>
                <w:highlight w:val="none"/>
              </w:rPr>
              <w:t>③保持环保设施与主体生产设备同步保养、同步检修、同步运行，有效发挥环保设施减排能力。对不能达到设计要求的环保设施，逐个排查，制订并落实整改方案，提升处理能力。产生水、气（汽）、声、渣等污染的项目，必须遵守国家和地方的污染物排放标准，并符合污染物排放总量控制的要求。</w:t>
            </w:r>
          </w:p>
          <w:p w14:paraId="3BFEAD68">
            <w:pPr>
              <w:spacing w:line="360" w:lineRule="auto"/>
              <w:ind w:firstLine="422" w:firstLineChars="200"/>
              <w:rPr>
                <w:b/>
                <w:bCs/>
                <w:color w:val="auto"/>
                <w:highlight w:val="none"/>
              </w:rPr>
            </w:pPr>
            <w:r>
              <w:rPr>
                <w:rFonts w:hint="eastAsia"/>
                <w:b/>
                <w:bCs/>
                <w:color w:val="auto"/>
                <w:highlight w:val="none"/>
              </w:rPr>
              <w:t>（5）</w:t>
            </w:r>
            <w:r>
              <w:rPr>
                <w:b/>
                <w:bCs/>
                <w:color w:val="auto"/>
                <w:highlight w:val="none"/>
              </w:rPr>
              <w:t>环境监测</w:t>
            </w:r>
          </w:p>
          <w:p w14:paraId="63CB1255">
            <w:pPr>
              <w:spacing w:line="360" w:lineRule="auto"/>
              <w:ind w:firstLine="420" w:firstLineChars="200"/>
              <w:rPr>
                <w:color w:val="auto"/>
                <w:highlight w:val="none"/>
              </w:rPr>
            </w:pPr>
            <w:r>
              <w:rPr>
                <w:rFonts w:hint="eastAsia"/>
                <w:color w:val="auto"/>
                <w:highlight w:val="none"/>
                <w:lang w:eastAsia="zh-CN"/>
              </w:rPr>
              <w:t>根据《</w:t>
            </w:r>
            <w:r>
              <w:rPr>
                <w:color w:val="auto"/>
                <w:highlight w:val="none"/>
                <w:lang w:eastAsia="zh-CN"/>
              </w:rPr>
              <w:t>排污</w:t>
            </w:r>
            <w:r>
              <w:rPr>
                <w:rFonts w:hint="eastAsia"/>
                <w:color w:val="auto"/>
                <w:highlight w:val="none"/>
                <w:lang w:eastAsia="zh-CN"/>
              </w:rPr>
              <w:t>单位自行监</w:t>
            </w:r>
            <w:r>
              <w:rPr>
                <w:color w:val="auto"/>
                <w:highlight w:val="none"/>
                <w:lang w:eastAsia="zh-CN"/>
              </w:rPr>
              <w:t>测技术指南</w:t>
            </w:r>
            <w:r>
              <w:rPr>
                <w:rFonts w:hint="eastAsia"/>
                <w:color w:val="auto"/>
                <w:highlight w:val="none"/>
                <w:lang w:val="en-US" w:eastAsia="zh-CN"/>
              </w:rPr>
              <w:t>--总则</w:t>
            </w:r>
            <w:r>
              <w:rPr>
                <w:rFonts w:hint="eastAsia"/>
                <w:color w:val="auto"/>
                <w:highlight w:val="none"/>
                <w:lang w:eastAsia="zh-CN"/>
              </w:rPr>
              <w:t>》（H</w:t>
            </w:r>
            <w:r>
              <w:rPr>
                <w:color w:val="auto"/>
                <w:highlight w:val="none"/>
                <w:lang w:eastAsia="zh-CN"/>
              </w:rPr>
              <w:t>J</w:t>
            </w:r>
            <w:r>
              <w:rPr>
                <w:rFonts w:hint="eastAsia"/>
                <w:color w:val="auto"/>
                <w:highlight w:val="none"/>
                <w:lang w:val="en-US" w:eastAsia="zh-CN"/>
              </w:rPr>
              <w:t>819-2017</w:t>
            </w:r>
            <w:r>
              <w:rPr>
                <w:rFonts w:hint="eastAsia"/>
                <w:color w:val="auto"/>
                <w:highlight w:val="none"/>
                <w:lang w:eastAsia="zh-CN"/>
              </w:rPr>
              <w:t>）</w:t>
            </w:r>
            <w:r>
              <w:rPr>
                <w:color w:val="auto"/>
                <w:highlight w:val="none"/>
              </w:rPr>
              <w:t>的要求，结合本工程的实际情况，企业应对常规项目及特征污染物进行日常监测，特征污染物企业需具备自主监测能力。在不具备监测条件的情况下，可委托具有监测能力的当地环境监测站及相关机构进行监测。</w:t>
            </w:r>
          </w:p>
          <w:p w14:paraId="20963A98">
            <w:pPr>
              <w:adjustRightInd w:val="0"/>
              <w:snapToGrid w:val="0"/>
              <w:spacing w:line="360" w:lineRule="auto"/>
              <w:ind w:firstLine="422" w:firstLineChars="200"/>
              <w:rPr>
                <w:b/>
                <w:bCs/>
                <w:color w:val="auto"/>
                <w:highlight w:val="none"/>
              </w:rPr>
            </w:pPr>
            <w:r>
              <w:rPr>
                <w:rFonts w:hint="eastAsia"/>
                <w:b/>
                <w:bCs/>
                <w:color w:val="auto"/>
                <w:highlight w:val="none"/>
              </w:rPr>
              <w:t>十</w:t>
            </w:r>
            <w:r>
              <w:rPr>
                <w:b/>
                <w:bCs/>
                <w:color w:val="auto"/>
                <w:highlight w:val="none"/>
              </w:rPr>
              <w:t>、排污许可分析</w:t>
            </w:r>
          </w:p>
          <w:p w14:paraId="11F2BAB5">
            <w:pPr>
              <w:adjustRightInd w:val="0"/>
              <w:snapToGrid w:val="0"/>
              <w:spacing w:line="360" w:lineRule="auto"/>
              <w:ind w:firstLine="420" w:firstLineChars="200"/>
              <w:rPr>
                <w:color w:val="auto"/>
                <w:highlight w:val="none"/>
              </w:rPr>
            </w:pPr>
            <w:r>
              <w:rPr>
                <w:color w:val="auto"/>
                <w:highlight w:val="none"/>
              </w:rPr>
              <w:t>根据《控制污染物排放许可制实施方案》（国办发[2016]81号）、《排污许可证管理暂行规定》（环水体[2016]186号）、《排污许可管理条例（国务院令第736号）》等文件，“排污单位应当依法持有排污许可证，并按照排污许可证的规定排放污染物”。</w:t>
            </w:r>
          </w:p>
          <w:p w14:paraId="6DD305EC">
            <w:pPr>
              <w:adjustRightInd w:val="0"/>
              <w:snapToGrid w:val="0"/>
              <w:spacing w:line="360" w:lineRule="auto"/>
              <w:ind w:firstLine="420" w:firstLineChars="200"/>
              <w:rPr>
                <w:color w:val="auto"/>
                <w:highlight w:val="none"/>
              </w:rPr>
            </w:pPr>
            <w:r>
              <w:rPr>
                <w:color w:val="auto"/>
                <w:highlight w:val="none"/>
              </w:rPr>
              <w:t>根据《控制污染物排放许可制实施方案》（国办发[2016]81号，2016年11月11日）、《关于印发&lt;排污许可证管理暂行规定&gt;的通知》（环水体[2016]186号，2016年12月23日）、《排污许可管理条例（国务院令第736号）》等文件，环境影响评价制度是建设项目的环境准入门槛，排污许可制是企事业单位生产运营期排污的法律依据，必须做好充分衔接，实现从污染预防到污染治理和排放控制的全过程监管。</w:t>
            </w:r>
          </w:p>
          <w:p w14:paraId="56A99AF9">
            <w:pPr>
              <w:adjustRightInd w:val="0"/>
              <w:snapToGrid w:val="0"/>
              <w:spacing w:line="360" w:lineRule="auto"/>
              <w:ind w:firstLine="420" w:firstLineChars="200"/>
              <w:rPr>
                <w:color w:val="auto"/>
                <w:highlight w:val="none"/>
              </w:rPr>
            </w:pPr>
            <w:r>
              <w:rPr>
                <w:color w:val="auto"/>
                <w:highlight w:val="none"/>
              </w:rPr>
              <w:t>根据《固定污染源排污许可分类管理名录（2019年版）》（环办环评函[2020]9号，2020年01月06日），本项目属于</w:t>
            </w:r>
            <w:r>
              <w:rPr>
                <w:rFonts w:hint="eastAsia"/>
                <w:color w:val="auto"/>
                <w:highlight w:val="none"/>
              </w:rPr>
              <w:t>二十五、非金属矿物制品业 30</w:t>
            </w:r>
            <w:r>
              <w:rPr>
                <w:rFonts w:hint="eastAsia"/>
                <w:color w:val="auto"/>
                <w:highlight w:val="none"/>
                <w:lang w:val="en-US" w:eastAsia="zh-CN"/>
              </w:rPr>
              <w:t>-70石墨及其他非金属矿物制品制造 309-其他非金属矿物制品制造 3099（除重点管理、简化管理以外的）</w:t>
            </w:r>
            <w:r>
              <w:rPr>
                <w:color w:val="auto"/>
                <w:highlight w:val="none"/>
              </w:rPr>
              <w:t>，因此需进行</w:t>
            </w:r>
            <w:r>
              <w:rPr>
                <w:rFonts w:hint="eastAsia"/>
                <w:color w:val="auto"/>
                <w:highlight w:val="none"/>
                <w:lang w:val="en-US" w:eastAsia="zh-CN"/>
              </w:rPr>
              <w:t>登记</w:t>
            </w:r>
            <w:r>
              <w:rPr>
                <w:color w:val="auto"/>
                <w:highlight w:val="none"/>
              </w:rPr>
              <w:t>管理。</w:t>
            </w:r>
          </w:p>
          <w:p w14:paraId="3124C1F2">
            <w:pPr>
              <w:adjustRightInd w:val="0"/>
              <w:snapToGrid w:val="0"/>
              <w:spacing w:line="360" w:lineRule="auto"/>
              <w:ind w:firstLine="422" w:firstLineChars="200"/>
              <w:rPr>
                <w:b/>
                <w:bCs/>
                <w:color w:val="auto"/>
                <w:highlight w:val="none"/>
              </w:rPr>
            </w:pPr>
            <w:r>
              <w:rPr>
                <w:rFonts w:hint="eastAsia"/>
                <w:b/>
                <w:bCs/>
                <w:color w:val="auto"/>
                <w:highlight w:val="none"/>
              </w:rPr>
              <w:t>十一</w:t>
            </w:r>
            <w:r>
              <w:rPr>
                <w:b/>
                <w:bCs/>
                <w:color w:val="auto"/>
                <w:highlight w:val="none"/>
              </w:rPr>
              <w:t>、排污口规范设置</w:t>
            </w:r>
          </w:p>
          <w:p w14:paraId="140DFACB">
            <w:pPr>
              <w:adjustRightInd w:val="0"/>
              <w:snapToGrid w:val="0"/>
              <w:spacing w:line="360" w:lineRule="auto"/>
              <w:ind w:firstLine="420" w:firstLineChars="200"/>
              <w:rPr>
                <w:color w:val="auto"/>
                <w:highlight w:val="none"/>
              </w:rPr>
            </w:pPr>
            <w:r>
              <w:rPr>
                <w:color w:val="auto"/>
                <w:highlight w:val="none"/>
              </w:rPr>
              <w:t>根据国家标准《环境保护图形标志—排放口（源）》、国家环境保护总局《排污口规范化整治要求》（试行）（国家环保局环监[1996]470号）、《山东省污水排放口环境信息公开技术规范》（DB37/T2463-2014）的技术要求，企业所有排放口（包括水、气、声、渣）必须按照“便于采样、便于计量检测、便于日常监督检查”的原则来规范化要求，设置与之相适应的环境保护图形标志牌和企业排污口分布图，对污染物治理设施安装运行监控装置、排污口规范化要符合当地环保部门的有关要求。</w:t>
            </w:r>
          </w:p>
          <w:p w14:paraId="564EE242">
            <w:pPr>
              <w:adjustRightInd w:val="0"/>
              <w:snapToGrid w:val="0"/>
              <w:spacing w:line="360" w:lineRule="auto"/>
              <w:ind w:firstLine="420" w:firstLineChars="200"/>
              <w:rPr>
                <w:color w:val="auto"/>
                <w:highlight w:val="none"/>
              </w:rPr>
            </w:pPr>
            <w:r>
              <w:rPr>
                <w:color w:val="auto"/>
                <w:highlight w:val="none"/>
              </w:rPr>
              <w:t>根据国家环境保护总局《关于开展排放口规范化整治工作的通知》环发[1999]24号和《排放口规范化整治技术》环发[1999]24号附件二等规定的要求，一切新建、改扩建、改建的排污单位以及限期治理的排污单位必须在建设污染治理设施的同时，建设规范化排放口。因此，建设项目产生的各类污染物排放口必须规范化，而且规范化工作的完成必须与污染治理设施同步，并列入污染物治理设施的验收内容。</w:t>
            </w:r>
          </w:p>
          <w:p w14:paraId="681EEE2C">
            <w:pPr>
              <w:adjustRightInd w:val="0"/>
              <w:snapToGrid w:val="0"/>
              <w:spacing w:line="360" w:lineRule="auto"/>
              <w:ind w:firstLine="420" w:firstLineChars="200"/>
              <w:rPr>
                <w:color w:val="auto"/>
                <w:highlight w:val="none"/>
              </w:rPr>
            </w:pPr>
            <w:r>
              <w:rPr>
                <w:color w:val="auto"/>
                <w:highlight w:val="none"/>
              </w:rPr>
              <w:t>①项目产生的一般固废企业收集后外售。存放场地需采取防扬散、防流失措施，并应在存放场地设置环保标志牌。</w:t>
            </w:r>
          </w:p>
          <w:p w14:paraId="3B3FC825">
            <w:pPr>
              <w:adjustRightInd w:val="0"/>
              <w:snapToGrid w:val="0"/>
              <w:spacing w:line="360" w:lineRule="auto"/>
              <w:ind w:firstLine="420" w:firstLineChars="200"/>
              <w:rPr>
                <w:color w:val="auto"/>
                <w:highlight w:val="none"/>
              </w:rPr>
            </w:pPr>
            <w:r>
              <w:rPr>
                <w:color w:val="auto"/>
                <w:highlight w:val="none"/>
              </w:rPr>
              <w:t>②主要固定噪声源附近应设置环境保护图形标志牌。</w:t>
            </w:r>
          </w:p>
          <w:p w14:paraId="5E7C078E">
            <w:pPr>
              <w:adjustRightInd w:val="0"/>
              <w:snapToGrid w:val="0"/>
              <w:spacing w:line="360" w:lineRule="auto"/>
              <w:ind w:firstLine="420" w:firstLineChars="200"/>
              <w:rPr>
                <w:color w:val="auto"/>
                <w:highlight w:val="none"/>
              </w:rPr>
            </w:pPr>
            <w:r>
              <w:rPr>
                <w:color w:val="auto"/>
                <w:highlight w:val="none"/>
              </w:rPr>
              <w:t>③项目废气污染源排气筒应按照“排污口”要求进行设置，并设置便于采样、监测的采样口或采样平台；在排气筒附近醒目处设置环保标志牌。</w:t>
            </w:r>
          </w:p>
          <w:p w14:paraId="5AD16EA0">
            <w:pPr>
              <w:spacing w:line="360" w:lineRule="auto"/>
              <w:ind w:firstLine="411" w:firstLineChars="196"/>
              <w:jc w:val="left"/>
              <w:rPr>
                <w:rFonts w:hint="eastAsia"/>
                <w:b/>
                <w:bCs/>
                <w:color w:val="auto"/>
                <w:highlight w:val="none"/>
              </w:rPr>
            </w:pPr>
            <w:r>
              <w:rPr>
                <w:color w:val="auto"/>
                <w:highlight w:val="none"/>
              </w:rPr>
              <w:t>本项目建成后，应将上述所有污染排放口名称、位置、数量，以及排放污染物名称、数量等内容进行统计，并登记上报当地环保部门，以便进行验收和排放口的规范化管理。</w:t>
            </w:r>
          </w:p>
          <w:p w14:paraId="116993C6">
            <w:pPr>
              <w:spacing w:line="360" w:lineRule="auto"/>
              <w:ind w:firstLine="413" w:firstLineChars="196"/>
              <w:jc w:val="left"/>
              <w:rPr>
                <w:b/>
                <w:bCs/>
                <w:color w:val="auto"/>
                <w:highlight w:val="none"/>
              </w:rPr>
            </w:pPr>
            <w:r>
              <w:rPr>
                <w:rFonts w:hint="eastAsia"/>
                <w:b/>
                <w:bCs/>
                <w:color w:val="auto"/>
                <w:highlight w:val="none"/>
              </w:rPr>
              <w:t>十二、电磁辐射</w:t>
            </w:r>
          </w:p>
          <w:p w14:paraId="46BF5C4C">
            <w:pPr>
              <w:pStyle w:val="82"/>
              <w:rPr>
                <w:color w:val="FF0000"/>
                <w:highlight w:val="none"/>
              </w:rPr>
            </w:pPr>
            <w:r>
              <w:rPr>
                <w:rFonts w:hint="eastAsia"/>
                <w:color w:val="auto"/>
                <w:highlight w:val="none"/>
              </w:rPr>
              <w:t>本项目不涉及电磁辐射影响。</w:t>
            </w:r>
          </w:p>
          <w:p w14:paraId="74E8E149">
            <w:pPr>
              <w:pStyle w:val="82"/>
              <w:ind w:firstLine="0" w:firstLineChars="0"/>
              <w:rPr>
                <w:color w:val="FF0000"/>
              </w:rPr>
            </w:pPr>
          </w:p>
        </w:tc>
      </w:tr>
    </w:tbl>
    <w:p w14:paraId="35638BBA">
      <w:pPr>
        <w:pStyle w:val="77"/>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FF0000"/>
          <w:sz w:val="30"/>
          <w:szCs w:val="30"/>
        </w:rPr>
        <w:br w:type="page"/>
      </w:r>
      <w:r>
        <w:rPr>
          <w:rFonts w:ascii="Times New Roman" w:hAnsi="Times New Roman" w:eastAsia="黑体"/>
          <w:snapToGrid w:val="0"/>
          <w:color w:val="auto"/>
          <w:sz w:val="30"/>
          <w:szCs w:val="30"/>
        </w:rPr>
        <w:t>五、</w:t>
      </w:r>
      <w:bookmarkStart w:id="4" w:name="_Hlk54167917"/>
      <w:r>
        <w:rPr>
          <w:rFonts w:ascii="Times New Roman" w:hAnsi="Times New Roman" w:eastAsia="黑体"/>
          <w:snapToGrid w:val="0"/>
          <w:color w:val="auto"/>
          <w:sz w:val="30"/>
          <w:szCs w:val="30"/>
        </w:rPr>
        <w:t>环境保护措施监督检查清单</w:t>
      </w:r>
      <w:bookmarkEnd w:id="4"/>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1700"/>
        <w:gridCol w:w="1419"/>
        <w:gridCol w:w="1559"/>
        <w:gridCol w:w="2869"/>
      </w:tblGrid>
      <w:tr w14:paraId="3A0EE5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tcBorders>
              <w:tl2br w:val="single" w:color="auto" w:sz="4" w:space="0"/>
            </w:tcBorders>
          </w:tcPr>
          <w:p w14:paraId="439C142F">
            <w:pPr>
              <w:adjustRightInd w:val="0"/>
              <w:snapToGrid w:val="0"/>
              <w:spacing w:line="300" w:lineRule="exact"/>
              <w:jc w:val="right"/>
              <w:rPr>
                <w:b/>
                <w:bCs/>
                <w:color w:val="auto"/>
              </w:rPr>
            </w:pPr>
            <w:r>
              <w:rPr>
                <w:b/>
                <w:bCs/>
                <w:color w:val="auto"/>
              </w:rPr>
              <w:t>内容</w:t>
            </w:r>
          </w:p>
          <w:p w14:paraId="1C0D0217">
            <w:pPr>
              <w:adjustRightInd w:val="0"/>
              <w:snapToGrid w:val="0"/>
              <w:spacing w:line="300" w:lineRule="exact"/>
              <w:rPr>
                <w:b/>
                <w:bCs/>
                <w:color w:val="auto"/>
              </w:rPr>
            </w:pPr>
            <w:r>
              <w:rPr>
                <w:b/>
                <w:bCs/>
                <w:color w:val="auto"/>
              </w:rPr>
              <w:t>要素</w:t>
            </w:r>
          </w:p>
        </w:tc>
        <w:tc>
          <w:tcPr>
            <w:tcW w:w="1700" w:type="dxa"/>
            <w:vAlign w:val="center"/>
          </w:tcPr>
          <w:p w14:paraId="1B1E77D4">
            <w:pPr>
              <w:adjustRightInd w:val="0"/>
              <w:snapToGrid w:val="0"/>
              <w:spacing w:line="300" w:lineRule="exact"/>
              <w:jc w:val="center"/>
              <w:rPr>
                <w:b/>
                <w:bCs/>
                <w:color w:val="auto"/>
              </w:rPr>
            </w:pPr>
            <w:r>
              <w:rPr>
                <w:b/>
                <w:bCs/>
                <w:color w:val="auto"/>
              </w:rPr>
              <w:t>排放口（编号、</w:t>
            </w:r>
          </w:p>
          <w:p w14:paraId="6173261A">
            <w:pPr>
              <w:adjustRightInd w:val="0"/>
              <w:snapToGrid w:val="0"/>
              <w:spacing w:line="300" w:lineRule="exact"/>
              <w:jc w:val="center"/>
              <w:rPr>
                <w:b/>
                <w:bCs/>
                <w:color w:val="auto"/>
              </w:rPr>
            </w:pPr>
            <w:r>
              <w:rPr>
                <w:b/>
                <w:bCs/>
                <w:color w:val="auto"/>
              </w:rPr>
              <w:t>名称）/污染源</w:t>
            </w:r>
          </w:p>
        </w:tc>
        <w:tc>
          <w:tcPr>
            <w:tcW w:w="1419" w:type="dxa"/>
            <w:vAlign w:val="center"/>
          </w:tcPr>
          <w:p w14:paraId="3E1BC2C6">
            <w:pPr>
              <w:adjustRightInd w:val="0"/>
              <w:snapToGrid w:val="0"/>
              <w:spacing w:line="300" w:lineRule="exact"/>
              <w:jc w:val="center"/>
              <w:rPr>
                <w:b/>
                <w:bCs/>
                <w:color w:val="auto"/>
              </w:rPr>
            </w:pPr>
            <w:r>
              <w:rPr>
                <w:b/>
                <w:bCs/>
                <w:color w:val="auto"/>
              </w:rPr>
              <w:t>污染物项目</w:t>
            </w:r>
          </w:p>
        </w:tc>
        <w:tc>
          <w:tcPr>
            <w:tcW w:w="1559" w:type="dxa"/>
            <w:vAlign w:val="center"/>
          </w:tcPr>
          <w:p w14:paraId="1ABEABB2">
            <w:pPr>
              <w:adjustRightInd w:val="0"/>
              <w:snapToGrid w:val="0"/>
              <w:spacing w:line="300" w:lineRule="exact"/>
              <w:jc w:val="center"/>
              <w:rPr>
                <w:b/>
                <w:bCs/>
                <w:color w:val="auto"/>
              </w:rPr>
            </w:pPr>
            <w:r>
              <w:rPr>
                <w:b/>
                <w:bCs/>
                <w:color w:val="auto"/>
              </w:rPr>
              <w:t>环境保护措施</w:t>
            </w:r>
          </w:p>
        </w:tc>
        <w:tc>
          <w:tcPr>
            <w:tcW w:w="2869" w:type="dxa"/>
            <w:vAlign w:val="center"/>
          </w:tcPr>
          <w:p w14:paraId="5A23AAE6">
            <w:pPr>
              <w:adjustRightInd w:val="0"/>
              <w:snapToGrid w:val="0"/>
              <w:spacing w:line="300" w:lineRule="exact"/>
              <w:jc w:val="center"/>
              <w:rPr>
                <w:b/>
                <w:bCs/>
                <w:color w:val="auto"/>
              </w:rPr>
            </w:pPr>
            <w:r>
              <w:rPr>
                <w:b/>
                <w:bCs/>
                <w:color w:val="auto"/>
              </w:rPr>
              <w:t>执行标准</w:t>
            </w:r>
          </w:p>
        </w:tc>
      </w:tr>
      <w:tr w14:paraId="11AD24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restart"/>
            <w:vAlign w:val="center"/>
          </w:tcPr>
          <w:p w14:paraId="41ECBCFE">
            <w:pPr>
              <w:adjustRightInd w:val="0"/>
              <w:snapToGrid w:val="0"/>
              <w:spacing w:line="300" w:lineRule="exact"/>
              <w:jc w:val="center"/>
              <w:rPr>
                <w:color w:val="auto"/>
              </w:rPr>
            </w:pPr>
            <w:r>
              <w:rPr>
                <w:color w:val="auto"/>
              </w:rPr>
              <w:t>大气环境</w:t>
            </w:r>
          </w:p>
        </w:tc>
        <w:tc>
          <w:tcPr>
            <w:tcW w:w="1700" w:type="dxa"/>
            <w:vAlign w:val="center"/>
          </w:tcPr>
          <w:p w14:paraId="41B420B2">
            <w:pPr>
              <w:adjustRightInd w:val="0"/>
              <w:snapToGrid w:val="0"/>
              <w:spacing w:line="300" w:lineRule="exact"/>
              <w:jc w:val="center"/>
              <w:rPr>
                <w:rFonts w:hint="default" w:eastAsia="宋体"/>
                <w:color w:val="auto"/>
                <w:lang w:val="en-US" w:eastAsia="zh-CN"/>
              </w:rPr>
            </w:pPr>
            <w:r>
              <w:rPr>
                <w:color w:val="auto"/>
              </w:rPr>
              <w:t>DA001</w:t>
            </w:r>
            <w:r>
              <w:rPr>
                <w:rFonts w:hint="eastAsia"/>
                <w:color w:val="auto"/>
                <w:lang w:eastAsia="zh-CN"/>
              </w:rPr>
              <w:t>、</w:t>
            </w:r>
            <w:r>
              <w:rPr>
                <w:rFonts w:hint="eastAsia"/>
                <w:color w:val="auto"/>
                <w:lang w:val="en-US" w:eastAsia="zh-CN"/>
              </w:rPr>
              <w:t>DA002</w:t>
            </w:r>
          </w:p>
        </w:tc>
        <w:tc>
          <w:tcPr>
            <w:tcW w:w="1419" w:type="dxa"/>
            <w:vAlign w:val="center"/>
          </w:tcPr>
          <w:p w14:paraId="4285D300">
            <w:pPr>
              <w:adjustRightInd w:val="0"/>
              <w:snapToGrid w:val="0"/>
              <w:spacing w:line="300" w:lineRule="exact"/>
              <w:jc w:val="center"/>
              <w:rPr>
                <w:color w:val="auto"/>
              </w:rPr>
            </w:pPr>
            <w:r>
              <w:rPr>
                <w:color w:val="auto"/>
              </w:rPr>
              <w:t>颗粒物</w:t>
            </w:r>
          </w:p>
        </w:tc>
        <w:tc>
          <w:tcPr>
            <w:tcW w:w="1559" w:type="dxa"/>
            <w:vAlign w:val="center"/>
          </w:tcPr>
          <w:p w14:paraId="5CA1DAA8">
            <w:pPr>
              <w:adjustRightInd w:val="0"/>
              <w:snapToGrid w:val="0"/>
              <w:spacing w:line="300" w:lineRule="exact"/>
              <w:jc w:val="center"/>
              <w:rPr>
                <w:color w:val="auto"/>
              </w:rPr>
            </w:pPr>
            <w:r>
              <w:rPr>
                <w:color w:val="auto"/>
              </w:rPr>
              <w:t>布袋除尘器</w:t>
            </w:r>
          </w:p>
        </w:tc>
        <w:tc>
          <w:tcPr>
            <w:tcW w:w="2869" w:type="dxa"/>
            <w:vAlign w:val="center"/>
          </w:tcPr>
          <w:p w14:paraId="5CE5CC39">
            <w:pPr>
              <w:adjustRightInd w:val="0"/>
              <w:snapToGrid w:val="0"/>
              <w:spacing w:line="300" w:lineRule="exact"/>
              <w:jc w:val="center"/>
              <w:rPr>
                <w:color w:val="auto"/>
                <w:highlight w:val="yellow"/>
              </w:rPr>
            </w:pPr>
            <w:r>
              <w:rPr>
                <w:color w:val="auto"/>
              </w:rPr>
              <w:t>《</w:t>
            </w:r>
            <w:r>
              <w:rPr>
                <w:rFonts w:hint="eastAsia"/>
                <w:color w:val="auto"/>
                <w:lang w:eastAsia="zh-CN"/>
              </w:rPr>
              <w:t>区域性大气污染物排放标准</w:t>
            </w:r>
            <w:r>
              <w:rPr>
                <w:color w:val="auto"/>
              </w:rPr>
              <w:t>》（DB37/2</w:t>
            </w:r>
            <w:r>
              <w:rPr>
                <w:rFonts w:hint="eastAsia"/>
                <w:color w:val="auto"/>
                <w:lang w:val="en-US" w:eastAsia="zh-CN"/>
              </w:rPr>
              <w:t>376</w:t>
            </w:r>
            <w:r>
              <w:rPr>
                <w:color w:val="auto"/>
              </w:rPr>
              <w:t>-2019）表1中标准限值</w:t>
            </w:r>
          </w:p>
        </w:tc>
      </w:tr>
      <w:tr w14:paraId="2925CB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continue"/>
            <w:vAlign w:val="center"/>
          </w:tcPr>
          <w:p w14:paraId="476888CC">
            <w:pPr>
              <w:adjustRightInd w:val="0"/>
              <w:snapToGrid w:val="0"/>
              <w:spacing w:line="300" w:lineRule="exact"/>
              <w:jc w:val="center"/>
              <w:rPr>
                <w:color w:val="auto"/>
              </w:rPr>
            </w:pPr>
          </w:p>
        </w:tc>
        <w:tc>
          <w:tcPr>
            <w:tcW w:w="1700" w:type="dxa"/>
            <w:vAlign w:val="center"/>
          </w:tcPr>
          <w:p w14:paraId="0CD82E6F">
            <w:pPr>
              <w:adjustRightInd w:val="0"/>
              <w:snapToGrid w:val="0"/>
              <w:spacing w:line="300" w:lineRule="exact"/>
              <w:jc w:val="center"/>
              <w:rPr>
                <w:rFonts w:hint="default" w:eastAsia="宋体"/>
                <w:color w:val="auto"/>
                <w:lang w:val="en-US" w:eastAsia="zh-CN"/>
              </w:rPr>
            </w:pPr>
            <w:r>
              <w:rPr>
                <w:rFonts w:hint="eastAsia"/>
                <w:color w:val="auto"/>
                <w:lang w:val="en-US" w:eastAsia="zh-CN"/>
              </w:rPr>
              <w:t>DA003</w:t>
            </w:r>
          </w:p>
        </w:tc>
        <w:tc>
          <w:tcPr>
            <w:tcW w:w="1419" w:type="dxa"/>
            <w:vAlign w:val="center"/>
          </w:tcPr>
          <w:p w14:paraId="611A723E">
            <w:pPr>
              <w:adjustRightInd w:val="0"/>
              <w:snapToGrid w:val="0"/>
              <w:spacing w:line="300" w:lineRule="exact"/>
              <w:jc w:val="center"/>
              <w:rPr>
                <w:rFonts w:hint="default"/>
                <w:color w:val="auto"/>
                <w:lang w:val="en-US"/>
              </w:rPr>
            </w:pPr>
            <w:r>
              <w:rPr>
                <w:rFonts w:hint="default"/>
                <w:color w:val="auto"/>
              </w:rPr>
              <w:t>VOCs</w:t>
            </w:r>
            <w:r>
              <w:rPr>
                <w:rFonts w:hint="eastAsia"/>
                <w:color w:val="auto"/>
                <w:lang w:eastAsia="zh-CN"/>
              </w:rPr>
              <w:t>、甲醛、</w:t>
            </w:r>
            <w:r>
              <w:rPr>
                <w:rFonts w:hint="eastAsia"/>
                <w:color w:val="auto"/>
                <w:lang w:val="en-US" w:eastAsia="zh-CN"/>
              </w:rPr>
              <w:t>苯酚</w:t>
            </w:r>
          </w:p>
        </w:tc>
        <w:tc>
          <w:tcPr>
            <w:tcW w:w="1559" w:type="dxa"/>
            <w:vAlign w:val="center"/>
          </w:tcPr>
          <w:p w14:paraId="67EE486A">
            <w:pPr>
              <w:adjustRightInd w:val="0"/>
              <w:snapToGrid w:val="0"/>
              <w:spacing w:line="300" w:lineRule="exact"/>
              <w:jc w:val="center"/>
              <w:rPr>
                <w:rFonts w:hint="default" w:eastAsia="宋体"/>
                <w:color w:val="auto"/>
                <w:lang w:val="en-US" w:eastAsia="zh-CN"/>
              </w:rPr>
            </w:pPr>
            <w:r>
              <w:rPr>
                <w:rFonts w:hint="eastAsia"/>
                <w:color w:val="auto"/>
                <w:lang w:val="en-US" w:eastAsia="zh-CN"/>
              </w:rPr>
              <w:t>二级活性炭吸附装置</w:t>
            </w:r>
          </w:p>
        </w:tc>
        <w:tc>
          <w:tcPr>
            <w:tcW w:w="2869" w:type="dxa"/>
            <w:vAlign w:val="center"/>
          </w:tcPr>
          <w:p w14:paraId="3784CB1A">
            <w:pPr>
              <w:adjustRightInd w:val="0"/>
              <w:snapToGrid w:val="0"/>
              <w:spacing w:line="300" w:lineRule="exact"/>
              <w:jc w:val="center"/>
              <w:rPr>
                <w:rFonts w:hint="eastAsia" w:eastAsia="宋体"/>
                <w:color w:val="auto"/>
                <w:lang w:eastAsia="zh-CN"/>
              </w:rPr>
            </w:pPr>
            <w:r>
              <w:rPr>
                <w:rFonts w:hint="eastAsia"/>
                <w:color w:val="auto"/>
                <w:lang w:eastAsia="zh-CN"/>
              </w:rPr>
              <w:t>挥发性有机物排放标准 第</w:t>
            </w:r>
            <w:r>
              <w:rPr>
                <w:rFonts w:hint="eastAsia"/>
                <w:color w:val="auto"/>
                <w:lang w:val="en-US" w:eastAsia="zh-CN"/>
              </w:rPr>
              <w:t>7</w:t>
            </w:r>
            <w:r>
              <w:rPr>
                <w:rFonts w:hint="eastAsia"/>
                <w:color w:val="auto"/>
                <w:lang w:eastAsia="zh-CN"/>
              </w:rPr>
              <w:t>部分：其他行业》（DB37/2801.</w:t>
            </w:r>
            <w:r>
              <w:rPr>
                <w:rFonts w:hint="eastAsia"/>
                <w:color w:val="auto"/>
                <w:lang w:val="en-US" w:eastAsia="zh-CN"/>
              </w:rPr>
              <w:t>7</w:t>
            </w:r>
            <w:r>
              <w:rPr>
                <w:rFonts w:hint="eastAsia"/>
                <w:color w:val="auto"/>
                <w:lang w:eastAsia="zh-CN"/>
              </w:rPr>
              <w:t>-201</w:t>
            </w:r>
            <w:r>
              <w:rPr>
                <w:rFonts w:hint="eastAsia"/>
                <w:color w:val="auto"/>
                <w:lang w:val="en-US" w:eastAsia="zh-CN"/>
              </w:rPr>
              <w:t>9</w:t>
            </w:r>
            <w:r>
              <w:rPr>
                <w:rFonts w:hint="eastAsia"/>
                <w:color w:val="auto"/>
                <w:lang w:eastAsia="zh-CN"/>
              </w:rPr>
              <w:t>）表</w:t>
            </w:r>
            <w:r>
              <w:rPr>
                <w:rFonts w:hint="eastAsia"/>
                <w:color w:val="auto"/>
                <w:lang w:val="en-US" w:eastAsia="zh-CN"/>
              </w:rPr>
              <w:t>1中“非金属矿物制品业”Ⅱ时段</w:t>
            </w:r>
            <w:r>
              <w:rPr>
                <w:rFonts w:hint="eastAsia"/>
                <w:color w:val="auto"/>
                <w:lang w:eastAsia="zh-CN"/>
              </w:rPr>
              <w:t>VOCs排放限值、《大气污染物综合排放标准》（</w:t>
            </w:r>
            <w:r>
              <w:rPr>
                <w:rFonts w:hint="eastAsia"/>
                <w:color w:val="auto"/>
                <w:lang w:val="en-US" w:eastAsia="zh-CN"/>
              </w:rPr>
              <w:t>GB16297-1996</w:t>
            </w:r>
            <w:r>
              <w:rPr>
                <w:rFonts w:hint="eastAsia"/>
                <w:color w:val="auto"/>
                <w:lang w:eastAsia="zh-CN"/>
              </w:rPr>
              <w:t>）表</w:t>
            </w:r>
            <w:r>
              <w:rPr>
                <w:rFonts w:hint="eastAsia"/>
                <w:color w:val="auto"/>
                <w:lang w:val="en-US" w:eastAsia="zh-CN"/>
              </w:rPr>
              <w:t>2中酚类、甲醛15m有组织</w:t>
            </w:r>
            <w:r>
              <w:rPr>
                <w:rFonts w:hint="eastAsia"/>
                <w:color w:val="auto"/>
                <w:lang w:eastAsia="zh-CN"/>
              </w:rPr>
              <w:t>排放限值</w:t>
            </w:r>
          </w:p>
        </w:tc>
      </w:tr>
      <w:tr w14:paraId="5FA5A7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continue"/>
            <w:vAlign w:val="center"/>
          </w:tcPr>
          <w:p w14:paraId="28949598">
            <w:pPr>
              <w:adjustRightInd w:val="0"/>
              <w:snapToGrid w:val="0"/>
              <w:spacing w:line="300" w:lineRule="exact"/>
              <w:jc w:val="center"/>
              <w:rPr>
                <w:color w:val="auto"/>
              </w:rPr>
            </w:pPr>
          </w:p>
        </w:tc>
        <w:tc>
          <w:tcPr>
            <w:tcW w:w="1700" w:type="dxa"/>
            <w:vAlign w:val="center"/>
          </w:tcPr>
          <w:p w14:paraId="0CADA38D">
            <w:pPr>
              <w:adjustRightInd w:val="0"/>
              <w:snapToGrid w:val="0"/>
              <w:spacing w:line="300" w:lineRule="exact"/>
              <w:jc w:val="center"/>
              <w:rPr>
                <w:rFonts w:hint="default" w:eastAsia="宋体"/>
                <w:color w:val="auto"/>
                <w:lang w:val="en-US" w:eastAsia="zh-CN"/>
              </w:rPr>
            </w:pPr>
            <w:r>
              <w:rPr>
                <w:rFonts w:hint="eastAsia"/>
                <w:color w:val="auto"/>
                <w:lang w:val="en-US" w:eastAsia="zh-CN"/>
              </w:rPr>
              <w:t>焊接过程</w:t>
            </w:r>
          </w:p>
        </w:tc>
        <w:tc>
          <w:tcPr>
            <w:tcW w:w="1419" w:type="dxa"/>
            <w:vAlign w:val="center"/>
          </w:tcPr>
          <w:p w14:paraId="62459241">
            <w:pPr>
              <w:adjustRightInd w:val="0"/>
              <w:snapToGrid w:val="0"/>
              <w:spacing w:line="300" w:lineRule="exact"/>
              <w:jc w:val="center"/>
              <w:rPr>
                <w:color w:val="auto"/>
              </w:rPr>
            </w:pPr>
            <w:r>
              <w:rPr>
                <w:color w:val="auto"/>
              </w:rPr>
              <w:t>颗粒物</w:t>
            </w:r>
          </w:p>
        </w:tc>
        <w:tc>
          <w:tcPr>
            <w:tcW w:w="1559" w:type="dxa"/>
            <w:vAlign w:val="center"/>
          </w:tcPr>
          <w:p w14:paraId="65CD46B8">
            <w:pPr>
              <w:adjustRightInd w:val="0"/>
              <w:snapToGrid w:val="0"/>
              <w:spacing w:line="300" w:lineRule="exact"/>
              <w:jc w:val="center"/>
              <w:rPr>
                <w:rFonts w:hint="default" w:eastAsia="宋体"/>
                <w:color w:val="auto"/>
                <w:lang w:val="en-US" w:eastAsia="zh-CN"/>
              </w:rPr>
            </w:pPr>
            <w:r>
              <w:rPr>
                <w:rFonts w:hint="eastAsia"/>
                <w:color w:val="auto"/>
                <w:lang w:val="en-US" w:eastAsia="zh-CN"/>
              </w:rPr>
              <w:t>移动式焊接烟尘净化器</w:t>
            </w:r>
          </w:p>
        </w:tc>
        <w:tc>
          <w:tcPr>
            <w:tcW w:w="2869" w:type="dxa"/>
            <w:vMerge w:val="restart"/>
            <w:vAlign w:val="center"/>
          </w:tcPr>
          <w:p w14:paraId="30663698">
            <w:pPr>
              <w:adjustRightInd w:val="0"/>
              <w:snapToGrid w:val="0"/>
              <w:spacing w:line="300" w:lineRule="exact"/>
              <w:jc w:val="center"/>
              <w:rPr>
                <w:color w:val="auto"/>
                <w:highlight w:val="yellow"/>
              </w:rPr>
            </w:pPr>
            <w:r>
              <w:rPr>
                <w:color w:val="auto"/>
              </w:rPr>
              <w:t>《大气污染物</w:t>
            </w:r>
            <w:r>
              <w:rPr>
                <w:rFonts w:hint="eastAsia"/>
                <w:color w:val="auto"/>
                <w:lang w:eastAsia="zh-CN"/>
              </w:rPr>
              <w:t>综合</w:t>
            </w:r>
            <w:r>
              <w:rPr>
                <w:color w:val="auto"/>
              </w:rPr>
              <w:t>排放标准》（</w:t>
            </w:r>
            <w:r>
              <w:rPr>
                <w:rFonts w:hint="eastAsia"/>
                <w:color w:val="auto"/>
                <w:lang w:val="en-US" w:eastAsia="zh-CN"/>
              </w:rPr>
              <w:t>GB16297-1996</w:t>
            </w:r>
            <w:r>
              <w:rPr>
                <w:color w:val="auto"/>
              </w:rPr>
              <w:t>）表</w:t>
            </w:r>
            <w:r>
              <w:rPr>
                <w:rFonts w:hint="eastAsia"/>
                <w:color w:val="auto"/>
                <w:lang w:val="en-US" w:eastAsia="zh-CN"/>
              </w:rPr>
              <w:t>2</w:t>
            </w:r>
            <w:r>
              <w:rPr>
                <w:color w:val="auto"/>
              </w:rPr>
              <w:t>无组织颗粒物排放监控浓度限值标准</w:t>
            </w:r>
          </w:p>
        </w:tc>
      </w:tr>
      <w:tr w14:paraId="75DEBE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continue"/>
            <w:vAlign w:val="center"/>
          </w:tcPr>
          <w:p w14:paraId="24E2A3FA">
            <w:pPr>
              <w:adjustRightInd w:val="0"/>
              <w:snapToGrid w:val="0"/>
              <w:spacing w:line="300" w:lineRule="exact"/>
              <w:jc w:val="center"/>
              <w:rPr>
                <w:color w:val="auto"/>
              </w:rPr>
            </w:pPr>
          </w:p>
        </w:tc>
        <w:tc>
          <w:tcPr>
            <w:tcW w:w="1700" w:type="dxa"/>
            <w:vAlign w:val="center"/>
          </w:tcPr>
          <w:p w14:paraId="4EEB1E8C">
            <w:pPr>
              <w:adjustRightInd w:val="0"/>
              <w:snapToGrid w:val="0"/>
              <w:spacing w:line="300" w:lineRule="exact"/>
              <w:jc w:val="center"/>
              <w:rPr>
                <w:rFonts w:hint="default"/>
                <w:color w:val="auto"/>
                <w:lang w:val="en-US" w:eastAsia="zh-CN"/>
              </w:rPr>
            </w:pPr>
            <w:r>
              <w:rPr>
                <w:rFonts w:hint="eastAsia"/>
                <w:color w:val="auto"/>
                <w:lang w:val="en-US" w:eastAsia="zh-CN"/>
              </w:rPr>
              <w:t>切割、打磨过程</w:t>
            </w:r>
          </w:p>
        </w:tc>
        <w:tc>
          <w:tcPr>
            <w:tcW w:w="1419" w:type="dxa"/>
            <w:vAlign w:val="center"/>
          </w:tcPr>
          <w:p w14:paraId="292834E1">
            <w:pPr>
              <w:adjustRightInd w:val="0"/>
              <w:snapToGrid w:val="0"/>
              <w:spacing w:line="300" w:lineRule="exact"/>
              <w:jc w:val="center"/>
              <w:rPr>
                <w:color w:val="auto"/>
              </w:rPr>
            </w:pPr>
            <w:r>
              <w:rPr>
                <w:color w:val="auto"/>
              </w:rPr>
              <w:t>颗粒物</w:t>
            </w:r>
          </w:p>
        </w:tc>
        <w:tc>
          <w:tcPr>
            <w:tcW w:w="1559" w:type="dxa"/>
            <w:vAlign w:val="center"/>
          </w:tcPr>
          <w:p w14:paraId="103C329E">
            <w:pPr>
              <w:adjustRightInd w:val="0"/>
              <w:snapToGrid w:val="0"/>
              <w:spacing w:line="300" w:lineRule="exact"/>
              <w:jc w:val="center"/>
              <w:rPr>
                <w:rFonts w:hint="eastAsia"/>
                <w:color w:val="auto"/>
              </w:rPr>
            </w:pPr>
            <w:r>
              <w:rPr>
                <w:rFonts w:hint="eastAsia"/>
                <w:color w:val="auto"/>
              </w:rPr>
              <w:t>加强管理</w:t>
            </w:r>
          </w:p>
        </w:tc>
        <w:tc>
          <w:tcPr>
            <w:tcW w:w="2869" w:type="dxa"/>
            <w:vMerge w:val="continue"/>
            <w:vAlign w:val="center"/>
          </w:tcPr>
          <w:p w14:paraId="20726EFF">
            <w:pPr>
              <w:adjustRightInd w:val="0"/>
              <w:snapToGrid w:val="0"/>
              <w:spacing w:line="300" w:lineRule="exact"/>
              <w:jc w:val="center"/>
              <w:rPr>
                <w:color w:val="auto"/>
              </w:rPr>
            </w:pPr>
          </w:p>
        </w:tc>
      </w:tr>
      <w:tr w14:paraId="4349EA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continue"/>
            <w:vAlign w:val="center"/>
          </w:tcPr>
          <w:p w14:paraId="6B4C33E4">
            <w:pPr>
              <w:adjustRightInd w:val="0"/>
              <w:snapToGrid w:val="0"/>
              <w:spacing w:line="300" w:lineRule="exact"/>
              <w:jc w:val="center"/>
              <w:rPr>
                <w:color w:val="auto"/>
              </w:rPr>
            </w:pPr>
          </w:p>
        </w:tc>
        <w:tc>
          <w:tcPr>
            <w:tcW w:w="1700" w:type="dxa"/>
            <w:vMerge w:val="restart"/>
            <w:vAlign w:val="center"/>
          </w:tcPr>
          <w:p w14:paraId="7695A516">
            <w:pPr>
              <w:adjustRightInd w:val="0"/>
              <w:snapToGrid w:val="0"/>
              <w:spacing w:line="300" w:lineRule="exact"/>
              <w:jc w:val="center"/>
              <w:rPr>
                <w:rFonts w:hint="default" w:eastAsia="宋体"/>
                <w:color w:val="auto"/>
                <w:lang w:val="en-US" w:eastAsia="zh-CN"/>
              </w:rPr>
            </w:pPr>
            <w:r>
              <w:rPr>
                <w:rFonts w:hint="eastAsia"/>
                <w:color w:val="auto"/>
                <w:lang w:val="en-US" w:eastAsia="zh-CN"/>
              </w:rPr>
              <w:t>集气罩未收集</w:t>
            </w:r>
          </w:p>
        </w:tc>
        <w:tc>
          <w:tcPr>
            <w:tcW w:w="1419" w:type="dxa"/>
            <w:vAlign w:val="center"/>
          </w:tcPr>
          <w:p w14:paraId="57834ED2">
            <w:pPr>
              <w:adjustRightInd w:val="0"/>
              <w:snapToGrid w:val="0"/>
              <w:spacing w:line="300" w:lineRule="exact"/>
              <w:jc w:val="center"/>
              <w:rPr>
                <w:color w:val="auto"/>
              </w:rPr>
            </w:pPr>
            <w:r>
              <w:rPr>
                <w:color w:val="auto"/>
              </w:rPr>
              <w:t>颗粒物</w:t>
            </w:r>
          </w:p>
        </w:tc>
        <w:tc>
          <w:tcPr>
            <w:tcW w:w="1559" w:type="dxa"/>
            <w:vMerge w:val="restart"/>
            <w:vAlign w:val="center"/>
          </w:tcPr>
          <w:p w14:paraId="48247F0C">
            <w:pPr>
              <w:adjustRightInd w:val="0"/>
              <w:snapToGrid w:val="0"/>
              <w:spacing w:line="300" w:lineRule="exact"/>
              <w:jc w:val="center"/>
              <w:rPr>
                <w:color w:val="auto"/>
              </w:rPr>
            </w:pPr>
            <w:r>
              <w:rPr>
                <w:rFonts w:hint="eastAsia"/>
                <w:color w:val="auto"/>
              </w:rPr>
              <w:t>加强管理</w:t>
            </w:r>
          </w:p>
        </w:tc>
        <w:tc>
          <w:tcPr>
            <w:tcW w:w="2869" w:type="dxa"/>
            <w:vMerge w:val="continue"/>
            <w:vAlign w:val="center"/>
          </w:tcPr>
          <w:p w14:paraId="189C6DC8">
            <w:pPr>
              <w:adjustRightInd w:val="0"/>
              <w:snapToGrid w:val="0"/>
              <w:spacing w:line="300" w:lineRule="exact"/>
              <w:jc w:val="center"/>
              <w:rPr>
                <w:color w:val="auto"/>
                <w:highlight w:val="yellow"/>
              </w:rPr>
            </w:pPr>
          </w:p>
        </w:tc>
      </w:tr>
      <w:tr w14:paraId="089B40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continue"/>
            <w:vAlign w:val="center"/>
          </w:tcPr>
          <w:p w14:paraId="295FB98D">
            <w:pPr>
              <w:adjustRightInd w:val="0"/>
              <w:snapToGrid w:val="0"/>
              <w:spacing w:line="300" w:lineRule="exact"/>
              <w:jc w:val="center"/>
              <w:rPr>
                <w:color w:val="auto"/>
              </w:rPr>
            </w:pPr>
          </w:p>
        </w:tc>
        <w:tc>
          <w:tcPr>
            <w:tcW w:w="1700" w:type="dxa"/>
            <w:vMerge w:val="continue"/>
            <w:vAlign w:val="center"/>
          </w:tcPr>
          <w:p w14:paraId="6BD698E2">
            <w:pPr>
              <w:adjustRightInd w:val="0"/>
              <w:snapToGrid w:val="0"/>
              <w:spacing w:line="300" w:lineRule="exact"/>
              <w:jc w:val="center"/>
              <w:rPr>
                <w:color w:val="auto"/>
              </w:rPr>
            </w:pPr>
          </w:p>
        </w:tc>
        <w:tc>
          <w:tcPr>
            <w:tcW w:w="1419" w:type="dxa"/>
            <w:vAlign w:val="center"/>
          </w:tcPr>
          <w:p w14:paraId="757E5A12">
            <w:pPr>
              <w:adjustRightInd w:val="0"/>
              <w:snapToGrid w:val="0"/>
              <w:spacing w:line="300" w:lineRule="exact"/>
              <w:jc w:val="center"/>
              <w:rPr>
                <w:rFonts w:hint="default" w:eastAsia="宋体"/>
                <w:color w:val="auto"/>
                <w:lang w:val="en-US" w:eastAsia="zh-CN"/>
              </w:rPr>
            </w:pPr>
            <w:r>
              <w:rPr>
                <w:rFonts w:hint="default" w:eastAsia="宋体"/>
                <w:color w:val="auto"/>
                <w:lang w:val="en-US" w:eastAsia="zh-CN"/>
              </w:rPr>
              <w:t>VOCs、甲醛、苯酚</w:t>
            </w:r>
          </w:p>
        </w:tc>
        <w:tc>
          <w:tcPr>
            <w:tcW w:w="1559" w:type="dxa"/>
            <w:vMerge w:val="continue"/>
            <w:vAlign w:val="center"/>
          </w:tcPr>
          <w:p w14:paraId="0121F145">
            <w:pPr>
              <w:adjustRightInd w:val="0"/>
              <w:snapToGrid w:val="0"/>
              <w:spacing w:line="300" w:lineRule="exact"/>
              <w:jc w:val="center"/>
              <w:rPr>
                <w:color w:val="auto"/>
              </w:rPr>
            </w:pPr>
          </w:p>
        </w:tc>
        <w:tc>
          <w:tcPr>
            <w:tcW w:w="2869" w:type="dxa"/>
            <w:vAlign w:val="center"/>
          </w:tcPr>
          <w:p w14:paraId="2F15C197">
            <w:pPr>
              <w:adjustRightInd w:val="0"/>
              <w:snapToGrid w:val="0"/>
              <w:spacing w:line="300" w:lineRule="exact"/>
              <w:jc w:val="center"/>
              <w:rPr>
                <w:rFonts w:hint="eastAsia" w:eastAsia="宋体"/>
                <w:color w:val="auto"/>
                <w:lang w:eastAsia="zh-CN"/>
              </w:rPr>
            </w:pPr>
            <w:r>
              <w:rPr>
                <w:rFonts w:hint="eastAsia"/>
                <w:color w:val="auto"/>
              </w:rPr>
              <w:t>《挥发性有机物排放标准 第7部分：其他行业》（DB37/2801.7-2019）表2、表3厂界监控点浓度限值</w:t>
            </w:r>
            <w:r>
              <w:rPr>
                <w:rFonts w:hint="eastAsia"/>
                <w:color w:val="auto"/>
                <w:lang w:eastAsia="zh-CN"/>
              </w:rPr>
              <w:t>、《大气污染物综合排放标准》（GB16297-1996）表2厂界监控点浓度限值、《挥发性有机物无组织排放控制标准》（GB37822-2019）附录A中表A.1厂区内无组织排放限值</w:t>
            </w:r>
          </w:p>
        </w:tc>
      </w:tr>
      <w:tr w14:paraId="3D7962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restart"/>
            <w:vAlign w:val="center"/>
          </w:tcPr>
          <w:p w14:paraId="35F3B8B9">
            <w:pPr>
              <w:adjustRightInd w:val="0"/>
              <w:snapToGrid w:val="0"/>
              <w:spacing w:line="300" w:lineRule="exact"/>
              <w:jc w:val="center"/>
              <w:rPr>
                <w:color w:val="auto"/>
              </w:rPr>
            </w:pPr>
            <w:r>
              <w:rPr>
                <w:color w:val="auto"/>
              </w:rPr>
              <w:t>地表水环境</w:t>
            </w:r>
          </w:p>
        </w:tc>
        <w:tc>
          <w:tcPr>
            <w:tcW w:w="1700" w:type="dxa"/>
            <w:vMerge w:val="restart"/>
            <w:vAlign w:val="center"/>
          </w:tcPr>
          <w:p w14:paraId="3C20AB86">
            <w:pPr>
              <w:adjustRightInd w:val="0"/>
              <w:snapToGrid w:val="0"/>
              <w:jc w:val="center"/>
              <w:rPr>
                <w:color w:val="auto"/>
              </w:rPr>
            </w:pPr>
            <w:r>
              <w:rPr>
                <w:bCs/>
                <w:color w:val="auto"/>
              </w:rPr>
              <w:t>生活污水</w:t>
            </w:r>
          </w:p>
        </w:tc>
        <w:tc>
          <w:tcPr>
            <w:tcW w:w="1419" w:type="dxa"/>
            <w:vAlign w:val="center"/>
          </w:tcPr>
          <w:p w14:paraId="47594E55">
            <w:pPr>
              <w:adjustRightInd w:val="0"/>
              <w:snapToGrid w:val="0"/>
              <w:jc w:val="center"/>
              <w:rPr>
                <w:color w:val="auto"/>
              </w:rPr>
            </w:pPr>
            <w:r>
              <w:rPr>
                <w:color w:val="auto"/>
              </w:rPr>
              <w:t>COD</w:t>
            </w:r>
          </w:p>
        </w:tc>
        <w:tc>
          <w:tcPr>
            <w:tcW w:w="1559" w:type="dxa"/>
            <w:vMerge w:val="restart"/>
            <w:vAlign w:val="center"/>
          </w:tcPr>
          <w:p w14:paraId="6869655D">
            <w:pPr>
              <w:adjustRightInd w:val="0"/>
              <w:snapToGrid w:val="0"/>
              <w:spacing w:line="300" w:lineRule="exact"/>
              <w:jc w:val="center"/>
              <w:rPr>
                <w:color w:val="auto"/>
              </w:rPr>
            </w:pPr>
            <w:r>
              <w:rPr>
                <w:bCs/>
                <w:color w:val="auto"/>
              </w:rPr>
              <w:t>生活污水经化粪池预处理后由环卫部门定期清运</w:t>
            </w:r>
          </w:p>
        </w:tc>
        <w:tc>
          <w:tcPr>
            <w:tcW w:w="2869" w:type="dxa"/>
            <w:vMerge w:val="restart"/>
            <w:vAlign w:val="center"/>
          </w:tcPr>
          <w:p w14:paraId="2F535E89">
            <w:pPr>
              <w:adjustRightInd w:val="0"/>
              <w:snapToGrid w:val="0"/>
              <w:spacing w:line="300" w:lineRule="exact"/>
              <w:jc w:val="center"/>
              <w:rPr>
                <w:color w:val="auto"/>
              </w:rPr>
            </w:pPr>
            <w:r>
              <w:rPr>
                <w:color w:val="auto"/>
              </w:rPr>
              <w:t>—</w:t>
            </w:r>
          </w:p>
        </w:tc>
      </w:tr>
      <w:tr w14:paraId="6A4EAA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1D32B7A7">
            <w:pPr>
              <w:adjustRightInd w:val="0"/>
              <w:snapToGrid w:val="0"/>
              <w:spacing w:line="300" w:lineRule="exact"/>
              <w:ind w:left="-103" w:leftChars="-49" w:right="-107" w:rightChars="-51"/>
              <w:jc w:val="center"/>
              <w:rPr>
                <w:color w:val="auto"/>
              </w:rPr>
            </w:pPr>
          </w:p>
        </w:tc>
        <w:tc>
          <w:tcPr>
            <w:tcW w:w="1700" w:type="dxa"/>
            <w:vMerge w:val="continue"/>
            <w:vAlign w:val="center"/>
          </w:tcPr>
          <w:p w14:paraId="7EF72251">
            <w:pPr>
              <w:adjustRightInd w:val="0"/>
              <w:snapToGrid w:val="0"/>
              <w:jc w:val="center"/>
              <w:rPr>
                <w:color w:val="auto"/>
              </w:rPr>
            </w:pPr>
          </w:p>
        </w:tc>
        <w:tc>
          <w:tcPr>
            <w:tcW w:w="1419" w:type="dxa"/>
            <w:vAlign w:val="center"/>
          </w:tcPr>
          <w:p w14:paraId="04CB62FC">
            <w:pPr>
              <w:adjustRightInd w:val="0"/>
              <w:snapToGrid w:val="0"/>
              <w:jc w:val="center"/>
              <w:rPr>
                <w:color w:val="auto"/>
              </w:rPr>
            </w:pPr>
            <w:r>
              <w:rPr>
                <w:color w:val="auto"/>
              </w:rPr>
              <w:t>BOD</w:t>
            </w:r>
            <w:r>
              <w:rPr>
                <w:color w:val="auto"/>
                <w:vertAlign w:val="subscript"/>
              </w:rPr>
              <w:t>5</w:t>
            </w:r>
          </w:p>
        </w:tc>
        <w:tc>
          <w:tcPr>
            <w:tcW w:w="1559" w:type="dxa"/>
            <w:vMerge w:val="continue"/>
            <w:vAlign w:val="center"/>
          </w:tcPr>
          <w:p w14:paraId="6F6C5D8D">
            <w:pPr>
              <w:adjustRightInd w:val="0"/>
              <w:snapToGrid w:val="0"/>
              <w:spacing w:line="300" w:lineRule="exact"/>
              <w:ind w:left="-103" w:leftChars="-49" w:right="-107" w:rightChars="-51"/>
              <w:jc w:val="center"/>
              <w:rPr>
                <w:color w:val="auto"/>
              </w:rPr>
            </w:pPr>
          </w:p>
        </w:tc>
        <w:tc>
          <w:tcPr>
            <w:tcW w:w="2869" w:type="dxa"/>
            <w:vMerge w:val="continue"/>
            <w:vAlign w:val="center"/>
          </w:tcPr>
          <w:p w14:paraId="100BBD4C">
            <w:pPr>
              <w:adjustRightInd w:val="0"/>
              <w:snapToGrid w:val="0"/>
              <w:spacing w:line="300" w:lineRule="exact"/>
              <w:ind w:left="-103" w:leftChars="-49" w:right="-107" w:rightChars="-51"/>
              <w:jc w:val="center"/>
              <w:rPr>
                <w:color w:val="auto"/>
              </w:rPr>
            </w:pPr>
          </w:p>
        </w:tc>
      </w:tr>
      <w:tr w14:paraId="5F431B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0665F73B">
            <w:pPr>
              <w:adjustRightInd w:val="0"/>
              <w:snapToGrid w:val="0"/>
              <w:spacing w:line="300" w:lineRule="exact"/>
              <w:ind w:left="-103" w:leftChars="-49" w:right="-107" w:rightChars="-51"/>
              <w:jc w:val="center"/>
              <w:rPr>
                <w:color w:val="auto"/>
              </w:rPr>
            </w:pPr>
          </w:p>
        </w:tc>
        <w:tc>
          <w:tcPr>
            <w:tcW w:w="1700" w:type="dxa"/>
            <w:vMerge w:val="continue"/>
            <w:vAlign w:val="center"/>
          </w:tcPr>
          <w:p w14:paraId="37934C38">
            <w:pPr>
              <w:adjustRightInd w:val="0"/>
              <w:snapToGrid w:val="0"/>
              <w:jc w:val="center"/>
              <w:rPr>
                <w:color w:val="auto"/>
              </w:rPr>
            </w:pPr>
          </w:p>
        </w:tc>
        <w:tc>
          <w:tcPr>
            <w:tcW w:w="1419" w:type="dxa"/>
            <w:vAlign w:val="center"/>
          </w:tcPr>
          <w:p w14:paraId="30A4F6DE">
            <w:pPr>
              <w:adjustRightInd w:val="0"/>
              <w:snapToGrid w:val="0"/>
              <w:jc w:val="center"/>
              <w:rPr>
                <w:color w:val="auto"/>
              </w:rPr>
            </w:pPr>
            <w:r>
              <w:rPr>
                <w:color w:val="auto"/>
              </w:rPr>
              <w:t>SS</w:t>
            </w:r>
          </w:p>
        </w:tc>
        <w:tc>
          <w:tcPr>
            <w:tcW w:w="1559" w:type="dxa"/>
            <w:vMerge w:val="continue"/>
            <w:vAlign w:val="center"/>
          </w:tcPr>
          <w:p w14:paraId="43774126">
            <w:pPr>
              <w:adjustRightInd w:val="0"/>
              <w:snapToGrid w:val="0"/>
              <w:spacing w:line="300" w:lineRule="exact"/>
              <w:ind w:left="-103" w:leftChars="-49" w:right="-107" w:rightChars="-51"/>
              <w:jc w:val="center"/>
              <w:rPr>
                <w:color w:val="auto"/>
              </w:rPr>
            </w:pPr>
          </w:p>
        </w:tc>
        <w:tc>
          <w:tcPr>
            <w:tcW w:w="2869" w:type="dxa"/>
            <w:vMerge w:val="continue"/>
            <w:vAlign w:val="center"/>
          </w:tcPr>
          <w:p w14:paraId="0E8E9A1B">
            <w:pPr>
              <w:adjustRightInd w:val="0"/>
              <w:snapToGrid w:val="0"/>
              <w:spacing w:line="300" w:lineRule="exact"/>
              <w:ind w:left="-103" w:leftChars="-49" w:right="-107" w:rightChars="-51"/>
              <w:jc w:val="center"/>
              <w:rPr>
                <w:color w:val="auto"/>
              </w:rPr>
            </w:pPr>
          </w:p>
        </w:tc>
      </w:tr>
      <w:tr w14:paraId="124AB8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06EA2D0D">
            <w:pPr>
              <w:adjustRightInd w:val="0"/>
              <w:snapToGrid w:val="0"/>
              <w:spacing w:line="300" w:lineRule="exact"/>
              <w:ind w:left="-103" w:leftChars="-49" w:right="-107" w:rightChars="-51"/>
              <w:jc w:val="center"/>
              <w:rPr>
                <w:color w:val="auto"/>
              </w:rPr>
            </w:pPr>
          </w:p>
        </w:tc>
        <w:tc>
          <w:tcPr>
            <w:tcW w:w="1700" w:type="dxa"/>
            <w:vMerge w:val="continue"/>
            <w:vAlign w:val="center"/>
          </w:tcPr>
          <w:p w14:paraId="34B174AA">
            <w:pPr>
              <w:adjustRightInd w:val="0"/>
              <w:snapToGrid w:val="0"/>
              <w:jc w:val="center"/>
              <w:rPr>
                <w:color w:val="auto"/>
              </w:rPr>
            </w:pPr>
          </w:p>
        </w:tc>
        <w:tc>
          <w:tcPr>
            <w:tcW w:w="1419" w:type="dxa"/>
            <w:vAlign w:val="center"/>
          </w:tcPr>
          <w:p w14:paraId="54E76DE1">
            <w:pPr>
              <w:adjustRightInd w:val="0"/>
              <w:snapToGrid w:val="0"/>
              <w:jc w:val="center"/>
              <w:rPr>
                <w:color w:val="auto"/>
              </w:rPr>
            </w:pPr>
            <w:r>
              <w:rPr>
                <w:color w:val="auto"/>
              </w:rPr>
              <w:t>氨氮</w:t>
            </w:r>
          </w:p>
        </w:tc>
        <w:tc>
          <w:tcPr>
            <w:tcW w:w="1559" w:type="dxa"/>
            <w:vMerge w:val="continue"/>
            <w:vAlign w:val="center"/>
          </w:tcPr>
          <w:p w14:paraId="07DA245F">
            <w:pPr>
              <w:adjustRightInd w:val="0"/>
              <w:snapToGrid w:val="0"/>
              <w:spacing w:line="300" w:lineRule="exact"/>
              <w:ind w:left="-103" w:leftChars="-49" w:right="-107" w:rightChars="-51"/>
              <w:jc w:val="center"/>
              <w:rPr>
                <w:color w:val="auto"/>
              </w:rPr>
            </w:pPr>
          </w:p>
        </w:tc>
        <w:tc>
          <w:tcPr>
            <w:tcW w:w="2869" w:type="dxa"/>
            <w:vMerge w:val="continue"/>
            <w:vAlign w:val="center"/>
          </w:tcPr>
          <w:p w14:paraId="4764A562">
            <w:pPr>
              <w:adjustRightInd w:val="0"/>
              <w:snapToGrid w:val="0"/>
              <w:spacing w:line="300" w:lineRule="exact"/>
              <w:ind w:left="-103" w:leftChars="-49" w:right="-107" w:rightChars="-51"/>
              <w:jc w:val="center"/>
              <w:rPr>
                <w:color w:val="auto"/>
              </w:rPr>
            </w:pPr>
          </w:p>
        </w:tc>
      </w:tr>
      <w:tr w14:paraId="44FFFB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65CAB5F9">
            <w:pPr>
              <w:adjustRightInd w:val="0"/>
              <w:snapToGrid w:val="0"/>
              <w:spacing w:line="300" w:lineRule="exact"/>
              <w:jc w:val="center"/>
              <w:rPr>
                <w:color w:val="auto"/>
              </w:rPr>
            </w:pPr>
            <w:r>
              <w:rPr>
                <w:color w:val="auto"/>
              </w:rPr>
              <w:t>声环境</w:t>
            </w:r>
          </w:p>
        </w:tc>
        <w:tc>
          <w:tcPr>
            <w:tcW w:w="1700" w:type="dxa"/>
            <w:vAlign w:val="center"/>
          </w:tcPr>
          <w:p w14:paraId="20B7CF33">
            <w:pPr>
              <w:adjustRightInd w:val="0"/>
              <w:snapToGrid w:val="0"/>
              <w:spacing w:line="300" w:lineRule="exact"/>
              <w:jc w:val="center"/>
              <w:rPr>
                <w:color w:val="auto"/>
              </w:rPr>
            </w:pPr>
            <w:r>
              <w:rPr>
                <w:color w:val="auto"/>
              </w:rPr>
              <w:t>产噪设备及车间</w:t>
            </w:r>
          </w:p>
        </w:tc>
        <w:tc>
          <w:tcPr>
            <w:tcW w:w="1419" w:type="dxa"/>
            <w:vAlign w:val="center"/>
          </w:tcPr>
          <w:p w14:paraId="4D4039B0">
            <w:pPr>
              <w:adjustRightInd w:val="0"/>
              <w:snapToGrid w:val="0"/>
              <w:spacing w:line="300" w:lineRule="exact"/>
              <w:jc w:val="center"/>
              <w:rPr>
                <w:color w:val="auto"/>
              </w:rPr>
            </w:pPr>
            <w:r>
              <w:rPr>
                <w:color w:val="auto"/>
              </w:rPr>
              <w:t>dB（A）</w:t>
            </w:r>
          </w:p>
        </w:tc>
        <w:tc>
          <w:tcPr>
            <w:tcW w:w="1559" w:type="dxa"/>
            <w:vAlign w:val="center"/>
          </w:tcPr>
          <w:p w14:paraId="3529A7BB">
            <w:pPr>
              <w:adjustRightInd w:val="0"/>
              <w:snapToGrid w:val="0"/>
              <w:spacing w:line="300" w:lineRule="exact"/>
              <w:jc w:val="center"/>
              <w:rPr>
                <w:color w:val="auto"/>
              </w:rPr>
            </w:pPr>
            <w:r>
              <w:rPr>
                <w:color w:val="auto"/>
              </w:rPr>
              <w:t>减震、隔声、室内布置</w:t>
            </w:r>
          </w:p>
        </w:tc>
        <w:tc>
          <w:tcPr>
            <w:tcW w:w="2869" w:type="dxa"/>
            <w:vAlign w:val="center"/>
          </w:tcPr>
          <w:p w14:paraId="6AD0C533">
            <w:pPr>
              <w:adjustRightInd w:val="0"/>
              <w:snapToGrid w:val="0"/>
              <w:spacing w:line="300" w:lineRule="exact"/>
              <w:jc w:val="center"/>
              <w:rPr>
                <w:color w:val="auto"/>
              </w:rPr>
            </w:pPr>
            <w:r>
              <w:rPr>
                <w:color w:val="auto"/>
              </w:rPr>
              <w:t>符合《工业企业厂界环境噪声排放标准》（GB12348-2008）2类标准</w:t>
            </w:r>
          </w:p>
        </w:tc>
      </w:tr>
      <w:tr w14:paraId="212663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67ABAB73">
            <w:pPr>
              <w:adjustRightInd w:val="0"/>
              <w:snapToGrid w:val="0"/>
              <w:spacing w:line="300" w:lineRule="exact"/>
              <w:jc w:val="center"/>
              <w:rPr>
                <w:color w:val="auto"/>
              </w:rPr>
            </w:pPr>
            <w:r>
              <w:rPr>
                <w:color w:val="auto"/>
              </w:rPr>
              <w:t>电磁辐射</w:t>
            </w:r>
          </w:p>
        </w:tc>
        <w:tc>
          <w:tcPr>
            <w:tcW w:w="1700" w:type="dxa"/>
            <w:vAlign w:val="center"/>
          </w:tcPr>
          <w:p w14:paraId="5CDDCFD1">
            <w:pPr>
              <w:adjustRightInd w:val="0"/>
              <w:snapToGrid w:val="0"/>
              <w:spacing w:line="300" w:lineRule="exact"/>
              <w:jc w:val="center"/>
              <w:rPr>
                <w:color w:val="auto"/>
              </w:rPr>
            </w:pPr>
            <w:r>
              <w:rPr>
                <w:color w:val="auto"/>
              </w:rPr>
              <w:t>—</w:t>
            </w:r>
          </w:p>
        </w:tc>
        <w:tc>
          <w:tcPr>
            <w:tcW w:w="1419" w:type="dxa"/>
          </w:tcPr>
          <w:p w14:paraId="59C09F2C">
            <w:pPr>
              <w:adjustRightInd w:val="0"/>
              <w:snapToGrid w:val="0"/>
              <w:spacing w:line="300" w:lineRule="exact"/>
              <w:jc w:val="center"/>
              <w:rPr>
                <w:color w:val="auto"/>
              </w:rPr>
            </w:pPr>
            <w:r>
              <w:rPr>
                <w:color w:val="auto"/>
              </w:rPr>
              <w:t>—</w:t>
            </w:r>
          </w:p>
        </w:tc>
        <w:tc>
          <w:tcPr>
            <w:tcW w:w="1559" w:type="dxa"/>
          </w:tcPr>
          <w:p w14:paraId="6E560CA6">
            <w:pPr>
              <w:adjustRightInd w:val="0"/>
              <w:snapToGrid w:val="0"/>
              <w:spacing w:line="300" w:lineRule="exact"/>
              <w:jc w:val="center"/>
              <w:rPr>
                <w:color w:val="auto"/>
              </w:rPr>
            </w:pPr>
            <w:r>
              <w:rPr>
                <w:color w:val="auto"/>
              </w:rPr>
              <w:t>—</w:t>
            </w:r>
          </w:p>
        </w:tc>
        <w:tc>
          <w:tcPr>
            <w:tcW w:w="2869" w:type="dxa"/>
          </w:tcPr>
          <w:p w14:paraId="6E7D37AC">
            <w:pPr>
              <w:adjustRightInd w:val="0"/>
              <w:snapToGrid w:val="0"/>
              <w:spacing w:line="300" w:lineRule="exact"/>
              <w:jc w:val="center"/>
              <w:rPr>
                <w:color w:val="auto"/>
              </w:rPr>
            </w:pPr>
            <w:r>
              <w:rPr>
                <w:color w:val="auto"/>
              </w:rPr>
              <w:t>—</w:t>
            </w:r>
          </w:p>
        </w:tc>
      </w:tr>
      <w:tr w14:paraId="681405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255" w:type="dxa"/>
            <w:vAlign w:val="center"/>
          </w:tcPr>
          <w:p w14:paraId="47F09A1E">
            <w:pPr>
              <w:adjustRightInd w:val="0"/>
              <w:snapToGrid w:val="0"/>
              <w:spacing w:line="300" w:lineRule="exact"/>
              <w:jc w:val="center"/>
              <w:rPr>
                <w:color w:val="auto"/>
              </w:rPr>
            </w:pPr>
            <w:r>
              <w:rPr>
                <w:color w:val="auto"/>
              </w:rPr>
              <w:t>固体废物</w:t>
            </w:r>
          </w:p>
        </w:tc>
        <w:tc>
          <w:tcPr>
            <w:tcW w:w="7547" w:type="dxa"/>
            <w:gridSpan w:val="4"/>
            <w:vAlign w:val="center"/>
          </w:tcPr>
          <w:p w14:paraId="5596C234">
            <w:pPr>
              <w:autoSpaceDE w:val="0"/>
              <w:autoSpaceDN w:val="0"/>
              <w:adjustRightInd w:val="0"/>
              <w:spacing w:line="300" w:lineRule="exact"/>
              <w:ind w:firstLine="420" w:firstLineChars="200"/>
              <w:rPr>
                <w:color w:val="auto"/>
                <w:lang w:val="zh-CN"/>
              </w:rPr>
            </w:pPr>
            <w:r>
              <w:rPr>
                <w:color w:val="auto"/>
              </w:rPr>
              <w:t>固体废物管理台账，废弃物的运输登记，危险废物转移联单</w:t>
            </w:r>
          </w:p>
        </w:tc>
      </w:tr>
      <w:tr w14:paraId="764D1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55" w:type="dxa"/>
            <w:vAlign w:val="center"/>
          </w:tcPr>
          <w:p w14:paraId="1EA6F8EB">
            <w:pPr>
              <w:adjustRightInd w:val="0"/>
              <w:snapToGrid w:val="0"/>
              <w:spacing w:line="300" w:lineRule="exact"/>
              <w:ind w:left="-128" w:leftChars="-61" w:right="-107" w:rightChars="-51" w:firstLine="128" w:firstLineChars="61"/>
              <w:jc w:val="center"/>
              <w:rPr>
                <w:color w:val="auto"/>
              </w:rPr>
            </w:pPr>
            <w:r>
              <w:rPr>
                <w:color w:val="auto"/>
              </w:rPr>
              <w:t>土壤及地下水污染防治措施</w:t>
            </w:r>
          </w:p>
        </w:tc>
        <w:tc>
          <w:tcPr>
            <w:tcW w:w="7547" w:type="dxa"/>
            <w:gridSpan w:val="4"/>
            <w:vAlign w:val="center"/>
          </w:tcPr>
          <w:p w14:paraId="78DE0735">
            <w:pPr>
              <w:autoSpaceDE w:val="0"/>
              <w:autoSpaceDN w:val="0"/>
              <w:adjustRightInd w:val="0"/>
              <w:spacing w:line="300" w:lineRule="exact"/>
              <w:ind w:firstLine="420" w:firstLineChars="200"/>
              <w:jc w:val="center"/>
              <w:rPr>
                <w:color w:val="auto"/>
              </w:rPr>
            </w:pPr>
            <w:r>
              <w:rPr>
                <w:color w:val="auto"/>
              </w:rPr>
              <w:t>采取分区防渗措施，其中重点防渗区，设置不低于6.0m厚渗透系数为1.0</w:t>
            </w:r>
            <w:r>
              <w:rPr>
                <w:color w:val="auto"/>
                <w:sz w:val="18"/>
                <w:szCs w:val="18"/>
              </w:rPr>
              <w:t>×</w:t>
            </w:r>
            <w:r>
              <w:rPr>
                <w:color w:val="auto"/>
              </w:rPr>
              <w:t>10</w:t>
            </w:r>
            <w:r>
              <w:rPr>
                <w:color w:val="auto"/>
                <w:vertAlign w:val="superscript"/>
              </w:rPr>
              <w:t>-7</w:t>
            </w:r>
            <w:r>
              <w:rPr>
                <w:color w:val="auto"/>
              </w:rPr>
              <w:t>cm/s的黏土层的防渗性能；一般防渗区，设置不低于1.5m厚渗透系数为1.0</w:t>
            </w:r>
            <w:r>
              <w:rPr>
                <w:color w:val="auto"/>
                <w:sz w:val="18"/>
                <w:szCs w:val="18"/>
              </w:rPr>
              <w:t>×</w:t>
            </w:r>
            <w:r>
              <w:rPr>
                <w:color w:val="auto"/>
              </w:rPr>
              <w:t>10</w:t>
            </w:r>
            <w:r>
              <w:rPr>
                <w:color w:val="auto"/>
                <w:vertAlign w:val="superscript"/>
              </w:rPr>
              <w:t>-7</w:t>
            </w:r>
            <w:r>
              <w:rPr>
                <w:color w:val="auto"/>
              </w:rPr>
              <w:t>cm/s的黏土层的防渗性能；其他区域采取硬化等简单防渗。</w:t>
            </w:r>
          </w:p>
        </w:tc>
      </w:tr>
      <w:tr w14:paraId="58D007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5" w:type="dxa"/>
            <w:vAlign w:val="center"/>
          </w:tcPr>
          <w:p w14:paraId="6FBE382E">
            <w:pPr>
              <w:adjustRightInd w:val="0"/>
              <w:snapToGrid w:val="0"/>
              <w:spacing w:line="300" w:lineRule="exact"/>
              <w:ind w:left="-128" w:leftChars="-61" w:right="-107" w:rightChars="-51" w:firstLine="128" w:firstLineChars="61"/>
              <w:jc w:val="center"/>
              <w:rPr>
                <w:color w:val="auto"/>
              </w:rPr>
            </w:pPr>
            <w:r>
              <w:rPr>
                <w:color w:val="auto"/>
              </w:rPr>
              <w:t>生态保护措施</w:t>
            </w:r>
          </w:p>
        </w:tc>
        <w:tc>
          <w:tcPr>
            <w:tcW w:w="7547" w:type="dxa"/>
            <w:gridSpan w:val="4"/>
            <w:vAlign w:val="center"/>
          </w:tcPr>
          <w:p w14:paraId="692FC708">
            <w:pPr>
              <w:adjustRightInd w:val="0"/>
              <w:snapToGrid w:val="0"/>
              <w:spacing w:line="300" w:lineRule="exact"/>
              <w:jc w:val="center"/>
              <w:rPr>
                <w:color w:val="auto"/>
              </w:rPr>
            </w:pPr>
            <w:r>
              <w:rPr>
                <w:color w:val="auto"/>
              </w:rPr>
              <w:t>加强绿化</w:t>
            </w:r>
          </w:p>
        </w:tc>
      </w:tr>
      <w:tr w14:paraId="2FCCDC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55" w:type="dxa"/>
            <w:vAlign w:val="center"/>
          </w:tcPr>
          <w:p w14:paraId="19C5CA10">
            <w:pPr>
              <w:adjustRightInd w:val="0"/>
              <w:snapToGrid w:val="0"/>
              <w:spacing w:line="300" w:lineRule="exact"/>
              <w:jc w:val="center"/>
              <w:rPr>
                <w:color w:val="auto"/>
                <w:spacing w:val="-8"/>
              </w:rPr>
            </w:pPr>
            <w:r>
              <w:rPr>
                <w:color w:val="auto"/>
                <w:spacing w:val="-8"/>
              </w:rPr>
              <w:t>环境风险</w:t>
            </w:r>
          </w:p>
          <w:p w14:paraId="6C4A42C6">
            <w:pPr>
              <w:adjustRightInd w:val="0"/>
              <w:snapToGrid w:val="0"/>
              <w:spacing w:line="300" w:lineRule="exact"/>
              <w:jc w:val="center"/>
              <w:rPr>
                <w:color w:val="auto"/>
                <w:spacing w:val="-8"/>
              </w:rPr>
            </w:pPr>
            <w:r>
              <w:rPr>
                <w:color w:val="auto"/>
                <w:spacing w:val="-8"/>
              </w:rPr>
              <w:t>防范措施</w:t>
            </w:r>
          </w:p>
        </w:tc>
        <w:tc>
          <w:tcPr>
            <w:tcW w:w="7547" w:type="dxa"/>
            <w:gridSpan w:val="4"/>
            <w:vAlign w:val="center"/>
          </w:tcPr>
          <w:p w14:paraId="1BE33077">
            <w:pPr>
              <w:spacing w:line="300" w:lineRule="exact"/>
              <w:ind w:firstLine="420" w:firstLineChars="200"/>
              <w:rPr>
                <w:bCs/>
                <w:color w:val="auto"/>
              </w:rPr>
            </w:pPr>
            <w:r>
              <w:rPr>
                <w:bCs/>
                <w:color w:val="auto"/>
              </w:rPr>
              <w:t>①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51087-2012）等规范要求进行设计。</w:t>
            </w:r>
          </w:p>
          <w:p w14:paraId="588BDE6D">
            <w:pPr>
              <w:spacing w:line="300" w:lineRule="exact"/>
              <w:ind w:firstLine="420" w:firstLineChars="200"/>
              <w:rPr>
                <w:bCs/>
                <w:color w:val="auto"/>
              </w:rPr>
            </w:pPr>
            <w:r>
              <w:rPr>
                <w:bCs/>
                <w:color w:val="auto"/>
              </w:rPr>
              <w:t>②配电室的结构、基础应根据水文地理状况进行建设，符合安全规定，预防遭大水淹没，引起电器短路事故。各车间、仓库设立消防水收集管道收集消防废水。</w:t>
            </w:r>
          </w:p>
          <w:p w14:paraId="226AD117">
            <w:pPr>
              <w:spacing w:line="300" w:lineRule="exact"/>
              <w:ind w:firstLine="420" w:firstLineChars="200"/>
              <w:rPr>
                <w:bCs/>
                <w:color w:val="auto"/>
              </w:rPr>
            </w:pPr>
            <w:r>
              <w:rPr>
                <w:bCs/>
                <w:color w:val="auto"/>
              </w:rPr>
              <w:t>③生产装置的供电、供水等公用设施必须加强日常管理，确保满足正常生产和事故状态下的要求。</w:t>
            </w:r>
          </w:p>
          <w:p w14:paraId="19E03212">
            <w:pPr>
              <w:spacing w:line="300" w:lineRule="exact"/>
              <w:ind w:firstLine="420" w:firstLineChars="200"/>
              <w:rPr>
                <w:bCs/>
                <w:color w:val="auto"/>
              </w:rPr>
            </w:pPr>
            <w:r>
              <w:rPr>
                <w:bCs/>
                <w:color w:val="auto"/>
              </w:rPr>
              <w:t>④企业要加强消防安全管理，开展好消防安全检查和消防安全宣传教育，加强消防安全培训，建立健全各项消防安全制度，落实消防安全责任，提高职工的消防素质，按规范配置灭火器材和消防装备。</w:t>
            </w:r>
          </w:p>
          <w:p w14:paraId="4F05341D">
            <w:pPr>
              <w:spacing w:line="300" w:lineRule="exact"/>
              <w:ind w:firstLine="420" w:firstLineChars="200"/>
              <w:rPr>
                <w:bCs/>
                <w:color w:val="auto"/>
              </w:rPr>
            </w:pPr>
            <w:r>
              <w:rPr>
                <w:bCs/>
                <w:color w:val="auto"/>
              </w:rPr>
              <w:t>⑤规范上述风险物质的使用及储存，严格按照安全规范要求组织生产，风险物质所在区域进行重点防渗硬化。</w:t>
            </w:r>
          </w:p>
          <w:p w14:paraId="68E46249">
            <w:pPr>
              <w:spacing w:line="300" w:lineRule="exact"/>
              <w:ind w:firstLine="420" w:firstLineChars="200"/>
              <w:rPr>
                <w:bCs/>
                <w:color w:val="auto"/>
              </w:rPr>
            </w:pPr>
            <w:r>
              <w:rPr>
                <w:bCs/>
                <w:color w:val="auto"/>
              </w:rPr>
              <w:t>⑥为预防事故的发生，应成立应急事故领导小组。</w:t>
            </w:r>
          </w:p>
          <w:p w14:paraId="128593B9">
            <w:pPr>
              <w:spacing w:line="300" w:lineRule="exact"/>
              <w:ind w:firstLine="420" w:firstLineChars="200"/>
              <w:rPr>
                <w:bCs/>
                <w:color w:val="auto"/>
              </w:rPr>
            </w:pPr>
            <w:r>
              <w:rPr>
                <w:bCs/>
                <w:color w:val="auto"/>
              </w:rPr>
              <w:t>⑦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r>
              <w:rPr>
                <w:rFonts w:hint="eastAsia"/>
                <w:bCs/>
                <w:color w:val="auto"/>
                <w:lang w:eastAsia="zh-CN"/>
              </w:rPr>
              <w:t>。</w:t>
            </w:r>
          </w:p>
        </w:tc>
      </w:tr>
      <w:tr w14:paraId="17B66E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3" w:hRule="atLeast"/>
          <w:jc w:val="center"/>
        </w:trPr>
        <w:tc>
          <w:tcPr>
            <w:tcW w:w="1255" w:type="dxa"/>
            <w:vAlign w:val="center"/>
          </w:tcPr>
          <w:p w14:paraId="362E5BC4">
            <w:pPr>
              <w:adjustRightInd w:val="0"/>
              <w:snapToGrid w:val="0"/>
              <w:spacing w:line="300" w:lineRule="exact"/>
              <w:jc w:val="center"/>
              <w:rPr>
                <w:color w:val="auto"/>
                <w:spacing w:val="-8"/>
              </w:rPr>
            </w:pPr>
            <w:r>
              <w:rPr>
                <w:color w:val="auto"/>
                <w:spacing w:val="-8"/>
              </w:rPr>
              <w:t>其他环境</w:t>
            </w:r>
          </w:p>
          <w:p w14:paraId="60E09F55">
            <w:pPr>
              <w:adjustRightInd w:val="0"/>
              <w:snapToGrid w:val="0"/>
              <w:spacing w:line="300" w:lineRule="exact"/>
              <w:jc w:val="center"/>
              <w:rPr>
                <w:color w:val="auto"/>
                <w:spacing w:val="-8"/>
              </w:rPr>
            </w:pPr>
            <w:r>
              <w:rPr>
                <w:color w:val="auto"/>
                <w:spacing w:val="-8"/>
              </w:rPr>
              <w:t>管理要求</w:t>
            </w:r>
          </w:p>
        </w:tc>
        <w:tc>
          <w:tcPr>
            <w:tcW w:w="7547" w:type="dxa"/>
            <w:gridSpan w:val="4"/>
            <w:vAlign w:val="center"/>
          </w:tcPr>
          <w:p w14:paraId="2991F773">
            <w:pPr>
              <w:adjustRightInd w:val="0"/>
              <w:snapToGrid w:val="0"/>
              <w:spacing w:line="300" w:lineRule="exact"/>
              <w:ind w:firstLine="420" w:firstLineChars="200"/>
              <w:rPr>
                <w:color w:val="auto"/>
              </w:rPr>
            </w:pPr>
            <w:r>
              <w:rPr>
                <w:color w:val="auto"/>
              </w:rPr>
              <w:t>①严格按照国家有关建设项目环保管理规定，各类污染物的排放应执行本次环评规定的标准。</w:t>
            </w:r>
          </w:p>
          <w:p w14:paraId="52977E2E">
            <w:pPr>
              <w:adjustRightInd w:val="0"/>
              <w:snapToGrid w:val="0"/>
              <w:spacing w:line="300" w:lineRule="exact"/>
              <w:ind w:firstLine="420" w:firstLineChars="200"/>
              <w:rPr>
                <w:color w:val="auto"/>
              </w:rPr>
            </w:pPr>
            <w:r>
              <w:rPr>
                <w:color w:val="auto"/>
              </w:rPr>
              <w:t>②确保所用原辅材料为符合环保要求的产品。</w:t>
            </w:r>
          </w:p>
          <w:p w14:paraId="3F50A453">
            <w:pPr>
              <w:adjustRightInd w:val="0"/>
              <w:snapToGrid w:val="0"/>
              <w:spacing w:line="300" w:lineRule="exact"/>
              <w:ind w:firstLine="420" w:firstLineChars="200"/>
              <w:rPr>
                <w:color w:val="auto"/>
              </w:rPr>
            </w:pPr>
            <w:r>
              <w:rPr>
                <w:color w:val="auto"/>
              </w:rPr>
              <w:t>③对涉及风险物质设施定期检查，确定其可以长期稳定运行。</w:t>
            </w:r>
          </w:p>
          <w:p w14:paraId="03E4CC69">
            <w:pPr>
              <w:adjustRightInd w:val="0"/>
              <w:snapToGrid w:val="0"/>
              <w:spacing w:line="300" w:lineRule="exact"/>
              <w:ind w:firstLine="420" w:firstLineChars="200"/>
              <w:rPr>
                <w:color w:val="auto"/>
              </w:rPr>
            </w:pPr>
            <w:r>
              <w:rPr>
                <w:color w:val="auto"/>
              </w:rPr>
              <w:t>④加强职工宣传教育，制定环保管理制度并严格执行。</w:t>
            </w:r>
          </w:p>
          <w:p w14:paraId="6536093C">
            <w:pPr>
              <w:adjustRightInd w:val="0"/>
              <w:snapToGrid w:val="0"/>
              <w:spacing w:line="300" w:lineRule="exact"/>
              <w:ind w:firstLine="420" w:firstLineChars="200"/>
              <w:rPr>
                <w:color w:val="auto"/>
              </w:rPr>
            </w:pPr>
            <w:r>
              <w:rPr>
                <w:color w:val="auto"/>
              </w:rPr>
              <w:t>⑤严格按照环评要求进行例行监测。</w:t>
            </w:r>
          </w:p>
          <w:p w14:paraId="0A0C7D0F">
            <w:pPr>
              <w:adjustRightInd w:val="0"/>
              <w:snapToGrid w:val="0"/>
              <w:spacing w:line="240" w:lineRule="exact"/>
              <w:ind w:firstLine="420" w:firstLineChars="200"/>
              <w:rPr>
                <w:color w:val="auto"/>
              </w:rPr>
            </w:pPr>
            <w:r>
              <w:rPr>
                <w:color w:val="auto"/>
              </w:rPr>
              <w:t>⑥本项目</w:t>
            </w:r>
            <w:r>
              <w:rPr>
                <w:rFonts w:hint="eastAsia"/>
                <w:color w:val="auto"/>
                <w:lang w:eastAsia="zh-CN"/>
              </w:rPr>
              <w:t>需填报排污登记申请表，取得排污登记回执</w:t>
            </w:r>
            <w:r>
              <w:rPr>
                <w:color w:val="auto"/>
              </w:rPr>
              <w:t>。</w:t>
            </w:r>
          </w:p>
          <w:p w14:paraId="62C88265">
            <w:pPr>
              <w:adjustRightInd w:val="0"/>
              <w:snapToGrid w:val="0"/>
              <w:spacing w:line="300" w:lineRule="exact"/>
              <w:ind w:firstLine="420" w:firstLineChars="200"/>
              <w:rPr>
                <w:color w:val="auto"/>
              </w:rPr>
            </w:pPr>
            <w:r>
              <w:rPr>
                <w:color w:val="auto"/>
              </w:rPr>
              <w:t>⑦严格执行环保“三同时”制度，确保各项环保措施落实到位，企业运用后需自行开展环境保护竣工验收，验收时环保设施处理效果及相关管理参数不得低于环评中相关参数要求</w:t>
            </w:r>
            <w:r>
              <w:rPr>
                <w:rFonts w:hint="eastAsia"/>
                <w:color w:val="auto"/>
              </w:rPr>
              <w:t>。</w:t>
            </w:r>
          </w:p>
          <w:p w14:paraId="79B9910D">
            <w:pPr>
              <w:adjustRightInd w:val="0"/>
              <w:snapToGrid w:val="0"/>
              <w:spacing w:line="300" w:lineRule="exact"/>
              <w:ind w:firstLine="420" w:firstLineChars="200"/>
              <w:rPr>
                <w:color w:val="auto"/>
              </w:rPr>
            </w:pPr>
            <w:r>
              <w:rPr>
                <w:rFonts w:hint="eastAsia" w:ascii="宋体" w:hAnsi="宋体" w:cs="宋体"/>
                <w:color w:val="auto"/>
              </w:rPr>
              <w:t>⑧</w:t>
            </w:r>
            <w:r>
              <w:rPr>
                <w:color w:val="auto"/>
              </w:rPr>
              <w:t>根据</w:t>
            </w:r>
            <w:r>
              <w:rPr>
                <w:rFonts w:hint="eastAsia"/>
                <w:color w:val="auto"/>
                <w:lang w:eastAsia="zh-CN"/>
              </w:rPr>
              <w:t>《</w:t>
            </w:r>
            <w:r>
              <w:rPr>
                <w:rFonts w:hint="eastAsia"/>
                <w:color w:val="auto"/>
              </w:rPr>
              <w:t>排污单位自行监测技术指南 总则</w:t>
            </w:r>
            <w:r>
              <w:rPr>
                <w:rFonts w:hint="eastAsia"/>
                <w:color w:val="auto"/>
                <w:lang w:eastAsia="zh-CN"/>
              </w:rPr>
              <w:t>》（</w:t>
            </w:r>
            <w:r>
              <w:rPr>
                <w:rFonts w:hint="eastAsia"/>
                <w:color w:val="auto"/>
              </w:rPr>
              <w:t>HJ 819-2017</w:t>
            </w:r>
            <w:r>
              <w:rPr>
                <w:rFonts w:hint="eastAsia"/>
                <w:color w:val="auto"/>
                <w:lang w:eastAsia="zh-CN"/>
              </w:rPr>
              <w:t>）</w:t>
            </w:r>
            <w:r>
              <w:rPr>
                <w:color w:val="auto"/>
              </w:rPr>
              <w:t>的要求，针对拟建项目所排污染物情况，设置监测计划，按照《固定污染源排气中颗粒物测定与气态污染物采样方法》（GBT 16157-1996）的要求规范采样平台和采样点设置。</w:t>
            </w:r>
          </w:p>
        </w:tc>
      </w:tr>
    </w:tbl>
    <w:p w14:paraId="277DC61E">
      <w:pPr>
        <w:pStyle w:val="77"/>
        <w:spacing w:line="420" w:lineRule="exact"/>
        <w:jc w:val="center"/>
        <w:outlineLvl w:val="0"/>
        <w:rPr>
          <w:rFonts w:ascii="Times New Roman" w:hAnsi="Times New Roman" w:eastAsia="黑体"/>
          <w:snapToGrid w:val="0"/>
          <w:color w:val="auto"/>
          <w:sz w:val="30"/>
          <w:szCs w:val="30"/>
        </w:rPr>
      </w:pPr>
      <w:r>
        <w:rPr>
          <w:rFonts w:ascii="Times New Roman" w:hAnsi="Times New Roman"/>
          <w:snapToGrid w:val="0"/>
          <w:color w:val="FF0000"/>
        </w:rPr>
        <w:br w:type="page"/>
      </w:r>
      <w:r>
        <w:rPr>
          <w:rFonts w:ascii="Times New Roman" w:hAnsi="Times New Roman" w:eastAsia="黑体"/>
          <w:snapToGrid w:val="0"/>
          <w:color w:val="auto"/>
          <w:sz w:val="30"/>
          <w:szCs w:val="30"/>
        </w:rPr>
        <w:t>六、结论</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AC48B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6A7FC583">
            <w:pPr>
              <w:adjustRightInd w:val="0"/>
              <w:snapToGrid w:val="0"/>
              <w:spacing w:line="420" w:lineRule="exact"/>
              <w:ind w:firstLine="420" w:firstLineChars="200"/>
              <w:rPr>
                <w:color w:val="auto"/>
              </w:rPr>
            </w:pPr>
            <w:r>
              <w:rPr>
                <w:color w:val="auto"/>
              </w:rPr>
              <w:t>本项目符合国家产业政策的要求。项目区内的污染物可达标排放；在认真落实各项污染防治措施下，对周围环境影响较小，从环保角度上讲，本项目的建设运营是可行的。</w:t>
            </w:r>
          </w:p>
        </w:tc>
      </w:tr>
    </w:tbl>
    <w:p w14:paraId="3BA5401F">
      <w:pPr>
        <w:spacing w:line="420" w:lineRule="exact"/>
        <w:rPr>
          <w:color w:val="FF0000"/>
        </w:rPr>
        <w:sectPr>
          <w:pgSz w:w="11906" w:h="16838"/>
          <w:pgMar w:top="1701" w:right="1531" w:bottom="1701" w:left="1531" w:header="851" w:footer="1304" w:gutter="0"/>
          <w:cols w:space="720" w:num="1"/>
          <w:docGrid w:linePitch="312" w:charSpace="0"/>
        </w:sectPr>
      </w:pPr>
    </w:p>
    <w:p w14:paraId="484FD396">
      <w:pPr>
        <w:pStyle w:val="77"/>
        <w:adjustRightInd w:val="0"/>
        <w:snapToGrid w:val="0"/>
        <w:spacing w:before="0" w:beforeAutospacing="0" w:after="0" w:afterAutospacing="0" w:line="420" w:lineRule="exact"/>
        <w:outlineLvl w:val="0"/>
        <w:rPr>
          <w:rFonts w:ascii="Times New Roman" w:hAnsi="Times New Roman" w:eastAsia="黑体"/>
          <w:snapToGrid w:val="0"/>
          <w:color w:val="auto"/>
          <w:sz w:val="32"/>
          <w:szCs w:val="32"/>
          <w:highlight w:val="none"/>
        </w:rPr>
      </w:pPr>
      <w:r>
        <w:rPr>
          <w:rFonts w:ascii="Times New Roman" w:hAnsi="Times New Roman" w:eastAsia="黑体"/>
          <w:snapToGrid w:val="0"/>
          <w:color w:val="auto"/>
          <w:sz w:val="32"/>
          <w:szCs w:val="32"/>
          <w:highlight w:val="none"/>
        </w:rPr>
        <w:t>附表</w:t>
      </w:r>
    </w:p>
    <w:p w14:paraId="06B0235B">
      <w:pPr>
        <w:pStyle w:val="77"/>
        <w:adjustRightInd w:val="0"/>
        <w:snapToGrid w:val="0"/>
        <w:spacing w:before="0" w:beforeAutospacing="0" w:after="0" w:afterAutospacing="0" w:line="420" w:lineRule="exact"/>
        <w:jc w:val="center"/>
        <w:outlineLvl w:val="0"/>
        <w:rPr>
          <w:rFonts w:ascii="Times New Roman" w:hAnsi="Times New Roman" w:eastAsia="方正小标宋_GBK"/>
          <w:snapToGrid w:val="0"/>
          <w:color w:val="auto"/>
          <w:sz w:val="38"/>
          <w:szCs w:val="38"/>
          <w:highlight w:val="none"/>
        </w:rPr>
      </w:pPr>
      <w:r>
        <w:rPr>
          <w:rFonts w:ascii="Times New Roman" w:hAnsi="Times New Roman" w:eastAsia="方正小标宋_GBK"/>
          <w:snapToGrid w:val="0"/>
          <w:color w:val="auto"/>
          <w:sz w:val="38"/>
          <w:szCs w:val="38"/>
          <w:highlight w:val="none"/>
        </w:rPr>
        <w:t>建设项目污染物排放量汇总表</w:t>
      </w:r>
      <w:r>
        <w:rPr>
          <w:rFonts w:hint="eastAsia" w:ascii="方正小标宋_GBK" w:hAnsi="黑体" w:eastAsia="方正小标宋_GBK"/>
          <w:snapToGrid w:val="0"/>
          <w:color w:val="auto"/>
          <w:sz w:val="38"/>
          <w:szCs w:val="38"/>
          <w:highlight w:val="none"/>
        </w:rPr>
        <w:t>（单位：t/a）</w:t>
      </w:r>
    </w:p>
    <w:tbl>
      <w:tblPr>
        <w:tblStyle w:val="8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418"/>
        <w:gridCol w:w="1701"/>
        <w:gridCol w:w="1427"/>
      </w:tblGrid>
      <w:tr w14:paraId="4274CD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0C3E36DE">
            <w:pPr>
              <w:pStyle w:val="200"/>
              <w:spacing w:beforeLines="0" w:afterLines="0" w:line="420" w:lineRule="exact"/>
              <w:jc w:val="righ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项目</w:t>
            </w:r>
          </w:p>
          <w:p w14:paraId="057BA47D">
            <w:pPr>
              <w:pStyle w:val="200"/>
              <w:spacing w:beforeLines="0" w:afterLines="0" w:line="420" w:lineRule="exact"/>
              <w:jc w:val="lef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分类</w:t>
            </w:r>
          </w:p>
        </w:tc>
        <w:tc>
          <w:tcPr>
            <w:tcW w:w="1417" w:type="dxa"/>
            <w:tcMar>
              <w:left w:w="28" w:type="dxa"/>
              <w:right w:w="28" w:type="dxa"/>
            </w:tcMar>
            <w:vAlign w:val="center"/>
          </w:tcPr>
          <w:p w14:paraId="535991B1">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污染物名称</w:t>
            </w:r>
          </w:p>
        </w:tc>
        <w:tc>
          <w:tcPr>
            <w:tcW w:w="1701" w:type="dxa"/>
            <w:tcMar>
              <w:left w:w="28" w:type="dxa"/>
              <w:right w:w="28" w:type="dxa"/>
            </w:tcMar>
            <w:vAlign w:val="center"/>
          </w:tcPr>
          <w:p w14:paraId="381EB4BB">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现有工程</w:t>
            </w:r>
          </w:p>
          <w:p w14:paraId="1F6EF1F4">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排放量（固体废物产生量）</w:t>
            </w: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1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①</w:t>
            </w:r>
            <w:r>
              <w:rPr>
                <w:rFonts w:ascii="Times New Roman" w:eastAsia="黑体"/>
                <w:snapToGrid w:val="0"/>
                <w:color w:val="auto"/>
                <w:spacing w:val="-6"/>
                <w:kern w:val="21"/>
                <w:szCs w:val="21"/>
                <w:highlight w:val="none"/>
              </w:rPr>
              <w:fldChar w:fldCharType="end"/>
            </w:r>
          </w:p>
        </w:tc>
        <w:tc>
          <w:tcPr>
            <w:tcW w:w="1276" w:type="dxa"/>
            <w:tcMar>
              <w:left w:w="28" w:type="dxa"/>
              <w:right w:w="28" w:type="dxa"/>
            </w:tcMar>
            <w:vAlign w:val="center"/>
          </w:tcPr>
          <w:p w14:paraId="303A0E5F">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现有工程</w:t>
            </w:r>
          </w:p>
          <w:p w14:paraId="2FC4F568">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许可排放量</w:t>
            </w:r>
          </w:p>
          <w:p w14:paraId="0067AA62">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2 \* GB3 \* MERGEFORMAT </w:instrText>
            </w:r>
            <w:r>
              <w:rPr>
                <w:rFonts w:ascii="Times New Roman" w:eastAsia="黑体"/>
                <w:snapToGrid w:val="0"/>
                <w:color w:val="auto"/>
                <w:spacing w:val="-6"/>
                <w:kern w:val="21"/>
                <w:szCs w:val="21"/>
                <w:highlight w:val="none"/>
              </w:rPr>
              <w:fldChar w:fldCharType="separate"/>
            </w:r>
            <w:r>
              <w:rPr>
                <w:rFonts w:ascii="Times New Roman" w:eastAsia="黑体"/>
                <w:snapToGrid w:val="0"/>
                <w:color w:val="auto"/>
                <w:spacing w:val="-6"/>
                <w:kern w:val="21"/>
                <w:szCs w:val="21"/>
                <w:highlight w:val="none"/>
              </w:rPr>
              <w:t>②</w:t>
            </w:r>
            <w:r>
              <w:rPr>
                <w:rFonts w:ascii="Times New Roman" w:eastAsia="黑体"/>
                <w:snapToGrid w:val="0"/>
                <w:color w:val="auto"/>
                <w:spacing w:val="-6"/>
                <w:kern w:val="21"/>
                <w:szCs w:val="21"/>
                <w:highlight w:val="none"/>
              </w:rPr>
              <w:fldChar w:fldCharType="end"/>
            </w:r>
          </w:p>
        </w:tc>
        <w:tc>
          <w:tcPr>
            <w:tcW w:w="1701" w:type="dxa"/>
            <w:tcMar>
              <w:left w:w="28" w:type="dxa"/>
              <w:right w:w="28" w:type="dxa"/>
            </w:tcMar>
            <w:vAlign w:val="center"/>
          </w:tcPr>
          <w:p w14:paraId="5DF82AE6">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在建工程</w:t>
            </w:r>
          </w:p>
          <w:p w14:paraId="63098B14">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排放量（固体废物产生量）</w:t>
            </w: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3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③</w:t>
            </w:r>
            <w:r>
              <w:rPr>
                <w:rFonts w:ascii="Times New Roman" w:eastAsia="黑体"/>
                <w:snapToGrid w:val="0"/>
                <w:color w:val="auto"/>
                <w:spacing w:val="-6"/>
                <w:kern w:val="21"/>
                <w:szCs w:val="21"/>
                <w:highlight w:val="none"/>
              </w:rPr>
              <w:fldChar w:fldCharType="end"/>
            </w:r>
          </w:p>
        </w:tc>
        <w:tc>
          <w:tcPr>
            <w:tcW w:w="1559" w:type="dxa"/>
            <w:tcMar>
              <w:left w:w="28" w:type="dxa"/>
              <w:right w:w="28" w:type="dxa"/>
            </w:tcMar>
            <w:vAlign w:val="center"/>
          </w:tcPr>
          <w:p w14:paraId="184743D5">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本项目</w:t>
            </w:r>
          </w:p>
          <w:p w14:paraId="7F8CFF50">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排放量（固体废物产生量）</w:t>
            </w: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4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④</w:t>
            </w:r>
            <w:r>
              <w:rPr>
                <w:rFonts w:ascii="Times New Roman" w:eastAsia="黑体"/>
                <w:snapToGrid w:val="0"/>
                <w:color w:val="auto"/>
                <w:spacing w:val="-6"/>
                <w:kern w:val="21"/>
                <w:szCs w:val="21"/>
                <w:highlight w:val="none"/>
              </w:rPr>
              <w:fldChar w:fldCharType="end"/>
            </w:r>
          </w:p>
        </w:tc>
        <w:tc>
          <w:tcPr>
            <w:tcW w:w="1418" w:type="dxa"/>
            <w:tcMar>
              <w:left w:w="28" w:type="dxa"/>
              <w:right w:w="28" w:type="dxa"/>
            </w:tcMar>
            <w:vAlign w:val="center"/>
          </w:tcPr>
          <w:p w14:paraId="1E5C322F">
            <w:pPr>
              <w:pStyle w:val="200"/>
              <w:spacing w:beforeLines="0" w:afterLines="0" w:line="420" w:lineRule="exact"/>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以新带老削减量</w:t>
            </w:r>
          </w:p>
          <w:p w14:paraId="734FCAC7">
            <w:pPr>
              <w:pStyle w:val="200"/>
              <w:spacing w:beforeLines="0" w:afterLines="0" w:line="420" w:lineRule="exact"/>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（新建项目不填）</w:t>
            </w:r>
            <w:r>
              <w:rPr>
                <w:rFonts w:ascii="Times New Roman" w:eastAsia="黑体"/>
                <w:snapToGrid w:val="0"/>
                <w:color w:val="auto"/>
                <w:spacing w:val="-16"/>
                <w:kern w:val="21"/>
                <w:szCs w:val="21"/>
                <w:highlight w:val="none"/>
              </w:rPr>
              <w:fldChar w:fldCharType="begin"/>
            </w:r>
            <w:r>
              <w:rPr>
                <w:rFonts w:ascii="Times New Roman" w:eastAsia="黑体"/>
                <w:snapToGrid w:val="0"/>
                <w:color w:val="auto"/>
                <w:spacing w:val="-16"/>
                <w:kern w:val="21"/>
                <w:szCs w:val="21"/>
                <w:highlight w:val="none"/>
              </w:rPr>
              <w:instrText xml:space="preserve"> = 5 \* GB3 \* MERGEFORMAT </w:instrText>
            </w:r>
            <w:r>
              <w:rPr>
                <w:rFonts w:ascii="Times New Roman" w:eastAsia="黑体"/>
                <w:snapToGrid w:val="0"/>
                <w:color w:val="auto"/>
                <w:spacing w:val="-16"/>
                <w:kern w:val="21"/>
                <w:szCs w:val="21"/>
                <w:highlight w:val="none"/>
              </w:rPr>
              <w:fldChar w:fldCharType="separate"/>
            </w:r>
            <w:r>
              <w:rPr>
                <w:rFonts w:ascii="Times New Roman" w:eastAsia="黑体"/>
                <w:color w:val="auto"/>
                <w:kern w:val="2"/>
                <w:szCs w:val="21"/>
                <w:highlight w:val="none"/>
              </w:rPr>
              <w:t>⑤</w:t>
            </w:r>
            <w:r>
              <w:rPr>
                <w:rFonts w:ascii="Times New Roman" w:eastAsia="黑体"/>
                <w:snapToGrid w:val="0"/>
                <w:color w:val="auto"/>
                <w:spacing w:val="-16"/>
                <w:kern w:val="21"/>
                <w:szCs w:val="21"/>
                <w:highlight w:val="none"/>
              </w:rPr>
              <w:fldChar w:fldCharType="end"/>
            </w:r>
          </w:p>
        </w:tc>
        <w:tc>
          <w:tcPr>
            <w:tcW w:w="1701" w:type="dxa"/>
            <w:tcMar>
              <w:left w:w="28" w:type="dxa"/>
              <w:right w:w="28" w:type="dxa"/>
            </w:tcMar>
            <w:vAlign w:val="center"/>
          </w:tcPr>
          <w:p w14:paraId="41C28EFB">
            <w:pPr>
              <w:pStyle w:val="200"/>
              <w:spacing w:beforeLines="0" w:afterLines="0" w:line="420" w:lineRule="exact"/>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本项目建成后</w:t>
            </w:r>
          </w:p>
          <w:p w14:paraId="430F7D90">
            <w:pPr>
              <w:pStyle w:val="200"/>
              <w:spacing w:beforeLines="0" w:afterLines="0" w:line="420" w:lineRule="exact"/>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全厂排放量（固体废物产生量）</w:t>
            </w:r>
            <w:r>
              <w:rPr>
                <w:rFonts w:ascii="Times New Roman" w:eastAsia="黑体"/>
                <w:snapToGrid w:val="0"/>
                <w:color w:val="auto"/>
                <w:spacing w:val="-16"/>
                <w:kern w:val="21"/>
                <w:szCs w:val="21"/>
                <w:highlight w:val="none"/>
              </w:rPr>
              <w:fldChar w:fldCharType="begin"/>
            </w:r>
            <w:r>
              <w:rPr>
                <w:rFonts w:ascii="Times New Roman" w:eastAsia="黑体"/>
                <w:snapToGrid w:val="0"/>
                <w:color w:val="auto"/>
                <w:spacing w:val="-16"/>
                <w:kern w:val="21"/>
                <w:szCs w:val="21"/>
                <w:highlight w:val="none"/>
              </w:rPr>
              <w:instrText xml:space="preserve"> = 6 \* GB3 \* MERGEFORMAT </w:instrText>
            </w:r>
            <w:r>
              <w:rPr>
                <w:rFonts w:ascii="Times New Roman" w:eastAsia="黑体"/>
                <w:snapToGrid w:val="0"/>
                <w:color w:val="auto"/>
                <w:spacing w:val="-16"/>
                <w:kern w:val="21"/>
                <w:szCs w:val="21"/>
                <w:highlight w:val="none"/>
              </w:rPr>
              <w:fldChar w:fldCharType="separate"/>
            </w:r>
            <w:r>
              <w:rPr>
                <w:rFonts w:ascii="Times New Roman" w:eastAsia="黑体"/>
                <w:color w:val="auto"/>
                <w:kern w:val="2"/>
                <w:szCs w:val="21"/>
                <w:highlight w:val="none"/>
              </w:rPr>
              <w:t>⑥</w:t>
            </w:r>
            <w:r>
              <w:rPr>
                <w:rFonts w:ascii="Times New Roman" w:eastAsia="黑体"/>
                <w:snapToGrid w:val="0"/>
                <w:color w:val="auto"/>
                <w:spacing w:val="-16"/>
                <w:kern w:val="21"/>
                <w:szCs w:val="21"/>
                <w:highlight w:val="none"/>
              </w:rPr>
              <w:fldChar w:fldCharType="end"/>
            </w:r>
          </w:p>
        </w:tc>
        <w:tc>
          <w:tcPr>
            <w:tcW w:w="1427" w:type="dxa"/>
            <w:tcMar>
              <w:left w:w="28" w:type="dxa"/>
              <w:right w:w="28" w:type="dxa"/>
            </w:tcMar>
            <w:vAlign w:val="center"/>
          </w:tcPr>
          <w:p w14:paraId="5054D519">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变化量</w:t>
            </w:r>
          </w:p>
          <w:p w14:paraId="7D3E24B2">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7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⑦</w:t>
            </w:r>
            <w:r>
              <w:rPr>
                <w:rFonts w:ascii="Times New Roman" w:eastAsia="黑体"/>
                <w:snapToGrid w:val="0"/>
                <w:color w:val="auto"/>
                <w:spacing w:val="-6"/>
                <w:kern w:val="21"/>
                <w:szCs w:val="21"/>
                <w:highlight w:val="none"/>
              </w:rPr>
              <w:fldChar w:fldCharType="end"/>
            </w:r>
          </w:p>
        </w:tc>
      </w:tr>
      <w:tr w14:paraId="6CFC83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6BFF5CB">
            <w:pPr>
              <w:pStyle w:val="200"/>
              <w:spacing w:beforeLines="0" w:afterLines="0" w:line="420" w:lineRule="exact"/>
              <w:rPr>
                <w:rFonts w:ascii="Times New Roman"/>
                <w:snapToGrid w:val="0"/>
                <w:color w:val="auto"/>
                <w:kern w:val="21"/>
                <w:szCs w:val="21"/>
                <w:highlight w:val="none"/>
              </w:rPr>
            </w:pPr>
            <w:r>
              <w:rPr>
                <w:rFonts w:ascii="Times New Roman"/>
                <w:snapToGrid w:val="0"/>
                <w:color w:val="auto"/>
                <w:kern w:val="21"/>
                <w:szCs w:val="21"/>
                <w:highlight w:val="none"/>
              </w:rPr>
              <w:t>废气</w:t>
            </w:r>
          </w:p>
        </w:tc>
        <w:tc>
          <w:tcPr>
            <w:tcW w:w="1417" w:type="dxa"/>
            <w:vAlign w:val="center"/>
          </w:tcPr>
          <w:p w14:paraId="1D68E036">
            <w:pPr>
              <w:pStyle w:val="200"/>
              <w:spacing w:beforeLines="0" w:afterLines="0" w:line="420" w:lineRule="exact"/>
              <w:rPr>
                <w:rFonts w:ascii="Times New Roman"/>
                <w:snapToGrid w:val="0"/>
                <w:color w:val="auto"/>
                <w:kern w:val="21"/>
                <w:sz w:val="21"/>
                <w:szCs w:val="21"/>
                <w:highlight w:val="none"/>
              </w:rPr>
            </w:pPr>
            <w:r>
              <w:rPr>
                <w:rFonts w:ascii="Times New Roman"/>
                <w:snapToGrid w:val="0"/>
                <w:color w:val="auto"/>
                <w:kern w:val="21"/>
                <w:sz w:val="21"/>
                <w:szCs w:val="21"/>
                <w:highlight w:val="none"/>
              </w:rPr>
              <w:t>颗粒物</w:t>
            </w:r>
          </w:p>
        </w:tc>
        <w:tc>
          <w:tcPr>
            <w:tcW w:w="1701" w:type="dxa"/>
            <w:vAlign w:val="center"/>
          </w:tcPr>
          <w:p w14:paraId="312C33AA">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276" w:type="dxa"/>
            <w:vAlign w:val="center"/>
          </w:tcPr>
          <w:p w14:paraId="693C7B68">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5709F8AC">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vAlign w:val="center"/>
          </w:tcPr>
          <w:p w14:paraId="498CBA96">
            <w:pPr>
              <w:pStyle w:val="200"/>
              <w:spacing w:beforeLines="0" w:afterLines="0" w:line="420" w:lineRule="exact"/>
              <w:rPr>
                <w:rFonts w:hint="default"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0.016</w:t>
            </w:r>
          </w:p>
        </w:tc>
        <w:tc>
          <w:tcPr>
            <w:tcW w:w="1418" w:type="dxa"/>
            <w:vAlign w:val="center"/>
          </w:tcPr>
          <w:p w14:paraId="44EA9396">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3B2D1714">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0.016</w:t>
            </w:r>
          </w:p>
        </w:tc>
        <w:tc>
          <w:tcPr>
            <w:tcW w:w="1427" w:type="dxa"/>
            <w:shd w:val="clear" w:color="auto" w:fill="auto"/>
            <w:vAlign w:val="center"/>
          </w:tcPr>
          <w:p w14:paraId="6894B245">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0.016</w:t>
            </w:r>
          </w:p>
        </w:tc>
      </w:tr>
      <w:tr w14:paraId="126306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BD9AB45">
            <w:pPr>
              <w:pStyle w:val="200"/>
              <w:spacing w:beforeLines="0" w:afterLines="0" w:line="420" w:lineRule="exact"/>
              <w:rPr>
                <w:rFonts w:ascii="Times New Roman"/>
                <w:snapToGrid w:val="0"/>
                <w:color w:val="auto"/>
                <w:kern w:val="21"/>
                <w:szCs w:val="21"/>
                <w:highlight w:val="none"/>
              </w:rPr>
            </w:pPr>
          </w:p>
        </w:tc>
        <w:tc>
          <w:tcPr>
            <w:tcW w:w="1417" w:type="dxa"/>
            <w:vAlign w:val="center"/>
          </w:tcPr>
          <w:p w14:paraId="478D90D1">
            <w:pPr>
              <w:pStyle w:val="200"/>
              <w:spacing w:beforeLines="0" w:afterLines="0" w:line="420" w:lineRule="exact"/>
              <w:rPr>
                <w:rFonts w:hint="default"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VOCs</w:t>
            </w:r>
          </w:p>
        </w:tc>
        <w:tc>
          <w:tcPr>
            <w:tcW w:w="1701" w:type="dxa"/>
            <w:vAlign w:val="center"/>
          </w:tcPr>
          <w:p w14:paraId="7DD467DF">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276" w:type="dxa"/>
            <w:vAlign w:val="center"/>
          </w:tcPr>
          <w:p w14:paraId="545A229D">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68BDF5AD">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vAlign w:val="center"/>
          </w:tcPr>
          <w:p w14:paraId="3D0F5D2B">
            <w:pPr>
              <w:spacing w:line="420" w:lineRule="exact"/>
              <w:jc w:val="center"/>
              <w:rPr>
                <w:rFonts w:hint="default"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0.02</w:t>
            </w:r>
          </w:p>
        </w:tc>
        <w:tc>
          <w:tcPr>
            <w:tcW w:w="1418" w:type="dxa"/>
            <w:vAlign w:val="center"/>
          </w:tcPr>
          <w:p w14:paraId="62862D93">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43614662">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0.02</w:t>
            </w:r>
          </w:p>
        </w:tc>
        <w:tc>
          <w:tcPr>
            <w:tcW w:w="1427" w:type="dxa"/>
            <w:shd w:val="clear" w:color="auto" w:fill="auto"/>
            <w:vAlign w:val="center"/>
          </w:tcPr>
          <w:p w14:paraId="5B12E4C7">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0.02</w:t>
            </w:r>
          </w:p>
        </w:tc>
      </w:tr>
      <w:tr w14:paraId="44510B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1A055E3">
            <w:pPr>
              <w:pStyle w:val="200"/>
              <w:spacing w:beforeLines="0" w:afterLines="0" w:line="420" w:lineRule="exact"/>
              <w:rPr>
                <w:rFonts w:ascii="Times New Roman"/>
                <w:snapToGrid w:val="0"/>
                <w:color w:val="auto"/>
                <w:kern w:val="21"/>
                <w:szCs w:val="21"/>
                <w:highlight w:val="none"/>
              </w:rPr>
            </w:pPr>
          </w:p>
        </w:tc>
        <w:tc>
          <w:tcPr>
            <w:tcW w:w="1417" w:type="dxa"/>
            <w:vAlign w:val="center"/>
          </w:tcPr>
          <w:p w14:paraId="67605701">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甲醛</w:t>
            </w:r>
          </w:p>
        </w:tc>
        <w:tc>
          <w:tcPr>
            <w:tcW w:w="1701" w:type="dxa"/>
            <w:vAlign w:val="center"/>
          </w:tcPr>
          <w:p w14:paraId="2C3B082B">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276" w:type="dxa"/>
            <w:vAlign w:val="center"/>
          </w:tcPr>
          <w:p w14:paraId="6D51DFFE">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3355209D">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vAlign w:val="center"/>
          </w:tcPr>
          <w:p w14:paraId="1BF6DA54">
            <w:pPr>
              <w:spacing w:line="420" w:lineRule="exact"/>
              <w:jc w:val="center"/>
              <w:rPr>
                <w:rFonts w:hint="default"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0.007</w:t>
            </w:r>
          </w:p>
        </w:tc>
        <w:tc>
          <w:tcPr>
            <w:tcW w:w="1418" w:type="dxa"/>
            <w:vAlign w:val="center"/>
          </w:tcPr>
          <w:p w14:paraId="66EABF6E">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3BDAC559">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0.007</w:t>
            </w:r>
          </w:p>
        </w:tc>
        <w:tc>
          <w:tcPr>
            <w:tcW w:w="1427" w:type="dxa"/>
            <w:shd w:val="clear" w:color="auto" w:fill="auto"/>
            <w:vAlign w:val="center"/>
          </w:tcPr>
          <w:p w14:paraId="20B26CEB">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0.007</w:t>
            </w:r>
          </w:p>
        </w:tc>
      </w:tr>
      <w:tr w14:paraId="3754A9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C736BC2">
            <w:pPr>
              <w:pStyle w:val="200"/>
              <w:spacing w:beforeLines="0" w:afterLines="0" w:line="420" w:lineRule="exact"/>
              <w:rPr>
                <w:rFonts w:ascii="Times New Roman"/>
                <w:snapToGrid w:val="0"/>
                <w:color w:val="auto"/>
                <w:kern w:val="21"/>
                <w:szCs w:val="21"/>
                <w:highlight w:val="none"/>
              </w:rPr>
            </w:pPr>
          </w:p>
        </w:tc>
        <w:tc>
          <w:tcPr>
            <w:tcW w:w="1417" w:type="dxa"/>
            <w:vAlign w:val="center"/>
          </w:tcPr>
          <w:p w14:paraId="2263CA58">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苯酚</w:t>
            </w:r>
          </w:p>
        </w:tc>
        <w:tc>
          <w:tcPr>
            <w:tcW w:w="1701" w:type="dxa"/>
            <w:vAlign w:val="center"/>
          </w:tcPr>
          <w:p w14:paraId="4548E289">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276" w:type="dxa"/>
            <w:vAlign w:val="center"/>
          </w:tcPr>
          <w:p w14:paraId="09F9E3C0">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3BAF3101">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vAlign w:val="center"/>
          </w:tcPr>
          <w:p w14:paraId="14C4EB08">
            <w:pPr>
              <w:spacing w:line="420" w:lineRule="exact"/>
              <w:jc w:val="center"/>
              <w:rPr>
                <w:rFonts w:hint="default"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0.009</w:t>
            </w:r>
          </w:p>
        </w:tc>
        <w:tc>
          <w:tcPr>
            <w:tcW w:w="1418" w:type="dxa"/>
            <w:vAlign w:val="center"/>
          </w:tcPr>
          <w:p w14:paraId="508B515F">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3F45BABA">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0.009</w:t>
            </w:r>
          </w:p>
        </w:tc>
        <w:tc>
          <w:tcPr>
            <w:tcW w:w="1427" w:type="dxa"/>
            <w:shd w:val="clear" w:color="auto" w:fill="auto"/>
            <w:vAlign w:val="center"/>
          </w:tcPr>
          <w:p w14:paraId="2F99635A">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 w:val="21"/>
                <w:szCs w:val="21"/>
                <w:highlight w:val="none"/>
                <w:lang w:val="en-US" w:eastAsia="zh-CN"/>
              </w:rPr>
              <w:t>0.009</w:t>
            </w:r>
          </w:p>
        </w:tc>
      </w:tr>
      <w:tr w14:paraId="2308D8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60DA6A9C">
            <w:pPr>
              <w:pStyle w:val="200"/>
              <w:spacing w:beforeLines="0" w:afterLines="0" w:line="420" w:lineRule="exact"/>
              <w:rPr>
                <w:rFonts w:ascii="Times New Roman"/>
                <w:snapToGrid w:val="0"/>
                <w:color w:val="auto"/>
                <w:kern w:val="21"/>
                <w:szCs w:val="21"/>
                <w:highlight w:val="none"/>
              </w:rPr>
            </w:pPr>
            <w:r>
              <w:rPr>
                <w:rFonts w:ascii="Times New Roman"/>
                <w:snapToGrid w:val="0"/>
                <w:color w:val="auto"/>
                <w:kern w:val="21"/>
                <w:szCs w:val="21"/>
                <w:highlight w:val="none"/>
              </w:rPr>
              <w:t>废水</w:t>
            </w:r>
          </w:p>
        </w:tc>
        <w:tc>
          <w:tcPr>
            <w:tcW w:w="1417" w:type="dxa"/>
            <w:vAlign w:val="center"/>
          </w:tcPr>
          <w:p w14:paraId="51D0BACF">
            <w:pPr>
              <w:pStyle w:val="200"/>
              <w:spacing w:beforeLines="0" w:afterLines="0" w:line="420" w:lineRule="exact"/>
              <w:rPr>
                <w:rFonts w:ascii="Times New Roman"/>
                <w:snapToGrid w:val="0"/>
                <w:color w:val="auto"/>
                <w:kern w:val="21"/>
                <w:sz w:val="21"/>
                <w:szCs w:val="21"/>
                <w:highlight w:val="none"/>
              </w:rPr>
            </w:pPr>
            <w:r>
              <w:rPr>
                <w:rFonts w:ascii="Times New Roman"/>
                <w:snapToGrid w:val="0"/>
                <w:color w:val="auto"/>
                <w:kern w:val="21"/>
                <w:sz w:val="21"/>
                <w:szCs w:val="21"/>
                <w:highlight w:val="none"/>
              </w:rPr>
              <w:t>COD</w:t>
            </w:r>
          </w:p>
        </w:tc>
        <w:tc>
          <w:tcPr>
            <w:tcW w:w="1701" w:type="dxa"/>
            <w:vAlign w:val="center"/>
          </w:tcPr>
          <w:p w14:paraId="5FFC0185">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276" w:type="dxa"/>
            <w:vAlign w:val="center"/>
          </w:tcPr>
          <w:p w14:paraId="62072C05">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701" w:type="dxa"/>
            <w:vAlign w:val="center"/>
          </w:tcPr>
          <w:p w14:paraId="4D589A94">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559" w:type="dxa"/>
            <w:vAlign w:val="center"/>
          </w:tcPr>
          <w:p w14:paraId="275C53B9">
            <w:pPr>
              <w:spacing w:line="420" w:lineRule="exact"/>
              <w:jc w:val="center"/>
              <w:rPr>
                <w:snapToGrid w:val="0"/>
                <w:color w:val="auto"/>
                <w:kern w:val="21"/>
                <w:sz w:val="21"/>
                <w:szCs w:val="21"/>
                <w:highlight w:val="none"/>
              </w:rPr>
            </w:pPr>
            <w:r>
              <w:rPr>
                <w:rFonts w:hint="eastAsia" w:ascii="Times New Roman" w:hAnsi="Times New Roman" w:eastAsia="宋体" w:cs="Times New Roman"/>
                <w:snapToGrid w:val="0"/>
                <w:color w:val="auto"/>
                <w:kern w:val="21"/>
                <w:sz w:val="21"/>
                <w:szCs w:val="21"/>
                <w:highlight w:val="none"/>
                <w:lang w:val="en-US" w:eastAsia="zh-CN"/>
              </w:rPr>
              <w:t>/</w:t>
            </w:r>
          </w:p>
        </w:tc>
        <w:tc>
          <w:tcPr>
            <w:tcW w:w="1418" w:type="dxa"/>
            <w:vAlign w:val="center"/>
          </w:tcPr>
          <w:p w14:paraId="72DBA60D">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701" w:type="dxa"/>
            <w:vAlign w:val="center"/>
          </w:tcPr>
          <w:p w14:paraId="237F5BAF">
            <w:pPr>
              <w:spacing w:line="420" w:lineRule="exact"/>
              <w:jc w:val="center"/>
              <w:rPr>
                <w:snapToGrid w:val="0"/>
                <w:color w:val="auto"/>
                <w:kern w:val="21"/>
                <w:sz w:val="21"/>
                <w:szCs w:val="21"/>
                <w:highlight w:val="none"/>
              </w:rPr>
            </w:pPr>
            <w:r>
              <w:rPr>
                <w:rFonts w:hint="eastAsia" w:ascii="Times New Roman" w:hAnsi="Times New Roman" w:eastAsia="宋体" w:cs="Times New Roman"/>
                <w:snapToGrid w:val="0"/>
                <w:color w:val="auto"/>
                <w:kern w:val="21"/>
                <w:sz w:val="21"/>
                <w:szCs w:val="21"/>
                <w:highlight w:val="none"/>
                <w:lang w:val="en-US" w:eastAsia="zh-CN"/>
              </w:rPr>
              <w:t>/</w:t>
            </w:r>
          </w:p>
        </w:tc>
        <w:tc>
          <w:tcPr>
            <w:tcW w:w="1427" w:type="dxa"/>
            <w:vAlign w:val="center"/>
          </w:tcPr>
          <w:p w14:paraId="22857E30">
            <w:pPr>
              <w:spacing w:line="420" w:lineRule="exact"/>
              <w:jc w:val="center"/>
              <w:rPr>
                <w:snapToGrid w:val="0"/>
                <w:color w:val="auto"/>
                <w:kern w:val="21"/>
                <w:sz w:val="21"/>
                <w:szCs w:val="21"/>
                <w:highlight w:val="none"/>
              </w:rPr>
            </w:pPr>
            <w:r>
              <w:rPr>
                <w:rFonts w:hint="eastAsia" w:ascii="Times New Roman" w:hAnsi="Times New Roman" w:eastAsia="宋体" w:cs="Times New Roman"/>
                <w:snapToGrid w:val="0"/>
                <w:color w:val="auto"/>
                <w:kern w:val="21"/>
                <w:sz w:val="21"/>
                <w:szCs w:val="21"/>
                <w:highlight w:val="none"/>
                <w:lang w:val="en-US" w:eastAsia="zh-CN"/>
              </w:rPr>
              <w:t>/</w:t>
            </w:r>
          </w:p>
        </w:tc>
      </w:tr>
      <w:tr w14:paraId="5F6E51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48F0304">
            <w:pPr>
              <w:pStyle w:val="200"/>
              <w:spacing w:beforeLines="0" w:afterLines="0" w:line="420" w:lineRule="exact"/>
              <w:rPr>
                <w:rFonts w:ascii="Times New Roman"/>
                <w:snapToGrid w:val="0"/>
                <w:color w:val="auto"/>
                <w:kern w:val="21"/>
                <w:szCs w:val="21"/>
                <w:highlight w:val="none"/>
              </w:rPr>
            </w:pPr>
          </w:p>
        </w:tc>
        <w:tc>
          <w:tcPr>
            <w:tcW w:w="1417" w:type="dxa"/>
            <w:vAlign w:val="center"/>
          </w:tcPr>
          <w:p w14:paraId="086D6B1B">
            <w:pPr>
              <w:pStyle w:val="200"/>
              <w:spacing w:beforeLines="0" w:afterLines="0" w:line="420" w:lineRule="exact"/>
              <w:rPr>
                <w:rFonts w:ascii="Times New Roman"/>
                <w:snapToGrid w:val="0"/>
                <w:color w:val="auto"/>
                <w:kern w:val="21"/>
                <w:sz w:val="21"/>
                <w:szCs w:val="21"/>
                <w:highlight w:val="none"/>
              </w:rPr>
            </w:pPr>
            <w:r>
              <w:rPr>
                <w:rFonts w:ascii="Times New Roman"/>
                <w:snapToGrid w:val="0"/>
                <w:color w:val="auto"/>
                <w:kern w:val="21"/>
                <w:sz w:val="21"/>
                <w:szCs w:val="21"/>
                <w:highlight w:val="none"/>
              </w:rPr>
              <w:t>氨氮</w:t>
            </w:r>
          </w:p>
        </w:tc>
        <w:tc>
          <w:tcPr>
            <w:tcW w:w="1701" w:type="dxa"/>
            <w:vAlign w:val="center"/>
          </w:tcPr>
          <w:p w14:paraId="3F13457D">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276" w:type="dxa"/>
            <w:vAlign w:val="center"/>
          </w:tcPr>
          <w:p w14:paraId="585FF4D9">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701" w:type="dxa"/>
            <w:vAlign w:val="center"/>
          </w:tcPr>
          <w:p w14:paraId="240E830B">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559" w:type="dxa"/>
            <w:vAlign w:val="center"/>
          </w:tcPr>
          <w:p w14:paraId="6D636365">
            <w:pPr>
              <w:spacing w:line="420" w:lineRule="exact"/>
              <w:jc w:val="center"/>
              <w:rPr>
                <w:snapToGrid w:val="0"/>
                <w:color w:val="auto"/>
                <w:kern w:val="21"/>
                <w:sz w:val="21"/>
                <w:szCs w:val="21"/>
                <w:highlight w:val="none"/>
              </w:rPr>
            </w:pPr>
            <w:r>
              <w:rPr>
                <w:rFonts w:hint="eastAsia" w:ascii="Times New Roman" w:hAnsi="Times New Roman" w:eastAsia="宋体" w:cs="Times New Roman"/>
                <w:snapToGrid w:val="0"/>
                <w:color w:val="auto"/>
                <w:kern w:val="21"/>
                <w:sz w:val="21"/>
                <w:szCs w:val="21"/>
                <w:highlight w:val="none"/>
                <w:lang w:val="en-US" w:eastAsia="zh-CN"/>
              </w:rPr>
              <w:t>/</w:t>
            </w:r>
          </w:p>
        </w:tc>
        <w:tc>
          <w:tcPr>
            <w:tcW w:w="1418" w:type="dxa"/>
            <w:vAlign w:val="center"/>
          </w:tcPr>
          <w:p w14:paraId="5BDD0EED">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701" w:type="dxa"/>
            <w:vAlign w:val="center"/>
          </w:tcPr>
          <w:p w14:paraId="39A42831">
            <w:pPr>
              <w:spacing w:line="420" w:lineRule="exact"/>
              <w:jc w:val="center"/>
              <w:rPr>
                <w:snapToGrid w:val="0"/>
                <w:color w:val="auto"/>
                <w:kern w:val="21"/>
                <w:sz w:val="21"/>
                <w:szCs w:val="21"/>
                <w:highlight w:val="none"/>
              </w:rPr>
            </w:pPr>
            <w:r>
              <w:rPr>
                <w:rFonts w:hint="eastAsia" w:ascii="Times New Roman" w:hAnsi="Times New Roman" w:eastAsia="宋体" w:cs="Times New Roman"/>
                <w:snapToGrid w:val="0"/>
                <w:color w:val="auto"/>
                <w:kern w:val="21"/>
                <w:sz w:val="21"/>
                <w:szCs w:val="21"/>
                <w:highlight w:val="none"/>
                <w:lang w:val="en-US" w:eastAsia="zh-CN"/>
              </w:rPr>
              <w:t>/</w:t>
            </w:r>
          </w:p>
        </w:tc>
        <w:tc>
          <w:tcPr>
            <w:tcW w:w="1427" w:type="dxa"/>
            <w:vAlign w:val="center"/>
          </w:tcPr>
          <w:p w14:paraId="0533A39A">
            <w:pPr>
              <w:spacing w:line="420" w:lineRule="exact"/>
              <w:jc w:val="center"/>
              <w:rPr>
                <w:snapToGrid w:val="0"/>
                <w:color w:val="auto"/>
                <w:kern w:val="21"/>
                <w:sz w:val="21"/>
                <w:szCs w:val="21"/>
                <w:highlight w:val="none"/>
              </w:rPr>
            </w:pPr>
            <w:r>
              <w:rPr>
                <w:rFonts w:hint="eastAsia" w:ascii="Times New Roman" w:hAnsi="Times New Roman" w:eastAsia="宋体" w:cs="Times New Roman"/>
                <w:snapToGrid w:val="0"/>
                <w:color w:val="auto"/>
                <w:kern w:val="21"/>
                <w:sz w:val="21"/>
                <w:szCs w:val="21"/>
                <w:highlight w:val="none"/>
                <w:lang w:val="en-US" w:eastAsia="zh-CN"/>
              </w:rPr>
              <w:t>/</w:t>
            </w:r>
          </w:p>
        </w:tc>
      </w:tr>
      <w:tr w14:paraId="6D4019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D6C0F0B">
            <w:pPr>
              <w:pStyle w:val="200"/>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一般工业</w:t>
            </w:r>
          </w:p>
          <w:p w14:paraId="3A894165">
            <w:pPr>
              <w:pStyle w:val="200"/>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固体废物</w:t>
            </w:r>
          </w:p>
        </w:tc>
        <w:tc>
          <w:tcPr>
            <w:tcW w:w="1417" w:type="dxa"/>
            <w:shd w:val="clear" w:color="auto" w:fill="auto"/>
            <w:vAlign w:val="center"/>
          </w:tcPr>
          <w:p w14:paraId="6DE100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废包装材料</w:t>
            </w:r>
          </w:p>
        </w:tc>
        <w:tc>
          <w:tcPr>
            <w:tcW w:w="1701" w:type="dxa"/>
            <w:vAlign w:val="center"/>
          </w:tcPr>
          <w:p w14:paraId="5DCC219F">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3901723B">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18BD484C">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48C4B7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0.8</w:t>
            </w:r>
          </w:p>
        </w:tc>
        <w:tc>
          <w:tcPr>
            <w:tcW w:w="1418" w:type="dxa"/>
            <w:vAlign w:val="center"/>
          </w:tcPr>
          <w:p w14:paraId="1C33DDB6">
            <w:pPr>
              <w:pStyle w:val="200"/>
              <w:spacing w:beforeLines="0" w:afterLines="0" w:line="420" w:lineRule="exact"/>
              <w:rPr>
                <w:rFonts w:hint="default"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5C360E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0.8</w:t>
            </w:r>
          </w:p>
        </w:tc>
        <w:tc>
          <w:tcPr>
            <w:tcW w:w="1427" w:type="dxa"/>
            <w:shd w:val="clear" w:color="auto" w:fill="auto"/>
            <w:vAlign w:val="center"/>
          </w:tcPr>
          <w:p w14:paraId="298154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0.8</w:t>
            </w:r>
          </w:p>
        </w:tc>
      </w:tr>
      <w:tr w14:paraId="3EE842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CBD4C95">
            <w:pPr>
              <w:pStyle w:val="200"/>
              <w:spacing w:beforeLines="0" w:afterLines="0" w:line="420" w:lineRule="exact"/>
              <w:rPr>
                <w:rFonts w:hint="eastAsia" w:ascii="Times New Roman"/>
                <w:snapToGrid w:val="0"/>
                <w:color w:val="auto"/>
                <w:kern w:val="21"/>
                <w:szCs w:val="21"/>
                <w:highlight w:val="none"/>
                <w:lang w:eastAsia="zh-CN"/>
              </w:rPr>
            </w:pPr>
          </w:p>
        </w:tc>
        <w:tc>
          <w:tcPr>
            <w:tcW w:w="1417" w:type="dxa"/>
            <w:shd w:val="clear" w:color="auto" w:fill="auto"/>
            <w:vAlign w:val="center"/>
          </w:tcPr>
          <w:p w14:paraId="348970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筛分废料</w:t>
            </w:r>
          </w:p>
        </w:tc>
        <w:tc>
          <w:tcPr>
            <w:tcW w:w="1701" w:type="dxa"/>
            <w:vAlign w:val="center"/>
          </w:tcPr>
          <w:p w14:paraId="264587E6">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35636E79">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505A0EAF">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2AAE51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0.2</w:t>
            </w:r>
          </w:p>
        </w:tc>
        <w:tc>
          <w:tcPr>
            <w:tcW w:w="1418" w:type="dxa"/>
            <w:vAlign w:val="center"/>
          </w:tcPr>
          <w:p w14:paraId="74F0AEED">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4A3A1E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0.2</w:t>
            </w:r>
          </w:p>
        </w:tc>
        <w:tc>
          <w:tcPr>
            <w:tcW w:w="1427" w:type="dxa"/>
            <w:shd w:val="clear" w:color="auto" w:fill="auto"/>
            <w:vAlign w:val="center"/>
          </w:tcPr>
          <w:p w14:paraId="3991D5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0.2</w:t>
            </w:r>
          </w:p>
        </w:tc>
      </w:tr>
      <w:tr w14:paraId="059003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CF7A2EB">
            <w:pPr>
              <w:pStyle w:val="200"/>
              <w:spacing w:beforeLines="0" w:afterLines="0" w:line="420" w:lineRule="exact"/>
              <w:rPr>
                <w:rFonts w:hint="eastAsia" w:ascii="Times New Roman"/>
                <w:snapToGrid w:val="0"/>
                <w:color w:val="auto"/>
                <w:kern w:val="21"/>
                <w:szCs w:val="21"/>
                <w:highlight w:val="none"/>
                <w:lang w:eastAsia="zh-CN"/>
              </w:rPr>
            </w:pPr>
          </w:p>
        </w:tc>
        <w:tc>
          <w:tcPr>
            <w:tcW w:w="1417" w:type="dxa"/>
            <w:shd w:val="clear" w:color="auto" w:fill="auto"/>
            <w:vAlign w:val="center"/>
          </w:tcPr>
          <w:p w14:paraId="42334B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边角料</w:t>
            </w:r>
          </w:p>
        </w:tc>
        <w:tc>
          <w:tcPr>
            <w:tcW w:w="1701" w:type="dxa"/>
            <w:vAlign w:val="center"/>
          </w:tcPr>
          <w:p w14:paraId="5CC818CA">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44757F10">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299819FA">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48598F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0.5</w:t>
            </w:r>
          </w:p>
        </w:tc>
        <w:tc>
          <w:tcPr>
            <w:tcW w:w="1418" w:type="dxa"/>
            <w:vAlign w:val="center"/>
          </w:tcPr>
          <w:p w14:paraId="5F1AF58F">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737803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0.5</w:t>
            </w:r>
          </w:p>
        </w:tc>
        <w:tc>
          <w:tcPr>
            <w:tcW w:w="1427" w:type="dxa"/>
            <w:shd w:val="clear" w:color="auto" w:fill="auto"/>
            <w:vAlign w:val="center"/>
          </w:tcPr>
          <w:p w14:paraId="71162A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0.5</w:t>
            </w:r>
          </w:p>
        </w:tc>
      </w:tr>
      <w:tr w14:paraId="7B0688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2EE16D9">
            <w:pPr>
              <w:pStyle w:val="200"/>
              <w:spacing w:beforeLines="0" w:afterLines="0" w:line="420" w:lineRule="exact"/>
              <w:rPr>
                <w:rFonts w:hint="eastAsia" w:ascii="Times New Roman"/>
                <w:snapToGrid w:val="0"/>
                <w:color w:val="auto"/>
                <w:kern w:val="21"/>
                <w:szCs w:val="21"/>
                <w:highlight w:val="none"/>
                <w:lang w:eastAsia="zh-CN"/>
              </w:rPr>
            </w:pPr>
          </w:p>
        </w:tc>
        <w:tc>
          <w:tcPr>
            <w:tcW w:w="1417" w:type="dxa"/>
            <w:shd w:val="clear" w:color="auto" w:fill="auto"/>
            <w:vAlign w:val="center"/>
          </w:tcPr>
          <w:p w14:paraId="72F36D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废钢砂</w:t>
            </w:r>
          </w:p>
        </w:tc>
        <w:tc>
          <w:tcPr>
            <w:tcW w:w="1701" w:type="dxa"/>
            <w:vAlign w:val="center"/>
          </w:tcPr>
          <w:p w14:paraId="6264F645">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p>
        </w:tc>
        <w:tc>
          <w:tcPr>
            <w:tcW w:w="1276" w:type="dxa"/>
            <w:vAlign w:val="center"/>
          </w:tcPr>
          <w:p w14:paraId="2F3816C4">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p>
        </w:tc>
        <w:tc>
          <w:tcPr>
            <w:tcW w:w="1701" w:type="dxa"/>
            <w:vAlign w:val="center"/>
          </w:tcPr>
          <w:p w14:paraId="58310210">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p>
        </w:tc>
        <w:tc>
          <w:tcPr>
            <w:tcW w:w="1559" w:type="dxa"/>
            <w:shd w:val="clear" w:color="auto" w:fill="auto"/>
            <w:vAlign w:val="center"/>
          </w:tcPr>
          <w:p w14:paraId="251355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w:t>
            </w:r>
          </w:p>
        </w:tc>
        <w:tc>
          <w:tcPr>
            <w:tcW w:w="1418" w:type="dxa"/>
            <w:vAlign w:val="center"/>
          </w:tcPr>
          <w:p w14:paraId="2397B585">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p>
        </w:tc>
        <w:tc>
          <w:tcPr>
            <w:tcW w:w="1701" w:type="dxa"/>
            <w:shd w:val="clear" w:color="auto" w:fill="auto"/>
            <w:vAlign w:val="center"/>
          </w:tcPr>
          <w:p w14:paraId="4BCCA8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w:t>
            </w:r>
          </w:p>
        </w:tc>
        <w:tc>
          <w:tcPr>
            <w:tcW w:w="1427" w:type="dxa"/>
            <w:shd w:val="clear" w:color="auto" w:fill="auto"/>
            <w:vAlign w:val="center"/>
          </w:tcPr>
          <w:p w14:paraId="1CB2D1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w:t>
            </w:r>
          </w:p>
        </w:tc>
      </w:tr>
      <w:tr w14:paraId="7394C9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8BEBB91">
            <w:pPr>
              <w:pStyle w:val="200"/>
              <w:spacing w:beforeLines="0" w:afterLines="0" w:line="420" w:lineRule="exact"/>
              <w:rPr>
                <w:rFonts w:hint="eastAsia" w:ascii="Times New Roman"/>
                <w:snapToGrid w:val="0"/>
                <w:color w:val="auto"/>
                <w:kern w:val="21"/>
                <w:szCs w:val="21"/>
                <w:highlight w:val="none"/>
                <w:lang w:eastAsia="zh-CN"/>
              </w:rPr>
            </w:pPr>
          </w:p>
        </w:tc>
        <w:tc>
          <w:tcPr>
            <w:tcW w:w="1417" w:type="dxa"/>
            <w:shd w:val="clear" w:color="auto" w:fill="auto"/>
            <w:vAlign w:val="center"/>
          </w:tcPr>
          <w:p w14:paraId="34E68E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喷砂除尘器收集的粉尘</w:t>
            </w:r>
          </w:p>
        </w:tc>
        <w:tc>
          <w:tcPr>
            <w:tcW w:w="1701" w:type="dxa"/>
            <w:vAlign w:val="center"/>
          </w:tcPr>
          <w:p w14:paraId="0800CCCD">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p>
        </w:tc>
        <w:tc>
          <w:tcPr>
            <w:tcW w:w="1276" w:type="dxa"/>
            <w:vAlign w:val="center"/>
          </w:tcPr>
          <w:p w14:paraId="09478ACA">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p>
        </w:tc>
        <w:tc>
          <w:tcPr>
            <w:tcW w:w="1701" w:type="dxa"/>
            <w:vAlign w:val="center"/>
          </w:tcPr>
          <w:p w14:paraId="78E62C38">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p>
        </w:tc>
        <w:tc>
          <w:tcPr>
            <w:tcW w:w="1559" w:type="dxa"/>
            <w:shd w:val="clear" w:color="auto" w:fill="auto"/>
            <w:vAlign w:val="center"/>
          </w:tcPr>
          <w:p w14:paraId="45E564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0.033</w:t>
            </w:r>
          </w:p>
        </w:tc>
        <w:tc>
          <w:tcPr>
            <w:tcW w:w="1418" w:type="dxa"/>
            <w:vAlign w:val="center"/>
          </w:tcPr>
          <w:p w14:paraId="19550A29">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p>
        </w:tc>
        <w:tc>
          <w:tcPr>
            <w:tcW w:w="1701" w:type="dxa"/>
            <w:shd w:val="clear" w:color="auto" w:fill="auto"/>
            <w:vAlign w:val="center"/>
          </w:tcPr>
          <w:p w14:paraId="64C511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0.033</w:t>
            </w:r>
          </w:p>
        </w:tc>
        <w:tc>
          <w:tcPr>
            <w:tcW w:w="1427" w:type="dxa"/>
            <w:shd w:val="clear" w:color="auto" w:fill="auto"/>
            <w:vAlign w:val="center"/>
          </w:tcPr>
          <w:p w14:paraId="106544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0.033</w:t>
            </w:r>
          </w:p>
        </w:tc>
      </w:tr>
      <w:tr w14:paraId="699C1E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D5143AF">
            <w:pPr>
              <w:pStyle w:val="200"/>
              <w:spacing w:beforeLines="0" w:afterLines="0" w:line="420" w:lineRule="exact"/>
              <w:rPr>
                <w:rFonts w:hint="eastAsia" w:ascii="Times New Roman"/>
                <w:snapToGrid w:val="0"/>
                <w:color w:val="auto"/>
                <w:kern w:val="21"/>
                <w:szCs w:val="21"/>
                <w:highlight w:val="none"/>
                <w:lang w:eastAsia="zh-CN"/>
              </w:rPr>
            </w:pPr>
          </w:p>
        </w:tc>
        <w:tc>
          <w:tcPr>
            <w:tcW w:w="1417" w:type="dxa"/>
            <w:shd w:val="clear" w:color="auto" w:fill="auto"/>
            <w:vAlign w:val="center"/>
          </w:tcPr>
          <w:p w14:paraId="3344C9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焊接废料</w:t>
            </w:r>
          </w:p>
        </w:tc>
        <w:tc>
          <w:tcPr>
            <w:tcW w:w="1701" w:type="dxa"/>
            <w:vAlign w:val="center"/>
          </w:tcPr>
          <w:p w14:paraId="6F2DA743">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57824D46">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4433A337">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241A28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0.05</w:t>
            </w:r>
          </w:p>
        </w:tc>
        <w:tc>
          <w:tcPr>
            <w:tcW w:w="1418" w:type="dxa"/>
            <w:vAlign w:val="center"/>
          </w:tcPr>
          <w:p w14:paraId="30354BF0">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2A5224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0.05</w:t>
            </w:r>
          </w:p>
        </w:tc>
        <w:tc>
          <w:tcPr>
            <w:tcW w:w="1427" w:type="dxa"/>
            <w:shd w:val="clear" w:color="auto" w:fill="auto"/>
            <w:vAlign w:val="center"/>
          </w:tcPr>
          <w:p w14:paraId="2D1C4E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0.05</w:t>
            </w:r>
          </w:p>
        </w:tc>
      </w:tr>
      <w:tr w14:paraId="302504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FD73E7A">
            <w:pPr>
              <w:pStyle w:val="200"/>
              <w:spacing w:beforeLines="0" w:afterLines="0" w:line="420" w:lineRule="exact"/>
              <w:rPr>
                <w:rFonts w:hint="eastAsia" w:ascii="Times New Roman"/>
                <w:snapToGrid w:val="0"/>
                <w:color w:val="auto"/>
                <w:kern w:val="21"/>
                <w:szCs w:val="21"/>
                <w:highlight w:val="none"/>
                <w:lang w:eastAsia="zh-CN"/>
              </w:rPr>
            </w:pPr>
          </w:p>
        </w:tc>
        <w:tc>
          <w:tcPr>
            <w:tcW w:w="1417" w:type="dxa"/>
            <w:shd w:val="clear" w:color="auto" w:fill="auto"/>
            <w:vAlign w:val="center"/>
          </w:tcPr>
          <w:p w14:paraId="05E81D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焊接烟尘净化器收集的烟尘</w:t>
            </w:r>
          </w:p>
        </w:tc>
        <w:tc>
          <w:tcPr>
            <w:tcW w:w="1701" w:type="dxa"/>
            <w:vAlign w:val="center"/>
          </w:tcPr>
          <w:p w14:paraId="3CD9D1E2">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6D2B00B1">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33287CB8">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102682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0.07</w:t>
            </w:r>
          </w:p>
        </w:tc>
        <w:tc>
          <w:tcPr>
            <w:tcW w:w="1418" w:type="dxa"/>
            <w:vAlign w:val="center"/>
          </w:tcPr>
          <w:p w14:paraId="09FADAE5">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537272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0.07</w:t>
            </w:r>
          </w:p>
        </w:tc>
        <w:tc>
          <w:tcPr>
            <w:tcW w:w="1427" w:type="dxa"/>
            <w:shd w:val="clear" w:color="auto" w:fill="auto"/>
            <w:vAlign w:val="center"/>
          </w:tcPr>
          <w:p w14:paraId="5929B97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0.07</w:t>
            </w:r>
          </w:p>
        </w:tc>
      </w:tr>
      <w:tr w14:paraId="77D8DD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95CFCCB">
            <w:pPr>
              <w:pStyle w:val="200"/>
              <w:spacing w:beforeLines="0" w:afterLines="0" w:line="420" w:lineRule="exact"/>
              <w:rPr>
                <w:rFonts w:hint="eastAsia" w:ascii="Times New Roman"/>
                <w:snapToGrid w:val="0"/>
                <w:color w:val="auto"/>
                <w:kern w:val="21"/>
                <w:szCs w:val="21"/>
                <w:highlight w:val="none"/>
                <w:lang w:eastAsia="zh-CN"/>
              </w:rPr>
            </w:pPr>
          </w:p>
        </w:tc>
        <w:tc>
          <w:tcPr>
            <w:tcW w:w="1417" w:type="dxa"/>
            <w:shd w:val="clear" w:color="auto" w:fill="auto"/>
            <w:vAlign w:val="center"/>
          </w:tcPr>
          <w:p w14:paraId="052775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废砂轮片</w:t>
            </w:r>
          </w:p>
        </w:tc>
        <w:tc>
          <w:tcPr>
            <w:tcW w:w="1701" w:type="dxa"/>
            <w:vAlign w:val="center"/>
          </w:tcPr>
          <w:p w14:paraId="0FDA1361">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0E558DC8">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3D3B179E">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2C8B4B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0.01</w:t>
            </w:r>
          </w:p>
        </w:tc>
        <w:tc>
          <w:tcPr>
            <w:tcW w:w="1418" w:type="dxa"/>
            <w:vAlign w:val="center"/>
          </w:tcPr>
          <w:p w14:paraId="7FFD5935">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1503BD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0.01</w:t>
            </w:r>
          </w:p>
        </w:tc>
        <w:tc>
          <w:tcPr>
            <w:tcW w:w="1427" w:type="dxa"/>
            <w:shd w:val="clear" w:color="auto" w:fill="auto"/>
            <w:vAlign w:val="center"/>
          </w:tcPr>
          <w:p w14:paraId="31BB4D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0.01</w:t>
            </w:r>
          </w:p>
        </w:tc>
      </w:tr>
      <w:tr w14:paraId="40098C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0D2FCFB">
            <w:pPr>
              <w:pStyle w:val="200"/>
              <w:spacing w:beforeLines="0" w:afterLines="0" w:line="420" w:lineRule="exact"/>
              <w:rPr>
                <w:rFonts w:hint="eastAsia" w:ascii="Times New Roman"/>
                <w:snapToGrid w:val="0"/>
                <w:color w:val="auto"/>
                <w:kern w:val="21"/>
                <w:szCs w:val="21"/>
                <w:highlight w:val="none"/>
                <w:lang w:eastAsia="zh-CN"/>
              </w:rPr>
            </w:pPr>
          </w:p>
        </w:tc>
        <w:tc>
          <w:tcPr>
            <w:tcW w:w="1417" w:type="dxa"/>
            <w:shd w:val="clear" w:color="auto" w:fill="auto"/>
            <w:vAlign w:val="center"/>
          </w:tcPr>
          <w:p w14:paraId="2690E5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废布袋</w:t>
            </w:r>
          </w:p>
        </w:tc>
        <w:tc>
          <w:tcPr>
            <w:tcW w:w="1701" w:type="dxa"/>
            <w:vAlign w:val="center"/>
          </w:tcPr>
          <w:p w14:paraId="04438A42">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1EA91943">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5ABF9A1D">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567FDA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0.03</w:t>
            </w:r>
          </w:p>
        </w:tc>
        <w:tc>
          <w:tcPr>
            <w:tcW w:w="1418" w:type="dxa"/>
            <w:vAlign w:val="center"/>
          </w:tcPr>
          <w:p w14:paraId="54F9F556">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537F37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0.03</w:t>
            </w:r>
          </w:p>
        </w:tc>
        <w:tc>
          <w:tcPr>
            <w:tcW w:w="1427" w:type="dxa"/>
            <w:shd w:val="clear" w:color="auto" w:fill="auto"/>
            <w:vAlign w:val="center"/>
          </w:tcPr>
          <w:p w14:paraId="1BBFFC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0.03</w:t>
            </w:r>
          </w:p>
        </w:tc>
      </w:tr>
      <w:tr w14:paraId="794EF4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71FE76E">
            <w:pPr>
              <w:pStyle w:val="200"/>
              <w:spacing w:beforeLines="0" w:afterLines="0" w:line="420" w:lineRule="exact"/>
              <w:rPr>
                <w:rFonts w:hint="eastAsia" w:ascii="Times New Roman" w:eastAsia="宋体"/>
                <w:snapToGrid w:val="0"/>
                <w:color w:val="auto"/>
                <w:kern w:val="21"/>
                <w:szCs w:val="21"/>
                <w:highlight w:val="none"/>
                <w:lang w:eastAsia="zh-CN"/>
              </w:rPr>
            </w:pPr>
            <w:r>
              <w:rPr>
                <w:rFonts w:hint="eastAsia" w:ascii="Times New Roman"/>
                <w:snapToGrid w:val="0"/>
                <w:color w:val="auto"/>
                <w:kern w:val="21"/>
                <w:szCs w:val="21"/>
                <w:highlight w:val="none"/>
                <w:lang w:eastAsia="zh-CN"/>
              </w:rPr>
              <w:t>危险废物</w:t>
            </w:r>
          </w:p>
        </w:tc>
        <w:tc>
          <w:tcPr>
            <w:tcW w:w="1417" w:type="dxa"/>
            <w:shd w:val="clear" w:color="auto" w:fill="auto"/>
            <w:vAlign w:val="center"/>
          </w:tcPr>
          <w:p w14:paraId="08730F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胶水废包装桶</w:t>
            </w:r>
          </w:p>
        </w:tc>
        <w:tc>
          <w:tcPr>
            <w:tcW w:w="1701" w:type="dxa"/>
            <w:vAlign w:val="center"/>
          </w:tcPr>
          <w:p w14:paraId="440E9197">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4995E2EF">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1166EEB2">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272D69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0.024</w:t>
            </w:r>
          </w:p>
        </w:tc>
        <w:tc>
          <w:tcPr>
            <w:tcW w:w="1418" w:type="dxa"/>
            <w:vAlign w:val="center"/>
          </w:tcPr>
          <w:p w14:paraId="700DFC9B">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7D74F3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0.024</w:t>
            </w:r>
          </w:p>
        </w:tc>
        <w:tc>
          <w:tcPr>
            <w:tcW w:w="1427" w:type="dxa"/>
            <w:shd w:val="clear" w:color="auto" w:fill="auto"/>
            <w:vAlign w:val="center"/>
          </w:tcPr>
          <w:p w14:paraId="7AC1D0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0.024</w:t>
            </w:r>
          </w:p>
        </w:tc>
      </w:tr>
      <w:tr w14:paraId="154641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91776C0">
            <w:pPr>
              <w:pStyle w:val="200"/>
              <w:spacing w:beforeLines="0" w:afterLines="0" w:line="420" w:lineRule="exact"/>
              <w:rPr>
                <w:rFonts w:hint="eastAsia" w:ascii="Times New Roman" w:eastAsia="宋体"/>
                <w:snapToGrid w:val="0"/>
                <w:color w:val="auto"/>
                <w:kern w:val="21"/>
                <w:szCs w:val="21"/>
                <w:highlight w:val="none"/>
                <w:lang w:eastAsia="zh-CN"/>
              </w:rPr>
            </w:pPr>
          </w:p>
        </w:tc>
        <w:tc>
          <w:tcPr>
            <w:tcW w:w="1417" w:type="dxa"/>
            <w:shd w:val="clear" w:color="auto" w:fill="auto"/>
            <w:vAlign w:val="center"/>
          </w:tcPr>
          <w:p w14:paraId="0BA72A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废活性炭</w:t>
            </w:r>
          </w:p>
        </w:tc>
        <w:tc>
          <w:tcPr>
            <w:tcW w:w="1701" w:type="dxa"/>
            <w:vAlign w:val="center"/>
          </w:tcPr>
          <w:p w14:paraId="1DF1ACC8">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2D3B36C4">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61800837">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65E4D1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0.615</w:t>
            </w:r>
          </w:p>
        </w:tc>
        <w:tc>
          <w:tcPr>
            <w:tcW w:w="1418" w:type="dxa"/>
            <w:vAlign w:val="center"/>
          </w:tcPr>
          <w:p w14:paraId="01CDAF10">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474DDD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0.615</w:t>
            </w:r>
          </w:p>
        </w:tc>
        <w:tc>
          <w:tcPr>
            <w:tcW w:w="1427" w:type="dxa"/>
            <w:shd w:val="clear" w:color="auto" w:fill="auto"/>
            <w:vAlign w:val="center"/>
          </w:tcPr>
          <w:p w14:paraId="17D975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0.615</w:t>
            </w:r>
          </w:p>
        </w:tc>
      </w:tr>
      <w:tr w14:paraId="0FD600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433AEFD9">
            <w:pPr>
              <w:pStyle w:val="200"/>
              <w:spacing w:beforeLines="0" w:afterLines="0" w:line="420" w:lineRule="exact"/>
              <w:rPr>
                <w:rFonts w:hint="eastAsia" w:ascii="Times New Roman" w:eastAsia="宋体"/>
                <w:snapToGrid w:val="0"/>
                <w:color w:val="auto"/>
                <w:kern w:val="21"/>
                <w:szCs w:val="21"/>
                <w:highlight w:val="none"/>
                <w:lang w:eastAsia="zh-CN"/>
              </w:rPr>
            </w:pPr>
            <w:r>
              <w:rPr>
                <w:rFonts w:hint="eastAsia" w:ascii="Times New Roman"/>
                <w:snapToGrid w:val="0"/>
                <w:color w:val="auto"/>
                <w:kern w:val="21"/>
                <w:szCs w:val="21"/>
                <w:highlight w:val="none"/>
                <w:lang w:eastAsia="zh-CN"/>
              </w:rPr>
              <w:t>生活固废</w:t>
            </w:r>
          </w:p>
        </w:tc>
        <w:tc>
          <w:tcPr>
            <w:tcW w:w="1417" w:type="dxa"/>
            <w:vAlign w:val="center"/>
          </w:tcPr>
          <w:p w14:paraId="3E29D9AC">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eastAsia="zh-CN"/>
              </w:rPr>
            </w:pPr>
            <w:r>
              <w:rPr>
                <w:rFonts w:hint="eastAsia" w:ascii="Times New Roman" w:hAnsi="Times New Roman" w:eastAsia="宋体" w:cs="Times New Roman"/>
                <w:snapToGrid w:val="0"/>
                <w:color w:val="auto"/>
                <w:kern w:val="21"/>
                <w:sz w:val="21"/>
                <w:szCs w:val="21"/>
                <w:highlight w:val="none"/>
                <w:lang w:eastAsia="zh-CN"/>
              </w:rPr>
              <w:t>生活垃圾</w:t>
            </w:r>
          </w:p>
        </w:tc>
        <w:tc>
          <w:tcPr>
            <w:tcW w:w="1701" w:type="dxa"/>
            <w:vAlign w:val="center"/>
          </w:tcPr>
          <w:p w14:paraId="17522057">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3F03EA09">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0E607FE6">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6ADA4882">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2.25</w:t>
            </w:r>
          </w:p>
        </w:tc>
        <w:tc>
          <w:tcPr>
            <w:tcW w:w="1418" w:type="dxa"/>
            <w:vAlign w:val="center"/>
          </w:tcPr>
          <w:p w14:paraId="46A4D362">
            <w:pPr>
              <w:spacing w:beforeLines="0" w:afterLines="0" w:line="420" w:lineRule="exact"/>
              <w:jc w:val="center"/>
              <w:rPr>
                <w:rFonts w:hint="eastAsia" w:ascii="Times New Roman" w:eastAsia="宋体"/>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76D13E06">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2.25</w:t>
            </w:r>
          </w:p>
        </w:tc>
        <w:tc>
          <w:tcPr>
            <w:tcW w:w="1427" w:type="dxa"/>
            <w:shd w:val="clear" w:color="auto" w:fill="auto"/>
            <w:vAlign w:val="center"/>
          </w:tcPr>
          <w:p w14:paraId="0C6DF73A">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2.25</w:t>
            </w:r>
          </w:p>
        </w:tc>
      </w:tr>
    </w:tbl>
    <w:p w14:paraId="5E912079">
      <w:pPr>
        <w:pStyle w:val="200"/>
        <w:spacing w:before="192" w:beforeLines="80" w:after="24" w:line="420" w:lineRule="exact"/>
        <w:jc w:val="left"/>
        <w:rPr>
          <w:color w:val="auto"/>
          <w:highlight w:val="none"/>
        </w:rPr>
      </w:pPr>
      <w:r>
        <w:rPr>
          <w:rFonts w:ascii="Times New Roman"/>
          <w:snapToGrid w:val="0"/>
          <w:color w:val="auto"/>
          <w:kern w:val="21"/>
          <w:szCs w:val="21"/>
          <w:highlight w:val="none"/>
        </w:rPr>
        <w:t>注：</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3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③</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4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④</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5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⑤</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7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⑦</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p>
    <w:p w14:paraId="2C9C56D1"/>
    <w:p w14:paraId="6B2692CD">
      <w:pPr>
        <w:pStyle w:val="82"/>
      </w:pPr>
    </w:p>
    <w:p w14:paraId="5061CAF6"/>
    <w:p w14:paraId="3C6FF983">
      <w:pPr>
        <w:pStyle w:val="82"/>
      </w:pPr>
    </w:p>
    <w:p w14:paraId="7CCFFBF7"/>
    <w:p w14:paraId="0F398853">
      <w:pPr>
        <w:pStyle w:val="82"/>
      </w:pPr>
    </w:p>
    <w:p w14:paraId="1A26FF01"/>
    <w:p w14:paraId="530AD882">
      <w:pPr>
        <w:pStyle w:val="82"/>
      </w:pPr>
    </w:p>
    <w:p w14:paraId="3789D5E8"/>
    <w:p w14:paraId="23AC64DF">
      <w:pPr>
        <w:pStyle w:val="82"/>
      </w:pPr>
    </w:p>
    <w:p w14:paraId="47B55FF2"/>
    <w:p w14:paraId="1A05BEAB">
      <w:pPr>
        <w:pStyle w:val="82"/>
      </w:pPr>
    </w:p>
    <w:p w14:paraId="58B5E451"/>
    <w:p w14:paraId="3BE49E2F">
      <w:pPr>
        <w:pStyle w:val="82"/>
      </w:pPr>
    </w:p>
    <w:p w14:paraId="766D21DD"/>
    <w:p w14:paraId="6E94C4CE">
      <w:pPr>
        <w:pStyle w:val="82"/>
      </w:pPr>
    </w:p>
    <w:p w14:paraId="702B82DB">
      <w:pPr>
        <w:sectPr>
          <w:footerReference r:id="rId6" w:type="default"/>
          <w:pgSz w:w="16838" w:h="11906" w:orient="landscape"/>
          <w:pgMar w:top="1531" w:right="1701" w:bottom="1531" w:left="1701" w:header="851" w:footer="1191" w:gutter="0"/>
          <w:cols w:space="720" w:num="1"/>
          <w:docGrid w:linePitch="312" w:charSpace="0"/>
        </w:sectPr>
      </w:pPr>
    </w:p>
    <w:p w14:paraId="407D99C9">
      <w:pPr>
        <w:jc w:val="center"/>
        <w:rPr>
          <w:rFonts w:hint="eastAsia"/>
          <w:color w:val="FF0000"/>
        </w:rPr>
      </w:pPr>
      <w:r>
        <w:drawing>
          <wp:inline distT="0" distB="0" distL="114300" distR="114300">
            <wp:extent cx="5260975" cy="7721600"/>
            <wp:effectExtent l="0" t="0" r="15875" b="1270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25"/>
                    <a:stretch>
                      <a:fillRect/>
                    </a:stretch>
                  </pic:blipFill>
                  <pic:spPr>
                    <a:xfrm>
                      <a:off x="0" y="0"/>
                      <a:ext cx="5260975" cy="7721600"/>
                    </a:xfrm>
                    <a:prstGeom prst="rect">
                      <a:avLst/>
                    </a:prstGeom>
                    <a:noFill/>
                    <a:ln>
                      <a:noFill/>
                    </a:ln>
                  </pic:spPr>
                </pic:pic>
              </a:graphicData>
            </a:graphic>
          </wp:inline>
        </w:drawing>
      </w:r>
      <w:r>
        <w:drawing>
          <wp:inline distT="0" distB="0" distL="114300" distR="114300">
            <wp:extent cx="5260975" cy="7538085"/>
            <wp:effectExtent l="0" t="0" r="15875" b="571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26"/>
                    <a:stretch>
                      <a:fillRect/>
                    </a:stretch>
                  </pic:blipFill>
                  <pic:spPr>
                    <a:xfrm>
                      <a:off x="0" y="0"/>
                      <a:ext cx="5260975" cy="7538085"/>
                    </a:xfrm>
                    <a:prstGeom prst="rect">
                      <a:avLst/>
                    </a:prstGeom>
                    <a:noFill/>
                    <a:ln>
                      <a:noFill/>
                    </a:ln>
                  </pic:spPr>
                </pic:pic>
              </a:graphicData>
            </a:graphic>
          </wp:inline>
        </w:drawing>
      </w:r>
    </w:p>
    <w:p w14:paraId="72DA68C5">
      <w:pPr>
        <w:rPr>
          <w:color w:val="FF0000"/>
        </w:rPr>
      </w:pPr>
    </w:p>
    <w:p w14:paraId="5FD98C20">
      <w:pPr>
        <w:rPr>
          <w:color w:val="FF0000"/>
        </w:rPr>
      </w:pPr>
    </w:p>
    <w:p w14:paraId="3CCCE544">
      <w:pPr>
        <w:rPr>
          <w:color w:val="FF0000"/>
        </w:rPr>
      </w:pPr>
    </w:p>
    <w:p w14:paraId="4FC29988">
      <w:pPr>
        <w:rPr>
          <w:color w:val="FF0000"/>
        </w:rPr>
      </w:pPr>
    </w:p>
    <w:p w14:paraId="5CC816F8">
      <w:pPr>
        <w:rPr>
          <w:color w:val="FF0000"/>
        </w:rPr>
      </w:pPr>
    </w:p>
    <w:p w14:paraId="7261F27B">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r>
        <w:rPr>
          <w:rFonts w:hint="eastAsia" w:ascii="宋体" w:hAnsi="宋体"/>
          <w:b/>
          <w:color w:val="auto"/>
          <w:sz w:val="32"/>
          <w:szCs w:val="21"/>
          <w:lang w:val="en-US" w:eastAsia="zh-CN"/>
        </w:rPr>
        <w:t>附件3：营业执照</w:t>
      </w:r>
    </w:p>
    <w:p w14:paraId="44472A28">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r>
        <w:rPr>
          <w:rFonts w:hint="eastAsia" w:ascii="宋体" w:hAnsi="宋体"/>
          <w:b/>
          <w:color w:val="auto"/>
          <w:sz w:val="32"/>
          <w:szCs w:val="21"/>
          <w:lang w:val="en-US" w:eastAsia="zh-CN"/>
        </w:rPr>
        <w:drawing>
          <wp:inline distT="0" distB="0" distL="114300" distR="114300">
            <wp:extent cx="5262880" cy="7554595"/>
            <wp:effectExtent l="0" t="0" r="13970" b="8255"/>
            <wp:docPr id="12" name="图片 8" descr="a8cde0e7c01bb8310dfb4b93d8582f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descr="a8cde0e7c01bb8310dfb4b93d8582fe8"/>
                    <pic:cNvPicPr>
                      <a:picLocks noChangeAspect="1"/>
                    </pic:cNvPicPr>
                  </pic:nvPicPr>
                  <pic:blipFill>
                    <a:blip r:embed="rId27"/>
                    <a:stretch>
                      <a:fillRect/>
                    </a:stretch>
                  </pic:blipFill>
                  <pic:spPr>
                    <a:xfrm rot="10800000">
                      <a:off x="0" y="0"/>
                      <a:ext cx="5262880" cy="7554595"/>
                    </a:xfrm>
                    <a:prstGeom prst="rect">
                      <a:avLst/>
                    </a:prstGeom>
                    <a:noFill/>
                    <a:ln>
                      <a:noFill/>
                    </a:ln>
                  </pic:spPr>
                </pic:pic>
              </a:graphicData>
            </a:graphic>
          </wp:inline>
        </w:drawing>
      </w:r>
    </w:p>
    <w:p w14:paraId="42AD1A0C">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p>
    <w:p w14:paraId="2FA65C0A">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p>
    <w:p w14:paraId="2A234DDA">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r>
        <w:rPr>
          <w:rFonts w:hint="eastAsia" w:ascii="宋体" w:hAnsi="宋体"/>
          <w:b/>
          <w:color w:val="auto"/>
          <w:sz w:val="32"/>
          <w:szCs w:val="21"/>
          <w:lang w:val="en-US" w:eastAsia="zh-CN"/>
        </w:rPr>
        <w:t>附件4：立项证明</w:t>
      </w:r>
    </w:p>
    <w:p w14:paraId="1A09E44C">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r>
        <w:rPr>
          <w:rFonts w:hint="eastAsia" w:ascii="宋体" w:hAnsi="宋体"/>
          <w:b/>
          <w:color w:val="auto"/>
          <w:sz w:val="32"/>
          <w:szCs w:val="21"/>
          <w:lang w:val="en-US" w:eastAsia="zh-CN"/>
        </w:rPr>
        <w:drawing>
          <wp:inline distT="0" distB="0" distL="114300" distR="114300">
            <wp:extent cx="5459730" cy="7654925"/>
            <wp:effectExtent l="0" t="0" r="7620" b="3175"/>
            <wp:docPr id="16" name="图片 9" descr="d36ba2159935741e5db8ee014f68e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descr="d36ba2159935741e5db8ee014f68e360"/>
                    <pic:cNvPicPr>
                      <a:picLocks noChangeAspect="1"/>
                    </pic:cNvPicPr>
                  </pic:nvPicPr>
                  <pic:blipFill>
                    <a:blip r:embed="rId28"/>
                    <a:srcRect l="7469" t="2072" r="2171" b="2950"/>
                    <a:stretch>
                      <a:fillRect/>
                    </a:stretch>
                  </pic:blipFill>
                  <pic:spPr>
                    <a:xfrm>
                      <a:off x="0" y="0"/>
                      <a:ext cx="5459730" cy="7654925"/>
                    </a:xfrm>
                    <a:prstGeom prst="rect">
                      <a:avLst/>
                    </a:prstGeom>
                    <a:noFill/>
                    <a:ln>
                      <a:noFill/>
                    </a:ln>
                  </pic:spPr>
                </pic:pic>
              </a:graphicData>
            </a:graphic>
          </wp:inline>
        </w:drawing>
      </w:r>
    </w:p>
    <w:p w14:paraId="0A61FCD2">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p>
    <w:p w14:paraId="3AA8B119">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p>
    <w:p w14:paraId="2D9F8924">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r>
        <w:rPr>
          <w:rFonts w:hint="eastAsia" w:ascii="宋体" w:hAnsi="宋体"/>
          <w:b/>
          <w:color w:val="auto"/>
          <w:sz w:val="32"/>
          <w:szCs w:val="21"/>
          <w:lang w:val="en-US" w:eastAsia="zh-CN"/>
        </w:rPr>
        <w:t>附件5：土地合同</w:t>
      </w:r>
    </w:p>
    <w:p w14:paraId="2214FB22">
      <w:pPr>
        <w:pStyle w:val="77"/>
        <w:keepNext w:val="0"/>
        <w:keepLines w:val="0"/>
        <w:widowControl/>
        <w:suppressLineNumbers w:val="0"/>
        <w:shd w:val="clear" w:color="auto" w:fill="auto"/>
        <w:spacing w:line="360" w:lineRule="auto"/>
        <w:jc w:val="both"/>
        <w:rPr>
          <w:rFonts w:hint="default" w:ascii="宋体" w:hAnsi="宋体"/>
          <w:b/>
          <w:color w:val="auto"/>
          <w:sz w:val="32"/>
          <w:szCs w:val="21"/>
          <w:lang w:val="en-US" w:eastAsia="zh-CN"/>
        </w:rPr>
      </w:pPr>
      <w:r>
        <w:rPr>
          <w:rFonts w:hint="default" w:ascii="宋体" w:hAnsi="宋体"/>
          <w:b/>
          <w:color w:val="auto"/>
          <w:sz w:val="32"/>
          <w:szCs w:val="21"/>
          <w:lang w:val="en-US" w:eastAsia="zh-CN"/>
        </w:rPr>
        <w:drawing>
          <wp:inline distT="0" distB="0" distL="114300" distR="114300">
            <wp:extent cx="5262880" cy="7773035"/>
            <wp:effectExtent l="0" t="0" r="13970" b="18415"/>
            <wp:docPr id="20" name="图片 10" descr="70c6933a57b7d388cadd522d40b178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descr="70c6933a57b7d388cadd522d40b178e9"/>
                    <pic:cNvPicPr>
                      <a:picLocks noChangeAspect="1"/>
                    </pic:cNvPicPr>
                  </pic:nvPicPr>
                  <pic:blipFill>
                    <a:blip r:embed="rId29"/>
                    <a:stretch>
                      <a:fillRect/>
                    </a:stretch>
                  </pic:blipFill>
                  <pic:spPr>
                    <a:xfrm>
                      <a:off x="0" y="0"/>
                      <a:ext cx="5262880" cy="7773035"/>
                    </a:xfrm>
                    <a:prstGeom prst="rect">
                      <a:avLst/>
                    </a:prstGeom>
                    <a:noFill/>
                    <a:ln>
                      <a:noFill/>
                    </a:ln>
                  </pic:spPr>
                </pic:pic>
              </a:graphicData>
            </a:graphic>
          </wp:inline>
        </w:drawing>
      </w:r>
    </w:p>
    <w:p w14:paraId="05D096EF">
      <w:pPr>
        <w:pStyle w:val="77"/>
        <w:keepNext w:val="0"/>
        <w:keepLines w:val="0"/>
        <w:widowControl/>
        <w:suppressLineNumbers w:val="0"/>
        <w:shd w:val="clear" w:color="auto" w:fill="auto"/>
        <w:spacing w:line="360" w:lineRule="auto"/>
        <w:jc w:val="both"/>
        <w:rPr>
          <w:rFonts w:hint="default" w:ascii="宋体" w:hAnsi="宋体"/>
          <w:b/>
          <w:color w:val="auto"/>
          <w:sz w:val="32"/>
          <w:szCs w:val="21"/>
          <w:lang w:val="en-US" w:eastAsia="zh-CN"/>
        </w:rPr>
      </w:pPr>
      <w:r>
        <w:rPr>
          <w:rFonts w:hint="default" w:ascii="宋体" w:hAnsi="宋体"/>
          <w:b/>
          <w:color w:val="auto"/>
          <w:sz w:val="32"/>
          <w:szCs w:val="21"/>
          <w:lang w:val="en-US" w:eastAsia="zh-CN"/>
        </w:rPr>
        <w:drawing>
          <wp:inline distT="0" distB="0" distL="114300" distR="114300">
            <wp:extent cx="5036820" cy="7646670"/>
            <wp:effectExtent l="0" t="0" r="11430" b="11430"/>
            <wp:docPr id="25" name="图片 11" descr="217df0f9072e40999dde360ec9b6fa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217df0f9072e40999dde360ec9b6fa4e"/>
                    <pic:cNvPicPr>
                      <a:picLocks noChangeAspect="1"/>
                    </pic:cNvPicPr>
                  </pic:nvPicPr>
                  <pic:blipFill>
                    <a:blip r:embed="rId30"/>
                    <a:stretch>
                      <a:fillRect/>
                    </a:stretch>
                  </pic:blipFill>
                  <pic:spPr>
                    <a:xfrm>
                      <a:off x="0" y="0"/>
                      <a:ext cx="5036820" cy="7646670"/>
                    </a:xfrm>
                    <a:prstGeom prst="rect">
                      <a:avLst/>
                    </a:prstGeom>
                    <a:noFill/>
                    <a:ln>
                      <a:noFill/>
                    </a:ln>
                  </pic:spPr>
                </pic:pic>
              </a:graphicData>
            </a:graphic>
          </wp:inline>
        </w:drawing>
      </w:r>
    </w:p>
    <w:p w14:paraId="0D1DFE0F">
      <w:pPr>
        <w:pStyle w:val="77"/>
        <w:keepNext w:val="0"/>
        <w:keepLines w:val="0"/>
        <w:widowControl/>
        <w:suppressLineNumbers w:val="0"/>
        <w:shd w:val="clear" w:color="auto" w:fill="auto"/>
        <w:spacing w:line="360" w:lineRule="auto"/>
        <w:jc w:val="both"/>
        <w:rPr>
          <w:rFonts w:hint="default" w:ascii="宋体" w:hAnsi="宋体"/>
          <w:b/>
          <w:color w:val="auto"/>
          <w:sz w:val="32"/>
          <w:szCs w:val="21"/>
          <w:lang w:val="en-US" w:eastAsia="zh-CN"/>
        </w:rPr>
      </w:pPr>
    </w:p>
    <w:p w14:paraId="119AF270">
      <w:pPr>
        <w:pStyle w:val="77"/>
        <w:keepNext w:val="0"/>
        <w:keepLines w:val="0"/>
        <w:widowControl/>
        <w:suppressLineNumbers w:val="0"/>
        <w:shd w:val="clear" w:color="auto" w:fill="auto"/>
        <w:spacing w:line="360" w:lineRule="auto"/>
        <w:jc w:val="both"/>
        <w:rPr>
          <w:rFonts w:hint="default" w:ascii="宋体" w:hAnsi="宋体"/>
          <w:b/>
          <w:color w:val="auto"/>
          <w:sz w:val="32"/>
          <w:szCs w:val="21"/>
          <w:lang w:val="en-US" w:eastAsia="zh-CN"/>
        </w:rPr>
      </w:pPr>
    </w:p>
    <w:p w14:paraId="399D0D71">
      <w:pPr>
        <w:pStyle w:val="77"/>
        <w:keepNext w:val="0"/>
        <w:keepLines w:val="0"/>
        <w:widowControl/>
        <w:suppressLineNumbers w:val="0"/>
        <w:shd w:val="clear" w:color="auto" w:fill="auto"/>
        <w:spacing w:line="360" w:lineRule="auto"/>
        <w:jc w:val="both"/>
        <w:rPr>
          <w:rFonts w:hint="default" w:ascii="宋体" w:hAnsi="宋体"/>
          <w:b/>
          <w:color w:val="auto"/>
          <w:sz w:val="32"/>
          <w:szCs w:val="21"/>
          <w:lang w:val="en-US" w:eastAsia="zh-CN"/>
        </w:rPr>
      </w:pPr>
    </w:p>
    <w:p w14:paraId="0C9804E1">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r>
        <w:rPr>
          <w:rFonts w:hint="eastAsia" w:ascii="宋体" w:hAnsi="宋体"/>
          <w:b/>
          <w:color w:val="auto"/>
          <w:sz w:val="32"/>
          <w:szCs w:val="21"/>
          <w:lang w:val="en-US" w:eastAsia="zh-CN"/>
        </w:rPr>
        <w:t>附件6 胶水成分表</w:t>
      </w:r>
    </w:p>
    <w:p w14:paraId="4CCB4FEA">
      <w:pPr>
        <w:pStyle w:val="77"/>
        <w:keepNext w:val="0"/>
        <w:keepLines w:val="0"/>
        <w:widowControl/>
        <w:suppressLineNumbers w:val="0"/>
        <w:shd w:val="clear" w:color="auto" w:fill="auto"/>
        <w:spacing w:line="360" w:lineRule="auto"/>
        <w:jc w:val="both"/>
      </w:pPr>
      <w:r>
        <w:drawing>
          <wp:inline distT="0" distB="0" distL="114300" distR="114300">
            <wp:extent cx="5262880" cy="7421880"/>
            <wp:effectExtent l="0" t="0" r="13970" b="762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31"/>
                    <a:stretch>
                      <a:fillRect/>
                    </a:stretch>
                  </pic:blipFill>
                  <pic:spPr>
                    <a:xfrm>
                      <a:off x="0" y="0"/>
                      <a:ext cx="5262880" cy="7421880"/>
                    </a:xfrm>
                    <a:prstGeom prst="rect">
                      <a:avLst/>
                    </a:prstGeom>
                    <a:noFill/>
                    <a:ln>
                      <a:noFill/>
                    </a:ln>
                  </pic:spPr>
                </pic:pic>
              </a:graphicData>
            </a:graphic>
          </wp:inline>
        </w:drawing>
      </w:r>
    </w:p>
    <w:p w14:paraId="2EF96CBA">
      <w:pPr>
        <w:pStyle w:val="77"/>
        <w:keepNext w:val="0"/>
        <w:keepLines w:val="0"/>
        <w:widowControl/>
        <w:suppressLineNumbers w:val="0"/>
        <w:shd w:val="clear" w:color="auto" w:fill="auto"/>
        <w:spacing w:line="360" w:lineRule="auto"/>
        <w:jc w:val="both"/>
        <w:rPr>
          <w:rFonts w:hint="default" w:ascii="宋体" w:hAnsi="宋体"/>
          <w:b/>
          <w:color w:val="auto"/>
          <w:sz w:val="32"/>
          <w:szCs w:val="21"/>
          <w:lang w:val="en-US" w:eastAsia="zh-CN"/>
        </w:rPr>
      </w:pPr>
      <w:r>
        <w:drawing>
          <wp:inline distT="0" distB="0" distL="114300" distR="114300">
            <wp:extent cx="5274310" cy="7423150"/>
            <wp:effectExtent l="0" t="0" r="2540" b="635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32"/>
                    <a:stretch>
                      <a:fillRect/>
                    </a:stretch>
                  </pic:blipFill>
                  <pic:spPr>
                    <a:xfrm>
                      <a:off x="0" y="0"/>
                      <a:ext cx="5274310" cy="7423150"/>
                    </a:xfrm>
                    <a:prstGeom prst="rect">
                      <a:avLst/>
                    </a:prstGeom>
                    <a:noFill/>
                    <a:ln>
                      <a:noFill/>
                    </a:ln>
                  </pic:spPr>
                </pic:pic>
              </a:graphicData>
            </a:graphic>
          </wp:inline>
        </w:drawing>
      </w:r>
      <w:r>
        <w:drawing>
          <wp:inline distT="0" distB="0" distL="114300" distR="114300">
            <wp:extent cx="5271770" cy="7452995"/>
            <wp:effectExtent l="0" t="0" r="5080" b="14605"/>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33"/>
                    <a:stretch>
                      <a:fillRect/>
                    </a:stretch>
                  </pic:blipFill>
                  <pic:spPr>
                    <a:xfrm>
                      <a:off x="0" y="0"/>
                      <a:ext cx="5271770" cy="7452995"/>
                    </a:xfrm>
                    <a:prstGeom prst="rect">
                      <a:avLst/>
                    </a:prstGeom>
                    <a:noFill/>
                    <a:ln>
                      <a:noFill/>
                    </a:ln>
                  </pic:spPr>
                </pic:pic>
              </a:graphicData>
            </a:graphic>
          </wp:inline>
        </w:drawing>
      </w:r>
      <w:r>
        <w:drawing>
          <wp:inline distT="0" distB="0" distL="114300" distR="114300">
            <wp:extent cx="5259705" cy="7284720"/>
            <wp:effectExtent l="0" t="0" r="17145" b="11430"/>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34"/>
                    <a:stretch>
                      <a:fillRect/>
                    </a:stretch>
                  </pic:blipFill>
                  <pic:spPr>
                    <a:xfrm>
                      <a:off x="0" y="0"/>
                      <a:ext cx="5259705" cy="7284720"/>
                    </a:xfrm>
                    <a:prstGeom prst="rect">
                      <a:avLst/>
                    </a:prstGeom>
                    <a:noFill/>
                    <a:ln>
                      <a:noFill/>
                    </a:ln>
                  </pic:spPr>
                </pic:pic>
              </a:graphicData>
            </a:graphic>
          </wp:inline>
        </w:drawing>
      </w:r>
      <w:r>
        <w:drawing>
          <wp:inline distT="0" distB="0" distL="114300" distR="114300">
            <wp:extent cx="5266690" cy="7297420"/>
            <wp:effectExtent l="0" t="0" r="10160" b="17780"/>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35"/>
                    <a:stretch>
                      <a:fillRect/>
                    </a:stretch>
                  </pic:blipFill>
                  <pic:spPr>
                    <a:xfrm>
                      <a:off x="0" y="0"/>
                      <a:ext cx="5266690" cy="7297420"/>
                    </a:xfrm>
                    <a:prstGeom prst="rect">
                      <a:avLst/>
                    </a:prstGeom>
                    <a:noFill/>
                    <a:ln>
                      <a:noFill/>
                    </a:ln>
                  </pic:spPr>
                </pic:pic>
              </a:graphicData>
            </a:graphic>
          </wp:inline>
        </w:drawing>
      </w:r>
      <w:r>
        <w:drawing>
          <wp:inline distT="0" distB="0" distL="114300" distR="114300">
            <wp:extent cx="5266055" cy="7309485"/>
            <wp:effectExtent l="0" t="0" r="10795"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6"/>
                    <a:stretch>
                      <a:fillRect/>
                    </a:stretch>
                  </pic:blipFill>
                  <pic:spPr>
                    <a:xfrm>
                      <a:off x="0" y="0"/>
                      <a:ext cx="5266055" cy="7309485"/>
                    </a:xfrm>
                    <a:prstGeom prst="rect">
                      <a:avLst/>
                    </a:prstGeom>
                    <a:noFill/>
                    <a:ln>
                      <a:noFill/>
                    </a:ln>
                  </pic:spPr>
                </pic:pic>
              </a:graphicData>
            </a:graphic>
          </wp:inline>
        </w:drawing>
      </w:r>
      <w:r>
        <w:drawing>
          <wp:inline distT="0" distB="0" distL="114300" distR="114300">
            <wp:extent cx="5270500" cy="7510780"/>
            <wp:effectExtent l="0" t="0" r="6350" b="13970"/>
            <wp:docPr id="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pic:cNvPicPr>
                      <a:picLocks noChangeAspect="1"/>
                    </pic:cNvPicPr>
                  </pic:nvPicPr>
                  <pic:blipFill>
                    <a:blip r:embed="rId37"/>
                    <a:stretch>
                      <a:fillRect/>
                    </a:stretch>
                  </pic:blipFill>
                  <pic:spPr>
                    <a:xfrm>
                      <a:off x="0" y="0"/>
                      <a:ext cx="5270500" cy="7510780"/>
                    </a:xfrm>
                    <a:prstGeom prst="rect">
                      <a:avLst/>
                    </a:prstGeom>
                    <a:noFill/>
                    <a:ln>
                      <a:noFill/>
                    </a:ln>
                  </pic:spPr>
                </pic:pic>
              </a:graphicData>
            </a:graphic>
          </wp:inline>
        </w:drawing>
      </w:r>
      <w:r>
        <w:drawing>
          <wp:inline distT="0" distB="0" distL="114300" distR="114300">
            <wp:extent cx="5267325" cy="7244080"/>
            <wp:effectExtent l="0" t="0" r="9525" b="13970"/>
            <wp:docPr id="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pic:cNvPicPr>
                      <a:picLocks noChangeAspect="1"/>
                    </pic:cNvPicPr>
                  </pic:nvPicPr>
                  <pic:blipFill>
                    <a:blip r:embed="rId38"/>
                    <a:stretch>
                      <a:fillRect/>
                    </a:stretch>
                  </pic:blipFill>
                  <pic:spPr>
                    <a:xfrm>
                      <a:off x="0" y="0"/>
                      <a:ext cx="5267325" cy="7244080"/>
                    </a:xfrm>
                    <a:prstGeom prst="rect">
                      <a:avLst/>
                    </a:prstGeom>
                    <a:noFill/>
                    <a:ln>
                      <a:noFill/>
                    </a:ln>
                  </pic:spPr>
                </pic:pic>
              </a:graphicData>
            </a:graphic>
          </wp:inline>
        </w:drawing>
      </w:r>
      <w:r>
        <w:drawing>
          <wp:inline distT="0" distB="0" distL="114300" distR="114300">
            <wp:extent cx="5259070" cy="7312660"/>
            <wp:effectExtent l="0" t="0" r="17780" b="2540"/>
            <wp:docPr id="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pic:cNvPicPr>
                      <a:picLocks noChangeAspect="1"/>
                    </pic:cNvPicPr>
                  </pic:nvPicPr>
                  <pic:blipFill>
                    <a:blip r:embed="rId39"/>
                    <a:stretch>
                      <a:fillRect/>
                    </a:stretch>
                  </pic:blipFill>
                  <pic:spPr>
                    <a:xfrm>
                      <a:off x="0" y="0"/>
                      <a:ext cx="5259070" cy="7312660"/>
                    </a:xfrm>
                    <a:prstGeom prst="rect">
                      <a:avLst/>
                    </a:prstGeom>
                    <a:noFill/>
                    <a:ln>
                      <a:noFill/>
                    </a:ln>
                  </pic:spPr>
                </pic:pic>
              </a:graphicData>
            </a:graphic>
          </wp:inline>
        </w:drawing>
      </w:r>
      <w:r>
        <w:drawing>
          <wp:inline distT="0" distB="0" distL="114300" distR="114300">
            <wp:extent cx="5263515" cy="7250430"/>
            <wp:effectExtent l="0" t="0" r="13335" b="7620"/>
            <wp:docPr id="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1"/>
                    <pic:cNvPicPr>
                      <a:picLocks noChangeAspect="1"/>
                    </pic:cNvPicPr>
                  </pic:nvPicPr>
                  <pic:blipFill>
                    <a:blip r:embed="rId40"/>
                    <a:stretch>
                      <a:fillRect/>
                    </a:stretch>
                  </pic:blipFill>
                  <pic:spPr>
                    <a:xfrm>
                      <a:off x="0" y="0"/>
                      <a:ext cx="5263515" cy="7250430"/>
                    </a:xfrm>
                    <a:prstGeom prst="rect">
                      <a:avLst/>
                    </a:prstGeom>
                    <a:noFill/>
                    <a:ln>
                      <a:noFill/>
                    </a:ln>
                  </pic:spPr>
                </pic:pic>
              </a:graphicData>
            </a:graphic>
          </wp:inline>
        </w:drawing>
      </w:r>
    </w:p>
    <w:p w14:paraId="286894A6">
      <w:pPr>
        <w:pStyle w:val="82"/>
        <w:ind w:left="0" w:leftChars="0" w:firstLine="0" w:firstLineChars="0"/>
      </w:pPr>
    </w:p>
    <w:p w14:paraId="17C9FA6A"/>
    <w:p w14:paraId="6A3062EE"/>
    <w:p w14:paraId="591FFDBE"/>
    <w:p w14:paraId="766A29B5"/>
    <w:p w14:paraId="69DA4312"/>
    <w:p w14:paraId="0CED633C">
      <w:pPr>
        <w:sectPr>
          <w:pgSz w:w="11906" w:h="16838"/>
          <w:pgMar w:top="1440" w:right="1800" w:bottom="1440" w:left="1800" w:header="851" w:footer="992" w:gutter="0"/>
          <w:cols w:space="720" w:num="1"/>
          <w:docGrid w:type="lines" w:linePitch="312" w:charSpace="0"/>
        </w:sectPr>
      </w:pPr>
    </w:p>
    <w:p w14:paraId="31082E46">
      <w:pPr>
        <w:jc w:val="center"/>
      </w:pPr>
      <w:r>
        <w:drawing>
          <wp:anchor distT="0" distB="0" distL="114300" distR="114300" simplePos="0" relativeHeight="251663360" behindDoc="0" locked="0" layoutInCell="1" allowOverlap="1">
            <wp:simplePos x="0" y="0"/>
            <wp:positionH relativeFrom="column">
              <wp:posOffset>7594600</wp:posOffset>
            </wp:positionH>
            <wp:positionV relativeFrom="paragraph">
              <wp:posOffset>30480</wp:posOffset>
            </wp:positionV>
            <wp:extent cx="932180" cy="789940"/>
            <wp:effectExtent l="0" t="0" r="1270" b="10160"/>
            <wp:wrapNone/>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41"/>
                    <a:stretch>
                      <a:fillRect/>
                    </a:stretch>
                  </pic:blipFill>
                  <pic:spPr>
                    <a:xfrm>
                      <a:off x="0" y="0"/>
                      <a:ext cx="932180" cy="789940"/>
                    </a:xfrm>
                    <a:prstGeom prst="rect">
                      <a:avLst/>
                    </a:prstGeom>
                    <a:noFill/>
                    <a:ln>
                      <a:noFill/>
                    </a:ln>
                  </pic:spPr>
                </pic:pic>
              </a:graphicData>
            </a:graphic>
          </wp:anchor>
        </w:drawing>
      </w:r>
      <w:r>
        <mc:AlternateContent>
          <mc:Choice Requires="wps">
            <w:drawing>
              <wp:anchor distT="0" distB="0" distL="114300" distR="114300" simplePos="0" relativeHeight="251660288" behindDoc="0" locked="0" layoutInCell="1" allowOverlap="1">
                <wp:simplePos x="0" y="0"/>
                <wp:positionH relativeFrom="column">
                  <wp:posOffset>2893695</wp:posOffset>
                </wp:positionH>
                <wp:positionV relativeFrom="paragraph">
                  <wp:posOffset>1946910</wp:posOffset>
                </wp:positionV>
                <wp:extent cx="1684020" cy="759460"/>
                <wp:effectExtent l="5080" t="4445" r="120650" b="1045845"/>
                <wp:wrapNone/>
                <wp:docPr id="31" name="矩形标注 31"/>
                <wp:cNvGraphicFramePr/>
                <a:graphic xmlns:a="http://schemas.openxmlformats.org/drawingml/2006/main">
                  <a:graphicData uri="http://schemas.microsoft.com/office/word/2010/wordprocessingShape">
                    <wps:wsp>
                      <wps:cNvSpPr/>
                      <wps:spPr>
                        <a:xfrm>
                          <a:off x="0" y="0"/>
                          <a:ext cx="1684020" cy="759460"/>
                        </a:xfrm>
                        <a:prstGeom prst="wedgeRectCallout">
                          <a:avLst>
                            <a:gd name="adj1" fmla="val 55657"/>
                            <a:gd name="adj2" fmla="val 182106"/>
                          </a:avLst>
                        </a:prstGeom>
                        <a:solidFill>
                          <a:srgbClr val="FFFFFF"/>
                        </a:solidFill>
                        <a:ln w="9525" cap="flat" cmpd="sng">
                          <a:solidFill>
                            <a:srgbClr val="000000"/>
                          </a:solidFill>
                          <a:prstDash val="solid"/>
                          <a:miter/>
                          <a:headEnd type="none" w="med" len="med"/>
                          <a:tailEnd type="none" w="med" len="med"/>
                        </a:ln>
                      </wps:spPr>
                      <wps:txbx>
                        <w:txbxContent>
                          <w:p w14:paraId="6833B6AB">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t>项目所在地</w:t>
                            </w:r>
                          </w:p>
                          <w:p w14:paraId="74D61FF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szCs w:val="21"/>
                                <w:highlight w:val="none"/>
                                <w:u w:val="none"/>
                                <w:lang w:eastAsia="zh-CN"/>
                              </w:rPr>
                            </w:pPr>
                            <w:r>
                              <w:rPr>
                                <w:rFonts w:hint="default" w:ascii="Times New Roman" w:hAnsi="Times New Roman" w:cs="Times New Roman"/>
                                <w:color w:val="auto"/>
                                <w:szCs w:val="21"/>
                                <w:highlight w:val="none"/>
                                <w:u w:val="none"/>
                                <w:lang w:eastAsia="zh-CN"/>
                              </w:rPr>
                              <w:t>北纬</w:t>
                            </w:r>
                            <w:r>
                              <w:rPr>
                                <w:rFonts w:hint="default" w:ascii="Times New Roman" w:hAnsi="Times New Roman" w:cs="Times New Roman"/>
                                <w:color w:val="auto"/>
                                <w:szCs w:val="21"/>
                                <w:highlight w:val="none"/>
                                <w:u w:val="none"/>
                              </w:rPr>
                              <w:t>36</w:t>
                            </w:r>
                            <w:r>
                              <w:rPr>
                                <w:rFonts w:hint="default" w:ascii="Times New Roman" w:hAnsi="Times New Roman" w:cs="Times New Roman"/>
                                <w:color w:val="auto"/>
                                <w:szCs w:val="21"/>
                                <w:highlight w:val="none"/>
                                <w:u w:val="none"/>
                                <w:lang w:val="en-US" w:eastAsia="zh-CN"/>
                              </w:rPr>
                              <w:t>°35</w:t>
                            </w:r>
                            <w:r>
                              <w:rPr>
                                <w:rFonts w:hint="default" w:ascii="Times New Roman" w:hAnsi="Times New Roman" w:cs="Times New Roman"/>
                                <w:color w:val="auto"/>
                                <w:szCs w:val="21"/>
                                <w:highlight w:val="none"/>
                                <w:u w:val="none"/>
                                <w:lang w:eastAsia="zh-CN"/>
                              </w:rPr>
                              <w:t>′</w:t>
                            </w:r>
                            <w:r>
                              <w:rPr>
                                <w:rFonts w:hint="default" w:ascii="Times New Roman" w:hAnsi="Times New Roman" w:cs="Times New Roman"/>
                                <w:color w:val="auto"/>
                                <w:szCs w:val="21"/>
                                <w:highlight w:val="none"/>
                                <w:u w:val="none"/>
                                <w:lang w:val="en-US" w:eastAsia="zh-CN"/>
                              </w:rPr>
                              <w:t>39.752</w:t>
                            </w:r>
                            <w:r>
                              <w:rPr>
                                <w:rFonts w:hint="default" w:ascii="Times New Roman" w:hAnsi="Times New Roman" w:cs="Times New Roman"/>
                                <w:color w:val="auto"/>
                                <w:szCs w:val="21"/>
                                <w:highlight w:val="none"/>
                                <w:u w:val="none"/>
                                <w:lang w:eastAsia="zh-CN"/>
                              </w:rPr>
                              <w:t>″</w:t>
                            </w:r>
                          </w:p>
                          <w:p w14:paraId="6E6E1CA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sz w:val="28"/>
                                <w:szCs w:val="28"/>
                                <w:u w:val="none"/>
                              </w:rPr>
                            </w:pPr>
                            <w:r>
                              <w:rPr>
                                <w:rFonts w:hint="default" w:ascii="Times New Roman" w:hAnsi="Times New Roman" w:cs="Times New Roman"/>
                                <w:color w:val="auto"/>
                                <w:szCs w:val="21"/>
                                <w:highlight w:val="none"/>
                                <w:u w:val="none"/>
                                <w:lang w:eastAsia="zh-CN"/>
                              </w:rPr>
                              <w:t>东经</w:t>
                            </w:r>
                            <w:r>
                              <w:rPr>
                                <w:rFonts w:hint="default" w:ascii="Times New Roman" w:hAnsi="Times New Roman" w:cs="Times New Roman"/>
                                <w:color w:val="auto"/>
                                <w:szCs w:val="21"/>
                                <w:highlight w:val="none"/>
                                <w:u w:val="none"/>
                              </w:rPr>
                              <w:t>117</w:t>
                            </w:r>
                            <w:r>
                              <w:rPr>
                                <w:rFonts w:hint="default" w:ascii="Times New Roman" w:hAnsi="Times New Roman" w:cs="Times New Roman"/>
                                <w:color w:val="auto"/>
                                <w:szCs w:val="21"/>
                                <w:highlight w:val="none"/>
                                <w:u w:val="none"/>
                                <w:lang w:val="en-US" w:eastAsia="zh-CN"/>
                              </w:rPr>
                              <w:t>°</w:t>
                            </w:r>
                            <w:r>
                              <w:rPr>
                                <w:rFonts w:hint="default" w:ascii="Times New Roman" w:hAnsi="Times New Roman" w:cs="Times New Roman"/>
                                <w:color w:val="auto"/>
                                <w:szCs w:val="21"/>
                                <w:highlight w:val="none"/>
                                <w:u w:val="none"/>
                              </w:rPr>
                              <w:t>5</w:t>
                            </w:r>
                            <w:r>
                              <w:rPr>
                                <w:rFonts w:hint="default" w:ascii="Times New Roman" w:hAnsi="Times New Roman" w:cs="Times New Roman"/>
                                <w:color w:val="auto"/>
                                <w:szCs w:val="21"/>
                                <w:highlight w:val="none"/>
                                <w:u w:val="none"/>
                                <w:lang w:val="en-US" w:eastAsia="zh-CN"/>
                              </w:rPr>
                              <w:t>7</w:t>
                            </w:r>
                            <w:r>
                              <w:rPr>
                                <w:rFonts w:hint="default" w:ascii="Times New Roman" w:hAnsi="Times New Roman" w:cs="Times New Roman"/>
                                <w:color w:val="auto"/>
                                <w:szCs w:val="21"/>
                                <w:highlight w:val="none"/>
                                <w:u w:val="none"/>
                                <w:lang w:eastAsia="zh-CN"/>
                              </w:rPr>
                              <w:t>′</w:t>
                            </w:r>
                            <w:r>
                              <w:rPr>
                                <w:rFonts w:hint="default" w:ascii="Times New Roman" w:hAnsi="Times New Roman" w:cs="Times New Roman"/>
                                <w:color w:val="auto"/>
                                <w:szCs w:val="21"/>
                                <w:highlight w:val="none"/>
                                <w:u w:val="none"/>
                                <w:lang w:val="en-US" w:eastAsia="zh-CN"/>
                              </w:rPr>
                              <w:t>43.572</w:t>
                            </w:r>
                            <w:r>
                              <w:rPr>
                                <w:rFonts w:hint="default" w:ascii="Times New Roman" w:hAnsi="Times New Roman" w:cs="Times New Roman"/>
                                <w:color w:val="auto"/>
                                <w:szCs w:val="21"/>
                                <w:highlight w:val="none"/>
                                <w:u w:val="none"/>
                                <w:lang w:eastAsia="zh-CN"/>
                              </w:rPr>
                              <w:t>″</w:t>
                            </w:r>
                          </w:p>
                          <w:p w14:paraId="456B29BB">
                            <w:pPr>
                              <w:rPr>
                                <w:rFonts w:hint="eastAsia"/>
                                <w:sz w:val="28"/>
                                <w:szCs w:val="28"/>
                              </w:rPr>
                            </w:pPr>
                          </w:p>
                        </w:txbxContent>
                      </wps:txbx>
                      <wps:bodyPr lIns="91440" tIns="0" rIns="91440" bIns="0" upright="1"/>
                    </wps:wsp>
                  </a:graphicData>
                </a:graphic>
              </wp:anchor>
            </w:drawing>
          </mc:Choice>
          <mc:Fallback>
            <w:pict>
              <v:shape id="_x0000_s1026" o:spid="_x0000_s1026" o:spt="61" type="#_x0000_t61" style="position:absolute;left:0pt;margin-left:227.85pt;margin-top:153.3pt;height:59.8pt;width:132.6pt;z-index:251660288;mso-width-relative:page;mso-height-relative:page;" fillcolor="#FFFFFF" filled="t" stroked="t" coordsize="21600,21600" o:gfxdata="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Z1t6dgAAAALAQAADwAAAAAA&#10;AAABACAAAAAiAAAAZHJzL2Rvd25yZXYueG1sUEsBAhQAFAAAAAgAh07iQPlUnVlMAgAAuwQAAA4A&#10;AAAAAAAAAQAgAAAAJwEAAGRycy9lMm9Eb2MueG1sUEsFBgAAAAAGAAYAWQEAAOUFAAAAAA==&#10;" adj="22822,50135">
                <v:fill on="t" focussize="0,0"/>
                <v:stroke color="#000000" joinstyle="miter"/>
                <v:imagedata o:title=""/>
                <o:lock v:ext="edit" aspectratio="f"/>
                <v:textbox inset="2.54mm,0mm,2.54mm,0mm">
                  <w:txbxContent>
                    <w:p w14:paraId="6833B6AB">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t>项目所在地</w:t>
                      </w:r>
                    </w:p>
                    <w:p w14:paraId="74D61FF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szCs w:val="21"/>
                          <w:highlight w:val="none"/>
                          <w:u w:val="none"/>
                          <w:lang w:eastAsia="zh-CN"/>
                        </w:rPr>
                      </w:pPr>
                      <w:r>
                        <w:rPr>
                          <w:rFonts w:hint="default" w:ascii="Times New Roman" w:hAnsi="Times New Roman" w:cs="Times New Roman"/>
                          <w:color w:val="auto"/>
                          <w:szCs w:val="21"/>
                          <w:highlight w:val="none"/>
                          <w:u w:val="none"/>
                          <w:lang w:eastAsia="zh-CN"/>
                        </w:rPr>
                        <w:t>北纬</w:t>
                      </w:r>
                      <w:r>
                        <w:rPr>
                          <w:rFonts w:hint="default" w:ascii="Times New Roman" w:hAnsi="Times New Roman" w:cs="Times New Roman"/>
                          <w:color w:val="auto"/>
                          <w:szCs w:val="21"/>
                          <w:highlight w:val="none"/>
                          <w:u w:val="none"/>
                        </w:rPr>
                        <w:t>36</w:t>
                      </w:r>
                      <w:r>
                        <w:rPr>
                          <w:rFonts w:hint="default" w:ascii="Times New Roman" w:hAnsi="Times New Roman" w:cs="Times New Roman"/>
                          <w:color w:val="auto"/>
                          <w:szCs w:val="21"/>
                          <w:highlight w:val="none"/>
                          <w:u w:val="none"/>
                          <w:lang w:val="en-US" w:eastAsia="zh-CN"/>
                        </w:rPr>
                        <w:t>°35</w:t>
                      </w:r>
                      <w:r>
                        <w:rPr>
                          <w:rFonts w:hint="default" w:ascii="Times New Roman" w:hAnsi="Times New Roman" w:cs="Times New Roman"/>
                          <w:color w:val="auto"/>
                          <w:szCs w:val="21"/>
                          <w:highlight w:val="none"/>
                          <w:u w:val="none"/>
                          <w:lang w:eastAsia="zh-CN"/>
                        </w:rPr>
                        <w:t>′</w:t>
                      </w:r>
                      <w:r>
                        <w:rPr>
                          <w:rFonts w:hint="default" w:ascii="Times New Roman" w:hAnsi="Times New Roman" w:cs="Times New Roman"/>
                          <w:color w:val="auto"/>
                          <w:szCs w:val="21"/>
                          <w:highlight w:val="none"/>
                          <w:u w:val="none"/>
                          <w:lang w:val="en-US" w:eastAsia="zh-CN"/>
                        </w:rPr>
                        <w:t>39.752</w:t>
                      </w:r>
                      <w:r>
                        <w:rPr>
                          <w:rFonts w:hint="default" w:ascii="Times New Roman" w:hAnsi="Times New Roman" w:cs="Times New Roman"/>
                          <w:color w:val="auto"/>
                          <w:szCs w:val="21"/>
                          <w:highlight w:val="none"/>
                          <w:u w:val="none"/>
                          <w:lang w:eastAsia="zh-CN"/>
                        </w:rPr>
                        <w:t>″</w:t>
                      </w:r>
                    </w:p>
                    <w:p w14:paraId="6E6E1CAF">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sz w:val="28"/>
                          <w:szCs w:val="28"/>
                          <w:u w:val="none"/>
                        </w:rPr>
                      </w:pPr>
                      <w:r>
                        <w:rPr>
                          <w:rFonts w:hint="default" w:ascii="Times New Roman" w:hAnsi="Times New Roman" w:cs="Times New Roman"/>
                          <w:color w:val="auto"/>
                          <w:szCs w:val="21"/>
                          <w:highlight w:val="none"/>
                          <w:u w:val="none"/>
                          <w:lang w:eastAsia="zh-CN"/>
                        </w:rPr>
                        <w:t>东经</w:t>
                      </w:r>
                      <w:r>
                        <w:rPr>
                          <w:rFonts w:hint="default" w:ascii="Times New Roman" w:hAnsi="Times New Roman" w:cs="Times New Roman"/>
                          <w:color w:val="auto"/>
                          <w:szCs w:val="21"/>
                          <w:highlight w:val="none"/>
                          <w:u w:val="none"/>
                        </w:rPr>
                        <w:t>117</w:t>
                      </w:r>
                      <w:r>
                        <w:rPr>
                          <w:rFonts w:hint="default" w:ascii="Times New Roman" w:hAnsi="Times New Roman" w:cs="Times New Roman"/>
                          <w:color w:val="auto"/>
                          <w:szCs w:val="21"/>
                          <w:highlight w:val="none"/>
                          <w:u w:val="none"/>
                          <w:lang w:val="en-US" w:eastAsia="zh-CN"/>
                        </w:rPr>
                        <w:t>°</w:t>
                      </w:r>
                      <w:r>
                        <w:rPr>
                          <w:rFonts w:hint="default" w:ascii="Times New Roman" w:hAnsi="Times New Roman" w:cs="Times New Roman"/>
                          <w:color w:val="auto"/>
                          <w:szCs w:val="21"/>
                          <w:highlight w:val="none"/>
                          <w:u w:val="none"/>
                        </w:rPr>
                        <w:t>5</w:t>
                      </w:r>
                      <w:r>
                        <w:rPr>
                          <w:rFonts w:hint="default" w:ascii="Times New Roman" w:hAnsi="Times New Roman" w:cs="Times New Roman"/>
                          <w:color w:val="auto"/>
                          <w:szCs w:val="21"/>
                          <w:highlight w:val="none"/>
                          <w:u w:val="none"/>
                          <w:lang w:val="en-US" w:eastAsia="zh-CN"/>
                        </w:rPr>
                        <w:t>7</w:t>
                      </w:r>
                      <w:r>
                        <w:rPr>
                          <w:rFonts w:hint="default" w:ascii="Times New Roman" w:hAnsi="Times New Roman" w:cs="Times New Roman"/>
                          <w:color w:val="auto"/>
                          <w:szCs w:val="21"/>
                          <w:highlight w:val="none"/>
                          <w:u w:val="none"/>
                          <w:lang w:eastAsia="zh-CN"/>
                        </w:rPr>
                        <w:t>′</w:t>
                      </w:r>
                      <w:r>
                        <w:rPr>
                          <w:rFonts w:hint="default" w:ascii="Times New Roman" w:hAnsi="Times New Roman" w:cs="Times New Roman"/>
                          <w:color w:val="auto"/>
                          <w:szCs w:val="21"/>
                          <w:highlight w:val="none"/>
                          <w:u w:val="none"/>
                          <w:lang w:val="en-US" w:eastAsia="zh-CN"/>
                        </w:rPr>
                        <w:t>43.572</w:t>
                      </w:r>
                      <w:r>
                        <w:rPr>
                          <w:rFonts w:hint="default" w:ascii="Times New Roman" w:hAnsi="Times New Roman" w:cs="Times New Roman"/>
                          <w:color w:val="auto"/>
                          <w:szCs w:val="21"/>
                          <w:highlight w:val="none"/>
                          <w:u w:val="none"/>
                          <w:lang w:eastAsia="zh-CN"/>
                        </w:rPr>
                        <w:t>″</w:t>
                      </w:r>
                    </w:p>
                    <w:p w14:paraId="456B29BB">
                      <w:pPr>
                        <w:rPr>
                          <w:rFonts w:hint="eastAsia"/>
                          <w:sz w:val="28"/>
                          <w:szCs w:val="28"/>
                        </w:rPr>
                      </w:pP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4595495</wp:posOffset>
                </wp:positionH>
                <wp:positionV relativeFrom="paragraph">
                  <wp:posOffset>3680460</wp:posOffset>
                </wp:positionV>
                <wp:extent cx="189865" cy="175895"/>
                <wp:effectExtent l="5715" t="4445" r="13970" b="10160"/>
                <wp:wrapNone/>
                <wp:docPr id="28" name="任意多边形 28"/>
                <wp:cNvGraphicFramePr/>
                <a:graphic xmlns:a="http://schemas.openxmlformats.org/drawingml/2006/main">
                  <a:graphicData uri="http://schemas.microsoft.com/office/word/2010/wordprocessingShape">
                    <wps:wsp>
                      <wps:cNvSpPr/>
                      <wps:spPr>
                        <a:xfrm rot="-240000">
                          <a:off x="0" y="0"/>
                          <a:ext cx="189865" cy="175895"/>
                        </a:xfrm>
                        <a:custGeom>
                          <a:avLst/>
                          <a:gdLst/>
                          <a:ahLst/>
                          <a:cxnLst/>
                          <a:pathLst>
                            <a:path w="597" h="554">
                              <a:moveTo>
                                <a:pt x="298" y="0"/>
                              </a:moveTo>
                              <a:lnTo>
                                <a:pt x="368" y="212"/>
                              </a:lnTo>
                              <a:lnTo>
                                <a:pt x="597" y="211"/>
                              </a:lnTo>
                              <a:lnTo>
                                <a:pt x="412" y="341"/>
                              </a:lnTo>
                              <a:lnTo>
                                <a:pt x="482" y="554"/>
                              </a:lnTo>
                              <a:lnTo>
                                <a:pt x="298" y="423"/>
                              </a:lnTo>
                              <a:lnTo>
                                <a:pt x="113" y="554"/>
                              </a:lnTo>
                              <a:lnTo>
                                <a:pt x="184" y="341"/>
                              </a:lnTo>
                              <a:lnTo>
                                <a:pt x="0" y="211"/>
                              </a:lnTo>
                              <a:lnTo>
                                <a:pt x="228" y="212"/>
                              </a:lnTo>
                              <a:lnTo>
                                <a:pt x="298" y="0"/>
                              </a:lnTo>
                              <a:close/>
                            </a:path>
                          </a:pathLst>
                        </a:custGeom>
                        <a:solidFill>
                          <a:srgbClr val="FF0000"/>
                        </a:solidFill>
                        <a:ln w="1905" cap="flat" cmpd="sng">
                          <a:solidFill>
                            <a:srgbClr val="1F1A17"/>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61.85pt;margin-top:289.8pt;height:13.85pt;width:14.95pt;rotation:-262144f;z-index:251661312;mso-width-relative:page;mso-height-relative:page;" fillcolor="#FF0000" filled="t" stroked="t" coordsize="597,554" o:gfxdata="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r06h8NkAAAALAQAADwAAAAAAAAABACAAAAAiAAAAZHJzL2Rvd25yZXYueG1s&#10;UEsBAhQAFAAAAAgAh07iQASkv/iiAgAANwYAAA4AAAAAAAAAAQAgAAAAKAEAAGRycy9lMm9Eb2Mu&#10;eG1sUEsFBgAAAAAGAAYAWQEAADwGAAAAAA==&#10;" path="m298,0l368,212,597,211,412,341,482,554,298,423,113,554,184,341,0,211,228,212,298,0xe">
                <v:fill on="t" focussize="0,0"/>
                <v:stroke weight="0.15pt" color="#1F1A17" joinstyle="round"/>
                <v:imagedata o:title=""/>
                <o:lock v:ext="edit" aspectratio="f"/>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1424940</wp:posOffset>
                </wp:positionH>
                <wp:positionV relativeFrom="paragraph">
                  <wp:posOffset>5496560</wp:posOffset>
                </wp:positionV>
                <wp:extent cx="6172200" cy="396240"/>
                <wp:effectExtent l="0" t="0" r="0" b="0"/>
                <wp:wrapNone/>
                <wp:docPr id="29" name="矩形 29"/>
                <wp:cNvGraphicFramePr/>
                <a:graphic xmlns:a="http://schemas.openxmlformats.org/drawingml/2006/main">
                  <a:graphicData uri="http://schemas.microsoft.com/office/word/2010/wordprocessingShape">
                    <wps:wsp>
                      <wps:cNvSpPr/>
                      <wps:spPr>
                        <a:xfrm>
                          <a:off x="0" y="0"/>
                          <a:ext cx="6172200" cy="396240"/>
                        </a:xfrm>
                        <a:prstGeom prst="rect">
                          <a:avLst/>
                        </a:prstGeom>
                        <a:solidFill>
                          <a:srgbClr val="FFFFFF">
                            <a:alpha val="0"/>
                          </a:srgbClr>
                        </a:solidFill>
                        <a:ln>
                          <a:noFill/>
                        </a:ln>
                      </wps:spPr>
                      <wps:txbx>
                        <w:txbxContent>
                          <w:p w14:paraId="0BB90FDF">
                            <w:pPr>
                              <w:jc w:val="center"/>
                              <w:rPr>
                                <w:rFonts w:hint="eastAsia"/>
                                <w:b/>
                                <w:sz w:val="30"/>
                                <w:szCs w:val="30"/>
                              </w:rPr>
                            </w:pPr>
                            <w:r>
                              <w:rPr>
                                <w:rFonts w:hint="eastAsia"/>
                                <w:b/>
                                <w:sz w:val="30"/>
                                <w:szCs w:val="30"/>
                              </w:rPr>
                              <w:t xml:space="preserve">附图1 项目地理位置图    </w:t>
                            </w:r>
                          </w:p>
                        </w:txbxContent>
                      </wps:txbx>
                      <wps:bodyPr upright="1"/>
                    </wps:wsp>
                  </a:graphicData>
                </a:graphic>
              </wp:anchor>
            </w:drawing>
          </mc:Choice>
          <mc:Fallback>
            <w:pict>
              <v:rect id="_x0000_s1026" o:spid="_x0000_s1026" o:spt="1" style="position:absolute;left:0pt;margin-left:112.2pt;margin-top:432.8pt;height:31.2pt;width:486pt;z-index:251659264;mso-width-relative:page;mso-height-relative:page;" fillcolor="#FFFFFF" filled="t" stroked="f" coordsize="21600,21600" o:gfxdata="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PJ2JRNoAAAAMAQAADwAAAAAAAAABACAAAAAiAAAAZHJzL2Rvd25y&#10;ZXYueG1sUEsBAhQAFAAAAAgAh07iQC1BQ/TDAQAAiQMAAA4AAAAAAAAAAQAgAAAAKQEAAGRycy9l&#10;Mm9Eb2MueG1sUEsFBgAAAAAGAAYAWQEAAF4FAAAAAA==&#10;">
                <v:fill on="t" opacity="0f" focussize="0,0"/>
                <v:stroke on="f"/>
                <v:imagedata o:title=""/>
                <o:lock v:ext="edit" aspectratio="f"/>
                <v:textbox>
                  <w:txbxContent>
                    <w:p w14:paraId="0BB90FDF">
                      <w:pPr>
                        <w:jc w:val="center"/>
                        <w:rPr>
                          <w:rFonts w:hint="eastAsia"/>
                          <w:b/>
                          <w:sz w:val="30"/>
                          <w:szCs w:val="30"/>
                        </w:rPr>
                      </w:pPr>
                      <w:r>
                        <w:rPr>
                          <w:rFonts w:hint="eastAsia"/>
                          <w:b/>
                          <w:sz w:val="30"/>
                          <w:szCs w:val="30"/>
                        </w:rPr>
                        <w:t xml:space="preserve">附图1 项目地理位置图    </w:t>
                      </w:r>
                    </w:p>
                  </w:txbxContent>
                </v:textbox>
              </v:rect>
            </w:pict>
          </mc:Fallback>
        </mc:AlternateContent>
      </w:r>
      <w:r>
        <w:drawing>
          <wp:inline distT="0" distB="0" distL="114300" distR="114300">
            <wp:extent cx="8252460" cy="5542915"/>
            <wp:effectExtent l="0" t="0" r="15240" b="635"/>
            <wp:docPr id="30" name="图片 22" descr="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2" descr="未标题-2"/>
                    <pic:cNvPicPr>
                      <a:picLocks noChangeAspect="1"/>
                    </pic:cNvPicPr>
                  </pic:nvPicPr>
                  <pic:blipFill>
                    <a:blip r:embed="rId42"/>
                    <a:srcRect l="5441" t="37445" r="6993" b="23450"/>
                    <a:stretch>
                      <a:fillRect/>
                    </a:stretch>
                  </pic:blipFill>
                  <pic:spPr>
                    <a:xfrm>
                      <a:off x="0" y="0"/>
                      <a:ext cx="8252460" cy="5542915"/>
                    </a:xfrm>
                    <a:prstGeom prst="rect">
                      <a:avLst/>
                    </a:prstGeom>
                    <a:noFill/>
                    <a:ln>
                      <a:noFill/>
                    </a:ln>
                  </pic:spPr>
                </pic:pic>
              </a:graphicData>
            </a:graphic>
          </wp:inline>
        </w:drawing>
      </w:r>
      <w:r>
        <w:drawing>
          <wp:anchor distT="0" distB="0" distL="114300" distR="114300" simplePos="0" relativeHeight="251662336" behindDoc="0" locked="0" layoutInCell="1" allowOverlap="1">
            <wp:simplePos x="0" y="0"/>
            <wp:positionH relativeFrom="column">
              <wp:posOffset>247015</wp:posOffset>
            </wp:positionH>
            <wp:positionV relativeFrom="paragraph">
              <wp:posOffset>5247640</wp:posOffset>
            </wp:positionV>
            <wp:extent cx="2733675" cy="304800"/>
            <wp:effectExtent l="0" t="0" r="0" b="0"/>
            <wp:wrapNone/>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43"/>
                    <a:stretch>
                      <a:fillRect/>
                    </a:stretch>
                  </pic:blipFill>
                  <pic:spPr>
                    <a:xfrm>
                      <a:off x="0" y="0"/>
                      <a:ext cx="2733675" cy="304800"/>
                    </a:xfrm>
                    <a:prstGeom prst="rect">
                      <a:avLst/>
                    </a:prstGeom>
                    <a:noFill/>
                    <a:ln>
                      <a:noFill/>
                    </a:ln>
                  </pic:spPr>
                </pic:pic>
              </a:graphicData>
            </a:graphic>
          </wp:anchor>
        </w:drawing>
      </w:r>
    </w:p>
    <w:p w14:paraId="3550F9A1">
      <w:pPr>
        <w:jc w:val="center"/>
      </w:pPr>
      <w:r>
        <w:drawing>
          <wp:anchor distT="0" distB="0" distL="114300" distR="114300" simplePos="0" relativeHeight="251694080" behindDoc="0" locked="0" layoutInCell="1" allowOverlap="1">
            <wp:simplePos x="0" y="0"/>
            <wp:positionH relativeFrom="column">
              <wp:posOffset>7652385</wp:posOffset>
            </wp:positionH>
            <wp:positionV relativeFrom="paragraph">
              <wp:posOffset>109220</wp:posOffset>
            </wp:positionV>
            <wp:extent cx="932180" cy="789940"/>
            <wp:effectExtent l="0" t="0" r="1270" b="10160"/>
            <wp:wrapNone/>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41"/>
                    <a:stretch>
                      <a:fillRect/>
                    </a:stretch>
                  </pic:blipFill>
                  <pic:spPr>
                    <a:xfrm>
                      <a:off x="0" y="0"/>
                      <a:ext cx="932180" cy="789940"/>
                    </a:xfrm>
                    <a:prstGeom prst="rect">
                      <a:avLst/>
                    </a:prstGeom>
                    <a:noFill/>
                    <a:ln>
                      <a:noFill/>
                    </a:ln>
                  </pic:spPr>
                </pic:pic>
              </a:graphicData>
            </a:graphic>
          </wp:anchor>
        </w:drawing>
      </w:r>
      <w:r>
        <mc:AlternateContent>
          <mc:Choice Requires="wps">
            <w:drawing>
              <wp:anchor distT="0" distB="0" distL="114300" distR="114300" simplePos="0" relativeHeight="251693056" behindDoc="0" locked="0" layoutInCell="1" allowOverlap="1">
                <wp:simplePos x="0" y="0"/>
                <wp:positionH relativeFrom="column">
                  <wp:posOffset>2334895</wp:posOffset>
                </wp:positionH>
                <wp:positionV relativeFrom="paragraph">
                  <wp:posOffset>1322070</wp:posOffset>
                </wp:positionV>
                <wp:extent cx="936625" cy="525780"/>
                <wp:effectExtent l="4445" t="4445" r="182880" b="555625"/>
                <wp:wrapNone/>
                <wp:docPr id="32" name="矩形标注 32"/>
                <wp:cNvGraphicFramePr/>
                <a:graphic xmlns:a="http://schemas.openxmlformats.org/drawingml/2006/main">
                  <a:graphicData uri="http://schemas.microsoft.com/office/word/2010/wordprocessingShape">
                    <wps:wsp>
                      <wps:cNvSpPr/>
                      <wps:spPr>
                        <a:xfrm>
                          <a:off x="0" y="0"/>
                          <a:ext cx="936625" cy="525780"/>
                        </a:xfrm>
                        <a:prstGeom prst="wedgeRectCallout">
                          <a:avLst>
                            <a:gd name="adj1" fmla="val 65389"/>
                            <a:gd name="adj2" fmla="val 148069"/>
                          </a:avLst>
                        </a:prstGeom>
                        <a:noFill/>
                        <a:ln w="9525" cap="flat" cmpd="sng">
                          <a:solidFill>
                            <a:srgbClr val="FF0000"/>
                          </a:solidFill>
                          <a:prstDash val="solid"/>
                          <a:miter/>
                          <a:headEnd type="none" w="med" len="med"/>
                          <a:tailEnd type="none" w="med" len="med"/>
                        </a:ln>
                      </wps:spPr>
                      <wps:txbx>
                        <w:txbxContent>
                          <w:p w14:paraId="6B5FD728">
                            <w:pPr>
                              <w:jc w:val="center"/>
                              <w:rPr>
                                <w:rFonts w:hint="eastAsia"/>
                                <w:b/>
                                <w:bCs/>
                                <w:color w:val="FF0000"/>
                              </w:rPr>
                            </w:pPr>
                            <w:r>
                              <w:rPr>
                                <w:rFonts w:hint="eastAsia"/>
                                <w:b/>
                                <w:bCs/>
                                <w:color w:val="FF0000"/>
                                <w:lang w:val="en-US" w:eastAsia="zh-CN"/>
                              </w:rPr>
                              <w:t>办公室</w:t>
                            </w:r>
                            <w:r>
                              <w:rPr>
                                <w:rFonts w:hint="eastAsia"/>
                                <w:b/>
                                <w:bCs/>
                                <w:color w:val="FF0000"/>
                                <w:lang w:eastAsia="zh-CN"/>
                              </w:rPr>
                              <w:t>所在</w:t>
                            </w:r>
                            <w:r>
                              <w:rPr>
                                <w:rFonts w:hint="eastAsia"/>
                                <w:b/>
                                <w:bCs/>
                                <w:color w:val="FF0000"/>
                              </w:rPr>
                              <w:t>地</w:t>
                            </w:r>
                          </w:p>
                        </w:txbxContent>
                      </wps:txbx>
                      <wps:bodyPr upright="1"/>
                    </wps:wsp>
                  </a:graphicData>
                </a:graphic>
              </wp:anchor>
            </w:drawing>
          </mc:Choice>
          <mc:Fallback>
            <w:pict>
              <v:shape id="_x0000_s1026" o:spid="_x0000_s1026" o:spt="61" type="#_x0000_t61" style="position:absolute;left:0pt;margin-left:183.85pt;margin-top:104.1pt;height:41.4pt;width:73.75pt;z-index:251693056;mso-width-relative:page;mso-height-relative:page;" filled="f" stroked="t" coordsize="21600,21600" o:gfxdata="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gmR2tdoAAAALAQAADwAAAAAAAAABACAAAAAiAAAAZHJzL2Rv&#10;d25yZXYueG1sUEsBAhQAFAAAAAgAh07iQIsrZ5o4AgAAZQQAAA4AAAAAAAAAAQAgAAAAKQEAAGRy&#10;cy9lMm9Eb2MueG1sUEsFBgAAAAAGAAYAWQEAANMFAAAAAA==&#10;" adj="24924,42783">
                <v:fill on="f" focussize="0,0"/>
                <v:stroke color="#FF0000" joinstyle="miter"/>
                <v:imagedata o:title=""/>
                <o:lock v:ext="edit" aspectratio="f"/>
                <v:textbox>
                  <w:txbxContent>
                    <w:p w14:paraId="6B5FD728">
                      <w:pPr>
                        <w:jc w:val="center"/>
                        <w:rPr>
                          <w:rFonts w:hint="eastAsia"/>
                          <w:b/>
                          <w:bCs/>
                          <w:color w:val="FF0000"/>
                        </w:rPr>
                      </w:pPr>
                      <w:r>
                        <w:rPr>
                          <w:rFonts w:hint="eastAsia"/>
                          <w:b/>
                          <w:bCs/>
                          <w:color w:val="FF0000"/>
                          <w:lang w:val="en-US" w:eastAsia="zh-CN"/>
                        </w:rPr>
                        <w:t>办公室</w:t>
                      </w:r>
                      <w:r>
                        <w:rPr>
                          <w:rFonts w:hint="eastAsia"/>
                          <w:b/>
                          <w:bCs/>
                          <w:color w:val="FF0000"/>
                          <w:lang w:eastAsia="zh-CN"/>
                        </w:rPr>
                        <w:t>所在</w:t>
                      </w:r>
                      <w:r>
                        <w:rPr>
                          <w:rFonts w:hint="eastAsia"/>
                          <w:b/>
                          <w:bCs/>
                          <w:color w:val="FF0000"/>
                        </w:rPr>
                        <w:t>地</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5164455</wp:posOffset>
                </wp:positionH>
                <wp:positionV relativeFrom="paragraph">
                  <wp:posOffset>942340</wp:posOffset>
                </wp:positionV>
                <wp:extent cx="936625" cy="525780"/>
                <wp:effectExtent l="994410" t="5080" r="12065" b="1107440"/>
                <wp:wrapNone/>
                <wp:docPr id="40" name="矩形标注 40"/>
                <wp:cNvGraphicFramePr/>
                <a:graphic xmlns:a="http://schemas.openxmlformats.org/drawingml/2006/main">
                  <a:graphicData uri="http://schemas.microsoft.com/office/word/2010/wordprocessingShape">
                    <wps:wsp>
                      <wps:cNvSpPr/>
                      <wps:spPr>
                        <a:xfrm>
                          <a:off x="0" y="0"/>
                          <a:ext cx="936625" cy="525780"/>
                        </a:xfrm>
                        <a:prstGeom prst="wedgeRectCallout">
                          <a:avLst>
                            <a:gd name="adj1" fmla="val -152912"/>
                            <a:gd name="adj2" fmla="val 255315"/>
                          </a:avLst>
                        </a:prstGeom>
                        <a:noFill/>
                        <a:ln w="9525" cap="flat" cmpd="sng">
                          <a:solidFill>
                            <a:srgbClr val="FF0000"/>
                          </a:solidFill>
                          <a:prstDash val="solid"/>
                          <a:miter/>
                          <a:headEnd type="none" w="med" len="med"/>
                          <a:tailEnd type="none" w="med" len="med"/>
                        </a:ln>
                      </wps:spPr>
                      <wps:txbx>
                        <w:txbxContent>
                          <w:p w14:paraId="23A1DB6C">
                            <w:pPr>
                              <w:jc w:val="center"/>
                              <w:rPr>
                                <w:rFonts w:hint="eastAsia"/>
                                <w:b/>
                                <w:bCs/>
                                <w:color w:val="FF0000"/>
                              </w:rPr>
                            </w:pPr>
                            <w:r>
                              <w:rPr>
                                <w:rFonts w:hint="eastAsia"/>
                                <w:b/>
                                <w:bCs/>
                                <w:color w:val="FF0000"/>
                                <w:lang w:val="en-US" w:eastAsia="zh-CN"/>
                              </w:rPr>
                              <w:t>生产车间</w:t>
                            </w:r>
                            <w:r>
                              <w:rPr>
                                <w:rFonts w:hint="eastAsia"/>
                                <w:b/>
                                <w:bCs/>
                                <w:color w:val="FF0000"/>
                                <w:lang w:eastAsia="zh-CN"/>
                              </w:rPr>
                              <w:t>所在</w:t>
                            </w:r>
                            <w:r>
                              <w:rPr>
                                <w:rFonts w:hint="eastAsia"/>
                                <w:b/>
                                <w:bCs/>
                                <w:color w:val="FF0000"/>
                              </w:rPr>
                              <w:t>地</w:t>
                            </w:r>
                          </w:p>
                        </w:txbxContent>
                      </wps:txbx>
                      <wps:bodyPr upright="1"/>
                    </wps:wsp>
                  </a:graphicData>
                </a:graphic>
              </wp:anchor>
            </w:drawing>
          </mc:Choice>
          <mc:Fallback>
            <w:pict>
              <v:shape id="_x0000_s1026" o:spid="_x0000_s1026" o:spt="61" type="#_x0000_t61" style="position:absolute;left:0pt;margin-left:406.65pt;margin-top:74.2pt;height:41.4pt;width:73.75pt;z-index:251665408;mso-width-relative:page;mso-height-relative:page;" filled="f" stroked="t" coordsize="21600,21600" o:gfxdata="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07l7cAAAACwEAAA8AAAAAAAAAAQAgAAAAIgAAAGRycy9k&#10;b3ducmV2LnhtbFBLAQIUABQAAAAIAIdO4kAPxeJfNwIAAGcEAAAOAAAAAAAAAAEAIAAAACsBAABk&#10;cnMvZTJvRG9jLnhtbFBLBQYAAAAABgAGAFkBAADUBQAAAAA=&#10;" adj="-22229,65948">
                <v:fill on="f" focussize="0,0"/>
                <v:stroke color="#FF0000" joinstyle="miter"/>
                <v:imagedata o:title=""/>
                <o:lock v:ext="edit" aspectratio="f"/>
                <v:textbox>
                  <w:txbxContent>
                    <w:p w14:paraId="23A1DB6C">
                      <w:pPr>
                        <w:jc w:val="center"/>
                        <w:rPr>
                          <w:rFonts w:hint="eastAsia"/>
                          <w:b/>
                          <w:bCs/>
                          <w:color w:val="FF0000"/>
                        </w:rPr>
                      </w:pPr>
                      <w:r>
                        <w:rPr>
                          <w:rFonts w:hint="eastAsia"/>
                          <w:b/>
                          <w:bCs/>
                          <w:color w:val="FF0000"/>
                          <w:lang w:val="en-US" w:eastAsia="zh-CN"/>
                        </w:rPr>
                        <w:t>生产车间</w:t>
                      </w:r>
                      <w:r>
                        <w:rPr>
                          <w:rFonts w:hint="eastAsia"/>
                          <w:b/>
                          <w:bCs/>
                          <w:color w:val="FF0000"/>
                          <w:lang w:eastAsia="zh-CN"/>
                        </w:rPr>
                        <w:t>所在</w:t>
                      </w:r>
                      <w:r>
                        <w:rPr>
                          <w:rFonts w:hint="eastAsia"/>
                          <w:b/>
                          <w:bCs/>
                          <w:color w:val="FF0000"/>
                        </w:rPr>
                        <w:t>地</w:t>
                      </w:r>
                    </w:p>
                  </w:txbxContent>
                </v:textbox>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3393440</wp:posOffset>
                </wp:positionH>
                <wp:positionV relativeFrom="paragraph">
                  <wp:posOffset>2396490</wp:posOffset>
                </wp:positionV>
                <wp:extent cx="130810" cy="192405"/>
                <wp:effectExtent l="13970" t="13970" r="26670" b="22225"/>
                <wp:wrapNone/>
                <wp:docPr id="41" name="矩形 41"/>
                <wp:cNvGraphicFramePr/>
                <a:graphic xmlns:a="http://schemas.openxmlformats.org/drawingml/2006/main">
                  <a:graphicData uri="http://schemas.microsoft.com/office/word/2010/wordprocessingShape">
                    <wps:wsp>
                      <wps:cNvSpPr/>
                      <wps:spPr>
                        <a:xfrm>
                          <a:off x="0" y="0"/>
                          <a:ext cx="130810" cy="192405"/>
                        </a:xfrm>
                        <a:prstGeom prst="rect">
                          <a:avLst/>
                        </a:prstGeom>
                        <a:noFill/>
                        <a:ln w="28575" cap="flat" cmpd="sng">
                          <a:solidFill>
                            <a:srgbClr val="FF0000"/>
                          </a:solidFill>
                          <a:prstDash val="solid"/>
                          <a:miter/>
                          <a:headEnd type="none" w="med" len="med"/>
                          <a:tailEnd type="none" w="med" len="med"/>
                        </a:ln>
                      </wps:spPr>
                      <wps:txbx>
                        <w:txbxContent>
                          <w:p w14:paraId="64E32B90">
                            <w:pPr>
                              <w:rPr>
                                <w:rFonts w:hint="eastAsia"/>
                                <w:color w:val="FFFF00"/>
                              </w:rPr>
                            </w:pPr>
                          </w:p>
                        </w:txbxContent>
                      </wps:txbx>
                      <wps:bodyPr anchor="ctr" anchorCtr="0" upright="1"/>
                    </wps:wsp>
                  </a:graphicData>
                </a:graphic>
              </wp:anchor>
            </w:drawing>
          </mc:Choice>
          <mc:Fallback>
            <w:pict>
              <v:rect id="_x0000_s1026" o:spid="_x0000_s1026" o:spt="1" style="position:absolute;left:0pt;margin-left:267.2pt;margin-top:188.7pt;height:15.15pt;width:10.3pt;z-index:251692032;v-text-anchor:middle;mso-width-relative:page;mso-height-relative:page;" filled="f" stroked="t" coordsize="21600,21600" o:gfxdata="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rNpZq2gAAAAsBAAAPAAAAAAAAAAEA&#10;IAAAACIAAABkcnMvZG93bnJldi54bWxQSwECFAAUAAAACACHTuJAU9tL7g0CAAAdBAAADgAAAAAA&#10;AAABACAAAAApAQAAZHJzL2Uyb0RvYy54bWxQSwUGAAAAAAYABgBZAQAAqAUAAAAA&#10;">
                <v:fill on="f" focussize="0,0"/>
                <v:stroke weight="2.25pt" color="#FF0000" joinstyle="miter"/>
                <v:imagedata o:title=""/>
                <o:lock v:ext="edit" aspectratio="f"/>
                <v:textbox>
                  <w:txbxContent>
                    <w:p w14:paraId="64E32B90">
                      <w:pPr>
                        <w:rPr>
                          <w:rFonts w:hint="eastAsia"/>
                          <w:color w:val="FFFF00"/>
                        </w:rPr>
                      </w:pPr>
                    </w:p>
                  </w:txbxContent>
                </v:textbox>
              </v:rect>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1473200</wp:posOffset>
                </wp:positionH>
                <wp:positionV relativeFrom="paragraph">
                  <wp:posOffset>1943735</wp:posOffset>
                </wp:positionV>
                <wp:extent cx="990600" cy="749300"/>
                <wp:effectExtent l="4445" t="5080" r="548005" b="7620"/>
                <wp:wrapNone/>
                <wp:docPr id="33" name="圆角矩形标注 33"/>
                <wp:cNvGraphicFramePr/>
                <a:graphic xmlns:a="http://schemas.openxmlformats.org/drawingml/2006/main">
                  <a:graphicData uri="http://schemas.microsoft.com/office/word/2010/wordprocessingShape">
                    <wps:wsp>
                      <wps:cNvSpPr/>
                      <wps:spPr>
                        <a:xfrm>
                          <a:off x="0" y="0"/>
                          <a:ext cx="990600" cy="749300"/>
                        </a:xfrm>
                        <a:prstGeom prst="wedgeRoundRectCallout">
                          <a:avLst>
                            <a:gd name="adj1" fmla="val 101667"/>
                            <a:gd name="adj2" fmla="val 14407"/>
                            <a:gd name="adj3" fmla="val 16667"/>
                          </a:avLst>
                        </a:prstGeom>
                        <a:noFill/>
                        <a:ln w="9525" cap="flat" cmpd="sng">
                          <a:solidFill>
                            <a:srgbClr val="000000"/>
                          </a:solidFill>
                          <a:prstDash val="solid"/>
                          <a:miter/>
                          <a:headEnd type="none" w="med" len="med"/>
                          <a:tailEnd type="none" w="med" len="med"/>
                        </a:ln>
                      </wps:spPr>
                      <wps:txbx>
                        <w:txbxContent>
                          <w:p w14:paraId="795959C7">
                            <w:pPr>
                              <w:rPr>
                                <w:rFonts w:hint="default" w:eastAsia="宋体"/>
                                <w:b/>
                                <w:bCs/>
                                <w:lang w:val="en-US" w:eastAsia="zh-CN"/>
                              </w:rPr>
                            </w:pPr>
                            <w:r>
                              <w:rPr>
                                <w:rFonts w:hint="eastAsia"/>
                                <w:b/>
                                <w:bCs/>
                                <w:color w:val="FFFF00"/>
                              </w:rPr>
                              <w:t>北：</w:t>
                            </w:r>
                            <w:r>
                              <w:rPr>
                                <w:rFonts w:hint="eastAsia"/>
                                <w:b/>
                                <w:bCs/>
                                <w:color w:val="FFFF00"/>
                                <w:lang w:val="en-US" w:eastAsia="zh-CN"/>
                              </w:rPr>
                              <w:t>山东硕博环保设备有限公司</w:t>
                            </w:r>
                          </w:p>
                          <w:p w14:paraId="33B6390E">
                            <w:pPr>
                              <w:rPr>
                                <w:rFonts w:hint="eastAsia"/>
                                <w:lang w:eastAsia="zh-CN"/>
                              </w:rPr>
                            </w:pPr>
                          </w:p>
                        </w:txbxContent>
                      </wps:txbx>
                      <wps:bodyPr upright="1"/>
                    </wps:wsp>
                  </a:graphicData>
                </a:graphic>
              </wp:anchor>
            </w:drawing>
          </mc:Choice>
          <mc:Fallback>
            <w:pict>
              <v:shape id="_x0000_s1026" o:spid="_x0000_s1026" o:spt="62" type="#_x0000_t62" style="position:absolute;left:0pt;margin-left:116pt;margin-top:153.05pt;height:59pt;width:78pt;z-index:251669504;mso-width-relative:page;mso-height-relative:page;" filled="f" stroked="t" coordsize="21600,21600" o:gfxdata="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FEerH2gAAAAsBAAAPAAAAAAAA&#10;AAEAIAAAACIAAABkcnMvZG93bnJldi54bWxQSwECFAAUAAAACACHTuJAUlUYZkkCAACUBAAADgAA&#10;AAAAAAABACAAAAApAQAAZHJzL2Uyb0RvYy54bWxQSwUGAAAAAAYABgBZAQAA5AUAAAAA&#10;" adj="32760,13912,14400">
                <v:fill on="f" focussize="0,0"/>
                <v:stroke color="#000000" joinstyle="miter"/>
                <v:imagedata o:title=""/>
                <o:lock v:ext="edit" aspectratio="f"/>
                <v:textbox>
                  <w:txbxContent>
                    <w:p w14:paraId="795959C7">
                      <w:pPr>
                        <w:rPr>
                          <w:rFonts w:hint="default" w:eastAsia="宋体"/>
                          <w:b/>
                          <w:bCs/>
                          <w:lang w:val="en-US" w:eastAsia="zh-CN"/>
                        </w:rPr>
                      </w:pPr>
                      <w:r>
                        <w:rPr>
                          <w:rFonts w:hint="eastAsia"/>
                          <w:b/>
                          <w:bCs/>
                          <w:color w:val="FFFF00"/>
                        </w:rPr>
                        <w:t>北：</w:t>
                      </w:r>
                      <w:r>
                        <w:rPr>
                          <w:rFonts w:hint="eastAsia"/>
                          <w:b/>
                          <w:bCs/>
                          <w:color w:val="FFFF00"/>
                          <w:lang w:val="en-US" w:eastAsia="zh-CN"/>
                        </w:rPr>
                        <w:t>山东硕博环保设备有限公司</w:t>
                      </w:r>
                    </w:p>
                    <w:p w14:paraId="33B6390E">
                      <w:pPr>
                        <w:rPr>
                          <w:rFonts w:hint="eastAsia"/>
                          <w:lang w:eastAsia="zh-CN"/>
                        </w:rPr>
                      </w:pPr>
                    </w:p>
                  </w:txbxContent>
                </v:textbox>
              </v:shape>
            </w:pict>
          </mc:Fallback>
        </mc:AlternateContent>
      </w:r>
      <w:r>
        <w:drawing>
          <wp:anchor distT="0" distB="0" distL="114300" distR="114300" simplePos="0" relativeHeight="251673600" behindDoc="0" locked="0" layoutInCell="1" allowOverlap="1">
            <wp:simplePos x="0" y="0"/>
            <wp:positionH relativeFrom="column">
              <wp:posOffset>306705</wp:posOffset>
            </wp:positionH>
            <wp:positionV relativeFrom="paragraph">
              <wp:posOffset>4460240</wp:posOffset>
            </wp:positionV>
            <wp:extent cx="2286000" cy="762000"/>
            <wp:effectExtent l="0" t="0" r="0" b="0"/>
            <wp:wrapNone/>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44"/>
                    <a:stretch>
                      <a:fillRect/>
                    </a:stretch>
                  </pic:blipFill>
                  <pic:spPr>
                    <a:xfrm>
                      <a:off x="0" y="0"/>
                      <a:ext cx="2286000" cy="762000"/>
                    </a:xfrm>
                    <a:prstGeom prst="rect">
                      <a:avLst/>
                    </a:prstGeom>
                    <a:noFill/>
                    <a:ln>
                      <a:noFill/>
                    </a:ln>
                  </pic:spPr>
                </pic:pic>
              </a:graphicData>
            </a:graphic>
          </wp:anchor>
        </w:drawing>
      </w:r>
      <w:r>
        <mc:AlternateContent>
          <mc:Choice Requires="wps">
            <w:drawing>
              <wp:anchor distT="0" distB="0" distL="114300" distR="114300" simplePos="0" relativeHeight="251664384" behindDoc="0" locked="0" layoutInCell="1" allowOverlap="1">
                <wp:simplePos x="0" y="0"/>
                <wp:positionH relativeFrom="column">
                  <wp:posOffset>2930525</wp:posOffset>
                </wp:positionH>
                <wp:positionV relativeFrom="paragraph">
                  <wp:posOffset>5260975</wp:posOffset>
                </wp:positionV>
                <wp:extent cx="3366770" cy="457200"/>
                <wp:effectExtent l="0" t="0" r="0" b="0"/>
                <wp:wrapNone/>
                <wp:docPr id="42" name="矩形 42"/>
                <wp:cNvGraphicFramePr/>
                <a:graphic xmlns:a="http://schemas.openxmlformats.org/drawingml/2006/main">
                  <a:graphicData uri="http://schemas.microsoft.com/office/word/2010/wordprocessingShape">
                    <wps:wsp>
                      <wps:cNvSpPr/>
                      <wps:spPr>
                        <a:xfrm>
                          <a:off x="0" y="0"/>
                          <a:ext cx="3190240" cy="457200"/>
                        </a:xfrm>
                        <a:prstGeom prst="rect">
                          <a:avLst/>
                        </a:prstGeom>
                        <a:noFill/>
                        <a:ln w="12700" cap="flat" cmpd="sng" algn="ctr">
                          <a:noFill/>
                          <a:prstDash val="solid"/>
                          <a:miter lim="800000"/>
                        </a:ln>
                        <a:effectLst/>
                      </wps:spPr>
                      <wps:txbx>
                        <w:txbxContent>
                          <w:p w14:paraId="5F9E82B7">
                            <w:pPr>
                              <w:jc w:val="center"/>
                              <w:rPr>
                                <w:b/>
                                <w:sz w:val="28"/>
                                <w:szCs w:val="28"/>
                              </w:rPr>
                            </w:pPr>
                            <w:r>
                              <w:rPr>
                                <w:rFonts w:hint="eastAsia"/>
                                <w:b/>
                                <w:sz w:val="28"/>
                                <w:szCs w:val="28"/>
                              </w:rPr>
                              <w:t>附图2</w:t>
                            </w:r>
                            <w:r>
                              <w:rPr>
                                <w:rFonts w:hint="eastAsia"/>
                                <w:b/>
                                <w:sz w:val="28"/>
                                <w:szCs w:val="28"/>
                                <w:lang w:eastAsia="zh-CN"/>
                              </w:rPr>
                              <w:t>（</w:t>
                            </w:r>
                            <w:r>
                              <w:rPr>
                                <w:rFonts w:hint="eastAsia"/>
                                <w:b/>
                                <w:sz w:val="28"/>
                                <w:szCs w:val="28"/>
                                <w:lang w:val="en-US" w:eastAsia="zh-CN"/>
                              </w:rPr>
                              <w:t>1</w:t>
                            </w:r>
                            <w:r>
                              <w:rPr>
                                <w:rFonts w:hint="eastAsia"/>
                                <w:b/>
                                <w:sz w:val="28"/>
                                <w:szCs w:val="28"/>
                                <w:lang w:eastAsia="zh-CN"/>
                              </w:rPr>
                              <w:t>）</w:t>
                            </w:r>
                            <w:r>
                              <w:rPr>
                                <w:rFonts w:hint="eastAsia"/>
                                <w:b/>
                                <w:sz w:val="28"/>
                                <w:szCs w:val="28"/>
                              </w:rPr>
                              <w:t xml:space="preserve"> 项目周边关系</w:t>
                            </w:r>
                            <w:r>
                              <w:rPr>
                                <w:b/>
                                <w:sz w:val="28"/>
                                <w:szCs w:val="28"/>
                              </w:rPr>
                              <w:t>图</w:t>
                            </w:r>
                          </w:p>
                          <w:p w14:paraId="1E2D822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75pt;margin-top:414.25pt;height:36pt;width:265.1pt;z-index:251664384;v-text-anchor:middle;mso-width-relative:page;mso-height-relative:page;" filled="f" stroked="f" coordsize="21600,21600" o:gfxdata="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RNSY0tkAAAALAQAADwAAAAAAAAABACAAAAAiAAAAZHJzL2Rvd25yZXYueG1sUEsBAhQA&#10;FAAAAAgAh07iQC6l/fNjAgAAvQQAAA4AAAAAAAAAAQAgAAAAKAEAAGRycy9lMm9Eb2MueG1sUEsF&#10;BgAAAAAGAAYAWQEAAP0FAAAAAA==&#10;">
                <v:fill on="f" focussize="0,0"/>
                <v:stroke on="f" weight="1pt" miterlimit="8" joinstyle="miter"/>
                <v:imagedata o:title=""/>
                <o:lock v:ext="edit" aspectratio="f"/>
                <v:textbox>
                  <w:txbxContent>
                    <w:p w14:paraId="5F9E82B7">
                      <w:pPr>
                        <w:jc w:val="center"/>
                        <w:rPr>
                          <w:b/>
                          <w:sz w:val="28"/>
                          <w:szCs w:val="28"/>
                        </w:rPr>
                      </w:pPr>
                      <w:r>
                        <w:rPr>
                          <w:rFonts w:hint="eastAsia"/>
                          <w:b/>
                          <w:sz w:val="28"/>
                          <w:szCs w:val="28"/>
                        </w:rPr>
                        <w:t>附图2</w:t>
                      </w:r>
                      <w:r>
                        <w:rPr>
                          <w:rFonts w:hint="eastAsia"/>
                          <w:b/>
                          <w:sz w:val="28"/>
                          <w:szCs w:val="28"/>
                          <w:lang w:eastAsia="zh-CN"/>
                        </w:rPr>
                        <w:t>（</w:t>
                      </w:r>
                      <w:r>
                        <w:rPr>
                          <w:rFonts w:hint="eastAsia"/>
                          <w:b/>
                          <w:sz w:val="28"/>
                          <w:szCs w:val="28"/>
                          <w:lang w:val="en-US" w:eastAsia="zh-CN"/>
                        </w:rPr>
                        <w:t>1</w:t>
                      </w:r>
                      <w:r>
                        <w:rPr>
                          <w:rFonts w:hint="eastAsia"/>
                          <w:b/>
                          <w:sz w:val="28"/>
                          <w:szCs w:val="28"/>
                          <w:lang w:eastAsia="zh-CN"/>
                        </w:rPr>
                        <w:t>）</w:t>
                      </w:r>
                      <w:r>
                        <w:rPr>
                          <w:rFonts w:hint="eastAsia"/>
                          <w:b/>
                          <w:sz w:val="28"/>
                          <w:szCs w:val="28"/>
                        </w:rPr>
                        <w:t xml:space="preserve"> 项目周边关系</w:t>
                      </w:r>
                      <w:r>
                        <w:rPr>
                          <w:b/>
                          <w:sz w:val="28"/>
                          <w:szCs w:val="28"/>
                        </w:rPr>
                        <w:t>图</w:t>
                      </w:r>
                    </w:p>
                    <w:p w14:paraId="1E2D8229">
                      <w:pPr>
                        <w:jc w:val="center"/>
                      </w:pPr>
                    </w:p>
                  </w:txbxContent>
                </v:textbox>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2815590</wp:posOffset>
                </wp:positionH>
                <wp:positionV relativeFrom="paragraph">
                  <wp:posOffset>3276600</wp:posOffset>
                </wp:positionV>
                <wp:extent cx="1123950" cy="372745"/>
                <wp:effectExtent l="4445" t="302895" r="33655" b="10160"/>
                <wp:wrapNone/>
                <wp:docPr id="44" name="圆角矩形标注 44"/>
                <wp:cNvGraphicFramePr/>
                <a:graphic xmlns:a="http://schemas.openxmlformats.org/drawingml/2006/main">
                  <a:graphicData uri="http://schemas.microsoft.com/office/word/2010/wordprocessingShape">
                    <wps:wsp>
                      <wps:cNvSpPr/>
                      <wps:spPr>
                        <a:xfrm>
                          <a:off x="0" y="0"/>
                          <a:ext cx="1123950" cy="372745"/>
                        </a:xfrm>
                        <a:prstGeom prst="wedgeRoundRectCallout">
                          <a:avLst>
                            <a:gd name="adj1" fmla="val 50227"/>
                            <a:gd name="adj2" fmla="val -127264"/>
                            <a:gd name="adj3" fmla="val 16667"/>
                          </a:avLst>
                        </a:prstGeom>
                        <a:noFill/>
                        <a:ln w="9525" cap="flat" cmpd="sng">
                          <a:solidFill>
                            <a:srgbClr val="000000"/>
                          </a:solidFill>
                          <a:prstDash val="solid"/>
                          <a:miter/>
                          <a:headEnd type="none" w="med" len="med"/>
                          <a:tailEnd type="none" w="med" len="med"/>
                        </a:ln>
                      </wps:spPr>
                      <wps:txbx>
                        <w:txbxContent>
                          <w:p w14:paraId="4EFC6C32">
                            <w:pPr>
                              <w:rPr>
                                <w:rFonts w:hint="eastAsia"/>
                                <w:b/>
                                <w:bCs/>
                              </w:rPr>
                            </w:pPr>
                            <w:r>
                              <w:rPr>
                                <w:rFonts w:hint="eastAsia"/>
                                <w:b/>
                                <w:bCs/>
                                <w:color w:val="FFFF00"/>
                              </w:rPr>
                              <w:t>南：</w:t>
                            </w:r>
                            <w:r>
                              <w:rPr>
                                <w:rFonts w:hint="eastAsia" w:ascii="Times New Roman" w:hAnsi="Times New Roman" w:eastAsia="宋体" w:cs="Times New Roman"/>
                                <w:b/>
                                <w:bCs/>
                                <w:color w:val="FFFF00"/>
                                <w:sz w:val="21"/>
                                <w:szCs w:val="21"/>
                                <w:highlight w:val="none"/>
                                <w:lang w:val="en-US" w:eastAsia="zh-CN"/>
                              </w:rPr>
                              <w:t>树林</w:t>
                            </w:r>
                          </w:p>
                        </w:txbxContent>
                      </wps:txbx>
                      <wps:bodyPr upright="1"/>
                    </wps:wsp>
                  </a:graphicData>
                </a:graphic>
              </wp:anchor>
            </w:drawing>
          </mc:Choice>
          <mc:Fallback>
            <w:pict>
              <v:shape id="_x0000_s1026" o:spid="_x0000_s1026" o:spt="62" type="#_x0000_t62" style="position:absolute;left:0pt;margin-left:221.7pt;margin-top:258pt;height:29.35pt;width:88.5pt;z-index:251668480;mso-width-relative:page;mso-height-relative:page;" filled="f" stroked="t" coordsize="21600,21600" o:gfxdata="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wZErrVAAAACwEAAA8AAAAA&#10;AAAAAQAgAAAAIgAAAGRycy9kb3ducmV2LnhtbFBLAQIUABQAAAAIAIdO4kDnadGyUAIAAJYEAAAO&#10;AAAAAAAAAAEAIAAAACQBAABkcnMvZTJvRG9jLnhtbFBLBQYAAAAABgAGAFkBAADmBQAAAAA=&#10;" adj="21649,-16689,14400">
                <v:fill on="f" focussize="0,0"/>
                <v:stroke color="#000000" joinstyle="miter"/>
                <v:imagedata o:title=""/>
                <o:lock v:ext="edit" aspectratio="f"/>
                <v:textbox>
                  <w:txbxContent>
                    <w:p w14:paraId="4EFC6C32">
                      <w:pPr>
                        <w:rPr>
                          <w:rFonts w:hint="eastAsia"/>
                          <w:b/>
                          <w:bCs/>
                        </w:rPr>
                      </w:pPr>
                      <w:r>
                        <w:rPr>
                          <w:rFonts w:hint="eastAsia"/>
                          <w:b/>
                          <w:bCs/>
                          <w:color w:val="FFFF00"/>
                        </w:rPr>
                        <w:t>南：</w:t>
                      </w:r>
                      <w:r>
                        <w:rPr>
                          <w:rFonts w:hint="eastAsia" w:ascii="Times New Roman" w:hAnsi="Times New Roman" w:eastAsia="宋体" w:cs="Times New Roman"/>
                          <w:b/>
                          <w:bCs/>
                          <w:color w:val="FFFF00"/>
                          <w:sz w:val="21"/>
                          <w:szCs w:val="21"/>
                          <w:highlight w:val="none"/>
                          <w:lang w:val="en-US" w:eastAsia="zh-CN"/>
                        </w:rPr>
                        <w:t>树林</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3113405</wp:posOffset>
                </wp:positionH>
                <wp:positionV relativeFrom="paragraph">
                  <wp:posOffset>730885</wp:posOffset>
                </wp:positionV>
                <wp:extent cx="1443355" cy="521970"/>
                <wp:effectExtent l="4445" t="4445" r="19050" b="978535"/>
                <wp:wrapNone/>
                <wp:docPr id="35" name="圆角矩形标注 35"/>
                <wp:cNvGraphicFramePr/>
                <a:graphic xmlns:a="http://schemas.openxmlformats.org/drawingml/2006/main">
                  <a:graphicData uri="http://schemas.microsoft.com/office/word/2010/wordprocessingShape">
                    <wps:wsp>
                      <wps:cNvSpPr/>
                      <wps:spPr>
                        <a:xfrm>
                          <a:off x="0" y="0"/>
                          <a:ext cx="1443355" cy="521970"/>
                        </a:xfrm>
                        <a:prstGeom prst="wedgeRoundRectCallout">
                          <a:avLst>
                            <a:gd name="adj1" fmla="val 10667"/>
                            <a:gd name="adj2" fmla="val 231389"/>
                            <a:gd name="adj3" fmla="val 16667"/>
                          </a:avLst>
                        </a:prstGeom>
                        <a:noFill/>
                        <a:ln w="9525" cap="flat" cmpd="sng">
                          <a:solidFill>
                            <a:srgbClr val="000000"/>
                          </a:solidFill>
                          <a:prstDash val="solid"/>
                          <a:miter/>
                          <a:headEnd type="none" w="med" len="med"/>
                          <a:tailEnd type="none" w="med" len="med"/>
                        </a:ln>
                      </wps:spPr>
                      <wps:txbx>
                        <w:txbxContent>
                          <w:p w14:paraId="01FB7FB9">
                            <w:pPr>
                              <w:rPr>
                                <w:rFonts w:hint="default" w:eastAsia="宋体"/>
                                <w:b/>
                                <w:bCs/>
                                <w:lang w:val="en-US" w:eastAsia="zh-CN"/>
                              </w:rPr>
                            </w:pPr>
                            <w:r>
                              <w:rPr>
                                <w:rFonts w:hint="eastAsia"/>
                                <w:b/>
                                <w:bCs/>
                                <w:color w:val="FFFF00"/>
                              </w:rPr>
                              <w:t>北：</w:t>
                            </w:r>
                            <w:r>
                              <w:rPr>
                                <w:rFonts w:hint="eastAsia"/>
                                <w:b/>
                                <w:bCs/>
                                <w:color w:val="FFFF00"/>
                                <w:lang w:val="en-US" w:eastAsia="zh-CN"/>
                              </w:rPr>
                              <w:t>山东硕博环保设备有限公司</w:t>
                            </w:r>
                          </w:p>
                        </w:txbxContent>
                      </wps:txbx>
                      <wps:bodyPr upright="1"/>
                    </wps:wsp>
                  </a:graphicData>
                </a:graphic>
              </wp:anchor>
            </w:drawing>
          </mc:Choice>
          <mc:Fallback>
            <w:pict>
              <v:shape id="_x0000_s1026" o:spid="_x0000_s1026" o:spt="62" type="#_x0000_t62" style="position:absolute;left:0pt;margin-left:245.15pt;margin-top:57.55pt;height:41.1pt;width:113.65pt;z-index:251666432;mso-width-relative:page;mso-height-relative:page;" filled="f" stroked="t" coordsize="21600,21600" o:gfxdata="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9Djm2gAAAAsBAAAPAAAA&#10;AAAAAAEAIAAAACIAAABkcnMvZG93bnJldi54bWxQSwECFAAUAAAACACHTuJAJ40cW0wCAACVBAAA&#10;DgAAAAAAAAABACAAAAApAQAAZHJzL2Uyb0RvYy54bWxQSwUGAAAAAAYABgBZAQAA5wUAAAAA&#10;" adj="13104,60780,14400">
                <v:fill on="f" focussize="0,0"/>
                <v:stroke color="#000000" joinstyle="miter"/>
                <v:imagedata o:title=""/>
                <o:lock v:ext="edit" aspectratio="f"/>
                <v:textbox>
                  <w:txbxContent>
                    <w:p w14:paraId="01FB7FB9">
                      <w:pPr>
                        <w:rPr>
                          <w:rFonts w:hint="default" w:eastAsia="宋体"/>
                          <w:b/>
                          <w:bCs/>
                          <w:lang w:val="en-US" w:eastAsia="zh-CN"/>
                        </w:rPr>
                      </w:pPr>
                      <w:r>
                        <w:rPr>
                          <w:rFonts w:hint="eastAsia"/>
                          <w:b/>
                          <w:bCs/>
                          <w:color w:val="FFFF00"/>
                        </w:rPr>
                        <w:t>北：</w:t>
                      </w:r>
                      <w:r>
                        <w:rPr>
                          <w:rFonts w:hint="eastAsia"/>
                          <w:b/>
                          <w:bCs/>
                          <w:color w:val="FFFF00"/>
                          <w:lang w:val="en-US" w:eastAsia="zh-CN"/>
                        </w:rPr>
                        <w:t>山东硕博环保设备有限公司</w:t>
                      </w:r>
                    </w:p>
                  </w:txbxContent>
                </v:textbox>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5315585</wp:posOffset>
                </wp:positionH>
                <wp:positionV relativeFrom="paragraph">
                  <wp:posOffset>1852930</wp:posOffset>
                </wp:positionV>
                <wp:extent cx="1085850" cy="664210"/>
                <wp:effectExtent l="839470" t="4445" r="17780" b="226695"/>
                <wp:wrapNone/>
                <wp:docPr id="37" name="圆角矩形标注 37"/>
                <wp:cNvGraphicFramePr/>
                <a:graphic xmlns:a="http://schemas.openxmlformats.org/drawingml/2006/main">
                  <a:graphicData uri="http://schemas.microsoft.com/office/word/2010/wordprocessingShape">
                    <wps:wsp>
                      <wps:cNvSpPr/>
                      <wps:spPr>
                        <a:xfrm>
                          <a:off x="0" y="0"/>
                          <a:ext cx="1085850" cy="664210"/>
                        </a:xfrm>
                        <a:prstGeom prst="wedgeRoundRectCallout">
                          <a:avLst>
                            <a:gd name="adj1" fmla="val -124088"/>
                            <a:gd name="adj2" fmla="val 79065"/>
                            <a:gd name="adj3" fmla="val 16667"/>
                          </a:avLst>
                        </a:prstGeom>
                        <a:noFill/>
                        <a:ln w="9525" cap="flat" cmpd="sng">
                          <a:solidFill>
                            <a:srgbClr val="000000"/>
                          </a:solidFill>
                          <a:prstDash val="solid"/>
                          <a:miter/>
                          <a:headEnd type="none" w="med" len="med"/>
                          <a:tailEnd type="none" w="med" len="med"/>
                        </a:ln>
                      </wps:spPr>
                      <wps:txbx>
                        <w:txbxContent>
                          <w:p w14:paraId="252DE41B">
                            <w:pPr>
                              <w:rPr>
                                <w:rFonts w:hint="default" w:eastAsia="宋体"/>
                                <w:b/>
                                <w:bCs/>
                                <w:color w:val="FFFF00"/>
                                <w:lang w:val="en-US" w:eastAsia="zh-CN"/>
                              </w:rPr>
                            </w:pPr>
                            <w:r>
                              <w:rPr>
                                <w:rFonts w:hint="eastAsia"/>
                                <w:b/>
                                <w:bCs/>
                                <w:color w:val="FFFF00"/>
                              </w:rPr>
                              <w:t>东：</w:t>
                            </w:r>
                            <w:r>
                              <w:rPr>
                                <w:rFonts w:hint="eastAsia" w:ascii="Times New Roman" w:hAnsi="Times New Roman" w:eastAsia="宋体" w:cs="Times New Roman"/>
                                <w:b/>
                                <w:bCs/>
                                <w:color w:val="FFFF00"/>
                                <w:sz w:val="21"/>
                                <w:szCs w:val="21"/>
                                <w:highlight w:val="none"/>
                                <w:lang w:val="en-US" w:eastAsia="zh-CN"/>
                              </w:rPr>
                              <w:t>淄博美龙电子有限公司</w:t>
                            </w:r>
                          </w:p>
                        </w:txbxContent>
                      </wps:txbx>
                      <wps:bodyPr upright="1"/>
                    </wps:wsp>
                  </a:graphicData>
                </a:graphic>
              </wp:anchor>
            </w:drawing>
          </mc:Choice>
          <mc:Fallback>
            <w:pict>
              <v:shape id="_x0000_s1026" o:spid="_x0000_s1026" o:spt="62" type="#_x0000_t62" style="position:absolute;left:0pt;margin-left:418.55pt;margin-top:145.9pt;height:52.3pt;width:85.5pt;z-index:251667456;mso-width-relative:page;mso-height-relative:page;" filled="f" stroked="t" coordsize="21600,21600" o:gfxdata="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qtE1PcAAAADAEA&#10;AA8AAAAAAAAAAQAgAAAAIgAAAGRycy9kb3ducmV2LnhtbFBLAQIUABQAAAAIAIdO4kAlM006TwIA&#10;AJYEAAAOAAAAAAAAAAEAIAAAACsBAABkcnMvZTJvRG9jLnhtbFBLBQYAAAAABgAGAFkBAADsBQAA&#10;AAA=&#10;" adj="-16003,27878,14400">
                <v:fill on="f" focussize="0,0"/>
                <v:stroke color="#000000" joinstyle="miter"/>
                <v:imagedata o:title=""/>
                <o:lock v:ext="edit" aspectratio="f"/>
                <v:textbox>
                  <w:txbxContent>
                    <w:p w14:paraId="252DE41B">
                      <w:pPr>
                        <w:rPr>
                          <w:rFonts w:hint="default" w:eastAsia="宋体"/>
                          <w:b/>
                          <w:bCs/>
                          <w:color w:val="FFFF00"/>
                          <w:lang w:val="en-US" w:eastAsia="zh-CN"/>
                        </w:rPr>
                      </w:pPr>
                      <w:r>
                        <w:rPr>
                          <w:rFonts w:hint="eastAsia"/>
                          <w:b/>
                          <w:bCs/>
                          <w:color w:val="FFFF00"/>
                        </w:rPr>
                        <w:t>东：</w:t>
                      </w:r>
                      <w:r>
                        <w:rPr>
                          <w:rFonts w:hint="eastAsia" w:ascii="Times New Roman" w:hAnsi="Times New Roman" w:eastAsia="宋体" w:cs="Times New Roman"/>
                          <w:b/>
                          <w:bCs/>
                          <w:color w:val="FFFF00"/>
                          <w:sz w:val="21"/>
                          <w:szCs w:val="21"/>
                          <w:highlight w:val="none"/>
                          <w:lang w:val="en-US" w:eastAsia="zh-CN"/>
                        </w:rPr>
                        <w:t>淄博美龙电子有限公司</w:t>
                      </w: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3753485</wp:posOffset>
                </wp:positionH>
                <wp:positionV relativeFrom="paragraph">
                  <wp:posOffset>2515235</wp:posOffset>
                </wp:positionV>
                <wp:extent cx="453390" cy="250825"/>
                <wp:effectExtent l="14605" t="14605" r="27305" b="20320"/>
                <wp:wrapNone/>
                <wp:docPr id="38" name="矩形 38"/>
                <wp:cNvGraphicFramePr/>
                <a:graphic xmlns:a="http://schemas.openxmlformats.org/drawingml/2006/main">
                  <a:graphicData uri="http://schemas.microsoft.com/office/word/2010/wordprocessingShape">
                    <wps:wsp>
                      <wps:cNvSpPr/>
                      <wps:spPr>
                        <a:xfrm>
                          <a:off x="0" y="0"/>
                          <a:ext cx="453390" cy="250825"/>
                        </a:xfrm>
                        <a:prstGeom prst="rect">
                          <a:avLst/>
                        </a:prstGeom>
                        <a:noFill/>
                        <a:ln w="28575" cap="flat" cmpd="sng">
                          <a:solidFill>
                            <a:srgbClr val="FF0000"/>
                          </a:solidFill>
                          <a:prstDash val="solid"/>
                          <a:miter/>
                          <a:headEnd type="none" w="med" len="med"/>
                          <a:tailEnd type="none" w="med" len="med"/>
                        </a:ln>
                      </wps:spPr>
                      <wps:txbx>
                        <w:txbxContent>
                          <w:p w14:paraId="4A144665">
                            <w:pPr>
                              <w:rPr>
                                <w:rFonts w:hint="eastAsia"/>
                                <w:color w:val="FFFF00"/>
                              </w:rPr>
                            </w:pPr>
                          </w:p>
                        </w:txbxContent>
                      </wps:txbx>
                      <wps:bodyPr anchor="ctr" anchorCtr="0" upright="1"/>
                    </wps:wsp>
                  </a:graphicData>
                </a:graphic>
              </wp:anchor>
            </w:drawing>
          </mc:Choice>
          <mc:Fallback>
            <w:pict>
              <v:rect id="_x0000_s1026" o:spid="_x0000_s1026" o:spt="1" style="position:absolute;left:0pt;margin-left:295.55pt;margin-top:198.05pt;height:19.75pt;width:35.7pt;z-index:251670528;v-text-anchor:middle;mso-width-relative:page;mso-height-relative:page;" filled="f" stroked="t" coordsize="21600,21600" o:gfxdata="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q4HGp2gAAAAsBAAAPAAAAAAAAAAEA&#10;IAAAACIAAABkcnMvZG93bnJldi54bWxQSwECFAAUAAAACACHTuJAeaIIHw0CAAAdBAAADgAAAAAA&#10;AAABACAAAAApAQAAZHJzL2Uyb0RvYy54bWxQSwUGAAAAAAYABgBZAQAAqAUAAAAA&#10;">
                <v:fill on="f" focussize="0,0"/>
                <v:stroke weight="2.25pt" color="#FF0000" joinstyle="miter"/>
                <v:imagedata o:title=""/>
                <o:lock v:ext="edit" aspectratio="f"/>
                <v:textbox>
                  <w:txbxContent>
                    <w:p w14:paraId="4A144665">
                      <w:pPr>
                        <w:rPr>
                          <w:rFonts w:hint="eastAsia"/>
                          <w:color w:val="FFFF00"/>
                        </w:rPr>
                      </w:pPr>
                    </w:p>
                  </w:txbxContent>
                </v:textbox>
              </v:rect>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470535</wp:posOffset>
                </wp:positionH>
                <wp:positionV relativeFrom="paragraph">
                  <wp:posOffset>4086860</wp:posOffset>
                </wp:positionV>
                <wp:extent cx="1120140" cy="400050"/>
                <wp:effectExtent l="0" t="0" r="0" b="0"/>
                <wp:wrapNone/>
                <wp:docPr id="39" name="矩形 39"/>
                <wp:cNvGraphicFramePr/>
                <a:graphic xmlns:a="http://schemas.openxmlformats.org/drawingml/2006/main">
                  <a:graphicData uri="http://schemas.microsoft.com/office/word/2010/wordprocessingShape">
                    <wps:wsp>
                      <wps:cNvSpPr/>
                      <wps:spPr>
                        <a:xfrm>
                          <a:off x="3707765" y="3714750"/>
                          <a:ext cx="876300" cy="400050"/>
                        </a:xfrm>
                        <a:prstGeom prst="rect">
                          <a:avLst/>
                        </a:prstGeom>
                        <a:noFill/>
                        <a:ln w="12700" cap="flat" cmpd="sng" algn="ctr">
                          <a:noFill/>
                          <a:prstDash val="solid"/>
                          <a:miter lim="800000"/>
                        </a:ln>
                        <a:effectLst/>
                      </wps:spPr>
                      <wps:txbx>
                        <w:txbxContent>
                          <w:p w14:paraId="517C7754">
                            <w:pPr>
                              <w:jc w:val="center"/>
                              <w:rPr>
                                <w:rFonts w:hint="eastAsia" w:eastAsia="宋体"/>
                                <w:b/>
                                <w:bCs/>
                                <w:color w:val="FFFFFF"/>
                                <w:sz w:val="21"/>
                                <w:szCs w:val="21"/>
                                <w:lang w:eastAsia="zh-CN"/>
                              </w:rPr>
                            </w:pPr>
                            <w:r>
                              <w:rPr>
                                <w:rFonts w:hint="eastAsia"/>
                                <w:b/>
                                <w:bCs/>
                                <w:color w:val="FFFFFF"/>
                                <w:sz w:val="21"/>
                                <w:szCs w:val="21"/>
                                <w:lang w:eastAsia="zh-CN"/>
                              </w:rPr>
                              <w:t>比例尺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05pt;margin-top:321.8pt;height:31.5pt;width:88.2pt;z-index:251671552;v-text-anchor:middle;mso-width-relative:page;mso-height-relative:page;" filled="f" stroked="f" coordsize="21600,21600" o:gfxdata="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AwzjzYAAAACgEAAA8AAAAAAAAAAQAgAAAAIgAAAGRycy9kb3ducmV2&#10;LnhtbFBLAQIUABQAAAAIAIdO4kBlUgZzbgIAAMgEAAAOAAAAAAAAAAEAIAAAACcBAABkcnMvZTJv&#10;RG9jLnhtbFBLBQYAAAAABgAGAFkBAAAHBgAAAAA=&#10;">
                <v:fill on="f" focussize="0,0"/>
                <v:stroke on="f" weight="1pt" miterlimit="8" joinstyle="miter"/>
                <v:imagedata o:title=""/>
                <o:lock v:ext="edit" aspectratio="f"/>
                <v:textbox>
                  <w:txbxContent>
                    <w:p w14:paraId="517C7754">
                      <w:pPr>
                        <w:jc w:val="center"/>
                        <w:rPr>
                          <w:rFonts w:hint="eastAsia" w:eastAsia="宋体"/>
                          <w:b/>
                          <w:bCs/>
                          <w:color w:val="FFFFFF"/>
                          <w:sz w:val="21"/>
                          <w:szCs w:val="21"/>
                          <w:lang w:eastAsia="zh-CN"/>
                        </w:rPr>
                      </w:pPr>
                      <w:r>
                        <w:rPr>
                          <w:rFonts w:hint="eastAsia"/>
                          <w:b/>
                          <w:bCs/>
                          <w:color w:val="FFFFFF"/>
                          <w:sz w:val="21"/>
                          <w:szCs w:val="21"/>
                          <w:lang w:eastAsia="zh-CN"/>
                        </w:rPr>
                        <w:t>比例尺</w:t>
                      </w:r>
                    </w:p>
                  </w:txbxContent>
                </v:textbox>
              </v:rect>
            </w:pict>
          </mc:Fallback>
        </mc:AlternateContent>
      </w:r>
      <w:r>
        <w:drawing>
          <wp:inline distT="0" distB="0" distL="114300" distR="114300">
            <wp:extent cx="8345805" cy="5185410"/>
            <wp:effectExtent l="0" t="0" r="17145" b="15240"/>
            <wp:docPr id="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
                    <pic:cNvPicPr>
                      <a:picLocks noChangeAspect="1"/>
                    </pic:cNvPicPr>
                  </pic:nvPicPr>
                  <pic:blipFill>
                    <a:blip r:embed="rId45"/>
                    <a:stretch>
                      <a:fillRect/>
                    </a:stretch>
                  </pic:blipFill>
                  <pic:spPr>
                    <a:xfrm>
                      <a:off x="0" y="0"/>
                      <a:ext cx="8345805" cy="5185410"/>
                    </a:xfrm>
                    <a:prstGeom prst="rect">
                      <a:avLst/>
                    </a:prstGeom>
                    <a:noFill/>
                    <a:ln>
                      <a:noFill/>
                    </a:ln>
                  </pic:spPr>
                </pic:pic>
              </a:graphicData>
            </a:graphic>
          </wp:inline>
        </w:drawing>
      </w:r>
      <w:r>
        <w:drawing>
          <wp:anchor distT="0" distB="0" distL="114300" distR="114300" simplePos="0" relativeHeight="251695104" behindDoc="0" locked="0" layoutInCell="1" allowOverlap="1">
            <wp:simplePos x="0" y="0"/>
            <wp:positionH relativeFrom="column">
              <wp:posOffset>7669530</wp:posOffset>
            </wp:positionH>
            <wp:positionV relativeFrom="paragraph">
              <wp:posOffset>57785</wp:posOffset>
            </wp:positionV>
            <wp:extent cx="932180" cy="789940"/>
            <wp:effectExtent l="0" t="0" r="1270" b="10160"/>
            <wp:wrapNone/>
            <wp:docPr id="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9"/>
                    <pic:cNvPicPr>
                      <a:picLocks noChangeAspect="1"/>
                    </pic:cNvPicPr>
                  </pic:nvPicPr>
                  <pic:blipFill>
                    <a:blip r:embed="rId41"/>
                    <a:stretch>
                      <a:fillRect/>
                    </a:stretch>
                  </pic:blipFill>
                  <pic:spPr>
                    <a:xfrm>
                      <a:off x="0" y="0"/>
                      <a:ext cx="932180" cy="789940"/>
                    </a:xfrm>
                    <a:prstGeom prst="rect">
                      <a:avLst/>
                    </a:prstGeom>
                    <a:noFill/>
                    <a:ln>
                      <a:noFill/>
                    </a:ln>
                  </pic:spPr>
                </pic:pic>
              </a:graphicData>
            </a:graphic>
          </wp:anchor>
        </w:drawing>
      </w:r>
      <w:r>
        <w:rPr>
          <w:sz w:val="21"/>
        </w:rPr>
        <mc:AlternateContent>
          <mc:Choice Requires="wps">
            <w:drawing>
              <wp:anchor distT="0" distB="0" distL="114300" distR="114300" simplePos="0" relativeHeight="251691008" behindDoc="0" locked="0" layoutInCell="1" allowOverlap="1">
                <wp:simplePos x="0" y="0"/>
                <wp:positionH relativeFrom="column">
                  <wp:posOffset>5380355</wp:posOffset>
                </wp:positionH>
                <wp:positionV relativeFrom="paragraph">
                  <wp:posOffset>3208020</wp:posOffset>
                </wp:positionV>
                <wp:extent cx="608330" cy="304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608330" cy="304800"/>
                        </a:xfrm>
                        <a:prstGeom prst="rect">
                          <a:avLst/>
                        </a:prstGeom>
                        <a:noFill/>
                        <a:ln>
                          <a:noFill/>
                        </a:ln>
                      </wps:spPr>
                      <wps:txbx>
                        <w:txbxContent>
                          <w:p w14:paraId="5D500726">
                            <w:pPr>
                              <w:rPr>
                                <w:rFonts w:hint="default" w:ascii="Times New Roman" w:hAnsi="Times New Roman" w:eastAsia="宋体" w:cs="Times New Roman"/>
                                <w:b/>
                                <w:bCs/>
                                <w:color w:val="FF0000"/>
                                <w:sz w:val="18"/>
                                <w:szCs w:val="21"/>
                                <w:lang w:val="en-US" w:eastAsia="zh-CN"/>
                              </w:rPr>
                            </w:pPr>
                            <w:r>
                              <w:rPr>
                                <w:rFonts w:hint="eastAsia" w:ascii="Times New Roman" w:hAnsi="Times New Roman" w:cs="Times New Roman"/>
                                <w:b/>
                                <w:bCs/>
                                <w:color w:val="FF0000"/>
                                <w:sz w:val="18"/>
                                <w:szCs w:val="21"/>
                                <w:lang w:val="en-US" w:eastAsia="zh-CN"/>
                              </w:rPr>
                              <w:t>1100</w:t>
                            </w:r>
                            <w:r>
                              <w:rPr>
                                <w:rFonts w:hint="default" w:ascii="Times New Roman" w:hAnsi="Times New Roman" w:cs="Times New Roman"/>
                                <w:b/>
                                <w:bCs/>
                                <w:color w:val="FF0000"/>
                                <w:sz w:val="18"/>
                                <w:szCs w:val="21"/>
                                <w:lang w:val="en-US" w:eastAsia="zh-CN"/>
                              </w:rPr>
                              <w:t>m</w:t>
                            </w:r>
                          </w:p>
                        </w:txbxContent>
                      </wps:txbx>
                      <wps:bodyPr upright="1"/>
                    </wps:wsp>
                  </a:graphicData>
                </a:graphic>
              </wp:anchor>
            </w:drawing>
          </mc:Choice>
          <mc:Fallback>
            <w:pict>
              <v:shape id="_x0000_s1026" o:spid="_x0000_s1026" o:spt="202" type="#_x0000_t202" style="position:absolute;left:0pt;margin-left:423.65pt;margin-top:252.6pt;height:24pt;width:47.9pt;z-index:251691008;mso-width-relative:page;mso-height-relative:page;" filled="f" stroked="f" coordsize="21600,21600" o:gfxdata="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u/mfY&#10;AAAACwEAAA8AAAAAAAAAAQAgAAAAIgAAAGRycy9kb3ducmV2LnhtbFBLAQIUABQAAAAIAIdO4kAF&#10;rh6ZrgEAAE8DAAAOAAAAAAAAAAEAIAAAACcBAABkcnMvZTJvRG9jLnhtbFBLBQYAAAAABgAGAFkB&#10;AABHBQAAAAA=&#10;">
                <v:fill on="f" focussize="0,0"/>
                <v:stroke on="f"/>
                <v:imagedata o:title=""/>
                <o:lock v:ext="edit" aspectratio="f"/>
                <v:textbox>
                  <w:txbxContent>
                    <w:p w14:paraId="5D500726">
                      <w:pPr>
                        <w:rPr>
                          <w:rFonts w:hint="default" w:ascii="Times New Roman" w:hAnsi="Times New Roman" w:eastAsia="宋体" w:cs="Times New Roman"/>
                          <w:b/>
                          <w:bCs/>
                          <w:color w:val="FF0000"/>
                          <w:sz w:val="18"/>
                          <w:szCs w:val="21"/>
                          <w:lang w:val="en-US" w:eastAsia="zh-CN"/>
                        </w:rPr>
                      </w:pPr>
                      <w:r>
                        <w:rPr>
                          <w:rFonts w:hint="eastAsia" w:ascii="Times New Roman" w:hAnsi="Times New Roman" w:cs="Times New Roman"/>
                          <w:b/>
                          <w:bCs/>
                          <w:color w:val="FF0000"/>
                          <w:sz w:val="18"/>
                          <w:szCs w:val="21"/>
                          <w:lang w:val="en-US" w:eastAsia="zh-CN"/>
                        </w:rPr>
                        <w:t>1100</w:t>
                      </w:r>
                      <w:r>
                        <w:rPr>
                          <w:rFonts w:hint="default" w:ascii="Times New Roman" w:hAnsi="Times New Roman" w:cs="Times New Roman"/>
                          <w:b/>
                          <w:bCs/>
                          <w:color w:val="FF0000"/>
                          <w:sz w:val="18"/>
                          <w:szCs w:val="21"/>
                          <w:lang w:val="en-US" w:eastAsia="zh-CN"/>
                        </w:rPr>
                        <w:t>m</w:t>
                      </w:r>
                    </w:p>
                  </w:txbxContent>
                </v:textbox>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5600065</wp:posOffset>
                </wp:positionH>
                <wp:positionV relativeFrom="paragraph">
                  <wp:posOffset>1624965</wp:posOffset>
                </wp:positionV>
                <wp:extent cx="608330" cy="304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608330" cy="304800"/>
                        </a:xfrm>
                        <a:prstGeom prst="rect">
                          <a:avLst/>
                        </a:prstGeom>
                        <a:noFill/>
                        <a:ln>
                          <a:noFill/>
                        </a:ln>
                      </wps:spPr>
                      <wps:txbx>
                        <w:txbxContent>
                          <w:p w14:paraId="3704D65F">
                            <w:pPr>
                              <w:rPr>
                                <w:rFonts w:hint="default" w:ascii="Times New Roman" w:hAnsi="Times New Roman" w:eastAsia="宋体" w:cs="Times New Roman"/>
                                <w:b/>
                                <w:bCs/>
                                <w:color w:val="FF0000"/>
                                <w:sz w:val="18"/>
                                <w:szCs w:val="21"/>
                                <w:lang w:val="en-US" w:eastAsia="zh-CN"/>
                              </w:rPr>
                            </w:pPr>
                            <w:r>
                              <w:rPr>
                                <w:rFonts w:hint="eastAsia" w:ascii="Times New Roman" w:hAnsi="Times New Roman" w:cs="Times New Roman"/>
                                <w:b/>
                                <w:bCs/>
                                <w:color w:val="FF0000"/>
                                <w:sz w:val="18"/>
                                <w:szCs w:val="21"/>
                                <w:lang w:val="en-US" w:eastAsia="zh-CN"/>
                              </w:rPr>
                              <w:t>1118</w:t>
                            </w:r>
                            <w:r>
                              <w:rPr>
                                <w:rFonts w:hint="default" w:ascii="Times New Roman" w:hAnsi="Times New Roman" w:cs="Times New Roman"/>
                                <w:b/>
                                <w:bCs/>
                                <w:color w:val="FF0000"/>
                                <w:sz w:val="18"/>
                                <w:szCs w:val="21"/>
                                <w:lang w:val="en-US" w:eastAsia="zh-CN"/>
                              </w:rPr>
                              <w:t>m</w:t>
                            </w:r>
                          </w:p>
                        </w:txbxContent>
                      </wps:txbx>
                      <wps:bodyPr upright="1"/>
                    </wps:wsp>
                  </a:graphicData>
                </a:graphic>
              </wp:anchor>
            </w:drawing>
          </mc:Choice>
          <mc:Fallback>
            <w:pict>
              <v:shape id="_x0000_s1026" o:spid="_x0000_s1026" o:spt="202" type="#_x0000_t202" style="position:absolute;left:0pt;margin-left:440.95pt;margin-top:127.95pt;height:24pt;width:47.9pt;z-index:251689984;mso-width-relative:page;mso-height-relative:page;" filled="f" stroked="f" coordsize="21600,21600" o:gfxdata="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2qu0s&#10;2QAAAAsBAAAPAAAAAAAAAAEAIAAAACIAAABkcnMvZG93bnJldi54bWxQSwECFAAUAAAACACHTuJA&#10;flAcD64BAABPAwAADgAAAAAAAAABACAAAAAoAQAAZHJzL2Uyb0RvYy54bWxQSwUGAAAAAAYABgBZ&#10;AQAASAUAAAAA&#10;">
                <v:fill on="f" focussize="0,0"/>
                <v:stroke on="f"/>
                <v:imagedata o:title=""/>
                <o:lock v:ext="edit" aspectratio="f"/>
                <v:textbox>
                  <w:txbxContent>
                    <w:p w14:paraId="3704D65F">
                      <w:pPr>
                        <w:rPr>
                          <w:rFonts w:hint="default" w:ascii="Times New Roman" w:hAnsi="Times New Roman" w:eastAsia="宋体" w:cs="Times New Roman"/>
                          <w:b/>
                          <w:bCs/>
                          <w:color w:val="FF0000"/>
                          <w:sz w:val="18"/>
                          <w:szCs w:val="21"/>
                          <w:lang w:val="en-US" w:eastAsia="zh-CN"/>
                        </w:rPr>
                      </w:pPr>
                      <w:r>
                        <w:rPr>
                          <w:rFonts w:hint="eastAsia" w:ascii="Times New Roman" w:hAnsi="Times New Roman" w:cs="Times New Roman"/>
                          <w:b/>
                          <w:bCs/>
                          <w:color w:val="FF0000"/>
                          <w:sz w:val="18"/>
                          <w:szCs w:val="21"/>
                          <w:lang w:val="en-US" w:eastAsia="zh-CN"/>
                        </w:rPr>
                        <w:t>1118</w:t>
                      </w:r>
                      <w:r>
                        <w:rPr>
                          <w:rFonts w:hint="default" w:ascii="Times New Roman" w:hAnsi="Times New Roman" w:cs="Times New Roman"/>
                          <w:b/>
                          <w:bCs/>
                          <w:color w:val="FF0000"/>
                          <w:sz w:val="18"/>
                          <w:szCs w:val="21"/>
                          <w:lang w:val="en-US" w:eastAsia="zh-CN"/>
                        </w:rPr>
                        <w:t>m</w:t>
                      </w:r>
                    </w:p>
                  </w:txbxContent>
                </v:textbox>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4180205</wp:posOffset>
                </wp:positionH>
                <wp:positionV relativeFrom="paragraph">
                  <wp:posOffset>1897380</wp:posOffset>
                </wp:positionV>
                <wp:extent cx="608330" cy="304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608330" cy="304800"/>
                        </a:xfrm>
                        <a:prstGeom prst="rect">
                          <a:avLst/>
                        </a:prstGeom>
                        <a:noFill/>
                        <a:ln>
                          <a:noFill/>
                        </a:ln>
                      </wps:spPr>
                      <wps:txbx>
                        <w:txbxContent>
                          <w:p w14:paraId="120FADE3">
                            <w:pPr>
                              <w:rPr>
                                <w:rFonts w:hint="default" w:ascii="Times New Roman" w:hAnsi="Times New Roman" w:eastAsia="宋体" w:cs="Times New Roman"/>
                                <w:b/>
                                <w:bCs/>
                                <w:color w:val="FF0000"/>
                                <w:sz w:val="18"/>
                                <w:szCs w:val="21"/>
                                <w:lang w:val="en-US" w:eastAsia="zh-CN"/>
                              </w:rPr>
                            </w:pPr>
                            <w:r>
                              <w:rPr>
                                <w:rFonts w:hint="eastAsia" w:ascii="Times New Roman" w:hAnsi="Times New Roman" w:cs="Times New Roman"/>
                                <w:b/>
                                <w:bCs/>
                                <w:color w:val="FF0000"/>
                                <w:sz w:val="18"/>
                                <w:szCs w:val="21"/>
                                <w:lang w:val="en-US" w:eastAsia="zh-CN"/>
                              </w:rPr>
                              <w:t>567</w:t>
                            </w:r>
                            <w:r>
                              <w:rPr>
                                <w:rFonts w:hint="default" w:ascii="Times New Roman" w:hAnsi="Times New Roman" w:cs="Times New Roman"/>
                                <w:b/>
                                <w:bCs/>
                                <w:color w:val="FF0000"/>
                                <w:sz w:val="18"/>
                                <w:szCs w:val="21"/>
                                <w:lang w:val="en-US" w:eastAsia="zh-CN"/>
                              </w:rPr>
                              <w:t>m</w:t>
                            </w:r>
                          </w:p>
                        </w:txbxContent>
                      </wps:txbx>
                      <wps:bodyPr upright="1"/>
                    </wps:wsp>
                  </a:graphicData>
                </a:graphic>
              </wp:anchor>
            </w:drawing>
          </mc:Choice>
          <mc:Fallback>
            <w:pict>
              <v:shape id="_x0000_s1026" o:spid="_x0000_s1026" o:spt="202" type="#_x0000_t202" style="position:absolute;left:0pt;margin-left:329.15pt;margin-top:149.4pt;height:24pt;width:47.9pt;z-index:251688960;mso-width-relative:page;mso-height-relative:page;" filled="f" stroked="f" coordsize="21600,21600" o:gfxdata="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UPxyuNkA&#10;AAALAQAADwAAAAAAAAABACAAAAAiAAAAZHJzL2Rvd25yZXYueG1sUEsBAhQAFAAAAAgAh07iQP84&#10;KcusAQAATwMAAA4AAAAAAAAAAQAgAAAAKAEAAGRycy9lMm9Eb2MueG1sUEsFBgAAAAAGAAYAWQEA&#10;AEYFAAAAAA==&#10;">
                <v:fill on="f" focussize="0,0"/>
                <v:stroke on="f"/>
                <v:imagedata o:title=""/>
                <o:lock v:ext="edit" aspectratio="f"/>
                <v:textbox>
                  <w:txbxContent>
                    <w:p w14:paraId="120FADE3">
                      <w:pPr>
                        <w:rPr>
                          <w:rFonts w:hint="default" w:ascii="Times New Roman" w:hAnsi="Times New Roman" w:eastAsia="宋体" w:cs="Times New Roman"/>
                          <w:b/>
                          <w:bCs/>
                          <w:color w:val="FF0000"/>
                          <w:sz w:val="18"/>
                          <w:szCs w:val="21"/>
                          <w:lang w:val="en-US" w:eastAsia="zh-CN"/>
                        </w:rPr>
                      </w:pPr>
                      <w:r>
                        <w:rPr>
                          <w:rFonts w:hint="eastAsia" w:ascii="Times New Roman" w:hAnsi="Times New Roman" w:cs="Times New Roman"/>
                          <w:b/>
                          <w:bCs/>
                          <w:color w:val="FF0000"/>
                          <w:sz w:val="18"/>
                          <w:szCs w:val="21"/>
                          <w:lang w:val="en-US" w:eastAsia="zh-CN"/>
                        </w:rPr>
                        <w:t>567</w:t>
                      </w:r>
                      <w:r>
                        <w:rPr>
                          <w:rFonts w:hint="default" w:ascii="Times New Roman" w:hAnsi="Times New Roman" w:cs="Times New Roman"/>
                          <w:b/>
                          <w:bCs/>
                          <w:color w:val="FF0000"/>
                          <w:sz w:val="18"/>
                          <w:szCs w:val="21"/>
                          <w:lang w:val="en-US" w:eastAsia="zh-CN"/>
                        </w:rPr>
                        <w:t>m</w:t>
                      </w:r>
                    </w:p>
                  </w:txbxContent>
                </v:textbox>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3917950</wp:posOffset>
                </wp:positionH>
                <wp:positionV relativeFrom="paragraph">
                  <wp:posOffset>2843530</wp:posOffset>
                </wp:positionV>
                <wp:extent cx="608330" cy="304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608330" cy="304800"/>
                        </a:xfrm>
                        <a:prstGeom prst="rect">
                          <a:avLst/>
                        </a:prstGeom>
                        <a:noFill/>
                        <a:ln>
                          <a:noFill/>
                        </a:ln>
                      </wps:spPr>
                      <wps:txbx>
                        <w:txbxContent>
                          <w:p w14:paraId="7806EFA3">
                            <w:pPr>
                              <w:rPr>
                                <w:rFonts w:hint="default" w:ascii="Times New Roman" w:hAnsi="Times New Roman" w:eastAsia="宋体" w:cs="Times New Roman"/>
                                <w:b/>
                                <w:bCs/>
                                <w:color w:val="FF0000"/>
                                <w:sz w:val="18"/>
                                <w:szCs w:val="21"/>
                                <w:lang w:val="en-US" w:eastAsia="zh-CN"/>
                              </w:rPr>
                            </w:pPr>
                            <w:r>
                              <w:rPr>
                                <w:rFonts w:hint="default" w:ascii="Times New Roman" w:hAnsi="Times New Roman" w:cs="Times New Roman"/>
                                <w:b/>
                                <w:bCs/>
                                <w:color w:val="FF0000"/>
                                <w:sz w:val="18"/>
                                <w:szCs w:val="21"/>
                                <w:lang w:val="en-US" w:eastAsia="zh-CN"/>
                              </w:rPr>
                              <w:t>450m</w:t>
                            </w:r>
                          </w:p>
                        </w:txbxContent>
                      </wps:txbx>
                      <wps:bodyPr upright="1"/>
                    </wps:wsp>
                  </a:graphicData>
                </a:graphic>
              </wp:anchor>
            </w:drawing>
          </mc:Choice>
          <mc:Fallback>
            <w:pict>
              <v:shape id="_x0000_s1026" o:spid="_x0000_s1026" o:spt="202" type="#_x0000_t202" style="position:absolute;left:0pt;margin-left:308.5pt;margin-top:223.9pt;height:24pt;width:47.9pt;z-index:251687936;mso-width-relative:page;mso-height-relative:page;" filled="f" stroked="f" coordsize="21600,21600" o:gfxdata="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0kxbrZ&#10;AAAACwEAAA8AAAAAAAAAAQAgAAAAIgAAAGRycy9kb3ducmV2LnhtbFBLAQIUABQAAAAIAIdO4kAf&#10;hULzrQEAAE8DAAAOAAAAAAAAAAEAIAAAACgBAABkcnMvZTJvRG9jLnhtbFBLBQYAAAAABgAGAFkB&#10;AABHBQAAAAA=&#10;">
                <v:fill on="f" focussize="0,0"/>
                <v:stroke on="f"/>
                <v:imagedata o:title=""/>
                <o:lock v:ext="edit" aspectratio="f"/>
                <v:textbox>
                  <w:txbxContent>
                    <w:p w14:paraId="7806EFA3">
                      <w:pPr>
                        <w:rPr>
                          <w:rFonts w:hint="default" w:ascii="Times New Roman" w:hAnsi="Times New Roman" w:eastAsia="宋体" w:cs="Times New Roman"/>
                          <w:b/>
                          <w:bCs/>
                          <w:color w:val="FF0000"/>
                          <w:sz w:val="18"/>
                          <w:szCs w:val="21"/>
                          <w:lang w:val="en-US" w:eastAsia="zh-CN"/>
                        </w:rPr>
                      </w:pPr>
                      <w:r>
                        <w:rPr>
                          <w:rFonts w:hint="default" w:ascii="Times New Roman" w:hAnsi="Times New Roman" w:cs="Times New Roman"/>
                          <w:b/>
                          <w:bCs/>
                          <w:color w:val="FF0000"/>
                          <w:sz w:val="18"/>
                          <w:szCs w:val="21"/>
                          <w:lang w:val="en-US" w:eastAsia="zh-CN"/>
                        </w:rPr>
                        <w:t>450m</w:t>
                      </w:r>
                    </w:p>
                  </w:txbxContent>
                </v:textbox>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5741035</wp:posOffset>
                </wp:positionH>
                <wp:positionV relativeFrom="paragraph">
                  <wp:posOffset>4138930</wp:posOffset>
                </wp:positionV>
                <wp:extent cx="600710" cy="304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600710" cy="304800"/>
                        </a:xfrm>
                        <a:prstGeom prst="rect">
                          <a:avLst/>
                        </a:prstGeom>
                        <a:noFill/>
                        <a:ln>
                          <a:noFill/>
                        </a:ln>
                      </wps:spPr>
                      <wps:txbx>
                        <w:txbxContent>
                          <w:p w14:paraId="72881C2A">
                            <w:pPr>
                              <w:rPr>
                                <w:rFonts w:hint="default" w:eastAsia="宋体"/>
                                <w:b/>
                                <w:bCs/>
                                <w:color w:val="FFFF00"/>
                                <w:lang w:val="en-US" w:eastAsia="zh-CN"/>
                              </w:rPr>
                            </w:pPr>
                            <w:r>
                              <w:rPr>
                                <w:rFonts w:hint="eastAsia"/>
                                <w:b/>
                                <w:bCs/>
                                <w:color w:val="FFFF00"/>
                                <w:lang w:val="en-US" w:eastAsia="zh-CN"/>
                              </w:rPr>
                              <w:t>龙四村</w:t>
                            </w:r>
                          </w:p>
                        </w:txbxContent>
                      </wps:txbx>
                      <wps:bodyPr upright="1"/>
                    </wps:wsp>
                  </a:graphicData>
                </a:graphic>
              </wp:anchor>
            </w:drawing>
          </mc:Choice>
          <mc:Fallback>
            <w:pict>
              <v:shape id="_x0000_s1026" o:spid="_x0000_s1026" o:spt="202" type="#_x0000_t202" style="position:absolute;left:0pt;margin-left:452.05pt;margin-top:325.9pt;height:24pt;width:47.3pt;z-index:251686912;mso-width-relative:page;mso-height-relative:page;" filled="f" stroked="f" coordsize="21600,21600" o:gfxdata="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FeRBd1wAA&#10;AAsBAAAPAAAAAAAAAAEAIAAAACIAAABkcnMvZG93bnJldi54bWxQSwECFAAUAAAACACHTuJAhSW2&#10;q60BAABPAwAADgAAAAAAAAABACAAAAAmAQAAZHJzL2Uyb0RvYy54bWxQSwUGAAAAAAYABgBZAQAA&#10;RQUAAAAA&#10;">
                <v:fill on="f" focussize="0,0"/>
                <v:stroke on="f"/>
                <v:imagedata o:title=""/>
                <o:lock v:ext="edit" aspectratio="f"/>
                <v:textbox>
                  <w:txbxContent>
                    <w:p w14:paraId="72881C2A">
                      <w:pPr>
                        <w:rPr>
                          <w:rFonts w:hint="default" w:eastAsia="宋体"/>
                          <w:b/>
                          <w:bCs/>
                          <w:color w:val="FFFF00"/>
                          <w:lang w:val="en-US" w:eastAsia="zh-CN"/>
                        </w:rPr>
                      </w:pPr>
                      <w:r>
                        <w:rPr>
                          <w:rFonts w:hint="eastAsia"/>
                          <w:b/>
                          <w:bCs/>
                          <w:color w:val="FFFF00"/>
                          <w:lang w:val="en-US" w:eastAsia="zh-CN"/>
                        </w:rPr>
                        <w:t>龙四村</w:t>
                      </w: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4539615</wp:posOffset>
                </wp:positionH>
                <wp:positionV relativeFrom="paragraph">
                  <wp:posOffset>3420745</wp:posOffset>
                </wp:positionV>
                <wp:extent cx="600710" cy="304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600710" cy="304800"/>
                        </a:xfrm>
                        <a:prstGeom prst="rect">
                          <a:avLst/>
                        </a:prstGeom>
                        <a:noFill/>
                        <a:ln>
                          <a:noFill/>
                        </a:ln>
                      </wps:spPr>
                      <wps:txbx>
                        <w:txbxContent>
                          <w:p w14:paraId="26F6E217">
                            <w:pPr>
                              <w:rPr>
                                <w:rFonts w:hint="default" w:eastAsia="宋体"/>
                                <w:b/>
                                <w:bCs/>
                                <w:color w:val="FFFF00"/>
                                <w:lang w:val="en-US" w:eastAsia="zh-CN"/>
                              </w:rPr>
                            </w:pPr>
                            <w:r>
                              <w:rPr>
                                <w:rFonts w:hint="eastAsia"/>
                                <w:b/>
                                <w:bCs/>
                                <w:color w:val="FFFF00"/>
                                <w:lang w:val="en-US" w:eastAsia="zh-CN"/>
                              </w:rPr>
                              <w:t>和庄村</w:t>
                            </w:r>
                          </w:p>
                        </w:txbxContent>
                      </wps:txbx>
                      <wps:bodyPr upright="1"/>
                    </wps:wsp>
                  </a:graphicData>
                </a:graphic>
              </wp:anchor>
            </w:drawing>
          </mc:Choice>
          <mc:Fallback>
            <w:pict>
              <v:shape id="_x0000_s1026" o:spid="_x0000_s1026" o:spt="202" type="#_x0000_t202" style="position:absolute;left:0pt;margin-left:357.45pt;margin-top:269.35pt;height:24pt;width:47.3pt;z-index:251685888;mso-width-relative:page;mso-height-relative:page;" filled="f" stroked="f" coordsize="21600,21600" o:gfxdata="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aHRja9gA&#10;AAALAQAADwAAAAAAAAABACAAAAAiAAAAZHJzL2Rvd25yZXYueG1sUEsBAhQAFAAAAAgAh07iQNNX&#10;W5qtAQAATwMAAA4AAAAAAAAAAQAgAAAAJwEAAGRycy9lMm9Eb2MueG1sUEsFBgAAAAAGAAYAWQEA&#10;AEYFAAAAAA==&#10;">
                <v:fill on="f" focussize="0,0"/>
                <v:stroke on="f"/>
                <v:imagedata o:title=""/>
                <o:lock v:ext="edit" aspectratio="f"/>
                <v:textbox>
                  <w:txbxContent>
                    <w:p w14:paraId="26F6E217">
                      <w:pPr>
                        <w:rPr>
                          <w:rFonts w:hint="default" w:eastAsia="宋体"/>
                          <w:b/>
                          <w:bCs/>
                          <w:color w:val="FFFF00"/>
                          <w:lang w:val="en-US" w:eastAsia="zh-CN"/>
                        </w:rPr>
                      </w:pPr>
                      <w:r>
                        <w:rPr>
                          <w:rFonts w:hint="eastAsia"/>
                          <w:b/>
                          <w:bCs/>
                          <w:color w:val="FFFF00"/>
                          <w:lang w:val="en-US" w:eastAsia="zh-CN"/>
                        </w:rPr>
                        <w:t>和庄村</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6027420</wp:posOffset>
                </wp:positionH>
                <wp:positionV relativeFrom="paragraph">
                  <wp:posOffset>1245235</wp:posOffset>
                </wp:positionV>
                <wp:extent cx="848995" cy="304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848995" cy="304800"/>
                        </a:xfrm>
                        <a:prstGeom prst="rect">
                          <a:avLst/>
                        </a:prstGeom>
                        <a:noFill/>
                        <a:ln>
                          <a:noFill/>
                        </a:ln>
                      </wps:spPr>
                      <wps:txbx>
                        <w:txbxContent>
                          <w:p w14:paraId="0CAE31B2">
                            <w:pPr>
                              <w:rPr>
                                <w:rFonts w:hint="default" w:eastAsia="宋体"/>
                                <w:b/>
                                <w:bCs/>
                                <w:color w:val="FFFF00"/>
                                <w:lang w:val="en-US" w:eastAsia="zh-CN"/>
                              </w:rPr>
                            </w:pPr>
                            <w:r>
                              <w:rPr>
                                <w:rFonts w:hint="eastAsia"/>
                                <w:b/>
                                <w:bCs/>
                                <w:color w:val="FFFF00"/>
                                <w:lang w:val="en-US" w:eastAsia="zh-CN"/>
                              </w:rPr>
                              <w:t>龙泉小学</w:t>
                            </w:r>
                          </w:p>
                        </w:txbxContent>
                      </wps:txbx>
                      <wps:bodyPr upright="1"/>
                    </wps:wsp>
                  </a:graphicData>
                </a:graphic>
              </wp:anchor>
            </w:drawing>
          </mc:Choice>
          <mc:Fallback>
            <w:pict>
              <v:shape id="_x0000_s1026" o:spid="_x0000_s1026" o:spt="202" type="#_x0000_t202" style="position:absolute;left:0pt;margin-left:474.6pt;margin-top:98.05pt;height:24pt;width:66.85pt;z-index:251684864;mso-width-relative:page;mso-height-relative:page;" filled="f" stroked="f" coordsize="21600,21600" o:gfxdata="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DfZoWdcA&#10;AAAMAQAADwAAAAAAAAABACAAAAAiAAAAZHJzL2Rvd25yZXYueG1sUEsBAhQAFAAAAAgAh07iQBC+&#10;0x2uAQAATwMAAA4AAAAAAAAAAQAgAAAAJgEAAGRycy9lMm9Eb2MueG1sUEsFBgAAAAAGAAYAWQEA&#10;AEYFAAAAAA==&#10;">
                <v:fill on="f" focussize="0,0"/>
                <v:stroke on="f"/>
                <v:imagedata o:title=""/>
                <o:lock v:ext="edit" aspectratio="f"/>
                <v:textbox>
                  <w:txbxContent>
                    <w:p w14:paraId="0CAE31B2">
                      <w:pPr>
                        <w:rPr>
                          <w:rFonts w:hint="default" w:eastAsia="宋体"/>
                          <w:b/>
                          <w:bCs/>
                          <w:color w:val="FFFF00"/>
                          <w:lang w:val="en-US" w:eastAsia="zh-CN"/>
                        </w:rPr>
                      </w:pPr>
                      <w:r>
                        <w:rPr>
                          <w:rFonts w:hint="eastAsia"/>
                          <w:b/>
                          <w:bCs/>
                          <w:color w:val="FFFF00"/>
                          <w:lang w:val="en-US" w:eastAsia="zh-CN"/>
                        </w:rPr>
                        <w:t>龙泉小学</w:t>
                      </w:r>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5112385</wp:posOffset>
                </wp:positionH>
                <wp:positionV relativeFrom="paragraph">
                  <wp:posOffset>1056005</wp:posOffset>
                </wp:positionV>
                <wp:extent cx="600710" cy="304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600710" cy="304800"/>
                        </a:xfrm>
                        <a:prstGeom prst="rect">
                          <a:avLst/>
                        </a:prstGeom>
                        <a:noFill/>
                        <a:ln>
                          <a:noFill/>
                        </a:ln>
                      </wps:spPr>
                      <wps:txbx>
                        <w:txbxContent>
                          <w:p w14:paraId="0A0DC269">
                            <w:pPr>
                              <w:rPr>
                                <w:rFonts w:hint="default" w:eastAsia="宋体"/>
                                <w:b/>
                                <w:bCs/>
                                <w:color w:val="FFFF00"/>
                                <w:lang w:val="en-US" w:eastAsia="zh-CN"/>
                              </w:rPr>
                            </w:pPr>
                            <w:r>
                              <w:rPr>
                                <w:rFonts w:hint="eastAsia"/>
                                <w:b/>
                                <w:bCs/>
                                <w:color w:val="FFFF00"/>
                                <w:lang w:val="en-US" w:eastAsia="zh-CN"/>
                              </w:rPr>
                              <w:t>尚庄村</w:t>
                            </w:r>
                          </w:p>
                        </w:txbxContent>
                      </wps:txbx>
                      <wps:bodyPr upright="1"/>
                    </wps:wsp>
                  </a:graphicData>
                </a:graphic>
              </wp:anchor>
            </w:drawing>
          </mc:Choice>
          <mc:Fallback>
            <w:pict>
              <v:shape id="_x0000_s1026" o:spid="_x0000_s1026" o:spt="202" type="#_x0000_t202" style="position:absolute;left:0pt;margin-left:402.55pt;margin-top:83.15pt;height:24pt;width:47.3pt;z-index:251683840;mso-width-relative:page;mso-height-relative:page;" filled="f" stroked="f" coordsize="21600,21600" o:gfxdata="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v6x0K2AAA&#10;AAsBAAAPAAAAAAAAAAEAIAAAACIAAABkcnMvZG93bnJldi54bWxQSwECFAAUAAAACACHTuJA5wHj&#10;TqwBAABPAwAADgAAAAAAAAABACAAAAAnAQAAZHJzL2Uyb0RvYy54bWxQSwUGAAAAAAYABgBZAQAA&#10;RQUAAAAA&#10;">
                <v:fill on="f" focussize="0,0"/>
                <v:stroke on="f"/>
                <v:imagedata o:title=""/>
                <o:lock v:ext="edit" aspectratio="f"/>
                <v:textbox>
                  <w:txbxContent>
                    <w:p w14:paraId="0A0DC269">
                      <w:pPr>
                        <w:rPr>
                          <w:rFonts w:hint="default" w:eastAsia="宋体"/>
                          <w:b/>
                          <w:bCs/>
                          <w:color w:val="FFFF00"/>
                          <w:lang w:val="en-US" w:eastAsia="zh-CN"/>
                        </w:rPr>
                      </w:pPr>
                      <w:r>
                        <w:rPr>
                          <w:rFonts w:hint="eastAsia"/>
                          <w:b/>
                          <w:bCs/>
                          <w:color w:val="FFFF00"/>
                          <w:lang w:val="en-US" w:eastAsia="zh-CN"/>
                        </w:rPr>
                        <w:t>尚庄村</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4110990</wp:posOffset>
                </wp:positionH>
                <wp:positionV relativeFrom="paragraph">
                  <wp:posOffset>2494915</wp:posOffset>
                </wp:positionV>
                <wp:extent cx="1795780" cy="1222375"/>
                <wp:effectExtent l="3810" t="5080" r="10160" b="10795"/>
                <wp:wrapNone/>
                <wp:docPr id="61" name="直接连接符 61"/>
                <wp:cNvGraphicFramePr/>
                <a:graphic xmlns:a="http://schemas.openxmlformats.org/drawingml/2006/main">
                  <a:graphicData uri="http://schemas.microsoft.com/office/word/2010/wordprocessingShape">
                    <wps:wsp>
                      <wps:cNvSpPr/>
                      <wps:spPr>
                        <a:xfrm>
                          <a:off x="0" y="0"/>
                          <a:ext cx="1795780" cy="1222375"/>
                        </a:xfrm>
                        <a:prstGeom prst="line">
                          <a:avLst/>
                        </a:prstGeom>
                        <a:ln w="12700"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23.7pt;margin-top:196.45pt;height:96.25pt;width:141.4pt;z-index:251682816;mso-width-relative:page;mso-height-relative:page;" filled="f" stroked="t" coordsize="21600,21600" o:gfxdata="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lZ2063AAAAAsBAAAPAAAAAAAAAAEAIAAAACIAAABkcnMv&#10;ZG93bnJldi54bWxQSwECFAAUAAAACACHTuJAVUV6J/8BAADuAwAADgAAAAAAAAABACAAAAArAQAA&#10;ZHJzL2Uyb0RvYy54bWxQSwUGAAAAAAYABgBZAQAAnAUAAAAA&#10;">
                <v:fill on="f" focussize="0,0"/>
                <v:stroke weight="1pt" color="#FF0000" joinstyle="round" endarrow="open"/>
                <v:imagedata o:title=""/>
                <o:lock v:ext="edit" aspectratio="f"/>
              </v:lin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5258435</wp:posOffset>
                </wp:positionH>
                <wp:positionV relativeFrom="paragraph">
                  <wp:posOffset>3715385</wp:posOffset>
                </wp:positionV>
                <wp:extent cx="1128395" cy="1590040"/>
                <wp:effectExtent l="4445" t="4445" r="10160" b="5715"/>
                <wp:wrapNone/>
                <wp:docPr id="46" name="任意多边形 46"/>
                <wp:cNvGraphicFramePr/>
                <a:graphic xmlns:a="http://schemas.openxmlformats.org/drawingml/2006/main">
                  <a:graphicData uri="http://schemas.microsoft.com/office/word/2010/wordprocessingShape">
                    <wps:wsp>
                      <wps:cNvSpPr/>
                      <wps:spPr>
                        <a:xfrm>
                          <a:off x="0" y="0"/>
                          <a:ext cx="1128395" cy="1590040"/>
                        </a:xfrm>
                        <a:custGeom>
                          <a:avLst/>
                          <a:gdLst/>
                          <a:ahLst/>
                          <a:cxnLst/>
                          <a:pathLst>
                            <a:path w="1777" h="2504">
                              <a:moveTo>
                                <a:pt x="1777" y="265"/>
                              </a:moveTo>
                              <a:lnTo>
                                <a:pt x="993" y="0"/>
                              </a:lnTo>
                              <a:lnTo>
                                <a:pt x="877" y="381"/>
                              </a:lnTo>
                              <a:lnTo>
                                <a:pt x="473" y="704"/>
                              </a:lnTo>
                              <a:lnTo>
                                <a:pt x="554" y="935"/>
                              </a:lnTo>
                              <a:lnTo>
                                <a:pt x="127" y="1085"/>
                              </a:lnTo>
                              <a:lnTo>
                                <a:pt x="185" y="1477"/>
                              </a:lnTo>
                              <a:lnTo>
                                <a:pt x="0" y="1823"/>
                              </a:lnTo>
                              <a:lnTo>
                                <a:pt x="116" y="2481"/>
                              </a:lnTo>
                              <a:lnTo>
                                <a:pt x="1431" y="2504"/>
                              </a:lnTo>
                              <a:lnTo>
                                <a:pt x="1720" y="1315"/>
                              </a:lnTo>
                              <a:lnTo>
                                <a:pt x="1754" y="715"/>
                              </a:lnTo>
                              <a:lnTo>
                                <a:pt x="1777" y="265"/>
                              </a:lnTo>
                              <a:close/>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14.05pt;margin-top:292.55pt;height:125.2pt;width:88.85pt;z-index:251681792;mso-width-relative:page;mso-height-relative:page;" filled="f" stroked="t" coordsize="1777,2504" o:gfxdata="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C6o++bcAAAADAEAAA8AAAAAAAAA&#10;AQAgAAAAIgAAAGRycy9kb3ducmV2LnhtbFBLAQIUABQAAAAIAIdO4kClT8OPuAIAAGEGAAAOAAAA&#10;AAAAAAEAIAAAACsBAABkcnMvZTJvRG9jLnhtbFBLBQYAAAAABgAGAFkBAABVBgAAAAA=&#10;" path="m1777,265l993,0,877,381,473,704,554,935,127,1085,185,1477,0,1823,116,2481,1431,2504,1720,1315,1754,715,1777,265xe">
                <v:fill on="f" focussize="0,0"/>
                <v:stroke color="#FFFF00" joinstyle="round"/>
                <v:imagedata o:title=""/>
                <o:lock v:ext="edit" aspectratio="f"/>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4083050</wp:posOffset>
                </wp:positionH>
                <wp:positionV relativeFrom="paragraph">
                  <wp:posOffset>2489200</wp:posOffset>
                </wp:positionV>
                <wp:extent cx="440690" cy="797560"/>
                <wp:effectExtent l="5715" t="3175" r="10795" b="18415"/>
                <wp:wrapNone/>
                <wp:docPr id="54" name="直接连接符 54"/>
                <wp:cNvGraphicFramePr/>
                <a:graphic xmlns:a="http://schemas.openxmlformats.org/drawingml/2006/main">
                  <a:graphicData uri="http://schemas.microsoft.com/office/word/2010/wordprocessingShape">
                    <wps:wsp>
                      <wps:cNvSpPr/>
                      <wps:spPr>
                        <a:xfrm>
                          <a:off x="0" y="0"/>
                          <a:ext cx="440690" cy="797560"/>
                        </a:xfrm>
                        <a:prstGeom prst="line">
                          <a:avLst/>
                        </a:prstGeom>
                        <a:ln w="12700"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21.5pt;margin-top:196pt;height:62.8pt;width:34.7pt;z-index:251680768;mso-width-relative:page;mso-height-relative:page;" filled="f" stroked="t" coordsize="21600,21600" o:gfxdata="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Sq20twAAAALAQAADwAAAAAAAAABACAAAAAiAAAA&#10;ZHJzL2Rvd25yZXYueG1sUEsBAhQAFAAAAAgAh07iQGFGYNgDAgAA7AMAAA4AAAAAAAAAAQAgAAAA&#10;KwEAAGRycy9lMm9Eb2MueG1sUEsFBgAAAAAGAAYAWQEAAKAFAAAAAA==&#10;">
                <v:fill on="f" focussize="0,0"/>
                <v:stroke weight="1pt" color="#FF0000" joinstyle="round" endarrow="open"/>
                <v:imagedata o:title=""/>
                <o:lock v:ext="edit" aspectratio="f"/>
              </v:lin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4113530</wp:posOffset>
                </wp:positionH>
                <wp:positionV relativeFrom="paragraph">
                  <wp:posOffset>1479550</wp:posOffset>
                </wp:positionV>
                <wp:extent cx="2096135" cy="996315"/>
                <wp:effectExtent l="2540" t="8255" r="15875" b="24130"/>
                <wp:wrapNone/>
                <wp:docPr id="62" name="直接连接符 62"/>
                <wp:cNvGraphicFramePr/>
                <a:graphic xmlns:a="http://schemas.openxmlformats.org/drawingml/2006/main">
                  <a:graphicData uri="http://schemas.microsoft.com/office/word/2010/wordprocessingShape">
                    <wps:wsp>
                      <wps:cNvSpPr/>
                      <wps:spPr>
                        <a:xfrm flipV="1">
                          <a:off x="0" y="0"/>
                          <a:ext cx="2096135" cy="996315"/>
                        </a:xfrm>
                        <a:prstGeom prst="line">
                          <a:avLst/>
                        </a:prstGeom>
                        <a:ln w="12700"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23.9pt;margin-top:116.5pt;height:78.45pt;width:165.05pt;z-index:251679744;mso-width-relative:page;mso-height-relative:page;" filled="f" stroked="t" coordsize="21600,21600" o:gfxdata="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0vPrXaAAAACwEAAA8AAAAAAAAAAQAgAAAA&#10;IgAAAGRycy9kb3ducmV2LnhtbFBLAQIUABQAAAAIAIdO4kDjOyO4CQIAAPcDAAAOAAAAAAAAAAEA&#10;IAAAACkBAABkcnMvZTJvRG9jLnhtbFBLBQYAAAAABgAGAFkBAACkBQAAAAA=&#10;">
                <v:fill on="f" focussize="0,0"/>
                <v:stroke weight="1pt" color="#FF0000" joinstyle="round" endarrow="open"/>
                <v:imagedata o:title=""/>
                <o:lock v:ext="edit" aspectratio="f"/>
              </v:lin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4115435</wp:posOffset>
                </wp:positionH>
                <wp:positionV relativeFrom="paragraph">
                  <wp:posOffset>1803400</wp:posOffset>
                </wp:positionV>
                <wp:extent cx="857250" cy="659130"/>
                <wp:effectExtent l="3810" t="0" r="15240" b="7620"/>
                <wp:wrapNone/>
                <wp:docPr id="53" name="直接连接符 53"/>
                <wp:cNvGraphicFramePr/>
                <a:graphic xmlns:a="http://schemas.openxmlformats.org/drawingml/2006/main">
                  <a:graphicData uri="http://schemas.microsoft.com/office/word/2010/wordprocessingShape">
                    <wps:wsp>
                      <wps:cNvSpPr/>
                      <wps:spPr>
                        <a:xfrm flipV="1">
                          <a:off x="0" y="0"/>
                          <a:ext cx="857250" cy="659130"/>
                        </a:xfrm>
                        <a:prstGeom prst="line">
                          <a:avLst/>
                        </a:prstGeom>
                        <a:ln w="12700"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24.05pt;margin-top:142pt;height:51.9pt;width:67.5pt;z-index:251678720;mso-width-relative:page;mso-height-relative:page;" filled="f" stroked="t" coordsize="21600,21600" o:gfxdata="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lxlS7ZAAAACwEAAA8AAAAAAAAAAQAgAAAA&#10;IgAAAGRycy9kb3ducmV2LnhtbFBLAQIUABQAAAAIAIdO4kBgtixACgIAAPYDAAAOAAAAAAAAAAEA&#10;IAAAACgBAABkcnMvZTJvRG9jLnhtbFBLBQYAAAAABgAGAFkBAACkBQAAAAA=&#10;">
                <v:fill on="f" focussize="0,0"/>
                <v:stroke weight="1pt" color="#FF0000" joinstyle="round" endarrow="open"/>
                <v:imagedata o:title=""/>
                <o:lock v:ext="edit" aspectratio="f"/>
              </v:lin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5988685</wp:posOffset>
                </wp:positionH>
                <wp:positionV relativeFrom="paragraph">
                  <wp:posOffset>1289685</wp:posOffset>
                </wp:positionV>
                <wp:extent cx="264160" cy="158115"/>
                <wp:effectExtent l="22860" t="39370" r="36830" b="50165"/>
                <wp:wrapNone/>
                <wp:docPr id="49" name="矩形 49"/>
                <wp:cNvGraphicFramePr/>
                <a:graphic xmlns:a="http://schemas.openxmlformats.org/drawingml/2006/main">
                  <a:graphicData uri="http://schemas.microsoft.com/office/word/2010/wordprocessingShape">
                    <wps:wsp>
                      <wps:cNvSpPr/>
                      <wps:spPr>
                        <a:xfrm rot="960000">
                          <a:off x="0" y="0"/>
                          <a:ext cx="264160" cy="158115"/>
                        </a:xfrm>
                        <a:prstGeom prst="rect">
                          <a:avLst/>
                        </a:prstGeom>
                        <a:noFill/>
                        <a:ln w="9525" cap="flat" cmpd="sng">
                          <a:solidFill>
                            <a:srgbClr val="FFFF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71.55pt;margin-top:101.55pt;height:12.45pt;width:20.8pt;rotation:1048576f;z-index:251677696;mso-width-relative:page;mso-height-relative:page;" filled="f" stroked="t" coordsize="21600,21600" o:gfxdata="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BMJZdHZAAAACwEAAA8AAAAAAAAAAQAgAAAAIgAAAGRycy9k&#10;b3ducmV2LnhtbFBLAQIUABQAAAAIAIdO4kAvhtJWAQIAAAMEAAAOAAAAAAAAAAEAIAAAACgBAABk&#10;cnMvZTJvRG9jLnhtbFBLBQYAAAAABgAGAFkBAACbBQAAAAA=&#10;">
                <v:fill on="f" focussize="0,0"/>
                <v:stroke color="#FFFF00" joinstyle="miter"/>
                <v:imagedata o:title=""/>
                <o:lock v:ext="edit" aspectratio="f"/>
              </v:rect>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4269740</wp:posOffset>
                </wp:positionH>
                <wp:positionV relativeFrom="paragraph">
                  <wp:posOffset>3224530</wp:posOffset>
                </wp:positionV>
                <wp:extent cx="923290" cy="644525"/>
                <wp:effectExtent l="4445" t="4445" r="5715" b="17780"/>
                <wp:wrapNone/>
                <wp:docPr id="56" name="任意多边形 56"/>
                <wp:cNvGraphicFramePr/>
                <a:graphic xmlns:a="http://schemas.openxmlformats.org/drawingml/2006/main">
                  <a:graphicData uri="http://schemas.microsoft.com/office/word/2010/wordprocessingShape">
                    <wps:wsp>
                      <wps:cNvSpPr/>
                      <wps:spPr>
                        <a:xfrm>
                          <a:off x="0" y="0"/>
                          <a:ext cx="923290" cy="644525"/>
                        </a:xfrm>
                        <a:custGeom>
                          <a:avLst/>
                          <a:gdLst/>
                          <a:ahLst/>
                          <a:cxnLst/>
                          <a:pathLst>
                            <a:path w="1454" h="1015">
                              <a:moveTo>
                                <a:pt x="1454" y="519"/>
                              </a:moveTo>
                              <a:lnTo>
                                <a:pt x="1419" y="0"/>
                              </a:lnTo>
                              <a:lnTo>
                                <a:pt x="1269" y="0"/>
                              </a:lnTo>
                              <a:lnTo>
                                <a:pt x="1257" y="69"/>
                              </a:lnTo>
                              <a:lnTo>
                                <a:pt x="427" y="104"/>
                              </a:lnTo>
                              <a:lnTo>
                                <a:pt x="392" y="542"/>
                              </a:lnTo>
                              <a:lnTo>
                                <a:pt x="369" y="715"/>
                              </a:lnTo>
                              <a:lnTo>
                                <a:pt x="0" y="715"/>
                              </a:lnTo>
                              <a:lnTo>
                                <a:pt x="80" y="1015"/>
                              </a:lnTo>
                              <a:lnTo>
                                <a:pt x="1119" y="1015"/>
                              </a:lnTo>
                              <a:lnTo>
                                <a:pt x="1119" y="738"/>
                              </a:lnTo>
                              <a:lnTo>
                                <a:pt x="1280" y="738"/>
                              </a:lnTo>
                              <a:lnTo>
                                <a:pt x="1419" y="738"/>
                              </a:lnTo>
                              <a:lnTo>
                                <a:pt x="1454" y="519"/>
                              </a:lnTo>
                              <a:close/>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36.2pt;margin-top:253.9pt;height:50.75pt;width:72.7pt;z-index:251676672;mso-width-relative:page;mso-height-relative:page;" filled="f" stroked="t" coordsize="1454,1015" o:gfxdata="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dZf/WdkAAAALAQAADwAAAAAAAAABACAAAAAiAAAAZHJzL2Rvd25yZXYueG1sUEsB&#10;AhQAFAAAAAgAh07iQH76tsufAgAAgwYAAA4AAAAAAAAAAQAgAAAAKAEAAGRycy9lMm9Eb2MueG1s&#10;UEsFBgAAAAAGAAYAWQEAADkGAAAAAA==&#10;" path="m1454,519l1419,0,1269,0,1257,69,427,104,392,542,369,715,0,715,80,1015,1119,1015,1119,738,1280,738,1419,738,1454,519xe">
                <v:fill on="f" focussize="0,0"/>
                <v:stroke color="#FFFF00" joinstyle="round"/>
                <v:imagedata o:title=""/>
                <o:lock v:ext="edit" aspectratio="f"/>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4789805</wp:posOffset>
                </wp:positionH>
                <wp:positionV relativeFrom="paragraph">
                  <wp:posOffset>689610</wp:posOffset>
                </wp:positionV>
                <wp:extent cx="1553210" cy="1179195"/>
                <wp:effectExtent l="4445" t="4445" r="23495" b="16510"/>
                <wp:wrapNone/>
                <wp:docPr id="63" name="任意多边形 63"/>
                <wp:cNvGraphicFramePr/>
                <a:graphic xmlns:a="http://schemas.openxmlformats.org/drawingml/2006/main">
                  <a:graphicData uri="http://schemas.microsoft.com/office/word/2010/wordprocessingShape">
                    <wps:wsp>
                      <wps:cNvSpPr/>
                      <wps:spPr>
                        <a:xfrm>
                          <a:off x="0" y="0"/>
                          <a:ext cx="1553210" cy="1179195"/>
                        </a:xfrm>
                        <a:custGeom>
                          <a:avLst/>
                          <a:gdLst/>
                          <a:ahLst/>
                          <a:cxnLst/>
                          <a:pathLst>
                            <a:path w="2446" h="1857">
                              <a:moveTo>
                                <a:pt x="2169" y="1534"/>
                              </a:moveTo>
                              <a:lnTo>
                                <a:pt x="2446" y="911"/>
                              </a:lnTo>
                              <a:lnTo>
                                <a:pt x="2238" y="484"/>
                              </a:lnTo>
                              <a:lnTo>
                                <a:pt x="2088" y="473"/>
                              </a:lnTo>
                              <a:lnTo>
                                <a:pt x="1973" y="611"/>
                              </a:lnTo>
                              <a:lnTo>
                                <a:pt x="1788" y="496"/>
                              </a:lnTo>
                              <a:lnTo>
                                <a:pt x="1627" y="196"/>
                              </a:lnTo>
                              <a:lnTo>
                                <a:pt x="1361" y="404"/>
                              </a:lnTo>
                              <a:lnTo>
                                <a:pt x="1061" y="219"/>
                              </a:lnTo>
                              <a:lnTo>
                                <a:pt x="946" y="0"/>
                              </a:lnTo>
                              <a:lnTo>
                                <a:pt x="542" y="23"/>
                              </a:lnTo>
                              <a:lnTo>
                                <a:pt x="323" y="727"/>
                              </a:lnTo>
                              <a:lnTo>
                                <a:pt x="92" y="842"/>
                              </a:lnTo>
                              <a:lnTo>
                                <a:pt x="0" y="1338"/>
                              </a:lnTo>
                              <a:lnTo>
                                <a:pt x="300" y="1442"/>
                              </a:lnTo>
                              <a:lnTo>
                                <a:pt x="277" y="1777"/>
                              </a:lnTo>
                              <a:lnTo>
                                <a:pt x="1027" y="1857"/>
                              </a:lnTo>
                              <a:lnTo>
                                <a:pt x="1188" y="1073"/>
                              </a:lnTo>
                              <a:lnTo>
                                <a:pt x="2169" y="1534"/>
                              </a:lnTo>
                              <a:close/>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77.15pt;margin-top:54.3pt;height:92.85pt;width:122.3pt;z-index:251675648;mso-width-relative:page;mso-height-relative:page;" filled="f" stroked="t" coordsize="2446,1857" o:gfxdata="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LYX6yzZAAAACwEAAA8AAAAAAAAAAQAgAAAAIgAAAGRy&#10;cy9kb3ducmV2LnhtbFBLAQIUABQAAAAIAIdO4kBeUTVs6AIAAFcHAAAOAAAAAAAAAAEAIAAAACgB&#10;AABkcnMvZTJvRG9jLnhtbFBLBQYAAAAABgAGAFkBAACCBgAAAAA=&#10;" path="m2169,1534l2446,911,2238,484,2088,473,1973,611,1788,496,1627,196,1361,404,1061,219,946,0,542,23,323,727,92,842,0,1338,300,1442,277,1777,1027,1857,1188,1073,2169,1534xe">
                <v:fill on="f" focussize="0,0"/>
                <v:stroke color="#FFFF00" joinstyle="round"/>
                <v:imagedata o:title=""/>
                <o:lock v:ext="edit" aspectratio="f"/>
              </v:shape>
            </w:pict>
          </mc:Fallback>
        </mc:AlternateContent>
      </w:r>
      <w:r>
        <w:drawing>
          <wp:anchor distT="0" distB="0" distL="114300" distR="114300" simplePos="0" relativeHeight="251674624" behindDoc="0" locked="0" layoutInCell="1" allowOverlap="1">
            <wp:simplePos x="0" y="0"/>
            <wp:positionH relativeFrom="column">
              <wp:posOffset>242570</wp:posOffset>
            </wp:positionH>
            <wp:positionV relativeFrom="paragraph">
              <wp:posOffset>4488180</wp:posOffset>
            </wp:positionV>
            <wp:extent cx="2773680" cy="742950"/>
            <wp:effectExtent l="0" t="0" r="7620" b="0"/>
            <wp:wrapNone/>
            <wp:docPr id="6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6"/>
                    <pic:cNvPicPr>
                      <a:picLocks noChangeAspect="1"/>
                    </pic:cNvPicPr>
                  </pic:nvPicPr>
                  <pic:blipFill>
                    <a:blip r:embed="rId46"/>
                    <a:stretch>
                      <a:fillRect/>
                    </a:stretch>
                  </pic:blipFill>
                  <pic:spPr>
                    <a:xfrm>
                      <a:off x="0" y="0"/>
                      <a:ext cx="2773680" cy="742950"/>
                    </a:xfrm>
                    <a:prstGeom prst="rect">
                      <a:avLst/>
                    </a:prstGeom>
                    <a:noFill/>
                    <a:ln>
                      <a:noFill/>
                    </a:ln>
                  </pic:spPr>
                </pic:pic>
              </a:graphicData>
            </a:graphic>
          </wp:anchor>
        </w:drawing>
      </w:r>
      <w:r>
        <w:drawing>
          <wp:inline distT="0" distB="0" distL="114300" distR="114300">
            <wp:extent cx="8444230" cy="5295900"/>
            <wp:effectExtent l="0" t="0" r="13970" b="0"/>
            <wp:docPr id="5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4"/>
                    <pic:cNvPicPr>
                      <a:picLocks noChangeAspect="1"/>
                    </pic:cNvPicPr>
                  </pic:nvPicPr>
                  <pic:blipFill>
                    <a:blip r:embed="rId47"/>
                    <a:stretch>
                      <a:fillRect/>
                    </a:stretch>
                  </pic:blipFill>
                  <pic:spPr>
                    <a:xfrm>
                      <a:off x="0" y="0"/>
                      <a:ext cx="8444230" cy="5295900"/>
                    </a:xfrm>
                    <a:prstGeom prst="rect">
                      <a:avLst/>
                    </a:prstGeom>
                    <a:noFill/>
                    <a:ln>
                      <a:noFill/>
                    </a:ln>
                  </pic:spPr>
                </pic:pic>
              </a:graphicData>
            </a:graphic>
          </wp:inline>
        </w:drawing>
      </w:r>
    </w:p>
    <w:p w14:paraId="5D1D439B">
      <w:pPr>
        <w:jc w:val="center"/>
      </w:pPr>
      <w:r>
        <mc:AlternateContent>
          <mc:Choice Requires="wps">
            <w:drawing>
              <wp:anchor distT="0" distB="0" distL="114300" distR="114300" simplePos="0" relativeHeight="251672576" behindDoc="0" locked="0" layoutInCell="1" allowOverlap="1">
                <wp:simplePos x="0" y="0"/>
                <wp:positionH relativeFrom="column">
                  <wp:posOffset>2960370</wp:posOffset>
                </wp:positionH>
                <wp:positionV relativeFrom="paragraph">
                  <wp:posOffset>25400</wp:posOffset>
                </wp:positionV>
                <wp:extent cx="3366770" cy="457200"/>
                <wp:effectExtent l="0" t="0" r="0" b="0"/>
                <wp:wrapNone/>
                <wp:docPr id="51" name="矩形 51"/>
                <wp:cNvGraphicFramePr/>
                <a:graphic xmlns:a="http://schemas.openxmlformats.org/drawingml/2006/main">
                  <a:graphicData uri="http://schemas.microsoft.com/office/word/2010/wordprocessingShape">
                    <wps:wsp>
                      <wps:cNvSpPr/>
                      <wps:spPr>
                        <a:xfrm>
                          <a:off x="0" y="0"/>
                          <a:ext cx="3190240" cy="457200"/>
                        </a:xfrm>
                        <a:prstGeom prst="rect">
                          <a:avLst/>
                        </a:prstGeom>
                        <a:noFill/>
                        <a:ln w="12700" cap="flat" cmpd="sng" algn="ctr">
                          <a:noFill/>
                          <a:prstDash val="solid"/>
                          <a:miter lim="800000"/>
                        </a:ln>
                        <a:effectLst/>
                      </wps:spPr>
                      <wps:txbx>
                        <w:txbxContent>
                          <w:p w14:paraId="0479F49C">
                            <w:pPr>
                              <w:jc w:val="center"/>
                              <w:rPr>
                                <w:b/>
                                <w:sz w:val="28"/>
                                <w:szCs w:val="28"/>
                              </w:rPr>
                            </w:pPr>
                            <w:r>
                              <w:rPr>
                                <w:rFonts w:hint="eastAsia"/>
                                <w:b/>
                                <w:sz w:val="28"/>
                                <w:szCs w:val="28"/>
                              </w:rPr>
                              <w:t>附图2</w:t>
                            </w:r>
                            <w:r>
                              <w:rPr>
                                <w:rFonts w:hint="eastAsia"/>
                                <w:b/>
                                <w:sz w:val="28"/>
                                <w:szCs w:val="28"/>
                                <w:lang w:eastAsia="zh-CN"/>
                              </w:rPr>
                              <w:t>（</w:t>
                            </w:r>
                            <w:r>
                              <w:rPr>
                                <w:rFonts w:hint="eastAsia"/>
                                <w:b/>
                                <w:sz w:val="28"/>
                                <w:szCs w:val="28"/>
                                <w:lang w:val="en-US" w:eastAsia="zh-CN"/>
                              </w:rPr>
                              <w:t>2</w:t>
                            </w:r>
                            <w:r>
                              <w:rPr>
                                <w:rFonts w:hint="eastAsia"/>
                                <w:b/>
                                <w:sz w:val="28"/>
                                <w:szCs w:val="28"/>
                                <w:lang w:eastAsia="zh-CN"/>
                              </w:rPr>
                              <w:t>）</w:t>
                            </w:r>
                            <w:r>
                              <w:rPr>
                                <w:rFonts w:hint="eastAsia"/>
                                <w:b/>
                                <w:sz w:val="28"/>
                                <w:szCs w:val="28"/>
                              </w:rPr>
                              <w:t xml:space="preserve"> 项目</w:t>
                            </w:r>
                            <w:r>
                              <w:rPr>
                                <w:rFonts w:hint="eastAsia"/>
                                <w:b/>
                                <w:sz w:val="28"/>
                                <w:szCs w:val="28"/>
                                <w:lang w:eastAsia="zh-CN"/>
                              </w:rPr>
                              <w:t>敏感目标分布</w:t>
                            </w:r>
                            <w:r>
                              <w:rPr>
                                <w:b/>
                                <w:sz w:val="28"/>
                                <w:szCs w:val="28"/>
                              </w:rPr>
                              <w:t>图</w:t>
                            </w:r>
                          </w:p>
                          <w:p w14:paraId="46336D9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3.1pt;margin-top:2pt;height:36pt;width:265.1pt;z-index:251672576;v-text-anchor:middle;mso-width-relative:page;mso-height-relative:page;" filled="f" stroked="f" coordsize="21600,21600" o:gfxdata="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lsAqENkAAAALAQAADwAAAAAAAAABACAAAAAiAAAAZHJzL2Rvd25yZXYueG1sUEsBAhQA&#10;FAAAAAgAh07iQMP6A+djAgAAvQQAAA4AAAAAAAAAAQAgAAAAKAEAAGRycy9lMm9Eb2MueG1sUEsF&#10;BgAAAAAGAAYAWQEAAP0FAAAAAA==&#10;">
                <v:fill on="f" focussize="0,0"/>
                <v:stroke on="f" weight="1pt" miterlimit="8" joinstyle="miter"/>
                <v:imagedata o:title=""/>
                <o:lock v:ext="edit" aspectratio="f"/>
                <v:textbox>
                  <w:txbxContent>
                    <w:p w14:paraId="0479F49C">
                      <w:pPr>
                        <w:jc w:val="center"/>
                        <w:rPr>
                          <w:b/>
                          <w:sz w:val="28"/>
                          <w:szCs w:val="28"/>
                        </w:rPr>
                      </w:pPr>
                      <w:r>
                        <w:rPr>
                          <w:rFonts w:hint="eastAsia"/>
                          <w:b/>
                          <w:sz w:val="28"/>
                          <w:szCs w:val="28"/>
                        </w:rPr>
                        <w:t>附图2</w:t>
                      </w:r>
                      <w:r>
                        <w:rPr>
                          <w:rFonts w:hint="eastAsia"/>
                          <w:b/>
                          <w:sz w:val="28"/>
                          <w:szCs w:val="28"/>
                          <w:lang w:eastAsia="zh-CN"/>
                        </w:rPr>
                        <w:t>（</w:t>
                      </w:r>
                      <w:r>
                        <w:rPr>
                          <w:rFonts w:hint="eastAsia"/>
                          <w:b/>
                          <w:sz w:val="28"/>
                          <w:szCs w:val="28"/>
                          <w:lang w:val="en-US" w:eastAsia="zh-CN"/>
                        </w:rPr>
                        <w:t>2</w:t>
                      </w:r>
                      <w:r>
                        <w:rPr>
                          <w:rFonts w:hint="eastAsia"/>
                          <w:b/>
                          <w:sz w:val="28"/>
                          <w:szCs w:val="28"/>
                          <w:lang w:eastAsia="zh-CN"/>
                        </w:rPr>
                        <w:t>）</w:t>
                      </w:r>
                      <w:r>
                        <w:rPr>
                          <w:rFonts w:hint="eastAsia"/>
                          <w:b/>
                          <w:sz w:val="28"/>
                          <w:szCs w:val="28"/>
                        </w:rPr>
                        <w:t xml:space="preserve"> 项目</w:t>
                      </w:r>
                      <w:r>
                        <w:rPr>
                          <w:rFonts w:hint="eastAsia"/>
                          <w:b/>
                          <w:sz w:val="28"/>
                          <w:szCs w:val="28"/>
                          <w:lang w:eastAsia="zh-CN"/>
                        </w:rPr>
                        <w:t>敏感目标分布</w:t>
                      </w:r>
                      <w:r>
                        <w:rPr>
                          <w:b/>
                          <w:sz w:val="28"/>
                          <w:szCs w:val="28"/>
                        </w:rPr>
                        <w:t>图</w:t>
                      </w:r>
                    </w:p>
                    <w:p w14:paraId="46336D98">
                      <w:pPr>
                        <w:jc w:val="center"/>
                      </w:pPr>
                    </w:p>
                  </w:txbxContent>
                </v:textbox>
              </v:rect>
            </w:pict>
          </mc:Fallback>
        </mc:AlternateContent>
      </w:r>
    </w:p>
    <w:p w14:paraId="22070531">
      <w:r>
        <w:drawing>
          <wp:anchor distT="0" distB="0" distL="114300" distR="114300" simplePos="0" relativeHeight="251700224" behindDoc="0" locked="0" layoutInCell="1" allowOverlap="1">
            <wp:simplePos x="0" y="0"/>
            <wp:positionH relativeFrom="column">
              <wp:posOffset>7877175</wp:posOffset>
            </wp:positionH>
            <wp:positionV relativeFrom="paragraph">
              <wp:posOffset>22860</wp:posOffset>
            </wp:positionV>
            <wp:extent cx="932180" cy="789940"/>
            <wp:effectExtent l="0" t="0" r="1270" b="10160"/>
            <wp:wrapNone/>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41"/>
                    <a:stretch>
                      <a:fillRect/>
                    </a:stretch>
                  </pic:blipFill>
                  <pic:spPr>
                    <a:xfrm>
                      <a:off x="0" y="0"/>
                      <a:ext cx="932180" cy="789940"/>
                    </a:xfrm>
                    <a:prstGeom prst="rect">
                      <a:avLst/>
                    </a:prstGeom>
                    <a:noFill/>
                    <a:ln>
                      <a:noFill/>
                    </a:ln>
                  </pic:spPr>
                </pic:pic>
              </a:graphicData>
            </a:graphic>
          </wp:anchor>
        </w:drawing>
      </w:r>
      <w:r>
        <w:rPr>
          <w:sz w:val="21"/>
        </w:rPr>
        <mc:AlternateContent>
          <mc:Choice Requires="wps">
            <w:drawing>
              <wp:anchor distT="0" distB="0" distL="114300" distR="114300" simplePos="0" relativeHeight="251697152" behindDoc="0" locked="0" layoutInCell="1" allowOverlap="1">
                <wp:simplePos x="0" y="0"/>
                <wp:positionH relativeFrom="column">
                  <wp:posOffset>5868035</wp:posOffset>
                </wp:positionH>
                <wp:positionV relativeFrom="paragraph">
                  <wp:posOffset>4780280</wp:posOffset>
                </wp:positionV>
                <wp:extent cx="773430" cy="299085"/>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773430" cy="299085"/>
                        </a:xfrm>
                        <a:prstGeom prst="rect">
                          <a:avLst/>
                        </a:prstGeom>
                        <a:noFill/>
                        <a:ln>
                          <a:noFill/>
                        </a:ln>
                      </wps:spPr>
                      <wps:txbx>
                        <w:txbxContent>
                          <w:p w14:paraId="25395843">
                            <w:pPr>
                              <w:rPr>
                                <w:rFonts w:hint="eastAsia" w:eastAsia="宋体"/>
                                <w:lang w:eastAsia="zh-CN"/>
                              </w:rPr>
                            </w:pPr>
                            <w:r>
                              <w:rPr>
                                <w:rFonts w:hint="eastAsia"/>
                                <w:lang w:eastAsia="zh-CN"/>
                              </w:rPr>
                              <w:t>比例尺</w:t>
                            </w:r>
                          </w:p>
                        </w:txbxContent>
                      </wps:txbx>
                      <wps:bodyPr upright="1"/>
                    </wps:wsp>
                  </a:graphicData>
                </a:graphic>
              </wp:anchor>
            </w:drawing>
          </mc:Choice>
          <mc:Fallback>
            <w:pict>
              <v:shape id="_x0000_s1026" o:spid="_x0000_s1026" o:spt="202" type="#_x0000_t202" style="position:absolute;left:0pt;margin-left:462.05pt;margin-top:376.4pt;height:23.55pt;width:60.9pt;z-index:251697152;mso-width-relative:page;mso-height-relative:page;" filled="f" stroked="f" coordsize="21600,21600" o:gfxdata="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NRHzoHY&#10;AAAADAEAAA8AAAAAAAAAAQAgAAAAIgAAAGRycy9kb3ducmV2LnhtbFBLAQIUABQAAAAIAIdO4kC0&#10;QR+qrgEAAE8DAAAOAAAAAAAAAAEAIAAAACcBAABkcnMvZTJvRG9jLnhtbFBLBQYAAAAABgAGAFkB&#10;AABHBQAAAAA=&#10;">
                <v:path/>
                <v:fill on="f" focussize="0,0"/>
                <v:stroke on="f"/>
                <v:imagedata o:title=""/>
                <o:lock v:ext="edit" aspectratio="f"/>
                <v:textbox>
                  <w:txbxContent>
                    <w:p w14:paraId="25395843">
                      <w:pPr>
                        <w:rPr>
                          <w:rFonts w:hint="eastAsia" w:eastAsia="宋体"/>
                          <w:lang w:eastAsia="zh-CN"/>
                        </w:rPr>
                      </w:pPr>
                      <w:r>
                        <w:rPr>
                          <w:rFonts w:hint="eastAsia"/>
                          <w:lang w:eastAsia="zh-CN"/>
                        </w:rPr>
                        <w:t>比例尺</w:t>
                      </w:r>
                    </w:p>
                  </w:txbxContent>
                </v:textbox>
              </v:shape>
            </w:pict>
          </mc:Fallback>
        </mc:AlternateContent>
      </w:r>
      <w:r>
        <w:rPr>
          <w:sz w:val="21"/>
        </w:rPr>
        <mc:AlternateContent>
          <mc:Choice Requires="wpg">
            <w:drawing>
              <wp:anchor distT="0" distB="0" distL="114300" distR="114300" simplePos="0" relativeHeight="251699200" behindDoc="0" locked="0" layoutInCell="1" allowOverlap="1">
                <wp:simplePos x="0" y="0"/>
                <wp:positionH relativeFrom="column">
                  <wp:posOffset>6461125</wp:posOffset>
                </wp:positionH>
                <wp:positionV relativeFrom="paragraph">
                  <wp:posOffset>4465320</wp:posOffset>
                </wp:positionV>
                <wp:extent cx="2584450" cy="481330"/>
                <wp:effectExtent l="0" t="0" r="0" b="13335"/>
                <wp:wrapNone/>
                <wp:docPr id="65" name="组合 65"/>
                <wp:cNvGraphicFramePr/>
                <a:graphic xmlns:a="http://schemas.openxmlformats.org/drawingml/2006/main">
                  <a:graphicData uri="http://schemas.microsoft.com/office/word/2010/wordprocessingGroup">
                    <wpg:wgp>
                      <wpg:cNvGrpSpPr/>
                      <wpg:grpSpPr>
                        <a:xfrm>
                          <a:off x="1448435" y="1445895"/>
                          <a:ext cx="2584450" cy="481330"/>
                          <a:chOff x="5756" y="2560"/>
                          <a:chExt cx="3021" cy="758"/>
                        </a:xfrm>
                        <a:effectLst/>
                      </wpg:grpSpPr>
                      <wps:wsp>
                        <wps:cNvPr id="66" name="矩形 1"/>
                        <wps:cNvSpPr/>
                        <wps:spPr>
                          <a:xfrm>
                            <a:off x="5912" y="3056"/>
                            <a:ext cx="1116" cy="262"/>
                          </a:xfrm>
                          <a:prstGeom prst="rect">
                            <a:avLst/>
                          </a:prstGeom>
                          <a:no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7" name="矩形 2"/>
                        <wps:cNvSpPr/>
                        <wps:spPr>
                          <a:xfrm>
                            <a:off x="7033" y="3052"/>
                            <a:ext cx="1116" cy="262"/>
                          </a:xfrm>
                          <a:prstGeom prst="rect">
                            <a:avLst/>
                          </a:prstGeom>
                          <a:solidFill>
                            <a:srgbClr val="00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8" name="文本框 3"/>
                        <wps:cNvSpPr txBox="1"/>
                        <wps:spPr>
                          <a:xfrm>
                            <a:off x="5756" y="2579"/>
                            <a:ext cx="592" cy="450"/>
                          </a:xfrm>
                          <a:prstGeom prst="rect">
                            <a:avLst/>
                          </a:prstGeom>
                          <a:noFill/>
                          <a:ln w="6350">
                            <a:noFill/>
                          </a:ln>
                          <a:effectLst/>
                        </wps:spPr>
                        <wps:txbx>
                          <w:txbxContent>
                            <w:p w14:paraId="193F5D16">
                              <w:pPr>
                                <w:rPr>
                                  <w:rFonts w:hint="default" w:ascii="Times New Roman" w:hAnsi="Times New Roman" w:eastAsia="宋体" w:cs="Times New Roman"/>
                                  <w:lang w:val="en-US" w:eastAsia="zh-CN"/>
                                </w:rPr>
                              </w:pPr>
                              <w:r>
                                <w:rPr>
                                  <w:rFonts w:hint="default" w:ascii="Times New Roman" w:hAnsi="Times New Roman" w:cs="Times New Roman"/>
                                  <w:lang w:val="en-US" w:eastAsia="zh-CN"/>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 name="文本框 5"/>
                        <wps:cNvSpPr txBox="1"/>
                        <wps:spPr>
                          <a:xfrm>
                            <a:off x="6739" y="2564"/>
                            <a:ext cx="928" cy="450"/>
                          </a:xfrm>
                          <a:prstGeom prst="rect">
                            <a:avLst/>
                          </a:prstGeom>
                          <a:noFill/>
                          <a:ln w="6350">
                            <a:noFill/>
                          </a:ln>
                          <a:effectLst/>
                        </wps:spPr>
                        <wps:txbx>
                          <w:txbxContent>
                            <w:p w14:paraId="5EBB58B5">
                              <w:pPr>
                                <w:rPr>
                                  <w:rFonts w:hint="default" w:ascii="Times New Roman" w:hAnsi="Times New Roman" w:eastAsia="宋体" w:cs="Times New Roman"/>
                                  <w:lang w:val="en-US" w:eastAsia="zh-CN"/>
                                </w:rPr>
                              </w:pPr>
                              <w:r>
                                <w:rPr>
                                  <w:rFonts w:hint="eastAsia" w:ascii="Times New Roman" w:hAnsi="Times New Roman" w:cs="Times New Roman"/>
                                  <w:lang w:val="en-US" w:eastAsia="zh-CN"/>
                                </w:rPr>
                                <w:t>10m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0" name="文本框 6"/>
                        <wps:cNvSpPr txBox="1"/>
                        <wps:spPr>
                          <a:xfrm>
                            <a:off x="7871" y="2560"/>
                            <a:ext cx="906" cy="450"/>
                          </a:xfrm>
                          <a:prstGeom prst="rect">
                            <a:avLst/>
                          </a:prstGeom>
                          <a:noFill/>
                          <a:ln w="6350">
                            <a:noFill/>
                          </a:ln>
                          <a:effectLst/>
                        </wps:spPr>
                        <wps:txbx>
                          <w:txbxContent>
                            <w:p w14:paraId="3015573A">
                              <w:pPr>
                                <w:rPr>
                                  <w:rFonts w:hint="default" w:ascii="Times New Roman" w:hAnsi="Times New Roman" w:eastAsia="宋体" w:cs="Times New Roman"/>
                                  <w:lang w:val="en-US" w:eastAsia="zh-CN"/>
                                </w:rPr>
                              </w:pPr>
                              <w:r>
                                <w:rPr>
                                  <w:rFonts w:hint="eastAsia" w:ascii="Times New Roman" w:hAnsi="Times New Roman" w:cs="Times New Roman"/>
                                  <w:lang w:val="en-US" w:eastAsia="zh-CN"/>
                                </w:rPr>
                                <w:t>2</w:t>
                              </w:r>
                              <w:r>
                                <w:rPr>
                                  <w:rFonts w:hint="default" w:ascii="Times New Roman" w:hAnsi="Times New Roman" w:cs="Times New Roman"/>
                                  <w:lang w:val="en-US" w:eastAsia="zh-CN"/>
                                </w:rPr>
                                <w:t>0</w:t>
                              </w:r>
                              <w:r>
                                <w:rPr>
                                  <w:rFonts w:hint="eastAsia" w:ascii="Times New Roman" w:hAnsi="Times New Roman" w:cs="Times New Roman"/>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508.75pt;margin-top:351.6pt;height:37.9pt;width:203.5pt;z-index:251699200;mso-width-relative:page;mso-height-relative:page;" coordorigin="5756,2560" coordsize="3021,758" o:gfxdata="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">
                <o:lock v:ext="edit" aspectratio="f"/>
                <v:rect id="矩形 1" o:spid="_x0000_s1026" o:spt="1" style="position:absolute;left:5912;top:3056;height:262;width:1116;v-text-anchor:middle;" filled="f" stroked="t" coordsize="21600,21600" o:gfxdata="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ifFi8AAAA&#10;2gAAAA8AAAAAAAAAAQAgAAAAIgAAAGRycy9kb3ducmV2LnhtbFBLAQIUABQAAAAIAIdO4kAzLwWe&#10;OwAAADkAAAAQAAAAAAAAAAEAIAAAAAsBAABkcnMvc2hhcGV4bWwueG1sUEsFBgAAAAAGAAYAWwEA&#10;ALUDAAAAAA==&#10;">
                  <v:path/>
                  <v:fill on="f" focussize="0,0"/>
                  <v:stroke weight="2pt" joinstyle="round"/>
                  <v:imagedata o:title=""/>
                  <o:lock v:ext="edit" aspectratio="f"/>
                </v:rect>
                <v:rect id="矩形 2" o:spid="_x0000_s1026" o:spt="1" style="position:absolute;left:7033;top:3052;height:262;width:1116;v-text-anchor:middle;" fillcolor="#000000" filled="t" stroked="t" coordsize="21600,21600" o:gfxdata="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7TidCugAAANoA&#10;AAAPAAAAAAAAAAEAIAAAACIAAABkcnMvZG93bnJldi54bWxQSwECFAAUAAAACACHTuJAMy8FnjsA&#10;AAA5AAAAEAAAAAAAAAABACAAAAAJAQAAZHJzL3NoYXBleG1sLnhtbFBLBQYAAAAABgAGAFsBAACz&#10;AwAAAAA=&#10;">
                  <v:path/>
                  <v:fill on="t" color2="#FFFFFF" focussize="0,0"/>
                  <v:stroke weight="2pt" joinstyle="round"/>
                  <v:imagedata o:title=""/>
                  <o:lock v:ext="edit" aspectratio="f"/>
                </v:rect>
                <v:shape id="文本框 3" o:spid="_x0000_s1026" o:spt="202" type="#_x0000_t202" style="position:absolute;left:5756;top:2579;height:450;width:592;" filled="f" stroked="f" coordsize="21600,21600" o:gfxdata="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sFPO/&#10;AAAA2gAAAA8AAAAAAAAAAQAgAAAAIgAAAGRycy9kb3ducmV2LnhtbFBLAQIUABQAAAAIAIdO4kAz&#10;LwWeOwAAADkAAAAQAAAAAAAAAAEAIAAAAA4BAABkcnMvc2hhcGV4bWwueG1sUEsFBgAAAAAGAAYA&#10;WwEAALgDAAAAAA==&#10;">
                  <v:path/>
                  <v:fill on="f" focussize="0,0"/>
                  <v:stroke on="f" weight="0.5pt"/>
                  <v:imagedata o:title=""/>
                  <o:lock v:ext="edit" aspectratio="f"/>
                  <v:textbox>
                    <w:txbxContent>
                      <w:p w14:paraId="193F5D16">
                        <w:pPr>
                          <w:rPr>
                            <w:rFonts w:hint="default" w:ascii="Times New Roman" w:hAnsi="Times New Roman" w:eastAsia="宋体" w:cs="Times New Roman"/>
                            <w:lang w:val="en-US" w:eastAsia="zh-CN"/>
                          </w:rPr>
                        </w:pPr>
                        <w:r>
                          <w:rPr>
                            <w:rFonts w:hint="default" w:ascii="Times New Roman" w:hAnsi="Times New Roman" w:cs="Times New Roman"/>
                            <w:lang w:val="en-US" w:eastAsia="zh-CN"/>
                          </w:rPr>
                          <w:t>0</w:t>
                        </w:r>
                      </w:p>
                    </w:txbxContent>
                  </v:textbox>
                </v:shape>
                <v:shape id="文本框 5" o:spid="_x0000_s1026" o:spt="202" type="#_x0000_t202" style="position:absolute;left:6739;top:2564;height:450;width:928;" filled="f" stroked="f" coordsize="21600,21600" o:gfxdata="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EkpHL4A&#10;AADaAAAADwAAAAAAAAABACAAAAAiAAAAZHJzL2Rvd25yZXYueG1sUEsBAhQAFAAAAAgAh07iQDMv&#10;BZ47AAAAOQAAABAAAAAAAAAAAQAgAAAADQEAAGRycy9zaGFwZXhtbC54bWxQSwUGAAAAAAYABgBb&#10;AQAAtwMAAAAA&#10;">
                  <v:path/>
                  <v:fill on="f" focussize="0,0"/>
                  <v:stroke on="f" weight="0.5pt"/>
                  <v:imagedata o:title=""/>
                  <o:lock v:ext="edit" aspectratio="f"/>
                  <v:textbox>
                    <w:txbxContent>
                      <w:p w14:paraId="5EBB58B5">
                        <w:pPr>
                          <w:rPr>
                            <w:rFonts w:hint="default" w:ascii="Times New Roman" w:hAnsi="Times New Roman" w:eastAsia="宋体" w:cs="Times New Roman"/>
                            <w:lang w:val="en-US" w:eastAsia="zh-CN"/>
                          </w:rPr>
                        </w:pPr>
                        <w:r>
                          <w:rPr>
                            <w:rFonts w:hint="eastAsia" w:ascii="Times New Roman" w:hAnsi="Times New Roman" w:cs="Times New Roman"/>
                            <w:lang w:val="en-US" w:eastAsia="zh-CN"/>
                          </w:rPr>
                          <w:t>10m</w:t>
                        </w:r>
                      </w:p>
                    </w:txbxContent>
                  </v:textbox>
                </v:shape>
                <v:shape id="文本框 6" o:spid="_x0000_s1026" o:spt="202" type="#_x0000_t202" style="position:absolute;left:7871;top:2560;height:450;width:906;" filled="f" stroked="f" coordsize="21600,21600" o:gfxdata="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m7drvQAA&#10;ANoAAAAPAAAAAAAAAAEAIAAAACIAAABkcnMvZG93bnJldi54bWxQSwECFAAUAAAACACHTuJAMy8F&#10;njsAAAA5AAAAEAAAAAAAAAABACAAAAAMAQAAZHJzL3NoYXBleG1sLnhtbFBLBQYAAAAABgAGAFsB&#10;AAC2AwAAAAA=&#10;">
                  <v:path/>
                  <v:fill on="f" focussize="0,0"/>
                  <v:stroke on="f" weight="0.5pt"/>
                  <v:imagedata o:title=""/>
                  <o:lock v:ext="edit" aspectratio="f"/>
                  <v:textbox>
                    <w:txbxContent>
                      <w:p w14:paraId="3015573A">
                        <w:pPr>
                          <w:rPr>
                            <w:rFonts w:hint="default" w:ascii="Times New Roman" w:hAnsi="Times New Roman" w:eastAsia="宋体" w:cs="Times New Roman"/>
                            <w:lang w:val="en-US" w:eastAsia="zh-CN"/>
                          </w:rPr>
                        </w:pPr>
                        <w:r>
                          <w:rPr>
                            <w:rFonts w:hint="eastAsia" w:ascii="Times New Roman" w:hAnsi="Times New Roman" w:cs="Times New Roman"/>
                            <w:lang w:val="en-US" w:eastAsia="zh-CN"/>
                          </w:rPr>
                          <w:t>2</w:t>
                        </w:r>
                        <w:r>
                          <w:rPr>
                            <w:rFonts w:hint="default" w:ascii="Times New Roman" w:hAnsi="Times New Roman" w:cs="Times New Roman"/>
                            <w:lang w:val="en-US" w:eastAsia="zh-CN"/>
                          </w:rPr>
                          <w:t>0</w:t>
                        </w:r>
                        <w:r>
                          <w:rPr>
                            <w:rFonts w:hint="eastAsia" w:ascii="Times New Roman" w:hAnsi="Times New Roman" w:cs="Times New Roman"/>
                            <w:lang w:val="en-US" w:eastAsia="zh-CN"/>
                          </w:rPr>
                          <w:t>m</w:t>
                        </w:r>
                      </w:p>
                    </w:txbxContent>
                  </v:textbox>
                </v:shape>
              </v:group>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1809115</wp:posOffset>
                </wp:positionH>
                <wp:positionV relativeFrom="paragraph">
                  <wp:posOffset>5211445</wp:posOffset>
                </wp:positionV>
                <wp:extent cx="5168900" cy="400050"/>
                <wp:effectExtent l="0" t="0" r="0" b="0"/>
                <wp:wrapNone/>
                <wp:docPr id="71" name="矩形 71"/>
                <wp:cNvGraphicFramePr/>
                <a:graphic xmlns:a="http://schemas.openxmlformats.org/drawingml/2006/main">
                  <a:graphicData uri="http://schemas.microsoft.com/office/word/2010/wordprocessingShape">
                    <wps:wsp>
                      <wps:cNvSpPr/>
                      <wps:spPr>
                        <a:xfrm>
                          <a:off x="0" y="0"/>
                          <a:ext cx="5168900" cy="400050"/>
                        </a:xfrm>
                        <a:prstGeom prst="rect">
                          <a:avLst/>
                        </a:prstGeom>
                        <a:noFill/>
                        <a:ln>
                          <a:noFill/>
                        </a:ln>
                      </wps:spPr>
                      <wps:txbx>
                        <w:txbxContent>
                          <w:p w14:paraId="481E3A2C">
                            <w:pPr>
                              <w:jc w:val="center"/>
                              <w:rPr>
                                <w:rFonts w:hint="eastAsia" w:eastAsia="宋体"/>
                                <w:b/>
                                <w:bCs/>
                                <w:sz w:val="32"/>
                                <w:szCs w:val="32"/>
                                <w:lang w:val="en-US" w:eastAsia="zh-CN"/>
                              </w:rPr>
                            </w:pPr>
                            <w:r>
                              <w:rPr>
                                <w:rFonts w:hint="eastAsia"/>
                                <w:b/>
                                <w:bCs/>
                                <w:sz w:val="32"/>
                                <w:szCs w:val="32"/>
                                <w:lang w:val="en-US" w:eastAsia="zh-CN"/>
                              </w:rPr>
                              <w:t>附图3 项目平面布置图</w:t>
                            </w:r>
                          </w:p>
                        </w:txbxContent>
                      </wps:txbx>
                      <wps:bodyPr upright="1"/>
                    </wps:wsp>
                  </a:graphicData>
                </a:graphic>
              </wp:anchor>
            </w:drawing>
          </mc:Choice>
          <mc:Fallback>
            <w:pict>
              <v:rect id="_x0000_s1026" o:spid="_x0000_s1026" o:spt="1" style="position:absolute;left:0pt;margin-left:142.45pt;margin-top:410.35pt;height:31.5pt;width:407pt;z-index:251696128;mso-width-relative:page;mso-height-relative:page;" filled="f" stroked="f" coordsize="21600,21600" o:gfxdata="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7rEzS9wAAAAMAQAA&#10;DwAAAAAAAAABACAAAAAiAAAAZHJzL2Rvd25yZXYueG1sUEsBAhQAFAAAAAgAh07iQBP0j7SjAQAA&#10;QwMAAA4AAAAAAAAAAQAgAAAAKwEAAGRycy9lMm9Eb2MueG1sUEsFBgAAAAAGAAYAWQEAAEAFAAAA&#10;AA==&#10;">
                <v:path/>
                <v:fill on="f" focussize="0,0"/>
                <v:stroke on="f"/>
                <v:imagedata o:title=""/>
                <o:lock v:ext="edit" aspectratio="f"/>
                <v:textbox>
                  <w:txbxContent>
                    <w:p w14:paraId="481E3A2C">
                      <w:pPr>
                        <w:jc w:val="center"/>
                        <w:rPr>
                          <w:rFonts w:hint="eastAsia" w:eastAsia="宋体"/>
                          <w:b/>
                          <w:bCs/>
                          <w:sz w:val="32"/>
                          <w:szCs w:val="32"/>
                          <w:lang w:val="en-US" w:eastAsia="zh-CN"/>
                        </w:rPr>
                      </w:pPr>
                      <w:r>
                        <w:rPr>
                          <w:rFonts w:hint="eastAsia"/>
                          <w:b/>
                          <w:bCs/>
                          <w:sz w:val="32"/>
                          <w:szCs w:val="32"/>
                          <w:lang w:val="en-US" w:eastAsia="zh-CN"/>
                        </w:rPr>
                        <w:t>附图3 项目平面布置图</w:t>
                      </w:r>
                    </w:p>
                  </w:txbxContent>
                </v:textbox>
              </v:rect>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-81915</wp:posOffset>
                </wp:positionH>
                <wp:positionV relativeFrom="paragraph">
                  <wp:posOffset>-17780</wp:posOffset>
                </wp:positionV>
                <wp:extent cx="8900795" cy="5059045"/>
                <wp:effectExtent l="5080" t="5080" r="9525" b="22225"/>
                <wp:wrapNone/>
                <wp:docPr id="73" name="矩形 73"/>
                <wp:cNvGraphicFramePr/>
                <a:graphic xmlns:a="http://schemas.openxmlformats.org/drawingml/2006/main">
                  <a:graphicData uri="http://schemas.microsoft.com/office/word/2010/wordprocessingShape">
                    <wps:wsp>
                      <wps:cNvSpPr/>
                      <wps:spPr>
                        <a:xfrm>
                          <a:off x="0" y="0"/>
                          <a:ext cx="8900795" cy="5059045"/>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6.45pt;margin-top:-1.4pt;height:398.35pt;width:700.85pt;z-index:251698176;mso-width-relative:page;mso-height-relative:page;" filled="f" stroked="t" coordsize="21600,21600" o:gfxdata="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QfPNvZAAAACwEAAA8AAAAAAAAAAQAgAAAAIgAAAGRycy9kb3ducmV2Lnht&#10;bFBLAQIUABQAAAAIAIdO4kDPVMbu+AEAAPgDAAAOAAAAAAAAAAEAIAAAACgBAABkcnMvZTJvRG9j&#10;LnhtbFBLBQYAAAAABgAGAFkBAACSBQAAAAA=&#10;">
                <v:path/>
                <v:fill on="f" focussize="0,0"/>
                <v:stroke/>
                <v:imagedata o:title=""/>
                <o:lock v:ext="edit" aspectratio="f"/>
              </v:rect>
            </w:pict>
          </mc:Fallback>
        </mc:AlternateContent>
      </w:r>
      <w:r>
        <w:rPr>
          <w:rFonts w:hint="eastAsia"/>
          <w:lang w:val="en-US" w:eastAsia="zh-CN"/>
        </w:rPr>
        <w:t xml:space="preserve">                    </w:t>
      </w:r>
      <w:r>
        <w:object>
          <v:shape id="_x0000_i1049" o:spt="75" type="#_x0000_t75" style="height:353.8pt;width:697pt;" o:ole="t" filled="f" o:preferrelative="t" stroked="f" coordsize="21600,21600">
            <v:path/>
            <v:fill on="f" focussize="0,0"/>
            <v:stroke on="f"/>
            <v:imagedata r:id="rId49" o:title=""/>
            <o:lock v:ext="edit" aspectratio="f"/>
            <w10:wrap type="none"/>
            <w10:anchorlock/>
          </v:shape>
          <o:OLEObject Type="Embed" ProgID="Visio.Drawing.15" ShapeID="_x0000_i1049" DrawAspect="Content" ObjectID="_1468075729" r:id="rId48">
            <o:LockedField>false</o:LockedField>
          </o:OLEObject>
        </w:object>
      </w:r>
    </w:p>
    <w:p w14:paraId="502DB91F">
      <w:pPr>
        <w:jc w:val="center"/>
      </w:pPr>
    </w:p>
    <w:p w14:paraId="3FEEFB0C"/>
    <w:p w14:paraId="53C54F57"/>
    <w:p w14:paraId="61AB840D">
      <w:pPr>
        <w:sectPr>
          <w:headerReference r:id="rId7" w:type="default"/>
          <w:pgSz w:w="16838" w:h="11906" w:orient="landscape"/>
          <w:pgMar w:top="1474" w:right="1440" w:bottom="1474" w:left="1531" w:header="851" w:footer="992" w:gutter="0"/>
          <w:cols w:space="720" w:num="1"/>
          <w:docGrid w:type="lines" w:linePitch="312" w:charSpace="0"/>
        </w:sectPr>
      </w:pPr>
    </w:p>
    <w:p w14:paraId="4761B67E">
      <w:pPr>
        <w:rPr>
          <w:rFonts w:hint="eastAsia" w:eastAsiaTheme="minorEastAsia"/>
          <w:lang w:eastAsia="zh-CN"/>
        </w:rPr>
      </w:pPr>
      <w:r>
        <w:rPr>
          <w:sz w:val="21"/>
        </w:rPr>
        <mc:AlternateContent>
          <mc:Choice Requires="wps">
            <w:drawing>
              <wp:anchor distT="0" distB="0" distL="114300" distR="114300" simplePos="0" relativeHeight="251702272" behindDoc="0" locked="0" layoutInCell="1" allowOverlap="1">
                <wp:simplePos x="0" y="0"/>
                <wp:positionH relativeFrom="column">
                  <wp:posOffset>969645</wp:posOffset>
                </wp:positionH>
                <wp:positionV relativeFrom="paragraph">
                  <wp:posOffset>1481455</wp:posOffset>
                </wp:positionV>
                <wp:extent cx="944880" cy="437515"/>
                <wp:effectExtent l="12700" t="12700" r="204470" b="711835"/>
                <wp:wrapNone/>
                <wp:docPr id="75" name="矩形标注 75"/>
                <wp:cNvGraphicFramePr/>
                <a:graphic xmlns:a="http://schemas.openxmlformats.org/drawingml/2006/main">
                  <a:graphicData uri="http://schemas.microsoft.com/office/word/2010/wordprocessingShape">
                    <wps:wsp>
                      <wps:cNvSpPr/>
                      <wps:spPr>
                        <a:xfrm>
                          <a:off x="4798060" y="3144520"/>
                          <a:ext cx="944880" cy="437515"/>
                        </a:xfrm>
                        <a:prstGeom prst="wedgeRectCallout">
                          <a:avLst>
                            <a:gd name="adj1" fmla="val 69345"/>
                            <a:gd name="adj2" fmla="val 20673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9E7F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Theme="minor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6.35pt;margin-top:116.65pt;height:34.45pt;width:74.4pt;z-index:251702272;v-text-anchor:middle;mso-width-relative:page;mso-height-relative:page;" filled="f" stroked="t" coordsize="21600,21600" o:gfxdata="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oiUBB2AAAAAsBAAAPAAAAAAAAAAEAIAAAACIAAABkcnMvZG93bnJl&#10;di54bWxQSwECFAAUAAAACACHTuJAIvA0V6gCAAAwBQAADgAAAAAAAAABACAAAAAnAQAAZHJzL2Uy&#10;b0RvYy54bWxQSwUGAAAAAAYABgBZAQAAQQYAAAAA&#10;" adj="25779,55454">
                <v:fill on="f" focussize="0,0"/>
                <v:stroke weight="2pt" color="#000000 [3213]" joinstyle="round"/>
                <v:imagedata o:title=""/>
                <o:lock v:ext="edit" aspectratio="f"/>
                <v:textbox>
                  <w:txbxContent>
                    <w:p w14:paraId="2779E7F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Theme="minor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项目所在地</w:t>
                      </w:r>
                    </w:p>
                  </w:txbxContent>
                </v:textbox>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2116455</wp:posOffset>
                </wp:positionH>
                <wp:positionV relativeFrom="paragraph">
                  <wp:posOffset>2637790</wp:posOffset>
                </wp:positionV>
                <wp:extent cx="75565" cy="75565"/>
                <wp:effectExtent l="12700" t="12700" r="26035" b="26035"/>
                <wp:wrapNone/>
                <wp:docPr id="76" name="五角星 76"/>
                <wp:cNvGraphicFramePr/>
                <a:graphic xmlns:a="http://schemas.openxmlformats.org/drawingml/2006/main">
                  <a:graphicData uri="http://schemas.microsoft.com/office/word/2010/wordprocessingShape">
                    <wps:wsp>
                      <wps:cNvSpPr/>
                      <wps:spPr>
                        <a:xfrm>
                          <a:off x="4451350" y="3159760"/>
                          <a:ext cx="75565" cy="75565"/>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66.65pt;margin-top:207.7pt;height:5.95pt;width:5.95pt;z-index:251701248;v-text-anchor:middle;mso-width-relative:page;mso-height-relative:page;" fillcolor="#FF0000" filled="t" stroked="t" coordsize="75565,75565" o:gfxdata="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&#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IctRs/aAAAACwEAAA8AAAAAAAAAAQAgAAAAIgAAAGRy&#10;cy9kb3ducmV2LnhtbFBLAQIUABQAAAAIAIdO4kA/b5vLdQIAAOwEAAAOAAAAAAAAAAEAIAAAACkB&#10;AABkcnMvZTJvRG9jLnhtbFBLBQYAAAAABgAGAFkBAAAQBgAAAAA=&#10;" path="m0,28863l28863,28863,37782,0,46701,28863,75564,28863,52213,46701,61133,75564,37782,57726,14431,75564,23351,46701xe">
                <v:path o:connectlocs="37782,0;0,28863;14431,75564;61133,75564;75564,28863" o:connectangles="247,164,82,82,0"/>
                <v:fill on="t"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703296" behindDoc="0" locked="0" layoutInCell="1" allowOverlap="1">
                <wp:simplePos x="0" y="0"/>
                <wp:positionH relativeFrom="column">
                  <wp:posOffset>810260</wp:posOffset>
                </wp:positionH>
                <wp:positionV relativeFrom="paragraph">
                  <wp:posOffset>7983220</wp:posOffset>
                </wp:positionV>
                <wp:extent cx="3657600" cy="457200"/>
                <wp:effectExtent l="0" t="0" r="0" b="0"/>
                <wp:wrapNone/>
                <wp:docPr id="77" name="文本框 77"/>
                <wp:cNvGraphicFramePr/>
                <a:graphic xmlns:a="http://schemas.openxmlformats.org/drawingml/2006/main">
                  <a:graphicData uri="http://schemas.microsoft.com/office/word/2010/wordprocessingShape">
                    <wps:wsp>
                      <wps:cNvSpPr txBox="1">
                        <a:spLocks noChangeArrowheads="1"/>
                      </wps:cNvSpPr>
                      <wps:spPr bwMode="auto">
                        <a:xfrm>
                          <a:off x="0" y="0"/>
                          <a:ext cx="3657600" cy="457200"/>
                        </a:xfrm>
                        <a:prstGeom prst="rect">
                          <a:avLst/>
                        </a:prstGeom>
                        <a:solidFill>
                          <a:srgbClr val="FFFFFF"/>
                        </a:solidFill>
                        <a:ln>
                          <a:noFill/>
                        </a:ln>
                        <a:effectLst/>
                      </wps:spPr>
                      <wps:txbx>
                        <w:txbxContent>
                          <w:p w14:paraId="19F36B15">
                            <w:pPr>
                              <w:rPr>
                                <w:rFonts w:ascii="Times New Roman" w:hAnsi="Times New Roman" w:cs="Times New Roman" w:eastAsiaTheme="minorEastAsia"/>
                                <w:b/>
                                <w:bCs w:val="0"/>
                                <w:sz w:val="30"/>
                                <w:szCs w:val="30"/>
                              </w:rPr>
                            </w:pPr>
                            <w:r>
                              <w:rPr>
                                <w:rFonts w:ascii="Times New Roman" w:cs="Times New Roman" w:hAnsiTheme="minorEastAsia" w:eastAsiaTheme="minorEastAsia"/>
                                <w:b/>
                                <w:bCs w:val="0"/>
                                <w:sz w:val="30"/>
                                <w:szCs w:val="30"/>
                              </w:rPr>
                              <w:t>附图</w:t>
                            </w:r>
                            <w:r>
                              <w:rPr>
                                <w:rFonts w:hint="eastAsia" w:ascii="Times New Roman" w:cs="Times New Roman" w:hAnsiTheme="minorEastAsia"/>
                                <w:b/>
                                <w:bCs w:val="0"/>
                                <w:sz w:val="30"/>
                                <w:szCs w:val="30"/>
                                <w:lang w:val="en-US" w:eastAsia="zh-CN"/>
                              </w:rPr>
                              <w:t>4</w:t>
                            </w:r>
                            <w:r>
                              <w:rPr>
                                <w:rFonts w:hint="eastAsia" w:ascii="Times New Roman" w:cs="Times New Roman" w:hAnsiTheme="minorEastAsia" w:eastAsiaTheme="minorEastAsia"/>
                                <w:b/>
                                <w:bCs w:val="0"/>
                                <w:sz w:val="30"/>
                                <w:szCs w:val="30"/>
                              </w:rPr>
                              <w:t xml:space="preserve"> </w:t>
                            </w:r>
                            <w:r>
                              <w:rPr>
                                <w:rFonts w:ascii="Times New Roman" w:hAnsi="Times New Roman" w:cs="Times New Roman" w:eastAsiaTheme="minorEastAsia"/>
                                <w:b/>
                                <w:bCs w:val="0"/>
                                <w:sz w:val="30"/>
                                <w:szCs w:val="30"/>
                              </w:rPr>
                              <w:t xml:space="preserve">  </w:t>
                            </w:r>
                            <w:r>
                              <w:rPr>
                                <w:rFonts w:hint="eastAsia" w:ascii="Times New Roman" w:cs="Times New Roman" w:hAnsiTheme="minorEastAsia"/>
                                <w:b/>
                                <w:bCs w:val="0"/>
                                <w:sz w:val="30"/>
                                <w:szCs w:val="30"/>
                                <w:lang w:eastAsia="zh-CN"/>
                              </w:rPr>
                              <w:t>项目与工业聚集区位置关系</w:t>
                            </w:r>
                            <w:r>
                              <w:rPr>
                                <w:rFonts w:ascii="Times New Roman" w:cs="Times New Roman" w:hAnsiTheme="minorEastAsia" w:eastAsiaTheme="minorEastAsia"/>
                                <w:b/>
                                <w:bCs w:val="0"/>
                                <w:sz w:val="30"/>
                                <w:szCs w:val="30"/>
                              </w:rPr>
                              <w:t>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3.8pt;margin-top:628.6pt;height:36pt;width:288pt;z-index:251703296;mso-width-relative:page;mso-height-relative:page;" fillcolor="#FFFFFF" filled="t" stroked="f" coordsize="21600,21600" o:gfxdata="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33EMQ2QAAAA0BAAAPAAAAAAAAAAEAIAAAACIAAABkcnMvZG93bnJldi54bWxQ&#10;SwECFAAUAAAACACHTuJAZ43QSS8CAABOBAAADgAAAAAAAAABACAAAAAoAQAAZHJzL2Uyb0RvYy54&#10;bWxQSwUGAAAAAAYABgBZAQAAyQUAAAAA&#10;">
                <v:fill on="t" focussize="0,0"/>
                <v:stroke on="f"/>
                <v:imagedata o:title=""/>
                <o:lock v:ext="edit" aspectratio="f"/>
                <v:textbox>
                  <w:txbxContent>
                    <w:p w14:paraId="19F36B15">
                      <w:pPr>
                        <w:rPr>
                          <w:rFonts w:ascii="Times New Roman" w:hAnsi="Times New Roman" w:cs="Times New Roman" w:eastAsiaTheme="minorEastAsia"/>
                          <w:b/>
                          <w:bCs w:val="0"/>
                          <w:sz w:val="30"/>
                          <w:szCs w:val="30"/>
                        </w:rPr>
                      </w:pPr>
                      <w:r>
                        <w:rPr>
                          <w:rFonts w:ascii="Times New Roman" w:cs="Times New Roman" w:hAnsiTheme="minorEastAsia" w:eastAsiaTheme="minorEastAsia"/>
                          <w:b/>
                          <w:bCs w:val="0"/>
                          <w:sz w:val="30"/>
                          <w:szCs w:val="30"/>
                        </w:rPr>
                        <w:t>附图</w:t>
                      </w:r>
                      <w:r>
                        <w:rPr>
                          <w:rFonts w:hint="eastAsia" w:ascii="Times New Roman" w:cs="Times New Roman" w:hAnsiTheme="minorEastAsia"/>
                          <w:b/>
                          <w:bCs w:val="0"/>
                          <w:sz w:val="30"/>
                          <w:szCs w:val="30"/>
                          <w:lang w:val="en-US" w:eastAsia="zh-CN"/>
                        </w:rPr>
                        <w:t>4</w:t>
                      </w:r>
                      <w:r>
                        <w:rPr>
                          <w:rFonts w:hint="eastAsia" w:ascii="Times New Roman" w:cs="Times New Roman" w:hAnsiTheme="minorEastAsia" w:eastAsiaTheme="minorEastAsia"/>
                          <w:b/>
                          <w:bCs w:val="0"/>
                          <w:sz w:val="30"/>
                          <w:szCs w:val="30"/>
                        </w:rPr>
                        <w:t xml:space="preserve"> </w:t>
                      </w:r>
                      <w:r>
                        <w:rPr>
                          <w:rFonts w:ascii="Times New Roman" w:hAnsi="Times New Roman" w:cs="Times New Roman" w:eastAsiaTheme="minorEastAsia"/>
                          <w:b/>
                          <w:bCs w:val="0"/>
                          <w:sz w:val="30"/>
                          <w:szCs w:val="30"/>
                        </w:rPr>
                        <w:t xml:space="preserve">  </w:t>
                      </w:r>
                      <w:r>
                        <w:rPr>
                          <w:rFonts w:hint="eastAsia" w:ascii="Times New Roman" w:cs="Times New Roman" w:hAnsiTheme="minorEastAsia"/>
                          <w:b/>
                          <w:bCs w:val="0"/>
                          <w:sz w:val="30"/>
                          <w:szCs w:val="30"/>
                          <w:lang w:eastAsia="zh-CN"/>
                        </w:rPr>
                        <w:t>项目与工业聚集区位置关系</w:t>
                      </w:r>
                      <w:r>
                        <w:rPr>
                          <w:rFonts w:ascii="Times New Roman" w:cs="Times New Roman" w:hAnsiTheme="minorEastAsia" w:eastAsiaTheme="minorEastAsia"/>
                          <w:b/>
                          <w:bCs w:val="0"/>
                          <w:sz w:val="30"/>
                          <w:szCs w:val="30"/>
                        </w:rPr>
                        <w:t>图</w:t>
                      </w:r>
                    </w:p>
                  </w:txbxContent>
                </v:textbox>
              </v:shape>
            </w:pict>
          </mc:Fallback>
        </mc:AlternateContent>
      </w:r>
      <w:r>
        <w:rPr>
          <w:rFonts w:hint="eastAsia" w:eastAsiaTheme="minorEastAsia"/>
          <w:lang w:eastAsia="zh-CN"/>
        </w:rPr>
        <w:drawing>
          <wp:inline distT="0" distB="0" distL="114300" distR="114300">
            <wp:extent cx="5489575" cy="7570470"/>
            <wp:effectExtent l="0" t="0" r="15875" b="11430"/>
            <wp:docPr id="78" name="图片 78" descr="615a948fa81bebc4f4db4e7534a98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615a948fa81bebc4f4db4e7534a98a5"/>
                    <pic:cNvPicPr>
                      <a:picLocks noChangeAspect="1"/>
                    </pic:cNvPicPr>
                  </pic:nvPicPr>
                  <pic:blipFill>
                    <a:blip r:embed="rId50"/>
                    <a:srcRect r="4034" b="4373"/>
                    <a:stretch>
                      <a:fillRect/>
                    </a:stretch>
                  </pic:blipFill>
                  <pic:spPr>
                    <a:xfrm>
                      <a:off x="0" y="0"/>
                      <a:ext cx="5489575" cy="7570470"/>
                    </a:xfrm>
                    <a:prstGeom prst="rect">
                      <a:avLst/>
                    </a:prstGeom>
                  </pic:spPr>
                </pic:pic>
              </a:graphicData>
            </a:graphic>
          </wp:inline>
        </w:drawing>
      </w:r>
    </w:p>
    <w:p w14:paraId="2AEACF67"/>
    <w:p w14:paraId="316AD30A">
      <w:pPr>
        <w:pStyle w:val="82"/>
      </w:pPr>
    </w:p>
    <w:p w14:paraId="1A2C17FA">
      <w:pPr>
        <w:pStyle w:val="82"/>
      </w:pPr>
    </w:p>
    <w:p w14:paraId="33935E9E">
      <w:pPr>
        <w:pStyle w:val="82"/>
      </w:pPr>
    </w:p>
    <w:p w14:paraId="01EE39CE">
      <w:r>
        <mc:AlternateContent>
          <mc:Choice Requires="wps">
            <w:drawing>
              <wp:anchor distT="0" distB="0" distL="114300" distR="114300" simplePos="0" relativeHeight="251706368" behindDoc="0" locked="0" layoutInCell="1" allowOverlap="1">
                <wp:simplePos x="0" y="0"/>
                <wp:positionH relativeFrom="column">
                  <wp:posOffset>1638935</wp:posOffset>
                </wp:positionH>
                <wp:positionV relativeFrom="paragraph">
                  <wp:posOffset>4443095</wp:posOffset>
                </wp:positionV>
                <wp:extent cx="899795" cy="279400"/>
                <wp:effectExtent l="5080" t="4445" r="466725" b="135255"/>
                <wp:wrapNone/>
                <wp:docPr id="80" name="矩形标注 80"/>
                <wp:cNvGraphicFramePr/>
                <a:graphic xmlns:a="http://schemas.openxmlformats.org/drawingml/2006/main">
                  <a:graphicData uri="http://schemas.microsoft.com/office/word/2010/wordprocessingShape">
                    <wps:wsp>
                      <wps:cNvSpPr/>
                      <wps:spPr>
                        <a:xfrm>
                          <a:off x="0" y="0"/>
                          <a:ext cx="899795" cy="279400"/>
                        </a:xfrm>
                        <a:prstGeom prst="wedgeRectCallout">
                          <a:avLst>
                            <a:gd name="adj1" fmla="val 97918"/>
                            <a:gd name="adj2" fmla="val 89545"/>
                          </a:avLst>
                        </a:prstGeom>
                        <a:noFill/>
                        <a:ln w="9525" cap="flat" cmpd="sng">
                          <a:solidFill>
                            <a:schemeClr val="tx1"/>
                          </a:solidFill>
                          <a:prstDash val="solid"/>
                          <a:miter/>
                          <a:headEnd type="none" w="med" len="med"/>
                          <a:tailEnd type="none" w="med" len="med"/>
                        </a:ln>
                      </wps:spPr>
                      <wps:txbx>
                        <w:txbxContent>
                          <w:p w14:paraId="782F446B">
                            <w:pPr>
                              <w:rPr>
                                <w:rFonts w:hint="eastAsia" w:ascii="Calibri" w:hAnsi="Calibri" w:eastAsia="宋体" w:cs="Times New Roman"/>
                                <w:b/>
                              </w:rPr>
                            </w:pPr>
                            <w:bookmarkStart w:id="5" w:name="_Hlk32829342"/>
                            <w:bookmarkStart w:id="6" w:name="_Hlk32829341"/>
                            <w:r>
                              <w:rPr>
                                <w:rFonts w:hint="eastAsia" w:ascii="Calibri" w:hAnsi="Calibri" w:eastAsia="宋体" w:cs="Times New Roman"/>
                                <w:b/>
                              </w:rPr>
                              <w:t>项目所在地</w:t>
                            </w:r>
                            <w:bookmarkEnd w:id="5"/>
                            <w:bookmarkEnd w:id="6"/>
                          </w:p>
                        </w:txbxContent>
                      </wps:txbx>
                      <wps:bodyPr upright="1"/>
                    </wps:wsp>
                  </a:graphicData>
                </a:graphic>
              </wp:anchor>
            </w:drawing>
          </mc:Choice>
          <mc:Fallback>
            <w:pict>
              <v:shape id="_x0000_s1026" o:spid="_x0000_s1026" o:spt="61" type="#_x0000_t61" style="position:absolute;left:0pt;margin-left:129.05pt;margin-top:349.85pt;height:22pt;width:70.85pt;z-index:251706368;mso-width-relative:page;mso-height-relative:page;" filled="f" stroked="t" coordsize="21600,21600" o:gfxdata="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3YP5f2gAAAAsBAAAPAAAAAAAAAAEAIAAAACIAAABkcnMvZG93bnJldi54&#10;bWxQSwECFAAUAAAACACHTuJAq7LbvDECAABkBAAADgAAAAAAAAABACAAAAApAQAAZHJzL2Uyb0Rv&#10;Yy54bWxQSwUGAAAAAAYABgBZAQAAzAUAAAAA&#10;" adj="31950,30142">
                <v:fill on="f" focussize="0,0"/>
                <v:stroke color="#000000 [3213]" joinstyle="miter"/>
                <v:imagedata o:title=""/>
                <o:lock v:ext="edit" aspectratio="f"/>
                <v:textbox>
                  <w:txbxContent>
                    <w:p w14:paraId="782F446B">
                      <w:pPr>
                        <w:rPr>
                          <w:rFonts w:hint="eastAsia" w:ascii="Calibri" w:hAnsi="Calibri" w:eastAsia="宋体" w:cs="Times New Roman"/>
                          <w:b/>
                        </w:rPr>
                      </w:pPr>
                      <w:bookmarkStart w:id="5" w:name="_Hlk32829342"/>
                      <w:bookmarkStart w:id="6" w:name="_Hlk32829341"/>
                      <w:r>
                        <w:rPr>
                          <w:rFonts w:hint="eastAsia" w:ascii="Calibri" w:hAnsi="Calibri" w:eastAsia="宋体" w:cs="Times New Roman"/>
                          <w:b/>
                        </w:rPr>
                        <w:t>项目所在地</w:t>
                      </w:r>
                      <w:bookmarkEnd w:id="5"/>
                      <w:bookmarkEnd w:id="6"/>
                    </w:p>
                  </w:txbxContent>
                </v:textbox>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2993390</wp:posOffset>
                </wp:positionH>
                <wp:positionV relativeFrom="paragraph">
                  <wp:posOffset>4812665</wp:posOffset>
                </wp:positionV>
                <wp:extent cx="75565" cy="75565"/>
                <wp:effectExtent l="12700" t="12700" r="26035" b="26035"/>
                <wp:wrapNone/>
                <wp:docPr id="79" name="五角星 79"/>
                <wp:cNvGraphicFramePr/>
                <a:graphic xmlns:a="http://schemas.openxmlformats.org/drawingml/2006/main">
                  <a:graphicData uri="http://schemas.microsoft.com/office/word/2010/wordprocessingShape">
                    <wps:wsp>
                      <wps:cNvSpPr/>
                      <wps:spPr>
                        <a:xfrm>
                          <a:off x="3373755" y="4117975"/>
                          <a:ext cx="75565" cy="75565"/>
                        </a:xfrm>
                        <a:prstGeom prst="star5">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5.7pt;margin-top:378.95pt;height:5.95pt;width:5.95pt;z-index:251705344;v-text-anchor:middle;mso-width-relative:page;mso-height-relative:page;" fillcolor="#FFFF00" filled="t" stroked="t" coordsize="75565,75565" o:gfxdata="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&#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tkPaw2wAAAAsBAAAPAAAAAAAAAAEAIAAAACIAAABk&#10;cnMvZG93bnJldi54bWxQSwECFAAUAAAACACHTuJAonUF5HUCAADsBAAADgAAAAAAAAABACAAAAAq&#10;AQAAZHJzL2Uyb0RvYy54bWxQSwUGAAAAAAYABgBZAQAAEQYAAAAA&#10;" path="m0,28863l28863,28863,37782,0,46701,28863,75564,28863,52213,46701,61133,75564,37782,57726,14431,75564,23351,46701xe">
                <v:path o:connectlocs="37782,0;0,28863;14431,75564;61133,75564;75564,28863" o:connectangles="247,164,82,82,0"/>
                <v:fill on="t" focussize="0,0"/>
                <v:stroke weight="2pt" color="#FF0000 [2404]" joinstyle="round"/>
                <v:imagedata o:title=""/>
                <o:lock v:ext="edit" aspectratio="f"/>
              </v:shape>
            </w:pict>
          </mc:Fallback>
        </mc:AlternateContent>
      </w:r>
      <w:r>
        <w:drawing>
          <wp:inline distT="0" distB="0" distL="0" distR="0">
            <wp:extent cx="6258560" cy="9134475"/>
            <wp:effectExtent l="0" t="0" r="8890" b="9525"/>
            <wp:docPr id="421893999"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93999" name="图片 1" descr="地图&#10;&#10;描述已自动生成"/>
                    <pic:cNvPicPr>
                      <a:picLocks noChangeAspect="1"/>
                    </pic:cNvPicPr>
                  </pic:nvPicPr>
                  <pic:blipFill>
                    <a:blip r:embed="rId51"/>
                    <a:stretch>
                      <a:fillRect/>
                    </a:stretch>
                  </pic:blipFill>
                  <pic:spPr>
                    <a:xfrm>
                      <a:off x="0" y="0"/>
                      <a:ext cx="6258560" cy="9134475"/>
                    </a:xfrm>
                    <a:prstGeom prst="rect">
                      <a:avLst/>
                    </a:prstGeom>
                  </pic:spPr>
                </pic:pic>
              </a:graphicData>
            </a:graphic>
          </wp:inline>
        </w:drawing>
      </w:r>
      <w:r>
        <mc:AlternateContent>
          <mc:Choice Requires="wps">
            <w:drawing>
              <wp:anchor distT="0" distB="0" distL="114300" distR="114300" simplePos="0" relativeHeight="251704320" behindDoc="0" locked="0" layoutInCell="1" allowOverlap="1">
                <wp:simplePos x="0" y="0"/>
                <wp:positionH relativeFrom="column">
                  <wp:posOffset>1318895</wp:posOffset>
                </wp:positionH>
                <wp:positionV relativeFrom="paragraph">
                  <wp:posOffset>9138285</wp:posOffset>
                </wp:positionV>
                <wp:extent cx="4755515" cy="483235"/>
                <wp:effectExtent l="0" t="0" r="0" b="0"/>
                <wp:wrapNone/>
                <wp:docPr id="81" name="矩形 81"/>
                <wp:cNvGraphicFramePr/>
                <a:graphic xmlns:a="http://schemas.openxmlformats.org/drawingml/2006/main">
                  <a:graphicData uri="http://schemas.microsoft.com/office/word/2010/wordprocessingShape">
                    <wps:wsp>
                      <wps:cNvSpPr/>
                      <wps:spPr>
                        <a:xfrm>
                          <a:off x="3060065" y="6396990"/>
                          <a:ext cx="4755515" cy="4832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FA755F">
                            <w:pPr>
                              <w:jc w:val="center"/>
                              <w:rPr>
                                <w:rFonts w:hint="default" w:eastAsiaTheme="minor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t>附图5淄博市环境管控单元图（动态更新版）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3.85pt;margin-top:719.55pt;height:38.05pt;width:374.45pt;z-index:251704320;v-text-anchor:middle;mso-width-relative:page;mso-height-relative:page;" filled="f" stroked="f" coordsize="21600,21600" o:gfxdata="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jD41e9sAAAANAQAADwAAAAAAAAABACAAAAAiAAAAZHJzL2Rvd25yZXYueG1sUEsBAhQA&#10;FAAAAAgAh07iQNjGHYxhAgAApAQAAA4AAAAAAAAAAQAgAAAAKgEAAGRycy9lMm9Eb2MueG1sUEsF&#10;BgAAAAAGAAYAWQEAAP0FAAAAAA==&#10;">
                <v:fill on="f" focussize="0,0"/>
                <v:stroke on="f" weight="2pt"/>
                <v:imagedata o:title=""/>
                <o:lock v:ext="edit" aspectratio="f"/>
                <v:textbox>
                  <w:txbxContent>
                    <w:p w14:paraId="45FA755F">
                      <w:pPr>
                        <w:jc w:val="center"/>
                        <w:rPr>
                          <w:rFonts w:hint="default" w:eastAsiaTheme="minor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t>附图5淄博市环境管控单元图（动态更新版）</w:t>
                      </w:r>
                    </w:p>
                  </w:txbxContent>
                </v:textbox>
              </v:rect>
            </w:pict>
          </mc:Fallback>
        </mc:AlternateContent>
      </w:r>
    </w:p>
    <w:p w14:paraId="11D6DE4F">
      <w:pPr>
        <w:rPr>
          <w:rFonts w:hint="default" w:ascii="Times New Roman" w:hAnsi="Times New Roman" w:eastAsia="宋体" w:cs="Times New Roman"/>
          <w:b/>
          <w:bCs/>
          <w:sz w:val="24"/>
          <w:szCs w:val="24"/>
          <w:lang w:val="en-US" w:eastAsia="zh-CN"/>
        </w:rPr>
      </w:pPr>
      <w:r>
        <mc:AlternateContent>
          <mc:Choice Requires="wps">
            <w:drawing>
              <wp:anchor distT="0" distB="0" distL="114300" distR="114300" simplePos="0" relativeHeight="251711488" behindDoc="0" locked="0" layoutInCell="1" allowOverlap="1">
                <wp:simplePos x="0" y="0"/>
                <wp:positionH relativeFrom="column">
                  <wp:posOffset>3912870</wp:posOffset>
                </wp:positionH>
                <wp:positionV relativeFrom="paragraph">
                  <wp:posOffset>3967480</wp:posOffset>
                </wp:positionV>
                <wp:extent cx="724535" cy="266065"/>
                <wp:effectExtent l="12700" t="12700" r="24765" b="292735"/>
                <wp:wrapNone/>
                <wp:docPr id="82" name="矩形标注 82"/>
                <wp:cNvGraphicFramePr/>
                <a:graphic xmlns:a="http://schemas.openxmlformats.org/drawingml/2006/main">
                  <a:graphicData uri="http://schemas.microsoft.com/office/word/2010/wordprocessingShape">
                    <wps:wsp>
                      <wps:cNvSpPr/>
                      <wps:spPr>
                        <a:xfrm>
                          <a:off x="0" y="0"/>
                          <a:ext cx="724535" cy="266065"/>
                        </a:xfrm>
                        <a:prstGeom prst="wedgeRectCallout">
                          <a:avLst>
                            <a:gd name="adj1" fmla="val -43689"/>
                            <a:gd name="adj2" fmla="val 15286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FB236">
                            <w:pPr>
                              <w:jc w:val="center"/>
                              <w:rPr>
                                <w:rFonts w:hint="eastAsia" w:eastAsiaTheme="minorEastAsia"/>
                                <w:color w:val="FF0000"/>
                                <w:lang w:val="en-US" w:eastAsia="zh-CN"/>
                              </w:rPr>
                            </w:pPr>
                            <w:r>
                              <w:rPr>
                                <w:rFonts w:hint="eastAsia"/>
                                <w:color w:val="FF0000"/>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8.1pt;margin-top:312.4pt;height:20.95pt;width:57.05pt;z-index:251711488;v-text-anchor:middle;mso-width-relative:page;mso-height-relative:page;" filled="f" stroked="t" coordsize="21600,21600" o:gfxdata="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BRNfcE1wAAAAsBAAAPAAAAAAAAAAEAIAAAACIAAABkcnMvZG93bnJldi54bWxQSwEC&#10;FAAUAAAACACHTuJAzBas7aACAAAlBQAADgAAAAAAAAABACAAAAAmAQAAZHJzL2Uyb0RvYy54bWxQ&#10;SwUGAAAAAAYABgBZAQAAOAYAAAAA&#10;" adj="1363,43818">
                <v:fill on="f" focussize="0,0"/>
                <v:stroke weight="2pt" color="#FF0000 [3204]" joinstyle="round"/>
                <v:imagedata o:title=""/>
                <o:lock v:ext="edit" aspectratio="f"/>
                <v:textbox>
                  <w:txbxContent>
                    <w:p w14:paraId="3BEFB236">
                      <w:pPr>
                        <w:jc w:val="center"/>
                        <w:rPr>
                          <w:rFonts w:hint="eastAsia" w:eastAsiaTheme="minorEastAsia"/>
                          <w:color w:val="FF0000"/>
                          <w:lang w:val="en-US" w:eastAsia="zh-CN"/>
                        </w:rPr>
                      </w:pPr>
                      <w:r>
                        <w:rPr>
                          <w:rFonts w:hint="eastAsia"/>
                          <w:color w:val="FF0000"/>
                          <w:lang w:val="en-US" w:eastAsia="zh-CN"/>
                        </w:rPr>
                        <w:t>项目地</w:t>
                      </w:r>
                    </w:p>
                  </w:txbxContent>
                </v:textbox>
              </v:shap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3937000</wp:posOffset>
                </wp:positionH>
                <wp:positionV relativeFrom="paragraph">
                  <wp:posOffset>4496435</wp:posOffset>
                </wp:positionV>
                <wp:extent cx="76200" cy="76200"/>
                <wp:effectExtent l="12700" t="12700" r="25400" b="25400"/>
                <wp:wrapNone/>
                <wp:docPr id="83" name="椭圆 83"/>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0pt;margin-top:354.05pt;height:6pt;width:6pt;z-index:251710464;v-text-anchor:middle;mso-width-relative:page;mso-height-relative:page;" fillcolor="#FF0000" filled="t" stroked="t" coordsize="21600,21600" o:gfxdata="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F+pPq&#10;1QAAAAsBAAAPAAAAAAAAAAEAIAAAACIAAABkcnMvZG93bnJldi54bWxQSwECFAAUAAAACACHTuJA&#10;Hb9zwV0CAADfBAAADgAAAAAAAAABACAAAAAkAQAAZHJzL2Uyb0RvYy54bWxQSwUGAAAAAAYABgBZ&#10;AQAA8wUAAAAA&#10;">
                <v:fill on="t" focussize="0,0"/>
                <v:stroke weight="2pt" color="#FF0000 [2404]" joinstyle="round"/>
                <v:imagedata o:title=""/>
                <o:lock v:ext="edit" aspectratio="f"/>
              </v:shap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1562100</wp:posOffset>
                </wp:positionH>
                <wp:positionV relativeFrom="paragraph">
                  <wp:posOffset>2631440</wp:posOffset>
                </wp:positionV>
                <wp:extent cx="724535" cy="266065"/>
                <wp:effectExtent l="12700" t="12700" r="81915" b="1016635"/>
                <wp:wrapNone/>
                <wp:docPr id="84" name="矩形标注 84"/>
                <wp:cNvGraphicFramePr/>
                <a:graphic xmlns:a="http://schemas.openxmlformats.org/drawingml/2006/main">
                  <a:graphicData uri="http://schemas.microsoft.com/office/word/2010/wordprocessingShape">
                    <wps:wsp>
                      <wps:cNvSpPr/>
                      <wps:spPr>
                        <a:xfrm>
                          <a:off x="0" y="0"/>
                          <a:ext cx="724535" cy="266065"/>
                        </a:xfrm>
                        <a:prstGeom prst="wedgeRectCallout">
                          <a:avLst>
                            <a:gd name="adj1" fmla="val 58764"/>
                            <a:gd name="adj2" fmla="val 422792"/>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BB3536">
                            <w:pPr>
                              <w:jc w:val="center"/>
                              <w:rPr>
                                <w:rFonts w:hint="eastAsia" w:eastAsiaTheme="minorEastAsia"/>
                                <w:color w:val="FF0000"/>
                                <w:lang w:val="en-US" w:eastAsia="zh-CN"/>
                              </w:rPr>
                            </w:pPr>
                            <w:r>
                              <w:rPr>
                                <w:rFonts w:hint="eastAsia"/>
                                <w:color w:val="FF0000"/>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3pt;margin-top:207.2pt;height:20.95pt;width:57.05pt;z-index:251708416;v-text-anchor:middle;mso-width-relative:page;mso-height-relative:page;" filled="f" stroked="t" coordsize="21600,21600" o:gfxdata="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C2bMD02QAAAAsBAAAPAAAAAAAAAAEAIAAAACIAAABkcnMvZG93bnJldi54bWxQSwEC&#10;FAAUAAAACACHTuJAgenZ454CAAAkBQAADgAAAAAAAAABACAAAAAoAQAAZHJzL2Uyb0RvYy54bWxQ&#10;SwUGAAAAAAYABgBZAQAAOAYAAAAA&#10;" adj="23493,102123">
                <v:fill on="f" focussize="0,0"/>
                <v:stroke weight="2pt" color="#FF0000 [3204]" joinstyle="round"/>
                <v:imagedata o:title=""/>
                <o:lock v:ext="edit" aspectratio="f"/>
                <v:textbox>
                  <w:txbxContent>
                    <w:p w14:paraId="08BB3536">
                      <w:pPr>
                        <w:jc w:val="center"/>
                        <w:rPr>
                          <w:rFonts w:hint="eastAsia" w:eastAsiaTheme="minorEastAsia"/>
                          <w:color w:val="FF0000"/>
                          <w:lang w:val="en-US" w:eastAsia="zh-CN"/>
                        </w:rPr>
                      </w:pPr>
                      <w:r>
                        <w:rPr>
                          <w:rFonts w:hint="eastAsia"/>
                          <w:color w:val="FF0000"/>
                          <w:lang w:val="en-US" w:eastAsia="zh-CN"/>
                        </w:rPr>
                        <w:t>项目地</w:t>
                      </w:r>
                    </w:p>
                  </w:txbxContent>
                </v:textbox>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2327910</wp:posOffset>
                </wp:positionH>
                <wp:positionV relativeFrom="paragraph">
                  <wp:posOffset>3881755</wp:posOffset>
                </wp:positionV>
                <wp:extent cx="76200" cy="76200"/>
                <wp:effectExtent l="12700" t="12700" r="25400" b="25400"/>
                <wp:wrapNone/>
                <wp:docPr id="85" name="椭圆 85"/>
                <wp:cNvGraphicFramePr/>
                <a:graphic xmlns:a="http://schemas.openxmlformats.org/drawingml/2006/main">
                  <a:graphicData uri="http://schemas.microsoft.com/office/word/2010/wordprocessingShape">
                    <wps:wsp>
                      <wps:cNvSpPr/>
                      <wps:spPr>
                        <a:xfrm>
                          <a:off x="2831465" y="4003675"/>
                          <a:ext cx="76200" cy="762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3.3pt;margin-top:305.65pt;height:6pt;width:6pt;z-index:251707392;v-text-anchor:middle;mso-width-relative:page;mso-height-relative:page;" fillcolor="#FF0000" filled="t" stroked="t" coordsize="21600,21600" o:gfxdata="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UpVI0NUAAAALAQAADwAAAAAAAAABACAAAAAiAAAAZHJzL2Rvd25yZXYueG1sUEsB&#10;AhQAFAAAAAgAh07iQAoWNwBqAgAA6wQAAA4AAAAAAAAAAQAgAAAAJAEAAGRycy9lMm9Eb2MueG1s&#10;UEsFBgAAAAAGAAYAWQEAAAAGAAAAAA==&#10;">
                <v:fill on="t" focussize="0,0"/>
                <v:stroke weight="2pt" color="#FF0000 [2404]" joinstyle="round"/>
                <v:imagedata o:title=""/>
                <o:lock v:ext="edit" aspectratio="f"/>
              </v:shape>
            </w:pict>
          </mc:Fallback>
        </mc:AlternateContent>
      </w:r>
      <w:r>
        <w:drawing>
          <wp:anchor distT="0" distB="0" distL="114300" distR="114300" simplePos="0" relativeHeight="251709440" behindDoc="0" locked="0" layoutInCell="1" allowOverlap="1">
            <wp:simplePos x="0" y="0"/>
            <wp:positionH relativeFrom="column">
              <wp:posOffset>3564890</wp:posOffset>
            </wp:positionH>
            <wp:positionV relativeFrom="paragraph">
              <wp:posOffset>3697605</wp:posOffset>
            </wp:positionV>
            <wp:extent cx="1543050" cy="1305560"/>
            <wp:effectExtent l="9525" t="9525" r="9525" b="18415"/>
            <wp:wrapNone/>
            <wp:docPr id="86" name="图片 86" descr="C:/Users/Administrator/Desktop/微信截图_20241228084816.jpg微信截图_2024122808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Administrator/Desktop/微信截图_20241228084816.jpg微信截图_20241228084816"/>
                    <pic:cNvPicPr>
                      <a:picLocks noChangeAspect="1"/>
                    </pic:cNvPicPr>
                  </pic:nvPicPr>
                  <pic:blipFill>
                    <a:blip r:embed="rId52"/>
                    <a:srcRect l="681" r="681"/>
                    <a:stretch>
                      <a:fillRect/>
                    </a:stretch>
                  </pic:blipFill>
                  <pic:spPr>
                    <a:xfrm>
                      <a:off x="0" y="0"/>
                      <a:ext cx="1543050" cy="1305560"/>
                    </a:xfrm>
                    <a:prstGeom prst="rect">
                      <a:avLst/>
                    </a:prstGeom>
                    <a:noFill/>
                    <a:ln>
                      <a:solidFill>
                        <a:schemeClr val="tx1"/>
                      </a:solidFill>
                    </a:ln>
                  </pic:spPr>
                </pic:pic>
              </a:graphicData>
            </a:graphic>
          </wp:anchor>
        </w:drawing>
      </w:r>
      <w:r>
        <w:rPr>
          <w:sz w:val="21"/>
        </w:rPr>
        <mc:AlternateContent>
          <mc:Choice Requires="wps">
            <w:drawing>
              <wp:anchor distT="0" distB="0" distL="114300" distR="114300" simplePos="0" relativeHeight="251712512" behindDoc="0" locked="0" layoutInCell="1" allowOverlap="1">
                <wp:simplePos x="0" y="0"/>
                <wp:positionH relativeFrom="column">
                  <wp:posOffset>2404110</wp:posOffset>
                </wp:positionH>
                <wp:positionV relativeFrom="paragraph">
                  <wp:posOffset>3702050</wp:posOffset>
                </wp:positionV>
                <wp:extent cx="1160145" cy="217805"/>
                <wp:effectExtent l="2540" t="37465" r="18415" b="30480"/>
                <wp:wrapNone/>
                <wp:docPr id="87" name="直接箭头连接符 87"/>
                <wp:cNvGraphicFramePr/>
                <a:graphic xmlns:a="http://schemas.openxmlformats.org/drawingml/2006/main">
                  <a:graphicData uri="http://schemas.microsoft.com/office/word/2010/wordprocessingShape">
                    <wps:wsp>
                      <wps:cNvCnPr>
                        <a:stCxn id="85" idx="6"/>
                      </wps:cNvCnPr>
                      <wps:spPr>
                        <a:xfrm flipV="1">
                          <a:off x="3569970" y="4679950"/>
                          <a:ext cx="1160145" cy="21780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89.3pt;margin-top:291.5pt;height:17.15pt;width:91.35pt;z-index:251712512;mso-width-relative:page;mso-height-relative:page;" filled="f" stroked="t" coordsize="21600,21600" o:gfxdata="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kkfHn9oAAAALAQAADwAAAAAAAAABACAAAAAiAAAAZHJzL2Rvd25yZXYueG1sUEsBAhQAFAAAAAgA&#10;h07iQPMz7EEjAgAADAQAAA4AAAAAAAAAAQAgAAAAKQEAAGRycy9lMm9Eb2MueG1sUEsFBgAAAAAG&#10;AAYAWQEAAL4FAAAAAA==&#10;">
                <v:fill on="f" focussize="0,0"/>
                <v:stroke weight="2pt" color="#000000 [3213]" joinstyle="round" endarrow="open"/>
                <v:imagedata o:title=""/>
                <o:lock v:ext="edit" aspectratio="f"/>
              </v:shape>
            </w:pict>
          </mc:Fallback>
        </mc:AlternateContent>
      </w:r>
      <w:r>
        <w:rPr>
          <w:rFonts w:hint="default" w:ascii="Times New Roman" w:hAnsi="Times New Roman" w:eastAsia="宋体" w:cs="Times New Roman"/>
          <w:b/>
          <w:bCs/>
          <w:sz w:val="24"/>
          <w:szCs w:val="24"/>
          <w:lang w:val="en-US" w:eastAsia="zh-CN"/>
        </w:rPr>
        <w:drawing>
          <wp:inline distT="0" distB="0" distL="114300" distR="114300">
            <wp:extent cx="5266055" cy="7458710"/>
            <wp:effectExtent l="0" t="0" r="10795" b="8890"/>
            <wp:docPr id="88" name="图片 88" descr="国土空间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国土空间规划"/>
                    <pic:cNvPicPr>
                      <a:picLocks noChangeAspect="1"/>
                    </pic:cNvPicPr>
                  </pic:nvPicPr>
                  <pic:blipFill>
                    <a:blip r:embed="rId53"/>
                    <a:stretch>
                      <a:fillRect/>
                    </a:stretch>
                  </pic:blipFill>
                  <pic:spPr>
                    <a:xfrm>
                      <a:off x="0" y="0"/>
                      <a:ext cx="5266055" cy="7458710"/>
                    </a:xfrm>
                    <a:prstGeom prst="rect">
                      <a:avLst/>
                    </a:prstGeom>
                  </pic:spPr>
                </pic:pic>
              </a:graphicData>
            </a:graphic>
          </wp:inline>
        </w:drawing>
      </w:r>
      <w:r>
        <w:rPr>
          <w:sz w:val="21"/>
        </w:rPr>
        <mc:AlternateContent>
          <mc:Choice Requires="wps">
            <w:drawing>
              <wp:anchor distT="0" distB="0" distL="114300" distR="114300" simplePos="0" relativeHeight="251713536" behindDoc="0" locked="0" layoutInCell="1" allowOverlap="1">
                <wp:simplePos x="0" y="0"/>
                <wp:positionH relativeFrom="column">
                  <wp:posOffset>2404110</wp:posOffset>
                </wp:positionH>
                <wp:positionV relativeFrom="paragraph">
                  <wp:posOffset>3919855</wp:posOffset>
                </wp:positionV>
                <wp:extent cx="1125855" cy="1075055"/>
                <wp:effectExtent l="8890" t="8890" r="8255" b="1905"/>
                <wp:wrapNone/>
                <wp:docPr id="89" name="直接箭头连接符 89"/>
                <wp:cNvGraphicFramePr/>
                <a:graphic xmlns:a="http://schemas.openxmlformats.org/drawingml/2006/main">
                  <a:graphicData uri="http://schemas.microsoft.com/office/word/2010/wordprocessingShape">
                    <wps:wsp>
                      <wps:cNvCnPr>
                        <a:stCxn id="85" idx="6"/>
                      </wps:cNvCnPr>
                      <wps:spPr>
                        <a:xfrm>
                          <a:off x="0" y="0"/>
                          <a:ext cx="1125855" cy="107505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89.3pt;margin-top:308.65pt;height:84.65pt;width:88.65pt;z-index:251713536;mso-width-relative:page;mso-height-relative:page;" filled="f" stroked="t" coordsize="21600,21600" o:gfxdata="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LK6yNsAAAALAQAADwAAAAAA&#10;AAABACAAAAAiAAAAZHJzL2Rvd25yZXYueG1sUEsBAhQAFAAAAAgAh07iQLhQwowQAgAA9wMAAA4A&#10;AAAAAAAAAQAgAAAAKgEAAGRycy9lMm9Eb2MueG1sUEsFBgAAAAAGAAYAWQEAAKwFAAAAAA==&#10;">
                <v:fill on="f" focussize="0,0"/>
                <v:stroke weight="2pt" color="#000000 [3213]" joinstyle="round" endarrow="open"/>
                <v:imagedata o:title=""/>
                <o:lock v:ext="edit" aspectratio="f"/>
              </v:shape>
            </w:pict>
          </mc:Fallback>
        </mc:AlternateContent>
      </w:r>
    </w:p>
    <w:p w14:paraId="6EA41002">
      <w:pPr>
        <w:jc w:val="center"/>
        <w:rPr>
          <w:rFonts w:hint="default" w:ascii="Times New Roman" w:hAnsi="Times New Roman" w:cs="Times New Roman"/>
          <w:b/>
          <w:bCs/>
          <w:lang w:val="en-US" w:eastAsia="zh-CN"/>
        </w:rPr>
      </w:pPr>
      <w:r>
        <w:rPr>
          <w:rFonts w:hint="default" w:ascii="Times New Roman" w:hAnsi="Times New Roman" w:cs="Times New Roman"/>
          <w:b/>
          <w:bCs/>
          <w:lang w:val="en-US" w:eastAsia="zh-CN"/>
        </w:rPr>
        <w:t>附图</w:t>
      </w:r>
      <w:r>
        <w:rPr>
          <w:rFonts w:hint="eastAsia" w:ascii="Times New Roman" w:hAnsi="Times New Roman" w:cs="Times New Roman"/>
          <w:b/>
          <w:bCs/>
          <w:lang w:val="en-US" w:eastAsia="zh-CN"/>
        </w:rPr>
        <w:t>6</w:t>
      </w:r>
      <w:r>
        <w:rPr>
          <w:rFonts w:hint="default" w:ascii="Times New Roman" w:hAnsi="Times New Roman" w:cs="Times New Roman"/>
          <w:b/>
          <w:bCs/>
          <w:lang w:val="en-US" w:eastAsia="zh-CN"/>
        </w:rPr>
        <w:t>淄博市国土空间总体规划(2021-2035年)</w:t>
      </w:r>
    </w:p>
    <w:p w14:paraId="1E37D5FC">
      <w:pPr>
        <w:pStyle w:val="82"/>
        <w:ind w:left="0" w:leftChars="0" w:firstLine="0" w:firstLineChars="0"/>
      </w:pPr>
    </w:p>
    <w:p w14:paraId="65888486"/>
    <w:p w14:paraId="50489212">
      <w:pPr>
        <w:pStyle w:val="82"/>
      </w:pPr>
    </w:p>
    <w:p w14:paraId="05C9F7DF"/>
    <w:p w14:paraId="3E0347EC">
      <w:pPr>
        <w:pStyle w:val="82"/>
      </w:pPr>
    </w:p>
    <w:p w14:paraId="3D701D87">
      <w:pPr>
        <w:rPr>
          <w:rFonts w:hint="eastAsia"/>
          <w:lang w:val="en-US" w:eastAsia="zh-CN"/>
        </w:rPr>
      </w:pPr>
      <w:r>
        <mc:AlternateContent>
          <mc:Choice Requires="wps">
            <w:drawing>
              <wp:anchor distT="0" distB="0" distL="114300" distR="114300" simplePos="0" relativeHeight="251716608" behindDoc="0" locked="0" layoutInCell="1" allowOverlap="1">
                <wp:simplePos x="0" y="0"/>
                <wp:positionH relativeFrom="column">
                  <wp:posOffset>1041400</wp:posOffset>
                </wp:positionH>
                <wp:positionV relativeFrom="paragraph">
                  <wp:posOffset>7747000</wp:posOffset>
                </wp:positionV>
                <wp:extent cx="3781425" cy="457200"/>
                <wp:effectExtent l="0" t="0" r="9525" b="0"/>
                <wp:wrapNone/>
                <wp:docPr id="90" name="文本框 90"/>
                <wp:cNvGraphicFramePr/>
                <a:graphic xmlns:a="http://schemas.openxmlformats.org/drawingml/2006/main">
                  <a:graphicData uri="http://schemas.microsoft.com/office/word/2010/wordprocessingShape">
                    <wps:wsp>
                      <wps:cNvSpPr txBox="1">
                        <a:spLocks noChangeArrowheads="1"/>
                      </wps:cNvSpPr>
                      <wps:spPr bwMode="auto">
                        <a:xfrm>
                          <a:off x="0" y="0"/>
                          <a:ext cx="3781425" cy="457200"/>
                        </a:xfrm>
                        <a:prstGeom prst="rect">
                          <a:avLst/>
                        </a:prstGeom>
                        <a:solidFill>
                          <a:srgbClr val="FFFFFF"/>
                        </a:solidFill>
                        <a:ln>
                          <a:noFill/>
                        </a:ln>
                        <a:effectLst/>
                      </wps:spPr>
                      <wps:txbx>
                        <w:txbxContent>
                          <w:p w14:paraId="5D111315">
                            <w:pPr>
                              <w:rPr>
                                <w:rFonts w:ascii="Times New Roman" w:hAnsi="Times New Roman" w:cs="Times New Roman" w:eastAsiaTheme="minorEastAsia"/>
                                <w:b/>
                                <w:bCs w:val="0"/>
                                <w:sz w:val="30"/>
                                <w:szCs w:val="30"/>
                              </w:rPr>
                            </w:pPr>
                            <w:r>
                              <w:rPr>
                                <w:rFonts w:ascii="Times New Roman" w:cs="Times New Roman" w:hAnsiTheme="minorEastAsia" w:eastAsiaTheme="minorEastAsia"/>
                                <w:b/>
                                <w:bCs w:val="0"/>
                                <w:sz w:val="30"/>
                                <w:szCs w:val="30"/>
                              </w:rPr>
                              <w:t>附图</w:t>
                            </w:r>
                            <w:r>
                              <w:rPr>
                                <w:rFonts w:hint="eastAsia" w:ascii="Times New Roman" w:cs="Times New Roman" w:hAnsiTheme="minorEastAsia"/>
                                <w:b/>
                                <w:bCs w:val="0"/>
                                <w:sz w:val="30"/>
                                <w:szCs w:val="30"/>
                                <w:lang w:val="en-US" w:eastAsia="zh-CN"/>
                              </w:rPr>
                              <w:t>7</w:t>
                            </w:r>
                            <w:r>
                              <w:rPr>
                                <w:rFonts w:ascii="Times New Roman" w:hAnsi="Times New Roman" w:cs="Times New Roman" w:eastAsiaTheme="minorEastAsia"/>
                                <w:b/>
                                <w:bCs w:val="0"/>
                                <w:sz w:val="30"/>
                                <w:szCs w:val="30"/>
                              </w:rPr>
                              <w:t xml:space="preserve">  </w:t>
                            </w:r>
                            <w:r>
                              <w:rPr>
                                <w:rFonts w:hint="eastAsia" w:ascii="Times New Roman" w:cs="Times New Roman" w:hAnsiTheme="minorEastAsia"/>
                                <w:b/>
                                <w:bCs w:val="0"/>
                                <w:sz w:val="30"/>
                                <w:szCs w:val="30"/>
                                <w:lang w:eastAsia="zh-CN"/>
                              </w:rPr>
                              <w:t>龙泉镇国土空间总体规划图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82pt;margin-top:610pt;height:36pt;width:297.75pt;z-index:251716608;mso-width-relative:page;mso-height-relative:page;" fillcolor="#FFFFFF" filled="t" stroked="f" coordsize="21600,21600" o:gfxdata="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Qcf33XAAAADQEAAA8AAAAAAAAAAQAgAAAAIgAAAGRycy9kb3ducmV2LnhtbFBL&#10;AQIUABQAAAAIAIdO4kCTg/+jMAIAAE4EAAAOAAAAAAAAAAEAIAAAACYBAABkcnMvZTJvRG9jLnht&#10;bFBLBQYAAAAABgAGAFkBAADIBQAAAAA=&#10;">
                <v:fill on="t" focussize="0,0"/>
                <v:stroke on="f"/>
                <v:imagedata o:title=""/>
                <o:lock v:ext="edit" aspectratio="f"/>
                <v:textbox>
                  <w:txbxContent>
                    <w:p w14:paraId="5D111315">
                      <w:pPr>
                        <w:rPr>
                          <w:rFonts w:ascii="Times New Roman" w:hAnsi="Times New Roman" w:cs="Times New Roman" w:eastAsiaTheme="minorEastAsia"/>
                          <w:b/>
                          <w:bCs w:val="0"/>
                          <w:sz w:val="30"/>
                          <w:szCs w:val="30"/>
                        </w:rPr>
                      </w:pPr>
                      <w:r>
                        <w:rPr>
                          <w:rFonts w:ascii="Times New Roman" w:cs="Times New Roman" w:hAnsiTheme="minorEastAsia" w:eastAsiaTheme="minorEastAsia"/>
                          <w:b/>
                          <w:bCs w:val="0"/>
                          <w:sz w:val="30"/>
                          <w:szCs w:val="30"/>
                        </w:rPr>
                        <w:t>附图</w:t>
                      </w:r>
                      <w:r>
                        <w:rPr>
                          <w:rFonts w:hint="eastAsia" w:ascii="Times New Roman" w:cs="Times New Roman" w:hAnsiTheme="minorEastAsia"/>
                          <w:b/>
                          <w:bCs w:val="0"/>
                          <w:sz w:val="30"/>
                          <w:szCs w:val="30"/>
                          <w:lang w:val="en-US" w:eastAsia="zh-CN"/>
                        </w:rPr>
                        <w:t>7</w:t>
                      </w:r>
                      <w:r>
                        <w:rPr>
                          <w:rFonts w:ascii="Times New Roman" w:hAnsi="Times New Roman" w:cs="Times New Roman" w:eastAsiaTheme="minorEastAsia"/>
                          <w:b/>
                          <w:bCs w:val="0"/>
                          <w:sz w:val="30"/>
                          <w:szCs w:val="30"/>
                        </w:rPr>
                        <w:t xml:space="preserve">  </w:t>
                      </w:r>
                      <w:r>
                        <w:rPr>
                          <w:rFonts w:hint="eastAsia" w:ascii="Times New Roman" w:cs="Times New Roman" w:hAnsiTheme="minorEastAsia"/>
                          <w:b/>
                          <w:bCs w:val="0"/>
                          <w:sz w:val="30"/>
                          <w:szCs w:val="30"/>
                          <w:lang w:eastAsia="zh-CN"/>
                        </w:rPr>
                        <w:t>龙泉镇国土空间总体规划图</w:t>
                      </w:r>
                    </w:p>
                  </w:txbxContent>
                </v:textbox>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1022985</wp:posOffset>
                </wp:positionH>
                <wp:positionV relativeFrom="paragraph">
                  <wp:posOffset>1096645</wp:posOffset>
                </wp:positionV>
                <wp:extent cx="944880" cy="437515"/>
                <wp:effectExtent l="12700" t="12700" r="204470" b="711835"/>
                <wp:wrapNone/>
                <wp:docPr id="91" name="矩形标注 91"/>
                <wp:cNvGraphicFramePr/>
                <a:graphic xmlns:a="http://schemas.openxmlformats.org/drawingml/2006/main">
                  <a:graphicData uri="http://schemas.microsoft.com/office/word/2010/wordprocessingShape">
                    <wps:wsp>
                      <wps:cNvSpPr/>
                      <wps:spPr>
                        <a:xfrm>
                          <a:off x="4798060" y="3144520"/>
                          <a:ext cx="944880" cy="437515"/>
                        </a:xfrm>
                        <a:prstGeom prst="wedgeRectCallout">
                          <a:avLst>
                            <a:gd name="adj1" fmla="val 69345"/>
                            <a:gd name="adj2" fmla="val 20673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B35A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Theme="minorEastAsia"/>
                                <w:color w:val="FF0000"/>
                                <w:sz w:val="18"/>
                                <w:szCs w:val="18"/>
                                <w:lang w:val="en-US" w:eastAsia="zh-CN"/>
                              </w:rPr>
                            </w:pPr>
                            <w:r>
                              <w:rPr>
                                <w:rFonts w:hint="eastAsia"/>
                                <w:color w:val="FF0000"/>
                                <w:sz w:val="18"/>
                                <w:szCs w:val="18"/>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0.55pt;margin-top:86.35pt;height:34.45pt;width:74.4pt;z-index:251715584;v-text-anchor:middle;mso-width-relative:page;mso-height-relative:page;" filled="f" stroked="t" coordsize="21600,21600" o:gfxdata="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BLI4RzYAAAACwEAAA8AAAAAAAAAAQAgAAAAIgAAAGRycy9kb3du&#10;cmV2LnhtbFBLAQIUABQAAAAIAIdO4kARHYA/qgIAADAFAAAOAAAAAAAAAAEAIAAAACcBAABkcnMv&#10;ZTJvRG9jLnhtbFBLBQYAAAAABgAGAFkBAABDBgAAAAA=&#10;" adj="25779,55454">
                <v:fill on="f" focussize="0,0"/>
                <v:stroke weight="2pt" color="#FF0000 [3204]" joinstyle="round"/>
                <v:imagedata o:title=""/>
                <o:lock v:ext="edit" aspectratio="f"/>
                <v:textbox>
                  <w:txbxContent>
                    <w:p w14:paraId="4A7B35A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Theme="minorEastAsia"/>
                          <w:color w:val="FF0000"/>
                          <w:sz w:val="18"/>
                          <w:szCs w:val="18"/>
                          <w:lang w:val="en-US" w:eastAsia="zh-CN"/>
                        </w:rPr>
                      </w:pPr>
                      <w:r>
                        <w:rPr>
                          <w:rFonts w:hint="eastAsia"/>
                          <w:color w:val="FF0000"/>
                          <w:sz w:val="18"/>
                          <w:szCs w:val="18"/>
                          <w:lang w:val="en-US" w:eastAsia="zh-CN"/>
                        </w:rPr>
                        <w:t>项目所在地</w:t>
                      </w:r>
                    </w:p>
                  </w:txbxContent>
                </v:textbox>
              </v:shape>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2153920</wp:posOffset>
                </wp:positionH>
                <wp:positionV relativeFrom="paragraph">
                  <wp:posOffset>2212975</wp:posOffset>
                </wp:positionV>
                <wp:extent cx="76200" cy="76200"/>
                <wp:effectExtent l="12700" t="12700" r="25400" b="25400"/>
                <wp:wrapNone/>
                <wp:docPr id="92" name="五角星 92"/>
                <wp:cNvGraphicFramePr/>
                <a:graphic xmlns:a="http://schemas.openxmlformats.org/drawingml/2006/main">
                  <a:graphicData uri="http://schemas.microsoft.com/office/word/2010/wordprocessingShape">
                    <wps:wsp>
                      <wps:cNvSpPr/>
                      <wps:spPr>
                        <a:xfrm>
                          <a:off x="4451350" y="3159760"/>
                          <a:ext cx="76200" cy="76200"/>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69.6pt;margin-top:174.25pt;height:6pt;width:6pt;z-index:251714560;v-text-anchor:middle;mso-width-relative:page;mso-height-relative:page;" fillcolor="#FF0000" filled="t" stroked="t" coordsize="76200,76200" o:gfxdata="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&#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J4AJB2wAAAAsBAAAPAAAAAAAAAAEAIAAAACIAAABk&#10;cnMvZG93bnJldi54bWxQSwECFAAUAAAACACHTuJAmuGKW3UCAADsBAAADgAAAAAAAAABACAAAAAq&#10;AQAAZHJzL2Uyb0RvYy54bWxQSwUGAAAAAAYABgBZAQAAEQYAAAAA&#10;" path="m0,29105l29105,29105,38100,0,47094,29105,76199,29105,52652,47093,61647,76199,38100,58211,14552,76199,23547,47093xe">
                <v:path o:connectlocs="38100,0;0,29105;14552,76199;61647,76199;76199,29105" o:connectangles="247,164,82,82,0"/>
                <v:fill on="t" focussize="0,0"/>
                <v:stroke weight="2pt" color="#000000 [3213]" joinstyle="round"/>
                <v:imagedata o:title=""/>
                <o:lock v:ext="edit" aspectratio="f"/>
              </v:shape>
            </w:pict>
          </mc:Fallback>
        </mc:AlternateContent>
      </w:r>
      <w:r>
        <w:drawing>
          <wp:inline distT="0" distB="0" distL="114300" distR="114300">
            <wp:extent cx="5272405" cy="7592060"/>
            <wp:effectExtent l="0" t="0" r="4445" b="8890"/>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pic:cNvPicPr>
                  </pic:nvPicPr>
                  <pic:blipFill>
                    <a:blip r:embed="rId54"/>
                    <a:stretch>
                      <a:fillRect/>
                    </a:stretch>
                  </pic:blipFill>
                  <pic:spPr>
                    <a:xfrm>
                      <a:off x="0" y="0"/>
                      <a:ext cx="5272405" cy="7592060"/>
                    </a:xfrm>
                    <a:prstGeom prst="rect">
                      <a:avLst/>
                    </a:prstGeom>
                    <a:noFill/>
                    <a:ln>
                      <a:noFill/>
                    </a:ln>
                  </pic:spPr>
                </pic:pic>
              </a:graphicData>
            </a:graphic>
          </wp:inline>
        </w:drawing>
      </w:r>
    </w:p>
    <w:p w14:paraId="0A2B6C4E"/>
    <w:p w14:paraId="51297C62">
      <w:pPr>
        <w:pStyle w:val="82"/>
      </w:pPr>
    </w:p>
    <w:p w14:paraId="6EEA18FE">
      <w:pPr>
        <w:pStyle w:val="82"/>
      </w:pPr>
    </w:p>
    <w:p w14:paraId="404DE526">
      <w:pPr>
        <w:pStyle w:val="82"/>
      </w:pPr>
    </w:p>
    <w:p w14:paraId="0E4E6337">
      <w:pPr>
        <w:jc w:val="center"/>
        <w:rPr>
          <w:rFonts w:hint="eastAsia" w:eastAsiaTheme="minorEastAsia"/>
          <w:lang w:eastAsia="zh-CN"/>
        </w:rPr>
      </w:pPr>
      <w:r>
        <w:rPr>
          <w:rFonts w:hint="eastAsia" w:eastAsiaTheme="minorEastAsia"/>
          <w:lang w:eastAsia="zh-CN"/>
        </w:rPr>
        <w:drawing>
          <wp:inline distT="0" distB="0" distL="114300" distR="114300">
            <wp:extent cx="4201795" cy="5594985"/>
            <wp:effectExtent l="0" t="0" r="8255" b="5715"/>
            <wp:docPr id="94" name="图片 94" descr="8d2ac7bfbf44ca202b79162b268f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8d2ac7bfbf44ca202b79162b268fad10"/>
                    <pic:cNvPicPr>
                      <a:picLocks noChangeAspect="1"/>
                    </pic:cNvPicPr>
                  </pic:nvPicPr>
                  <pic:blipFill>
                    <a:blip r:embed="rId55"/>
                    <a:stretch>
                      <a:fillRect/>
                    </a:stretch>
                  </pic:blipFill>
                  <pic:spPr>
                    <a:xfrm>
                      <a:off x="0" y="0"/>
                      <a:ext cx="4201795" cy="5594985"/>
                    </a:xfrm>
                    <a:prstGeom prst="rect">
                      <a:avLst/>
                    </a:prstGeom>
                  </pic:spPr>
                </pic:pic>
              </a:graphicData>
            </a:graphic>
          </wp:inline>
        </w:drawing>
      </w:r>
    </w:p>
    <w:p w14:paraId="42B0B389">
      <w:pPr>
        <w:jc w:val="center"/>
        <w:rPr>
          <w:rFonts w:hint="default" w:ascii="Times New Roman" w:hAnsi="Times New Roman" w:cs="Times New Roman" w:eastAsiaTheme="minorEastAsia"/>
          <w:b/>
          <w:bCs/>
          <w:sz w:val="24"/>
          <w:szCs w:val="32"/>
          <w:lang w:val="en-US" w:eastAsia="zh-CN"/>
        </w:rPr>
      </w:pPr>
      <w:r>
        <w:rPr>
          <w:rFonts w:hint="default" w:ascii="Times New Roman" w:hAnsi="Times New Roman" w:cs="Times New Roman"/>
          <w:b/>
          <w:bCs/>
          <w:sz w:val="24"/>
          <w:szCs w:val="32"/>
          <w:lang w:val="en-US" w:eastAsia="zh-CN"/>
        </w:rPr>
        <w:t>附图8 工程师现场照片</w:t>
      </w:r>
    </w:p>
    <w:p w14:paraId="6AE815A0">
      <w:pPr>
        <w:pStyle w:val="82"/>
        <w:ind w:left="0" w:leftChars="0" w:firstLine="0" w:firstLineChars="0"/>
      </w:pPr>
      <w:bookmarkStart w:id="7" w:name="_GoBack"/>
      <w:bookmarkEnd w:id="7"/>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font>
  <w:font w:name="微软雅黑">
    <w:panose1 w:val="020B0503020204020204"/>
    <w:charset w:val="86"/>
    <w:family w:val="swiss"/>
    <w:pitch w:val="default"/>
    <w:sig w:usb0="80000287" w:usb1="2ACF3C50" w:usb2="00000016" w:usb3="00000000" w:csb0="0004001F" w:csb1="00000000"/>
  </w:font>
  <w:font w:name="TimesNewRomanPS-ItalicMT">
    <w:altName w:val="Times New Roman"/>
    <w:panose1 w:val="00000000000000000000"/>
    <w:charset w:val="00"/>
    <w:family w:val="roman"/>
    <w:pitch w:val="default"/>
    <w:sig w:usb0="00000000" w:usb1="00000000" w:usb2="00000000" w:usb3="00000000" w:csb0="00040001" w:csb1="00000000"/>
  </w:font>
  <w:font w:name="Calibri Light">
    <w:panose1 w:val="020F0302020204030204"/>
    <w:charset w:val="00"/>
    <w:family w:val="swiss"/>
    <w:pitch w:val="default"/>
    <w:sig w:usb0="E4002EFF" w:usb1="C000247B" w:usb2="00000009" w:usb3="00000000" w:csb0="200001FF" w:csb1="00000000"/>
  </w:font>
  <w:font w:name="宋体-方正超大字符集">
    <w:altName w:val="宋体"/>
    <w:panose1 w:val="00000000000000000000"/>
    <w:charset w:val="86"/>
    <w:family w:val="script"/>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华文细黑">
    <w:panose1 w:val="02010600040101010101"/>
    <w:charset w:val="86"/>
    <w:family w:val="auto"/>
    <w:pitch w:val="default"/>
    <w:sig w:usb0="00000287" w:usb1="080F0000" w:usb2="00000000" w:usb3="00000000" w:csb0="0004009F" w:csb1="DFD7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华文中宋">
    <w:panose1 w:val="02010600040101010101"/>
    <w:charset w:val="86"/>
    <w:family w:val="auto"/>
    <w:pitch w:val="default"/>
    <w:sig w:usb0="00000287" w:usb1="080F0000" w:usb2="00000000" w:usb3="00000000" w:csb0="0004009F" w:csb1="DFD70000"/>
  </w:font>
  <w:font w:name="”“Times New Roman”“">
    <w:altName w:val="宋体"/>
    <w:panose1 w:val="00000000000000000000"/>
    <w:charset w:val="86"/>
    <w:family w:val="roman"/>
    <w:pitch w:val="default"/>
    <w:sig w:usb0="00000000" w:usb1="00000000" w:usb2="00000010" w:usb3="00000000" w:csb0="00040000" w:csb1="00000000"/>
  </w:font>
  <w:font w:name="Sim Sun+ 2">
    <w:altName w:val="宋体"/>
    <w:panose1 w:val="00000000000000000000"/>
    <w:charset w:val="86"/>
    <w:family w:val="swiss"/>
    <w:pitch w:val="default"/>
    <w:sig w:usb0="00000000" w:usb1="00000000" w:usb2="00000010" w:usb3="00000000" w:csb0="00040000" w:csb1="00000000"/>
  </w:font>
  <w:font w:name="Courier">
    <w:panose1 w:val="02060409020205020404"/>
    <w:charset w:val="00"/>
    <w:family w:val="modern"/>
    <w:pitch w:val="default"/>
    <w:sig w:usb0="00000007" w:usb1="00000000" w:usb2="00000000" w:usb3="00000000" w:csb0="00000093"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汉鼎简书宋">
    <w:altName w:val="宋体"/>
    <w:panose1 w:val="00000000000000000000"/>
    <w:charset w:val="86"/>
    <w:family w:val="modern"/>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10" w:usb3="00000000" w:csb0="00040000" w:csb1="00000000"/>
  </w:font>
  <w:font w:name="方正仿宋_GBK">
    <w:altName w:val="宋体"/>
    <w:panose1 w:val="00000000000000000000"/>
    <w:charset w:val="86"/>
    <w:family w:val="script"/>
    <w:pitch w:val="default"/>
    <w:sig w:usb0="00000000" w:usb1="00000000" w:usb2="00000010" w:usb3="00000000" w:csb0="00040000" w:csb1="00000000"/>
  </w:font>
  <w:font w:name="Fang Song">
    <w:altName w:val="黑体"/>
    <w:panose1 w:val="00000000000000000000"/>
    <w:charset w:val="86"/>
    <w:family w:val="modern"/>
    <w:pitch w:val="default"/>
    <w:sig w:usb0="00000000" w:usb1="00000000" w:usb2="00000010" w:usb3="00000000" w:csb0="00040000" w:csb1="00000000"/>
  </w:font>
  <w:font w:name="TimesNewRomanPSMT">
    <w:altName w:val="Arial Unicode MS"/>
    <w:panose1 w:val="00000000000000000000"/>
    <w:charset w:val="00"/>
    <w:family w:val="roman"/>
    <w:pitch w:val="default"/>
    <w:sig w:usb0="00000000" w:usb1="00000000" w:usb2="00000000" w:usb3="00000000" w:csb0="00000001" w:csb1="00000000"/>
  </w:font>
  <w:font w:name="方正小标宋_GBK">
    <w:altName w:val="Arial Unicode MS"/>
    <w:panose1 w:val="03000509000000000000"/>
    <w:charset w:val="86"/>
    <w:family w:val="script"/>
    <w:pitch w:val="default"/>
    <w:sig w:usb0="00000000" w:usb1="00000000" w:usb2="00000000" w:usb3="00000000" w:csb0="00040000" w:csb1="00000000"/>
  </w:font>
  <w:font w:name="KSOF51D5AD36">
    <w:panose1 w:val="020B0604020202020204"/>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CE7096">
    <w:pPr>
      <w:pStyle w:val="51"/>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26B79C">
                          <w:pPr>
                            <w:pStyle w:val="5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3F26B79C">
                    <w:pPr>
                      <w:pStyle w:val="5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3E454E">
    <w:pPr>
      <w:pStyle w:val="51"/>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095EED">
                          <w:pPr>
                            <w:pStyle w:val="51"/>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07095EED">
                    <w:pPr>
                      <w:pStyle w:val="51"/>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F3403C">
    <w:pPr>
      <w:pStyle w:val="51"/>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6365A6">
                          <w:pPr>
                            <w:pStyle w:val="51"/>
                          </w:pPr>
                          <w:r>
                            <w:fldChar w:fldCharType="begin"/>
                          </w:r>
                          <w:r>
                            <w:instrText xml:space="preserve"> PAGE  \* MERGEFORMAT </w:instrText>
                          </w:r>
                          <w:r>
                            <w:fldChar w:fldCharType="separate"/>
                          </w:r>
                          <w:r>
                            <w:t>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6A6365A6">
                    <w:pPr>
                      <w:pStyle w:val="51"/>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71B261">
    <w:pPr>
      <w:pStyle w:val="51"/>
      <w:ind w:right="360" w:firstLine="360"/>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339286">
                          <w:pPr>
                            <w:pStyle w:val="5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24339286">
                    <w:pPr>
                      <w:pStyle w:val="51"/>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B0EA3C">
    <w:pPr>
      <w:pStyle w:val="53"/>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49CBD0F"/>
    <w:multiLevelType w:val="singleLevel"/>
    <w:tmpl w:val="C49CBD0F"/>
    <w:lvl w:ilvl="0" w:tentative="0">
      <w:start w:val="4"/>
      <w:numFmt w:val="decimal"/>
      <w:suff w:val="nothing"/>
      <w:lvlText w:val="（%1）"/>
      <w:lvlJc w:val="left"/>
    </w:lvl>
  </w:abstractNum>
  <w:abstractNum w:abstractNumId="1">
    <w:nsid w:val="FFFFFF89"/>
    <w:multiLevelType w:val="singleLevel"/>
    <w:tmpl w:val="FFFFFF89"/>
    <w:lvl w:ilvl="0" w:tentative="0">
      <w:start w:val="1"/>
      <w:numFmt w:val="bullet"/>
      <w:pStyle w:val="22"/>
      <w:lvlText w:val=""/>
      <w:lvlJc w:val="left"/>
      <w:pPr>
        <w:tabs>
          <w:tab w:val="left" w:pos="360"/>
        </w:tabs>
        <w:ind w:left="360" w:hanging="360"/>
      </w:pPr>
      <w:rPr>
        <w:rFonts w:hint="default" w:ascii="Wingdings" w:hAnsi="Wingdings"/>
      </w:rPr>
    </w:lvl>
  </w:abstractNum>
  <w:abstractNum w:abstractNumId="2">
    <w:nsid w:val="00000001"/>
    <w:multiLevelType w:val="multilevel"/>
    <w:tmpl w:val="00000001"/>
    <w:lvl w:ilvl="0" w:tentative="0">
      <w:start w:val="1"/>
      <w:numFmt w:val="decimalEnclosedCircle"/>
      <w:pStyle w:val="326"/>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5"/>
    <w:multiLevelType w:val="multilevel"/>
    <w:tmpl w:val="00000005"/>
    <w:lvl w:ilvl="0" w:tentative="0">
      <w:start w:val="1"/>
      <w:numFmt w:val="decimalEnclosedCircle"/>
      <w:pStyle w:val="1207"/>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16"/>
    <w:multiLevelType w:val="multilevel"/>
    <w:tmpl w:val="00000016"/>
    <w:lvl w:ilvl="0" w:tentative="0">
      <w:start w:val="1"/>
      <w:numFmt w:val="decimal"/>
      <w:pStyle w:val="852"/>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1D31CB4"/>
    <w:multiLevelType w:val="multilevel"/>
    <w:tmpl w:val="01D31CB4"/>
    <w:lvl w:ilvl="0" w:tentative="0">
      <w:start w:val="1"/>
      <w:numFmt w:val="decimal"/>
      <w:pStyle w:val="1232"/>
      <w:lvlText w:val="表7.2 -%1"/>
      <w:lvlJc w:val="center"/>
      <w:pPr>
        <w:tabs>
          <w:tab w:val="left" w:pos="726"/>
        </w:tabs>
        <w:ind w:left="2"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2E7176C"/>
    <w:multiLevelType w:val="singleLevel"/>
    <w:tmpl w:val="02E7176C"/>
    <w:lvl w:ilvl="0" w:tentative="0">
      <w:start w:val="1"/>
      <w:numFmt w:val="bullet"/>
      <w:pStyle w:val="1155"/>
      <w:lvlText w:val=""/>
      <w:lvlJc w:val="left"/>
      <w:pPr>
        <w:tabs>
          <w:tab w:val="left" w:pos="504"/>
        </w:tabs>
        <w:ind w:left="72" w:firstLine="72"/>
      </w:pPr>
      <w:rPr>
        <w:rFonts w:hint="default" w:ascii="Wingdings" w:hAnsi="Wingdings"/>
        <w:spacing w:val="0"/>
        <w:w w:val="100"/>
        <w:kern w:val="0"/>
        <w:position w:val="0"/>
        <w:sz w:val="28"/>
      </w:rPr>
    </w:lvl>
  </w:abstractNum>
  <w:abstractNum w:abstractNumId="7">
    <w:nsid w:val="0BBD0933"/>
    <w:multiLevelType w:val="multilevel"/>
    <w:tmpl w:val="0BBD0933"/>
    <w:lvl w:ilvl="0" w:tentative="0">
      <w:start w:val="4"/>
      <w:numFmt w:val="decimal"/>
      <w:pStyle w:val="1279"/>
      <w:suff w:val="space"/>
      <w:lvlText w:val="%1"/>
      <w:lvlJc w:val="left"/>
      <w:pPr>
        <w:ind w:left="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0" w:firstLine="0"/>
      </w:pPr>
      <w:rPr>
        <w:rFonts w:hint="eastAsia" w:ascii="黑体" w:eastAsia="黑体"/>
        <w:b w:val="0"/>
        <w:bCs w:val="0"/>
        <w:i w:val="0"/>
        <w:iCs w:val="0"/>
        <w:color w:val="auto"/>
        <w:sz w:val="28"/>
        <w:szCs w:val="28"/>
      </w:rPr>
    </w:lvl>
    <w:lvl w:ilvl="2" w:tentative="0">
      <w:start w:val="1"/>
      <w:numFmt w:val="decimal"/>
      <w:suff w:val="space"/>
      <w:lvlText w:val="%1.%2.%3"/>
      <w:lvlJc w:val="left"/>
      <w:pPr>
        <w:ind w:left="0" w:firstLine="0"/>
      </w:pPr>
      <w:rPr>
        <w:rFonts w:hint="eastAsia" w:ascii="宋体" w:eastAsia="宋体"/>
        <w:b w:val="0"/>
        <w:bCs w:val="0"/>
        <w:i w:val="0"/>
        <w:iCs w:val="0"/>
        <w:color w:val="auto"/>
        <w:sz w:val="28"/>
        <w:szCs w:val="28"/>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suff w:val="space"/>
      <w:lvlText w:val="%5)"/>
      <w:lvlJc w:val="left"/>
      <w:pPr>
        <w:ind w:left="0" w:firstLine="567"/>
      </w:pPr>
      <w:rPr>
        <w:rFonts w:hint="eastAsia" w:ascii="宋体" w:hAnsi="Times New Roman" w:eastAsia="宋体"/>
        <w:b w:val="0"/>
        <w:bCs w:val="0"/>
        <w:i w:val="0"/>
        <w:iCs w:val="0"/>
        <w:sz w:val="28"/>
        <w:szCs w:val="28"/>
      </w:rPr>
    </w:lvl>
    <w:lvl w:ilvl="5" w:tentative="0">
      <w:start w:val="1"/>
      <w:numFmt w:val="decimal"/>
      <w:suff w:val="space"/>
      <w:lvlText w:val="(%6)"/>
      <w:lvlJc w:val="left"/>
      <w:pPr>
        <w:ind w:left="-102" w:firstLine="567"/>
      </w:pPr>
      <w:rPr>
        <w:rFonts w:hint="eastAsia" w:ascii="宋体" w:eastAsia="宋体"/>
        <w:b w:val="0"/>
        <w:bCs w:val="0"/>
        <w:i w:val="0"/>
        <w:iCs w:val="0"/>
        <w:sz w:val="28"/>
        <w:szCs w:val="28"/>
      </w:rPr>
    </w:lvl>
    <w:lvl w:ilvl="6" w:tentative="0">
      <w:start w:val="1"/>
      <w:numFmt w:val="decimal"/>
      <w:lvlText w:val="%1.%2.%3.%4.%5.%6.%7"/>
      <w:lvlJc w:val="left"/>
      <w:pPr>
        <w:tabs>
          <w:tab w:val="left" w:pos="396"/>
        </w:tabs>
        <w:ind w:left="396" w:hanging="1296"/>
      </w:pPr>
      <w:rPr>
        <w:rFonts w:hint="eastAsia"/>
      </w:rPr>
    </w:lvl>
    <w:lvl w:ilvl="7" w:tentative="0">
      <w:start w:val="1"/>
      <w:numFmt w:val="decimal"/>
      <w:lvlText w:val="%1.%2.%3.%4.%5.%6.%7.%8"/>
      <w:lvlJc w:val="left"/>
      <w:pPr>
        <w:tabs>
          <w:tab w:val="left" w:pos="540"/>
        </w:tabs>
        <w:ind w:left="540" w:hanging="1440"/>
      </w:pPr>
      <w:rPr>
        <w:rFonts w:hint="eastAsia"/>
      </w:rPr>
    </w:lvl>
    <w:lvl w:ilvl="8" w:tentative="0">
      <w:start w:val="1"/>
      <w:numFmt w:val="decimal"/>
      <w:lvlText w:val="%1.%2.%3.%4.%5.%6.%7.%8.%9"/>
      <w:lvlJc w:val="left"/>
      <w:pPr>
        <w:tabs>
          <w:tab w:val="left" w:pos="684"/>
        </w:tabs>
        <w:ind w:left="684" w:hanging="1584"/>
      </w:pPr>
      <w:rPr>
        <w:rFonts w:hint="eastAsia"/>
      </w:rPr>
    </w:lvl>
  </w:abstractNum>
  <w:abstractNum w:abstractNumId="8">
    <w:nsid w:val="0E43C952"/>
    <w:multiLevelType w:val="singleLevel"/>
    <w:tmpl w:val="0E43C952"/>
    <w:lvl w:ilvl="0" w:tentative="0">
      <w:start w:val="1"/>
      <w:numFmt w:val="decimal"/>
      <w:suff w:val="nothing"/>
      <w:lvlText w:val="%1、"/>
      <w:lvlJc w:val="left"/>
    </w:lvl>
  </w:abstractNum>
  <w:abstractNum w:abstractNumId="9">
    <w:nsid w:val="1E9F78A5"/>
    <w:multiLevelType w:val="multilevel"/>
    <w:tmpl w:val="1E9F78A5"/>
    <w:lvl w:ilvl="0" w:tentative="0">
      <w:start w:val="1"/>
      <w:numFmt w:val="decimal"/>
      <w:pStyle w:val="899"/>
      <w:lvlText w:val="%1."/>
      <w:lvlJc w:val="left"/>
      <w:pPr>
        <w:tabs>
          <w:tab w:val="left" w:pos="420"/>
        </w:tabs>
        <w:ind w:left="420" w:hanging="420"/>
      </w:pPr>
      <w:rPr>
        <w:rFonts w:hint="eastAsia"/>
      </w:rPr>
    </w:lvl>
    <w:lvl w:ilvl="1" w:tentative="0">
      <w:start w:val="1"/>
      <w:numFmt w:val="decimal"/>
      <w:lvlText w:val="（%2）"/>
      <w:lvlJc w:val="left"/>
      <w:pPr>
        <w:tabs>
          <w:tab w:val="left" w:pos="1710"/>
        </w:tabs>
        <w:ind w:left="1710" w:hanging="1290"/>
      </w:pPr>
      <w:rPr>
        <w:rFonts w:hint="default"/>
        <w:b/>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37660A18"/>
    <w:multiLevelType w:val="multilevel"/>
    <w:tmpl w:val="37660A18"/>
    <w:lvl w:ilvl="0" w:tentative="0">
      <w:start w:val="1"/>
      <w:numFmt w:val="decimal"/>
      <w:pStyle w:val="1278"/>
      <w:lvlText w:val="%1"/>
      <w:lvlJc w:val="left"/>
      <w:pPr>
        <w:ind w:left="425" w:hanging="425"/>
      </w:pPr>
      <w:rPr>
        <w:rFonts w:hint="default" w:ascii="Times New Roman" w:hAnsi="Times New Roman" w:cs="Times New Roman"/>
      </w:rPr>
    </w:lvl>
    <w:lvl w:ilvl="1" w:tentative="0">
      <w:start w:val="1"/>
      <w:numFmt w:val="decimal"/>
      <w:pStyle w:val="1169"/>
      <w:lvlText w:val="%1.%2"/>
      <w:lvlJc w:val="left"/>
      <w:pPr>
        <w:ind w:left="992" w:hanging="567"/>
      </w:pPr>
    </w:lvl>
    <w:lvl w:ilvl="2" w:tentative="0">
      <w:start w:val="1"/>
      <w:numFmt w:val="decimal"/>
      <w:pStyle w:val="332"/>
      <w:lvlText w:val="%1.%2.%3"/>
      <w:lvlJc w:val="left"/>
      <w:pPr>
        <w:ind w:left="1418" w:hanging="567"/>
      </w:pPr>
    </w:lvl>
    <w:lvl w:ilvl="3" w:tentative="0">
      <w:start w:val="1"/>
      <w:numFmt w:val="decimal"/>
      <w:pStyle w:val="868"/>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1">
    <w:nsid w:val="37A04360"/>
    <w:multiLevelType w:val="multilevel"/>
    <w:tmpl w:val="37A04360"/>
    <w:lvl w:ilvl="0" w:tentative="0">
      <w:start w:val="1"/>
      <w:numFmt w:val="decimal"/>
      <w:pStyle w:val="686"/>
      <w:lvlText w:val="表1.11-%1"/>
      <w:lvlJc w:val="center"/>
      <w:pPr>
        <w:tabs>
          <w:tab w:val="left" w:pos="2444"/>
        </w:tabs>
        <w:ind w:left="1720"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3A9076B2"/>
    <w:multiLevelType w:val="multilevel"/>
    <w:tmpl w:val="3A9076B2"/>
    <w:lvl w:ilvl="0" w:tentative="0">
      <w:start w:val="2"/>
      <w:numFmt w:val="decimal"/>
      <w:lvlText w:val="%1、"/>
      <w:lvlJc w:val="left"/>
      <w:pPr>
        <w:tabs>
          <w:tab w:val="left" w:pos="929"/>
        </w:tabs>
        <w:ind w:left="929"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pStyle w:val="1015"/>
      <w:lvlText w:val="%4."/>
      <w:lvlJc w:val="left"/>
      <w:pPr>
        <w:tabs>
          <w:tab w:val="left" w:pos="2249"/>
        </w:tabs>
        <w:ind w:left="2249" w:hanging="42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3">
    <w:nsid w:val="44B17BF9"/>
    <w:multiLevelType w:val="multilevel"/>
    <w:tmpl w:val="44B17BF9"/>
    <w:lvl w:ilvl="0" w:tentative="0">
      <w:start w:val="1"/>
      <w:numFmt w:val="decimal"/>
      <w:suff w:val="nothing"/>
      <w:lvlText w:val="%1"/>
      <w:lvlJc w:val="left"/>
      <w:rPr>
        <w:rFonts w:hint="eastAsia" w:cs="Times New Roman"/>
      </w:rPr>
    </w:lvl>
    <w:lvl w:ilvl="1" w:tentative="0">
      <w:start w:val="1"/>
      <w:numFmt w:val="lowerLetter"/>
      <w:lvlText w:val="%2)"/>
      <w:lvlJc w:val="left"/>
      <w:pPr>
        <w:ind w:left="697" w:hanging="420"/>
      </w:pPr>
      <w:rPr>
        <w:rFonts w:cs="Times New Roman"/>
      </w:rPr>
    </w:lvl>
    <w:lvl w:ilvl="2" w:tentative="0">
      <w:start w:val="1"/>
      <w:numFmt w:val="lowerRoman"/>
      <w:lvlText w:val="%3."/>
      <w:lvlJc w:val="right"/>
      <w:pPr>
        <w:ind w:left="1117" w:hanging="420"/>
      </w:pPr>
      <w:rPr>
        <w:rFonts w:cs="Times New Roman"/>
      </w:rPr>
    </w:lvl>
    <w:lvl w:ilvl="3" w:tentative="0">
      <w:start w:val="1"/>
      <w:numFmt w:val="decimal"/>
      <w:lvlText w:val="%4."/>
      <w:lvlJc w:val="left"/>
      <w:pPr>
        <w:ind w:left="1537" w:hanging="420"/>
      </w:pPr>
      <w:rPr>
        <w:rFonts w:cs="Times New Roman"/>
      </w:rPr>
    </w:lvl>
    <w:lvl w:ilvl="4" w:tentative="0">
      <w:start w:val="1"/>
      <w:numFmt w:val="lowerLetter"/>
      <w:lvlText w:val="%5)"/>
      <w:lvlJc w:val="left"/>
      <w:pPr>
        <w:ind w:left="1957" w:hanging="420"/>
      </w:pPr>
      <w:rPr>
        <w:rFonts w:cs="Times New Roman"/>
      </w:rPr>
    </w:lvl>
    <w:lvl w:ilvl="5" w:tentative="0">
      <w:start w:val="1"/>
      <w:numFmt w:val="lowerRoman"/>
      <w:lvlText w:val="%6."/>
      <w:lvlJc w:val="right"/>
      <w:pPr>
        <w:ind w:left="2377" w:hanging="420"/>
      </w:pPr>
      <w:rPr>
        <w:rFonts w:cs="Times New Roman"/>
      </w:rPr>
    </w:lvl>
    <w:lvl w:ilvl="6" w:tentative="0">
      <w:start w:val="1"/>
      <w:numFmt w:val="decimal"/>
      <w:lvlText w:val="%7."/>
      <w:lvlJc w:val="left"/>
      <w:pPr>
        <w:ind w:left="2797" w:hanging="420"/>
      </w:pPr>
      <w:rPr>
        <w:rFonts w:cs="Times New Roman"/>
      </w:rPr>
    </w:lvl>
    <w:lvl w:ilvl="7" w:tentative="0">
      <w:start w:val="1"/>
      <w:numFmt w:val="lowerLetter"/>
      <w:lvlText w:val="%8)"/>
      <w:lvlJc w:val="left"/>
      <w:pPr>
        <w:ind w:left="3217" w:hanging="420"/>
      </w:pPr>
      <w:rPr>
        <w:rFonts w:cs="Times New Roman"/>
      </w:rPr>
    </w:lvl>
    <w:lvl w:ilvl="8" w:tentative="0">
      <w:start w:val="1"/>
      <w:numFmt w:val="lowerRoman"/>
      <w:lvlText w:val="%9."/>
      <w:lvlJc w:val="right"/>
      <w:pPr>
        <w:ind w:left="3637" w:hanging="420"/>
      </w:pPr>
      <w:rPr>
        <w:rFonts w:cs="Times New Roman"/>
      </w:rPr>
    </w:lvl>
  </w:abstractNum>
  <w:abstractNum w:abstractNumId="14">
    <w:nsid w:val="47071C76"/>
    <w:multiLevelType w:val="multilevel"/>
    <w:tmpl w:val="47071C76"/>
    <w:lvl w:ilvl="0" w:tentative="0">
      <w:start w:val="1"/>
      <w:numFmt w:val="decimal"/>
      <w:lvlText w:val="%1"/>
      <w:lvlJc w:val="left"/>
      <w:pPr>
        <w:tabs>
          <w:tab w:val="left" w:pos="360"/>
        </w:tabs>
        <w:ind w:left="0" w:firstLine="0"/>
      </w:pPr>
      <w:rPr>
        <w:rFonts w:hint="eastAsia" w:ascii="仿宋_GB2312" w:eastAsia="仿宋_GB2312"/>
        <w:b/>
        <w:i w:val="0"/>
        <w:sz w:val="32"/>
      </w:rPr>
    </w:lvl>
    <w:lvl w:ilvl="1" w:tentative="0">
      <w:start w:val="1"/>
      <w:numFmt w:val="decimal"/>
      <w:pStyle w:val="1166"/>
      <w:lvlText w:val="%1.%2"/>
      <w:lvlJc w:val="left"/>
      <w:pPr>
        <w:tabs>
          <w:tab w:val="left" w:pos="720"/>
        </w:tabs>
        <w:ind w:left="0" w:firstLine="0"/>
      </w:pPr>
      <w:rPr>
        <w:rFonts w:hint="eastAsia" w:ascii="仿宋_GB2312" w:eastAsia="仿宋_GB2312"/>
        <w:b/>
        <w:i w:val="0"/>
        <w:sz w:val="30"/>
      </w:rPr>
    </w:lvl>
    <w:lvl w:ilvl="2" w:tentative="0">
      <w:start w:val="1"/>
      <w:numFmt w:val="none"/>
      <w:lvlText w:val="1.%21"/>
      <w:lvlJc w:val="left"/>
      <w:pPr>
        <w:tabs>
          <w:tab w:val="left" w:pos="1080"/>
        </w:tabs>
        <w:ind w:left="0" w:firstLine="0"/>
      </w:pPr>
      <w:rPr>
        <w:rFonts w:hint="eastAsia" w:ascii="仿宋_GB2312" w:eastAsia="仿宋_GB2312"/>
        <w:b w:val="0"/>
        <w:i w:val="0"/>
        <w:sz w:val="28"/>
      </w:rPr>
    </w:lvl>
    <w:lvl w:ilvl="3" w:tentative="0">
      <w:start w:val="1"/>
      <w:numFmt w:val="decimal"/>
      <w:lvlRestart w:val="0"/>
      <w:isLgl/>
      <w:lvlText w:val="%1.%2.%3.%4"/>
      <w:lvlJc w:val="left"/>
      <w:pPr>
        <w:tabs>
          <w:tab w:val="left" w:pos="1440"/>
        </w:tabs>
        <w:ind w:left="0" w:firstLine="0"/>
      </w:pPr>
      <w:rPr>
        <w:rFonts w:hint="eastAsia" w:ascii="仿宋_GB2312" w:eastAsia="仿宋_GB2312"/>
        <w:b w:val="0"/>
        <w:i w:val="0"/>
        <w:sz w:val="28"/>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5">
    <w:nsid w:val="5089670E"/>
    <w:multiLevelType w:val="multilevel"/>
    <w:tmpl w:val="5089670E"/>
    <w:lvl w:ilvl="0" w:tentative="0">
      <w:start w:val="1"/>
      <w:numFmt w:val="decimal"/>
      <w:suff w:val="space"/>
      <w:lvlText w:val="%1"/>
      <w:lvlJc w:val="left"/>
      <w:pPr>
        <w:ind w:left="14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4962" w:firstLine="0"/>
      </w:pPr>
      <w:rPr>
        <w:rFonts w:hint="eastAsia" w:ascii="黑体" w:eastAsia="黑体" w:cs="Times New Roman"/>
        <w:b w:val="0"/>
        <w:bCs w:val="0"/>
        <w:i w:val="0"/>
        <w:iCs w:val="0"/>
        <w:caps w:val="0"/>
        <w:smallCaps w:val="0"/>
        <w:strike w:val="0"/>
        <w:dstrike w:val="0"/>
        <w:vanish w:val="0"/>
        <w:color w:val="000000"/>
        <w:spacing w:val="0"/>
        <w:position w:val="0"/>
        <w:sz w:val="28"/>
        <w:szCs w:val="28"/>
        <w:u w:val="none"/>
        <w:vertAlign w:val="baseline"/>
      </w:rPr>
    </w:lvl>
    <w:lvl w:ilvl="2" w:tentative="0">
      <w:start w:val="1"/>
      <w:numFmt w:val="decimal"/>
      <w:suff w:val="space"/>
      <w:lvlText w:val="%1.%2.%3"/>
      <w:lvlJc w:val="left"/>
      <w:pPr>
        <w:ind w:left="700" w:firstLine="0"/>
      </w:pPr>
      <w:rPr>
        <w:rFonts w:hint="eastAsia" w:ascii="宋体" w:eastAsia="宋体"/>
        <w:b w:val="0"/>
        <w:bCs w:val="0"/>
        <w:i w:val="0"/>
        <w:iCs w:val="0"/>
        <w:caps w:val="0"/>
        <w:smallCaps w:val="0"/>
        <w:strike w:val="0"/>
        <w:color w:val="auto"/>
        <w:spacing w:val="0"/>
        <w:sz w:val="28"/>
        <w:szCs w:val="28"/>
        <w:u w:val="none"/>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pStyle w:val="595"/>
      <w:suff w:val="space"/>
      <w:lvlText w:val="%5)"/>
      <w:lvlJc w:val="left"/>
      <w:pPr>
        <w:ind w:left="-567" w:firstLine="567"/>
      </w:pPr>
      <w:rPr>
        <w:rFonts w:hint="eastAsia" w:ascii="宋体" w:eastAsia="宋体"/>
        <w:b w:val="0"/>
        <w:i w:val="0"/>
        <w:sz w:val="28"/>
        <w:szCs w:val="28"/>
      </w:rPr>
    </w:lvl>
    <w:lvl w:ilvl="5" w:tentative="0">
      <w:start w:val="1"/>
      <w:numFmt w:val="decimal"/>
      <w:suff w:val="space"/>
      <w:lvlText w:val="(%6)"/>
      <w:lvlJc w:val="left"/>
      <w:pPr>
        <w:ind w:left="-427" w:firstLine="567"/>
      </w:pPr>
      <w:rPr>
        <w:rFonts w:hint="eastAsia" w:ascii="宋体" w:eastAsia="宋体"/>
        <w:b w:val="0"/>
        <w:bCs w:val="0"/>
        <w:i w:val="0"/>
        <w:iCs w:val="0"/>
        <w:sz w:val="28"/>
        <w:szCs w:val="28"/>
      </w:rPr>
    </w:lvl>
    <w:lvl w:ilvl="6" w:tentative="0">
      <w:start w:val="1"/>
      <w:numFmt w:val="decimal"/>
      <w:lvlText w:val="%1.%2.%3.%4.%5.%6.%7"/>
      <w:lvlJc w:val="left"/>
      <w:pPr>
        <w:tabs>
          <w:tab w:val="left" w:pos="936"/>
        </w:tabs>
        <w:ind w:left="936" w:hanging="1296"/>
      </w:pPr>
      <w:rPr>
        <w:rFonts w:hint="eastAsia"/>
      </w:rPr>
    </w:lvl>
    <w:lvl w:ilvl="7" w:tentative="0">
      <w:start w:val="1"/>
      <w:numFmt w:val="decimal"/>
      <w:lvlText w:val="%1.%2.%3.%4.%5.%6.%7.%8"/>
      <w:lvlJc w:val="left"/>
      <w:pPr>
        <w:tabs>
          <w:tab w:val="left" w:pos="1080"/>
        </w:tabs>
        <w:ind w:left="1080" w:hanging="1440"/>
      </w:pPr>
      <w:rPr>
        <w:rFonts w:hint="eastAsia"/>
      </w:rPr>
    </w:lvl>
    <w:lvl w:ilvl="8" w:tentative="0">
      <w:start w:val="1"/>
      <w:numFmt w:val="decimal"/>
      <w:lvlText w:val="%1.%2.%3.%4.%5.%6.%7.%8.%9"/>
      <w:lvlJc w:val="left"/>
      <w:pPr>
        <w:tabs>
          <w:tab w:val="left" w:pos="1224"/>
        </w:tabs>
        <w:ind w:left="1224" w:hanging="1584"/>
      </w:pPr>
      <w:rPr>
        <w:rFonts w:hint="eastAsia"/>
      </w:rPr>
    </w:lvl>
  </w:abstractNum>
  <w:abstractNum w:abstractNumId="16">
    <w:nsid w:val="557C2AF5"/>
    <w:multiLevelType w:val="multilevel"/>
    <w:tmpl w:val="557C2AF5"/>
    <w:lvl w:ilvl="0" w:tentative="0">
      <w:start w:val="1"/>
      <w:numFmt w:val="decimal"/>
      <w:pStyle w:val="636"/>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17">
    <w:nsid w:val="646260FA"/>
    <w:multiLevelType w:val="multilevel"/>
    <w:tmpl w:val="646260FA"/>
    <w:lvl w:ilvl="0" w:tentative="0">
      <w:start w:val="1"/>
      <w:numFmt w:val="decimal"/>
      <w:pStyle w:val="967"/>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8">
    <w:nsid w:val="766D7B15"/>
    <w:multiLevelType w:val="multilevel"/>
    <w:tmpl w:val="766D7B15"/>
    <w:lvl w:ilvl="0" w:tentative="0">
      <w:start w:val="1"/>
      <w:numFmt w:val="decimal"/>
      <w:pStyle w:val="288"/>
      <w:lvlText w:val="%1"/>
      <w:lvlJc w:val="left"/>
      <w:pPr>
        <w:tabs>
          <w:tab w:val="left" w:pos="425"/>
        </w:tabs>
        <w:ind w:left="425" w:hanging="425"/>
      </w:pPr>
      <w:rPr>
        <w:rFonts w:hint="eastAsia"/>
      </w:rPr>
    </w:lvl>
    <w:lvl w:ilvl="1" w:tentative="0">
      <w:start w:val="1"/>
      <w:numFmt w:val="decimal"/>
      <w:lvlText w:val="%1.%2"/>
      <w:lvlJc w:val="left"/>
      <w:pPr>
        <w:tabs>
          <w:tab w:val="left" w:pos="1865"/>
        </w:tabs>
        <w:ind w:left="992" w:hanging="567"/>
      </w:pPr>
      <w:rPr>
        <w:rFonts w:hint="eastAsia"/>
      </w:rPr>
    </w:lvl>
    <w:lvl w:ilvl="2" w:tentative="0">
      <w:start w:val="1"/>
      <w:numFmt w:val="decimal"/>
      <w:lvlText w:val="%1.%2.%3"/>
      <w:lvlJc w:val="left"/>
      <w:pPr>
        <w:tabs>
          <w:tab w:val="left" w:pos="3011"/>
        </w:tabs>
        <w:ind w:left="1418" w:hanging="567"/>
      </w:pPr>
      <w:rPr>
        <w:rFonts w:hint="eastAsia"/>
      </w:rPr>
    </w:lvl>
    <w:lvl w:ilvl="3" w:tentative="0">
      <w:start w:val="1"/>
      <w:numFmt w:val="decimal"/>
      <w:lvlText w:val="%1.%2.%3.%4"/>
      <w:lvlJc w:val="left"/>
      <w:pPr>
        <w:tabs>
          <w:tab w:val="left" w:pos="4156"/>
        </w:tabs>
        <w:ind w:left="1984" w:hanging="708"/>
      </w:pPr>
      <w:rPr>
        <w:rFonts w:hint="eastAsia"/>
      </w:rPr>
    </w:lvl>
    <w:lvl w:ilvl="4" w:tentative="0">
      <w:start w:val="1"/>
      <w:numFmt w:val="decimal"/>
      <w:lvlText w:val="%1.%2.%3.%4.%5"/>
      <w:lvlJc w:val="left"/>
      <w:pPr>
        <w:tabs>
          <w:tab w:val="left" w:pos="5301"/>
        </w:tabs>
        <w:ind w:left="2551" w:hanging="850"/>
      </w:pPr>
      <w:rPr>
        <w:rFonts w:hint="eastAsia"/>
      </w:rPr>
    </w:lvl>
    <w:lvl w:ilvl="5" w:tentative="0">
      <w:start w:val="1"/>
      <w:numFmt w:val="decimal"/>
      <w:lvlText w:val="%1.%2.%3.%4.%5.%6"/>
      <w:lvlJc w:val="left"/>
      <w:pPr>
        <w:tabs>
          <w:tab w:val="left" w:pos="6446"/>
        </w:tabs>
        <w:ind w:left="3260" w:hanging="1134"/>
      </w:pPr>
      <w:rPr>
        <w:rFonts w:hint="eastAsia"/>
      </w:rPr>
    </w:lvl>
    <w:lvl w:ilvl="6" w:tentative="0">
      <w:start w:val="1"/>
      <w:numFmt w:val="decimal"/>
      <w:lvlText w:val="%1.%2.%3.%4.%5.%6.%7"/>
      <w:lvlJc w:val="left"/>
      <w:pPr>
        <w:tabs>
          <w:tab w:val="left" w:pos="7591"/>
        </w:tabs>
        <w:ind w:left="3827" w:hanging="1276"/>
      </w:pPr>
      <w:rPr>
        <w:rFonts w:hint="eastAsia"/>
      </w:rPr>
    </w:lvl>
    <w:lvl w:ilvl="7" w:tentative="0">
      <w:start w:val="1"/>
      <w:numFmt w:val="decimal"/>
      <w:lvlText w:val="%1.%2.%3.%4.%5.%6.%7.%8"/>
      <w:lvlJc w:val="left"/>
      <w:pPr>
        <w:tabs>
          <w:tab w:val="left" w:pos="8736"/>
        </w:tabs>
        <w:ind w:left="4394" w:hanging="1418"/>
      </w:pPr>
      <w:rPr>
        <w:rFonts w:hint="eastAsia"/>
      </w:rPr>
    </w:lvl>
    <w:lvl w:ilvl="8" w:tentative="0">
      <w:start w:val="1"/>
      <w:numFmt w:val="decimal"/>
      <w:lvlText w:val="%1.%2.%3.%4.%5.%6.%7.%8.%9"/>
      <w:lvlJc w:val="left"/>
      <w:pPr>
        <w:tabs>
          <w:tab w:val="left" w:pos="10242"/>
        </w:tabs>
        <w:ind w:left="5102" w:hanging="1700"/>
      </w:pPr>
      <w:rPr>
        <w:rFonts w:hint="eastAsia"/>
      </w:rPr>
    </w:lvl>
  </w:abstractNum>
  <w:num w:numId="1">
    <w:abstractNumId w:val="1"/>
  </w:num>
  <w:num w:numId="2">
    <w:abstractNumId w:val="18"/>
  </w:num>
  <w:num w:numId="3">
    <w:abstractNumId w:val="2"/>
  </w:num>
  <w:num w:numId="4">
    <w:abstractNumId w:val="10"/>
  </w:num>
  <w:num w:numId="5">
    <w:abstractNumId w:val="15"/>
  </w:num>
  <w:num w:numId="6">
    <w:abstractNumId w:val="16"/>
  </w:num>
  <w:num w:numId="7">
    <w:abstractNumId w:val="11"/>
  </w:num>
  <w:num w:numId="8">
    <w:abstractNumId w:val="4"/>
  </w:num>
  <w:num w:numId="9">
    <w:abstractNumId w:val="9"/>
  </w:num>
  <w:num w:numId="10">
    <w:abstractNumId w:val="17"/>
  </w:num>
  <w:num w:numId="11">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14"/>
  </w:num>
  <w:num w:numId="14">
    <w:abstractNumId w:val="3"/>
  </w:num>
  <w:num w:numId="15">
    <w:abstractNumId w:val="5"/>
  </w:num>
  <w:num w:numId="16">
    <w:abstractNumId w:val="7"/>
  </w:num>
  <w:num w:numId="17">
    <w:abstractNumId w:val="8"/>
  </w:num>
  <w:num w:numId="18">
    <w:abstractNumId w:val="0"/>
  </w:num>
  <w:num w:numId="1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rawingGridVerticalSpacing w:val="159"/>
  <w:displayHorizontalDrawingGridEvery w:val="1"/>
  <w:displayVerticalDrawingGridEvery w:val="2"/>
  <w:noPunctuationKerning w:val="1"/>
  <w:characterSpacingControl w:val="doNotCompress"/>
  <w:noLineBreaksAfter w:lang="zh-CN" w:val="([{·‘“〈《「『【〔〖（．［｛￡￥"/>
  <w:noLineBreaksBefore w:lang="zh-CN" w:val="!),.:;?]}¨·ˇˉ―‖’”…∶、。〃々〉》」』】〕〗！＂＇），．：；？］｀｜｝～￠"/>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Y4OGMxNWE5YjdmOTExMTJlZDQyZDdiNzdhMzVhMzAifQ=="/>
  </w:docVars>
  <w:rsids>
    <w:rsidRoot w:val="00172A27"/>
    <w:rsid w:val="00002589"/>
    <w:rsid w:val="000035A2"/>
    <w:rsid w:val="00003DF0"/>
    <w:rsid w:val="000055E6"/>
    <w:rsid w:val="0000564F"/>
    <w:rsid w:val="000060B3"/>
    <w:rsid w:val="000069AE"/>
    <w:rsid w:val="00006FBF"/>
    <w:rsid w:val="00007CD0"/>
    <w:rsid w:val="00010986"/>
    <w:rsid w:val="00014574"/>
    <w:rsid w:val="00014AF0"/>
    <w:rsid w:val="00016298"/>
    <w:rsid w:val="00016C4D"/>
    <w:rsid w:val="0001762C"/>
    <w:rsid w:val="00025B61"/>
    <w:rsid w:val="00031913"/>
    <w:rsid w:val="00034071"/>
    <w:rsid w:val="00034098"/>
    <w:rsid w:val="000343A4"/>
    <w:rsid w:val="00041A3C"/>
    <w:rsid w:val="00042F19"/>
    <w:rsid w:val="00043081"/>
    <w:rsid w:val="0004364B"/>
    <w:rsid w:val="000468DB"/>
    <w:rsid w:val="00050F17"/>
    <w:rsid w:val="00054F1D"/>
    <w:rsid w:val="00057C67"/>
    <w:rsid w:val="00061B1F"/>
    <w:rsid w:val="00061EB2"/>
    <w:rsid w:val="00062CF9"/>
    <w:rsid w:val="000630D7"/>
    <w:rsid w:val="00066831"/>
    <w:rsid w:val="00066DC8"/>
    <w:rsid w:val="00067205"/>
    <w:rsid w:val="00070292"/>
    <w:rsid w:val="000706A2"/>
    <w:rsid w:val="00070C7E"/>
    <w:rsid w:val="00071AB9"/>
    <w:rsid w:val="00071B94"/>
    <w:rsid w:val="000733C4"/>
    <w:rsid w:val="00074783"/>
    <w:rsid w:val="00076D47"/>
    <w:rsid w:val="0008070B"/>
    <w:rsid w:val="000810AC"/>
    <w:rsid w:val="00081A02"/>
    <w:rsid w:val="00082231"/>
    <w:rsid w:val="00082364"/>
    <w:rsid w:val="000835C2"/>
    <w:rsid w:val="000835F4"/>
    <w:rsid w:val="00085022"/>
    <w:rsid w:val="000851C5"/>
    <w:rsid w:val="000901FE"/>
    <w:rsid w:val="000904AF"/>
    <w:rsid w:val="00092834"/>
    <w:rsid w:val="00092D38"/>
    <w:rsid w:val="0009377B"/>
    <w:rsid w:val="00093910"/>
    <w:rsid w:val="000956D2"/>
    <w:rsid w:val="00097967"/>
    <w:rsid w:val="000A03C7"/>
    <w:rsid w:val="000A0848"/>
    <w:rsid w:val="000A1480"/>
    <w:rsid w:val="000A20C9"/>
    <w:rsid w:val="000A265A"/>
    <w:rsid w:val="000A5422"/>
    <w:rsid w:val="000A7A44"/>
    <w:rsid w:val="000A7D45"/>
    <w:rsid w:val="000B058F"/>
    <w:rsid w:val="000B11C2"/>
    <w:rsid w:val="000B1C40"/>
    <w:rsid w:val="000B4467"/>
    <w:rsid w:val="000B4DB9"/>
    <w:rsid w:val="000C0328"/>
    <w:rsid w:val="000C09AC"/>
    <w:rsid w:val="000C1A6F"/>
    <w:rsid w:val="000C31CA"/>
    <w:rsid w:val="000C3482"/>
    <w:rsid w:val="000C3C3C"/>
    <w:rsid w:val="000C3F8C"/>
    <w:rsid w:val="000C6BC9"/>
    <w:rsid w:val="000C767F"/>
    <w:rsid w:val="000C7E7A"/>
    <w:rsid w:val="000D11D6"/>
    <w:rsid w:val="000D2BB3"/>
    <w:rsid w:val="000D4200"/>
    <w:rsid w:val="000D45ED"/>
    <w:rsid w:val="000D5A44"/>
    <w:rsid w:val="000D5F3C"/>
    <w:rsid w:val="000E14CD"/>
    <w:rsid w:val="000E3ED2"/>
    <w:rsid w:val="000E6D10"/>
    <w:rsid w:val="000E7B81"/>
    <w:rsid w:val="000F11D5"/>
    <w:rsid w:val="000F3738"/>
    <w:rsid w:val="000F469A"/>
    <w:rsid w:val="000F51C3"/>
    <w:rsid w:val="000F6572"/>
    <w:rsid w:val="000F79DF"/>
    <w:rsid w:val="00100296"/>
    <w:rsid w:val="00100FDD"/>
    <w:rsid w:val="00104497"/>
    <w:rsid w:val="001045EC"/>
    <w:rsid w:val="00106FC5"/>
    <w:rsid w:val="001079BE"/>
    <w:rsid w:val="00114F6E"/>
    <w:rsid w:val="00120431"/>
    <w:rsid w:val="00121FCD"/>
    <w:rsid w:val="00124362"/>
    <w:rsid w:val="001250FE"/>
    <w:rsid w:val="00125332"/>
    <w:rsid w:val="00126237"/>
    <w:rsid w:val="00127CBE"/>
    <w:rsid w:val="00130F40"/>
    <w:rsid w:val="00131C9E"/>
    <w:rsid w:val="00131F42"/>
    <w:rsid w:val="001357F1"/>
    <w:rsid w:val="00135A3C"/>
    <w:rsid w:val="001364DA"/>
    <w:rsid w:val="00136A6C"/>
    <w:rsid w:val="001378FE"/>
    <w:rsid w:val="00140FA8"/>
    <w:rsid w:val="00141F3F"/>
    <w:rsid w:val="001425EA"/>
    <w:rsid w:val="001428ED"/>
    <w:rsid w:val="00142E31"/>
    <w:rsid w:val="00142FEB"/>
    <w:rsid w:val="00143A2D"/>
    <w:rsid w:val="00144B6D"/>
    <w:rsid w:val="00145A41"/>
    <w:rsid w:val="001506EE"/>
    <w:rsid w:val="00151675"/>
    <w:rsid w:val="00157435"/>
    <w:rsid w:val="001574E9"/>
    <w:rsid w:val="001604C1"/>
    <w:rsid w:val="00162D90"/>
    <w:rsid w:val="001631FB"/>
    <w:rsid w:val="001640CC"/>
    <w:rsid w:val="00165D9A"/>
    <w:rsid w:val="00172A27"/>
    <w:rsid w:val="00174459"/>
    <w:rsid w:val="00174601"/>
    <w:rsid w:val="0017504D"/>
    <w:rsid w:val="00175C54"/>
    <w:rsid w:val="00175DAA"/>
    <w:rsid w:val="0017671A"/>
    <w:rsid w:val="00177422"/>
    <w:rsid w:val="00177DC1"/>
    <w:rsid w:val="00182C14"/>
    <w:rsid w:val="00183A88"/>
    <w:rsid w:val="0018418C"/>
    <w:rsid w:val="00184590"/>
    <w:rsid w:val="00185566"/>
    <w:rsid w:val="001870D1"/>
    <w:rsid w:val="00187190"/>
    <w:rsid w:val="0018781E"/>
    <w:rsid w:val="00192460"/>
    <w:rsid w:val="0019262D"/>
    <w:rsid w:val="00194B39"/>
    <w:rsid w:val="00194C2D"/>
    <w:rsid w:val="00194F0F"/>
    <w:rsid w:val="00195BE8"/>
    <w:rsid w:val="001A004B"/>
    <w:rsid w:val="001A1AAC"/>
    <w:rsid w:val="001A1B35"/>
    <w:rsid w:val="001A3B4D"/>
    <w:rsid w:val="001A4025"/>
    <w:rsid w:val="001A48A2"/>
    <w:rsid w:val="001A6F61"/>
    <w:rsid w:val="001B24B0"/>
    <w:rsid w:val="001B3E5E"/>
    <w:rsid w:val="001B4C8C"/>
    <w:rsid w:val="001B5BBB"/>
    <w:rsid w:val="001B72B8"/>
    <w:rsid w:val="001C0F3C"/>
    <w:rsid w:val="001C1F22"/>
    <w:rsid w:val="001C4E4E"/>
    <w:rsid w:val="001C5C85"/>
    <w:rsid w:val="001C6132"/>
    <w:rsid w:val="001C6772"/>
    <w:rsid w:val="001C69B3"/>
    <w:rsid w:val="001D057D"/>
    <w:rsid w:val="001D0961"/>
    <w:rsid w:val="001D0BCF"/>
    <w:rsid w:val="001D0C2A"/>
    <w:rsid w:val="001D0E1F"/>
    <w:rsid w:val="001D19FE"/>
    <w:rsid w:val="001D3425"/>
    <w:rsid w:val="001D3496"/>
    <w:rsid w:val="001D5595"/>
    <w:rsid w:val="001D5EB1"/>
    <w:rsid w:val="001D7874"/>
    <w:rsid w:val="001D7F22"/>
    <w:rsid w:val="001E100F"/>
    <w:rsid w:val="001E21D6"/>
    <w:rsid w:val="001E3A81"/>
    <w:rsid w:val="001E4929"/>
    <w:rsid w:val="001E4A86"/>
    <w:rsid w:val="001E683C"/>
    <w:rsid w:val="001F0DD6"/>
    <w:rsid w:val="001F0F17"/>
    <w:rsid w:val="001F2DFC"/>
    <w:rsid w:val="001F3347"/>
    <w:rsid w:val="001F5BDC"/>
    <w:rsid w:val="001F69E4"/>
    <w:rsid w:val="00202E1A"/>
    <w:rsid w:val="00204101"/>
    <w:rsid w:val="002101F0"/>
    <w:rsid w:val="002115BA"/>
    <w:rsid w:val="00211DFB"/>
    <w:rsid w:val="002125B4"/>
    <w:rsid w:val="00212C4C"/>
    <w:rsid w:val="002155B8"/>
    <w:rsid w:val="00215DB5"/>
    <w:rsid w:val="0022014A"/>
    <w:rsid w:val="0022094E"/>
    <w:rsid w:val="00220DF1"/>
    <w:rsid w:val="002210E2"/>
    <w:rsid w:val="00221154"/>
    <w:rsid w:val="00224839"/>
    <w:rsid w:val="002249B2"/>
    <w:rsid w:val="00226574"/>
    <w:rsid w:val="0022659E"/>
    <w:rsid w:val="002278D0"/>
    <w:rsid w:val="002278EC"/>
    <w:rsid w:val="00231A41"/>
    <w:rsid w:val="0023280E"/>
    <w:rsid w:val="00233005"/>
    <w:rsid w:val="00233D88"/>
    <w:rsid w:val="002343EC"/>
    <w:rsid w:val="00234D4E"/>
    <w:rsid w:val="002365FF"/>
    <w:rsid w:val="0023726D"/>
    <w:rsid w:val="002377D1"/>
    <w:rsid w:val="00240190"/>
    <w:rsid w:val="0024055C"/>
    <w:rsid w:val="00240B30"/>
    <w:rsid w:val="002467F1"/>
    <w:rsid w:val="002506BC"/>
    <w:rsid w:val="002506E7"/>
    <w:rsid w:val="00252AD3"/>
    <w:rsid w:val="00253CD2"/>
    <w:rsid w:val="00253F2C"/>
    <w:rsid w:val="00254345"/>
    <w:rsid w:val="00255871"/>
    <w:rsid w:val="002603CE"/>
    <w:rsid w:val="00263FAB"/>
    <w:rsid w:val="002642F9"/>
    <w:rsid w:val="00264557"/>
    <w:rsid w:val="00265398"/>
    <w:rsid w:val="00273026"/>
    <w:rsid w:val="0027364A"/>
    <w:rsid w:val="002741F2"/>
    <w:rsid w:val="00274222"/>
    <w:rsid w:val="0027458C"/>
    <w:rsid w:val="002752D0"/>
    <w:rsid w:val="002805AB"/>
    <w:rsid w:val="00282534"/>
    <w:rsid w:val="002831F2"/>
    <w:rsid w:val="00284204"/>
    <w:rsid w:val="00287C49"/>
    <w:rsid w:val="00290561"/>
    <w:rsid w:val="00291773"/>
    <w:rsid w:val="00294441"/>
    <w:rsid w:val="00297BCE"/>
    <w:rsid w:val="002A168C"/>
    <w:rsid w:val="002A1F1C"/>
    <w:rsid w:val="002A3DC7"/>
    <w:rsid w:val="002A4A9E"/>
    <w:rsid w:val="002A57A3"/>
    <w:rsid w:val="002A5F78"/>
    <w:rsid w:val="002A7329"/>
    <w:rsid w:val="002B18BB"/>
    <w:rsid w:val="002B1A80"/>
    <w:rsid w:val="002B3243"/>
    <w:rsid w:val="002B49E2"/>
    <w:rsid w:val="002B7B00"/>
    <w:rsid w:val="002B7C44"/>
    <w:rsid w:val="002B7E77"/>
    <w:rsid w:val="002C1C6E"/>
    <w:rsid w:val="002C2B17"/>
    <w:rsid w:val="002C2FA6"/>
    <w:rsid w:val="002C60B1"/>
    <w:rsid w:val="002C6243"/>
    <w:rsid w:val="002D3D85"/>
    <w:rsid w:val="002D3DD0"/>
    <w:rsid w:val="002D6881"/>
    <w:rsid w:val="002D7DB7"/>
    <w:rsid w:val="002E0A7F"/>
    <w:rsid w:val="002E0B3B"/>
    <w:rsid w:val="002E15EF"/>
    <w:rsid w:val="002E1EA6"/>
    <w:rsid w:val="002E1F3A"/>
    <w:rsid w:val="002E25EF"/>
    <w:rsid w:val="002E298A"/>
    <w:rsid w:val="002E375C"/>
    <w:rsid w:val="002E3A0E"/>
    <w:rsid w:val="002E3D82"/>
    <w:rsid w:val="002F0FAE"/>
    <w:rsid w:val="002F2912"/>
    <w:rsid w:val="002F3517"/>
    <w:rsid w:val="002F6387"/>
    <w:rsid w:val="002F6D50"/>
    <w:rsid w:val="00301978"/>
    <w:rsid w:val="00301F1F"/>
    <w:rsid w:val="00302DDF"/>
    <w:rsid w:val="00302E31"/>
    <w:rsid w:val="0030332C"/>
    <w:rsid w:val="00303736"/>
    <w:rsid w:val="00304FD9"/>
    <w:rsid w:val="003051C2"/>
    <w:rsid w:val="00305467"/>
    <w:rsid w:val="00306F6C"/>
    <w:rsid w:val="00307CFA"/>
    <w:rsid w:val="00310218"/>
    <w:rsid w:val="00312296"/>
    <w:rsid w:val="00312891"/>
    <w:rsid w:val="00314D3B"/>
    <w:rsid w:val="00314F0E"/>
    <w:rsid w:val="003155D0"/>
    <w:rsid w:val="00316929"/>
    <w:rsid w:val="00316B2F"/>
    <w:rsid w:val="0032008D"/>
    <w:rsid w:val="0032058C"/>
    <w:rsid w:val="003211E1"/>
    <w:rsid w:val="00321D8E"/>
    <w:rsid w:val="00325928"/>
    <w:rsid w:val="00325DE0"/>
    <w:rsid w:val="003319DE"/>
    <w:rsid w:val="00332863"/>
    <w:rsid w:val="003349D0"/>
    <w:rsid w:val="003352FE"/>
    <w:rsid w:val="0033684D"/>
    <w:rsid w:val="00337B42"/>
    <w:rsid w:val="00340096"/>
    <w:rsid w:val="00341B42"/>
    <w:rsid w:val="0034348F"/>
    <w:rsid w:val="00343E4C"/>
    <w:rsid w:val="003461E0"/>
    <w:rsid w:val="00347CA0"/>
    <w:rsid w:val="00354CEE"/>
    <w:rsid w:val="003563AE"/>
    <w:rsid w:val="00356653"/>
    <w:rsid w:val="00356958"/>
    <w:rsid w:val="0035743F"/>
    <w:rsid w:val="00357BE2"/>
    <w:rsid w:val="0036170C"/>
    <w:rsid w:val="00361D0A"/>
    <w:rsid w:val="00363E54"/>
    <w:rsid w:val="0036585E"/>
    <w:rsid w:val="00366E0F"/>
    <w:rsid w:val="00366E75"/>
    <w:rsid w:val="00366F1E"/>
    <w:rsid w:val="00367B2E"/>
    <w:rsid w:val="003762AD"/>
    <w:rsid w:val="00377510"/>
    <w:rsid w:val="003813A8"/>
    <w:rsid w:val="00381A72"/>
    <w:rsid w:val="00381AD3"/>
    <w:rsid w:val="0038205F"/>
    <w:rsid w:val="0038258E"/>
    <w:rsid w:val="0038392B"/>
    <w:rsid w:val="00384676"/>
    <w:rsid w:val="00390857"/>
    <w:rsid w:val="00392BCE"/>
    <w:rsid w:val="00392D24"/>
    <w:rsid w:val="0039337C"/>
    <w:rsid w:val="003953C9"/>
    <w:rsid w:val="00395E15"/>
    <w:rsid w:val="00397890"/>
    <w:rsid w:val="003A0F1D"/>
    <w:rsid w:val="003A1F83"/>
    <w:rsid w:val="003A46AE"/>
    <w:rsid w:val="003A4BF3"/>
    <w:rsid w:val="003A5905"/>
    <w:rsid w:val="003B1812"/>
    <w:rsid w:val="003B420D"/>
    <w:rsid w:val="003B5253"/>
    <w:rsid w:val="003B53F8"/>
    <w:rsid w:val="003B5571"/>
    <w:rsid w:val="003B7AE8"/>
    <w:rsid w:val="003B7E62"/>
    <w:rsid w:val="003C0F5A"/>
    <w:rsid w:val="003C1A77"/>
    <w:rsid w:val="003C475F"/>
    <w:rsid w:val="003C4A38"/>
    <w:rsid w:val="003C51D2"/>
    <w:rsid w:val="003C6A9B"/>
    <w:rsid w:val="003C6C16"/>
    <w:rsid w:val="003D113D"/>
    <w:rsid w:val="003D2656"/>
    <w:rsid w:val="003D3D2D"/>
    <w:rsid w:val="003D4562"/>
    <w:rsid w:val="003D4935"/>
    <w:rsid w:val="003D5B07"/>
    <w:rsid w:val="003D5E0E"/>
    <w:rsid w:val="003D66CB"/>
    <w:rsid w:val="003D6FDA"/>
    <w:rsid w:val="003D794D"/>
    <w:rsid w:val="003D7FB3"/>
    <w:rsid w:val="003E0446"/>
    <w:rsid w:val="003E2630"/>
    <w:rsid w:val="003E2FAB"/>
    <w:rsid w:val="003E3058"/>
    <w:rsid w:val="003E4B7C"/>
    <w:rsid w:val="003E550C"/>
    <w:rsid w:val="003E65D7"/>
    <w:rsid w:val="003E76A9"/>
    <w:rsid w:val="003E7777"/>
    <w:rsid w:val="003F0809"/>
    <w:rsid w:val="003F14DD"/>
    <w:rsid w:val="003F2259"/>
    <w:rsid w:val="003F33DD"/>
    <w:rsid w:val="003F36BE"/>
    <w:rsid w:val="003F448B"/>
    <w:rsid w:val="003F4501"/>
    <w:rsid w:val="003F6A8C"/>
    <w:rsid w:val="003F755C"/>
    <w:rsid w:val="003F778D"/>
    <w:rsid w:val="003F7D25"/>
    <w:rsid w:val="00406F01"/>
    <w:rsid w:val="00407B0F"/>
    <w:rsid w:val="00412C5D"/>
    <w:rsid w:val="00413436"/>
    <w:rsid w:val="00414248"/>
    <w:rsid w:val="00414830"/>
    <w:rsid w:val="004148E2"/>
    <w:rsid w:val="00415604"/>
    <w:rsid w:val="0041619A"/>
    <w:rsid w:val="00416D50"/>
    <w:rsid w:val="00416FD5"/>
    <w:rsid w:val="00417772"/>
    <w:rsid w:val="00420E6A"/>
    <w:rsid w:val="004219F9"/>
    <w:rsid w:val="00425A9E"/>
    <w:rsid w:val="00426D6B"/>
    <w:rsid w:val="0043115C"/>
    <w:rsid w:val="004316E8"/>
    <w:rsid w:val="00431E6C"/>
    <w:rsid w:val="004322BD"/>
    <w:rsid w:val="00432B5C"/>
    <w:rsid w:val="00432B6B"/>
    <w:rsid w:val="00433C4E"/>
    <w:rsid w:val="00433CE7"/>
    <w:rsid w:val="00435175"/>
    <w:rsid w:val="004378E5"/>
    <w:rsid w:val="00440AEE"/>
    <w:rsid w:val="00441404"/>
    <w:rsid w:val="00442F41"/>
    <w:rsid w:val="00444228"/>
    <w:rsid w:val="00444240"/>
    <w:rsid w:val="004442BD"/>
    <w:rsid w:val="004507D6"/>
    <w:rsid w:val="004524CB"/>
    <w:rsid w:val="00452738"/>
    <w:rsid w:val="00456091"/>
    <w:rsid w:val="0046004D"/>
    <w:rsid w:val="00464594"/>
    <w:rsid w:val="00466321"/>
    <w:rsid w:val="0046679F"/>
    <w:rsid w:val="00467CBE"/>
    <w:rsid w:val="00470236"/>
    <w:rsid w:val="00471180"/>
    <w:rsid w:val="004723A7"/>
    <w:rsid w:val="004741DA"/>
    <w:rsid w:val="0047773D"/>
    <w:rsid w:val="00477BC3"/>
    <w:rsid w:val="004807C7"/>
    <w:rsid w:val="0048230B"/>
    <w:rsid w:val="0048259B"/>
    <w:rsid w:val="00484B9B"/>
    <w:rsid w:val="004855F6"/>
    <w:rsid w:val="0048661E"/>
    <w:rsid w:val="0048770F"/>
    <w:rsid w:val="0049000E"/>
    <w:rsid w:val="00492DA2"/>
    <w:rsid w:val="00493262"/>
    <w:rsid w:val="00494670"/>
    <w:rsid w:val="00495457"/>
    <w:rsid w:val="00495D23"/>
    <w:rsid w:val="004A1BCC"/>
    <w:rsid w:val="004A2AAC"/>
    <w:rsid w:val="004A3823"/>
    <w:rsid w:val="004A4B89"/>
    <w:rsid w:val="004A6D4F"/>
    <w:rsid w:val="004A7152"/>
    <w:rsid w:val="004A72DE"/>
    <w:rsid w:val="004B2A5A"/>
    <w:rsid w:val="004B62B7"/>
    <w:rsid w:val="004C5910"/>
    <w:rsid w:val="004C59EE"/>
    <w:rsid w:val="004C5CA4"/>
    <w:rsid w:val="004C7902"/>
    <w:rsid w:val="004D118B"/>
    <w:rsid w:val="004D2A10"/>
    <w:rsid w:val="004E08A6"/>
    <w:rsid w:val="004E1971"/>
    <w:rsid w:val="004E23AC"/>
    <w:rsid w:val="004E2A69"/>
    <w:rsid w:val="004E55B5"/>
    <w:rsid w:val="004E63C9"/>
    <w:rsid w:val="004E6946"/>
    <w:rsid w:val="004F1AD8"/>
    <w:rsid w:val="004F2BC0"/>
    <w:rsid w:val="004F39A7"/>
    <w:rsid w:val="004F615A"/>
    <w:rsid w:val="004F6BDC"/>
    <w:rsid w:val="005000A4"/>
    <w:rsid w:val="005000E3"/>
    <w:rsid w:val="00500552"/>
    <w:rsid w:val="005039CB"/>
    <w:rsid w:val="00503BB2"/>
    <w:rsid w:val="0050558F"/>
    <w:rsid w:val="005058C3"/>
    <w:rsid w:val="00505C0F"/>
    <w:rsid w:val="00506286"/>
    <w:rsid w:val="00506FE3"/>
    <w:rsid w:val="00507F3A"/>
    <w:rsid w:val="00510488"/>
    <w:rsid w:val="00510813"/>
    <w:rsid w:val="00510B08"/>
    <w:rsid w:val="00510F86"/>
    <w:rsid w:val="00511184"/>
    <w:rsid w:val="005116DD"/>
    <w:rsid w:val="00511803"/>
    <w:rsid w:val="00511990"/>
    <w:rsid w:val="00511DE0"/>
    <w:rsid w:val="00512EA4"/>
    <w:rsid w:val="0051457C"/>
    <w:rsid w:val="00514870"/>
    <w:rsid w:val="00514B9B"/>
    <w:rsid w:val="005176AF"/>
    <w:rsid w:val="0051777A"/>
    <w:rsid w:val="00517F02"/>
    <w:rsid w:val="00520292"/>
    <w:rsid w:val="00524303"/>
    <w:rsid w:val="005258A2"/>
    <w:rsid w:val="0053194B"/>
    <w:rsid w:val="00536B9E"/>
    <w:rsid w:val="00537EA3"/>
    <w:rsid w:val="005400F1"/>
    <w:rsid w:val="005401AE"/>
    <w:rsid w:val="00541332"/>
    <w:rsid w:val="00542E07"/>
    <w:rsid w:val="00545424"/>
    <w:rsid w:val="00551A38"/>
    <w:rsid w:val="00554A7B"/>
    <w:rsid w:val="0055572C"/>
    <w:rsid w:val="005573CB"/>
    <w:rsid w:val="0056106A"/>
    <w:rsid w:val="00561550"/>
    <w:rsid w:val="005620FB"/>
    <w:rsid w:val="0056378B"/>
    <w:rsid w:val="005656C6"/>
    <w:rsid w:val="00566D35"/>
    <w:rsid w:val="005720AE"/>
    <w:rsid w:val="005725E7"/>
    <w:rsid w:val="00576DBA"/>
    <w:rsid w:val="00582585"/>
    <w:rsid w:val="00582C01"/>
    <w:rsid w:val="005843A0"/>
    <w:rsid w:val="00593A2B"/>
    <w:rsid w:val="00594D77"/>
    <w:rsid w:val="00594E42"/>
    <w:rsid w:val="005969E4"/>
    <w:rsid w:val="005A06B7"/>
    <w:rsid w:val="005A0E3F"/>
    <w:rsid w:val="005A1759"/>
    <w:rsid w:val="005A2574"/>
    <w:rsid w:val="005A68A7"/>
    <w:rsid w:val="005A71AD"/>
    <w:rsid w:val="005A7A21"/>
    <w:rsid w:val="005B2817"/>
    <w:rsid w:val="005B51D3"/>
    <w:rsid w:val="005B574A"/>
    <w:rsid w:val="005B5B1A"/>
    <w:rsid w:val="005B5CF7"/>
    <w:rsid w:val="005B6BDD"/>
    <w:rsid w:val="005C1454"/>
    <w:rsid w:val="005C1D96"/>
    <w:rsid w:val="005C2848"/>
    <w:rsid w:val="005C75EB"/>
    <w:rsid w:val="005D2EDE"/>
    <w:rsid w:val="005D2F06"/>
    <w:rsid w:val="005D36AB"/>
    <w:rsid w:val="005D6CFE"/>
    <w:rsid w:val="005D77E3"/>
    <w:rsid w:val="005E1A34"/>
    <w:rsid w:val="005E1F69"/>
    <w:rsid w:val="005E27D7"/>
    <w:rsid w:val="005E29B5"/>
    <w:rsid w:val="005E39F6"/>
    <w:rsid w:val="005E55A8"/>
    <w:rsid w:val="005F312C"/>
    <w:rsid w:val="005F44BA"/>
    <w:rsid w:val="005F5AFB"/>
    <w:rsid w:val="006021A6"/>
    <w:rsid w:val="00602368"/>
    <w:rsid w:val="00604025"/>
    <w:rsid w:val="00605FA6"/>
    <w:rsid w:val="006100E8"/>
    <w:rsid w:val="00612192"/>
    <w:rsid w:val="00614897"/>
    <w:rsid w:val="00617CC3"/>
    <w:rsid w:val="00625240"/>
    <w:rsid w:val="00625A17"/>
    <w:rsid w:val="00626631"/>
    <w:rsid w:val="00626FBE"/>
    <w:rsid w:val="00627A70"/>
    <w:rsid w:val="00631FAF"/>
    <w:rsid w:val="00632AA2"/>
    <w:rsid w:val="00634D7B"/>
    <w:rsid w:val="006377A6"/>
    <w:rsid w:val="00637A3D"/>
    <w:rsid w:val="00637AB4"/>
    <w:rsid w:val="006411EF"/>
    <w:rsid w:val="00646778"/>
    <w:rsid w:val="00651E53"/>
    <w:rsid w:val="00653CC9"/>
    <w:rsid w:val="006544CA"/>
    <w:rsid w:val="00656BD3"/>
    <w:rsid w:val="00656EFC"/>
    <w:rsid w:val="00661B18"/>
    <w:rsid w:val="00663822"/>
    <w:rsid w:val="00664039"/>
    <w:rsid w:val="00664DE7"/>
    <w:rsid w:val="006651B9"/>
    <w:rsid w:val="00665795"/>
    <w:rsid w:val="0066793E"/>
    <w:rsid w:val="006726F8"/>
    <w:rsid w:val="00672826"/>
    <w:rsid w:val="00673DE2"/>
    <w:rsid w:val="006748B8"/>
    <w:rsid w:val="00674B9E"/>
    <w:rsid w:val="0067512F"/>
    <w:rsid w:val="00676052"/>
    <w:rsid w:val="0067757F"/>
    <w:rsid w:val="006775C3"/>
    <w:rsid w:val="00680742"/>
    <w:rsid w:val="00684078"/>
    <w:rsid w:val="00684A51"/>
    <w:rsid w:val="00684AD4"/>
    <w:rsid w:val="006862E4"/>
    <w:rsid w:val="006872DE"/>
    <w:rsid w:val="00687B7A"/>
    <w:rsid w:val="006902F2"/>
    <w:rsid w:val="00692356"/>
    <w:rsid w:val="006927A1"/>
    <w:rsid w:val="0069290A"/>
    <w:rsid w:val="006969BB"/>
    <w:rsid w:val="0069775A"/>
    <w:rsid w:val="00697813"/>
    <w:rsid w:val="00697926"/>
    <w:rsid w:val="006A06F8"/>
    <w:rsid w:val="006A1D9B"/>
    <w:rsid w:val="006A3EE8"/>
    <w:rsid w:val="006A438D"/>
    <w:rsid w:val="006A72BF"/>
    <w:rsid w:val="006B03F2"/>
    <w:rsid w:val="006B1213"/>
    <w:rsid w:val="006B24FF"/>
    <w:rsid w:val="006B37DC"/>
    <w:rsid w:val="006B4F68"/>
    <w:rsid w:val="006B6AC1"/>
    <w:rsid w:val="006B7113"/>
    <w:rsid w:val="006C0592"/>
    <w:rsid w:val="006C0813"/>
    <w:rsid w:val="006C21B6"/>
    <w:rsid w:val="006C272E"/>
    <w:rsid w:val="006C5479"/>
    <w:rsid w:val="006D13B5"/>
    <w:rsid w:val="006D1D54"/>
    <w:rsid w:val="006D5A27"/>
    <w:rsid w:val="006E12FF"/>
    <w:rsid w:val="006E196C"/>
    <w:rsid w:val="006E42C0"/>
    <w:rsid w:val="006E607E"/>
    <w:rsid w:val="006E690A"/>
    <w:rsid w:val="006F1AC8"/>
    <w:rsid w:val="006F6E68"/>
    <w:rsid w:val="006F7B83"/>
    <w:rsid w:val="006F7E41"/>
    <w:rsid w:val="007008C8"/>
    <w:rsid w:val="00700E55"/>
    <w:rsid w:val="00701372"/>
    <w:rsid w:val="00701C47"/>
    <w:rsid w:val="00703DC3"/>
    <w:rsid w:val="00703E1A"/>
    <w:rsid w:val="00704D5E"/>
    <w:rsid w:val="00705C29"/>
    <w:rsid w:val="00705D7F"/>
    <w:rsid w:val="00706C5D"/>
    <w:rsid w:val="007119ED"/>
    <w:rsid w:val="00724A82"/>
    <w:rsid w:val="0072630F"/>
    <w:rsid w:val="00726BBF"/>
    <w:rsid w:val="00732922"/>
    <w:rsid w:val="00732F99"/>
    <w:rsid w:val="0073383D"/>
    <w:rsid w:val="0073704F"/>
    <w:rsid w:val="00740B6A"/>
    <w:rsid w:val="007427F9"/>
    <w:rsid w:val="00744178"/>
    <w:rsid w:val="007462A3"/>
    <w:rsid w:val="00746357"/>
    <w:rsid w:val="00746F1F"/>
    <w:rsid w:val="00750651"/>
    <w:rsid w:val="0075154C"/>
    <w:rsid w:val="0075162E"/>
    <w:rsid w:val="00752005"/>
    <w:rsid w:val="00753494"/>
    <w:rsid w:val="00754034"/>
    <w:rsid w:val="00754DCC"/>
    <w:rsid w:val="00756556"/>
    <w:rsid w:val="007577DE"/>
    <w:rsid w:val="00760D26"/>
    <w:rsid w:val="007618C4"/>
    <w:rsid w:val="007652E6"/>
    <w:rsid w:val="00766C94"/>
    <w:rsid w:val="00767750"/>
    <w:rsid w:val="00767980"/>
    <w:rsid w:val="00770B19"/>
    <w:rsid w:val="00770DF0"/>
    <w:rsid w:val="007734A6"/>
    <w:rsid w:val="0077463F"/>
    <w:rsid w:val="007751FA"/>
    <w:rsid w:val="00775565"/>
    <w:rsid w:val="007769DA"/>
    <w:rsid w:val="007806A7"/>
    <w:rsid w:val="00780A0F"/>
    <w:rsid w:val="00781982"/>
    <w:rsid w:val="007836EA"/>
    <w:rsid w:val="00783A69"/>
    <w:rsid w:val="00784CDA"/>
    <w:rsid w:val="007871E0"/>
    <w:rsid w:val="007906C4"/>
    <w:rsid w:val="00791A43"/>
    <w:rsid w:val="00791C86"/>
    <w:rsid w:val="007940EA"/>
    <w:rsid w:val="0079431D"/>
    <w:rsid w:val="007967E8"/>
    <w:rsid w:val="00797A0D"/>
    <w:rsid w:val="007A1EB0"/>
    <w:rsid w:val="007A2170"/>
    <w:rsid w:val="007A22BF"/>
    <w:rsid w:val="007A3323"/>
    <w:rsid w:val="007A40F6"/>
    <w:rsid w:val="007B07DF"/>
    <w:rsid w:val="007B093F"/>
    <w:rsid w:val="007B2E79"/>
    <w:rsid w:val="007B31ED"/>
    <w:rsid w:val="007B43DB"/>
    <w:rsid w:val="007B528A"/>
    <w:rsid w:val="007B72B8"/>
    <w:rsid w:val="007B7A58"/>
    <w:rsid w:val="007C21B5"/>
    <w:rsid w:val="007C2D4F"/>
    <w:rsid w:val="007D2316"/>
    <w:rsid w:val="007D67FA"/>
    <w:rsid w:val="007E243D"/>
    <w:rsid w:val="007E31FF"/>
    <w:rsid w:val="007E3EE2"/>
    <w:rsid w:val="007E3FC6"/>
    <w:rsid w:val="007E4BD2"/>
    <w:rsid w:val="007E522C"/>
    <w:rsid w:val="007F1CDF"/>
    <w:rsid w:val="007F5919"/>
    <w:rsid w:val="007F5F20"/>
    <w:rsid w:val="007F7DB4"/>
    <w:rsid w:val="00801393"/>
    <w:rsid w:val="00802B03"/>
    <w:rsid w:val="00802F88"/>
    <w:rsid w:val="00803139"/>
    <w:rsid w:val="00803CB9"/>
    <w:rsid w:val="0081203E"/>
    <w:rsid w:val="0081293E"/>
    <w:rsid w:val="0081357C"/>
    <w:rsid w:val="00815465"/>
    <w:rsid w:val="00815DD8"/>
    <w:rsid w:val="00817E9A"/>
    <w:rsid w:val="00823053"/>
    <w:rsid w:val="00824DA0"/>
    <w:rsid w:val="0082778F"/>
    <w:rsid w:val="008278AC"/>
    <w:rsid w:val="008306BD"/>
    <w:rsid w:val="00831A80"/>
    <w:rsid w:val="00831D99"/>
    <w:rsid w:val="00833743"/>
    <w:rsid w:val="008340A4"/>
    <w:rsid w:val="00841137"/>
    <w:rsid w:val="00841994"/>
    <w:rsid w:val="00844864"/>
    <w:rsid w:val="00847158"/>
    <w:rsid w:val="008475A9"/>
    <w:rsid w:val="0084798A"/>
    <w:rsid w:val="00850518"/>
    <w:rsid w:val="008519B6"/>
    <w:rsid w:val="00851E59"/>
    <w:rsid w:val="00852065"/>
    <w:rsid w:val="0085240B"/>
    <w:rsid w:val="00853A06"/>
    <w:rsid w:val="00855E23"/>
    <w:rsid w:val="00856799"/>
    <w:rsid w:val="00857337"/>
    <w:rsid w:val="00862301"/>
    <w:rsid w:val="00866396"/>
    <w:rsid w:val="00866506"/>
    <w:rsid w:val="00870174"/>
    <w:rsid w:val="00870883"/>
    <w:rsid w:val="0087135F"/>
    <w:rsid w:val="00872D94"/>
    <w:rsid w:val="00873988"/>
    <w:rsid w:val="00873B38"/>
    <w:rsid w:val="00873E43"/>
    <w:rsid w:val="00876944"/>
    <w:rsid w:val="00877E36"/>
    <w:rsid w:val="00877ED7"/>
    <w:rsid w:val="00880364"/>
    <w:rsid w:val="00884567"/>
    <w:rsid w:val="008858C2"/>
    <w:rsid w:val="00885AD0"/>
    <w:rsid w:val="00886B9B"/>
    <w:rsid w:val="00887462"/>
    <w:rsid w:val="00891592"/>
    <w:rsid w:val="00891E9E"/>
    <w:rsid w:val="0089547D"/>
    <w:rsid w:val="00897735"/>
    <w:rsid w:val="008A2F68"/>
    <w:rsid w:val="008A3947"/>
    <w:rsid w:val="008A573F"/>
    <w:rsid w:val="008A589B"/>
    <w:rsid w:val="008A5DDB"/>
    <w:rsid w:val="008A7A44"/>
    <w:rsid w:val="008B24E5"/>
    <w:rsid w:val="008B4E2D"/>
    <w:rsid w:val="008B4FA6"/>
    <w:rsid w:val="008B5282"/>
    <w:rsid w:val="008B5C94"/>
    <w:rsid w:val="008B63AA"/>
    <w:rsid w:val="008B6646"/>
    <w:rsid w:val="008B7290"/>
    <w:rsid w:val="008B72A6"/>
    <w:rsid w:val="008B787A"/>
    <w:rsid w:val="008B7C17"/>
    <w:rsid w:val="008C2D01"/>
    <w:rsid w:val="008C40E6"/>
    <w:rsid w:val="008D0302"/>
    <w:rsid w:val="008D038C"/>
    <w:rsid w:val="008D03E6"/>
    <w:rsid w:val="008D0A6C"/>
    <w:rsid w:val="008D0F7A"/>
    <w:rsid w:val="008D25EB"/>
    <w:rsid w:val="008D3C06"/>
    <w:rsid w:val="008D52D9"/>
    <w:rsid w:val="008D68E4"/>
    <w:rsid w:val="008D6FC1"/>
    <w:rsid w:val="008D72F1"/>
    <w:rsid w:val="008E0506"/>
    <w:rsid w:val="008E0B50"/>
    <w:rsid w:val="008E0CFF"/>
    <w:rsid w:val="008E1774"/>
    <w:rsid w:val="008E2BC9"/>
    <w:rsid w:val="008E389A"/>
    <w:rsid w:val="008E4E49"/>
    <w:rsid w:val="008E5D6B"/>
    <w:rsid w:val="008E641C"/>
    <w:rsid w:val="008E643D"/>
    <w:rsid w:val="008E6BA1"/>
    <w:rsid w:val="008E76F0"/>
    <w:rsid w:val="008E7E95"/>
    <w:rsid w:val="008F15FE"/>
    <w:rsid w:val="008F2144"/>
    <w:rsid w:val="008F2D29"/>
    <w:rsid w:val="008F35C2"/>
    <w:rsid w:val="008F37F9"/>
    <w:rsid w:val="008F4649"/>
    <w:rsid w:val="008F5187"/>
    <w:rsid w:val="008F60D8"/>
    <w:rsid w:val="008F6CCE"/>
    <w:rsid w:val="008F7B73"/>
    <w:rsid w:val="009002DB"/>
    <w:rsid w:val="00902727"/>
    <w:rsid w:val="00903050"/>
    <w:rsid w:val="0090312B"/>
    <w:rsid w:val="00903C44"/>
    <w:rsid w:val="00904232"/>
    <w:rsid w:val="00910736"/>
    <w:rsid w:val="00915748"/>
    <w:rsid w:val="0091736D"/>
    <w:rsid w:val="009212DF"/>
    <w:rsid w:val="009218A3"/>
    <w:rsid w:val="00925C07"/>
    <w:rsid w:val="0093037A"/>
    <w:rsid w:val="009317D9"/>
    <w:rsid w:val="00932239"/>
    <w:rsid w:val="00941400"/>
    <w:rsid w:val="0094154D"/>
    <w:rsid w:val="0094186B"/>
    <w:rsid w:val="00943111"/>
    <w:rsid w:val="009438FB"/>
    <w:rsid w:val="0095155F"/>
    <w:rsid w:val="009521B9"/>
    <w:rsid w:val="00953C5C"/>
    <w:rsid w:val="00954429"/>
    <w:rsid w:val="00955321"/>
    <w:rsid w:val="009555DD"/>
    <w:rsid w:val="009562FF"/>
    <w:rsid w:val="009563CE"/>
    <w:rsid w:val="00956A52"/>
    <w:rsid w:val="00962796"/>
    <w:rsid w:val="009651F4"/>
    <w:rsid w:val="00966969"/>
    <w:rsid w:val="00972646"/>
    <w:rsid w:val="0097577F"/>
    <w:rsid w:val="00975E46"/>
    <w:rsid w:val="00976045"/>
    <w:rsid w:val="00976328"/>
    <w:rsid w:val="009763B2"/>
    <w:rsid w:val="009767CA"/>
    <w:rsid w:val="0097680D"/>
    <w:rsid w:val="009808FC"/>
    <w:rsid w:val="00980C3F"/>
    <w:rsid w:val="00980DF8"/>
    <w:rsid w:val="009813BA"/>
    <w:rsid w:val="00981A0E"/>
    <w:rsid w:val="00981D4C"/>
    <w:rsid w:val="00982438"/>
    <w:rsid w:val="00982E89"/>
    <w:rsid w:val="0098404C"/>
    <w:rsid w:val="009846E6"/>
    <w:rsid w:val="00985283"/>
    <w:rsid w:val="00985548"/>
    <w:rsid w:val="00985767"/>
    <w:rsid w:val="00986438"/>
    <w:rsid w:val="00987073"/>
    <w:rsid w:val="00987458"/>
    <w:rsid w:val="00987E22"/>
    <w:rsid w:val="00990634"/>
    <w:rsid w:val="00991E43"/>
    <w:rsid w:val="00995992"/>
    <w:rsid w:val="009966F7"/>
    <w:rsid w:val="009A03E5"/>
    <w:rsid w:val="009A0F3B"/>
    <w:rsid w:val="009A1BB4"/>
    <w:rsid w:val="009A2628"/>
    <w:rsid w:val="009A3200"/>
    <w:rsid w:val="009A4930"/>
    <w:rsid w:val="009A618E"/>
    <w:rsid w:val="009B04B9"/>
    <w:rsid w:val="009B0897"/>
    <w:rsid w:val="009B0CEC"/>
    <w:rsid w:val="009B42A7"/>
    <w:rsid w:val="009B4B6E"/>
    <w:rsid w:val="009B7571"/>
    <w:rsid w:val="009B7BD9"/>
    <w:rsid w:val="009C180A"/>
    <w:rsid w:val="009C196D"/>
    <w:rsid w:val="009C27DC"/>
    <w:rsid w:val="009C2F3C"/>
    <w:rsid w:val="009C5784"/>
    <w:rsid w:val="009C6BE7"/>
    <w:rsid w:val="009C7B29"/>
    <w:rsid w:val="009C7DD5"/>
    <w:rsid w:val="009D3368"/>
    <w:rsid w:val="009D5A1C"/>
    <w:rsid w:val="009D63DA"/>
    <w:rsid w:val="009D69FB"/>
    <w:rsid w:val="009E0587"/>
    <w:rsid w:val="009E0651"/>
    <w:rsid w:val="009E0850"/>
    <w:rsid w:val="009E08D7"/>
    <w:rsid w:val="009E227D"/>
    <w:rsid w:val="009E39AD"/>
    <w:rsid w:val="009E43A3"/>
    <w:rsid w:val="009E5019"/>
    <w:rsid w:val="009E55AB"/>
    <w:rsid w:val="009F0442"/>
    <w:rsid w:val="009F0AF6"/>
    <w:rsid w:val="009F43CE"/>
    <w:rsid w:val="009F4EC9"/>
    <w:rsid w:val="009F4EFF"/>
    <w:rsid w:val="009F5151"/>
    <w:rsid w:val="00A0044F"/>
    <w:rsid w:val="00A00F81"/>
    <w:rsid w:val="00A04F1B"/>
    <w:rsid w:val="00A0501B"/>
    <w:rsid w:val="00A11633"/>
    <w:rsid w:val="00A13132"/>
    <w:rsid w:val="00A14947"/>
    <w:rsid w:val="00A17461"/>
    <w:rsid w:val="00A22340"/>
    <w:rsid w:val="00A2259C"/>
    <w:rsid w:val="00A24335"/>
    <w:rsid w:val="00A247FC"/>
    <w:rsid w:val="00A2542C"/>
    <w:rsid w:val="00A26E42"/>
    <w:rsid w:val="00A2719A"/>
    <w:rsid w:val="00A30BAD"/>
    <w:rsid w:val="00A31151"/>
    <w:rsid w:val="00A32A83"/>
    <w:rsid w:val="00A3457F"/>
    <w:rsid w:val="00A368DB"/>
    <w:rsid w:val="00A423AA"/>
    <w:rsid w:val="00A46FA6"/>
    <w:rsid w:val="00A47645"/>
    <w:rsid w:val="00A52358"/>
    <w:rsid w:val="00A53B63"/>
    <w:rsid w:val="00A53EC3"/>
    <w:rsid w:val="00A53EC6"/>
    <w:rsid w:val="00A54DA5"/>
    <w:rsid w:val="00A55C0F"/>
    <w:rsid w:val="00A568C5"/>
    <w:rsid w:val="00A615B2"/>
    <w:rsid w:val="00A645D5"/>
    <w:rsid w:val="00A66C7C"/>
    <w:rsid w:val="00A67B61"/>
    <w:rsid w:val="00A7207F"/>
    <w:rsid w:val="00A72565"/>
    <w:rsid w:val="00A839BB"/>
    <w:rsid w:val="00A8713F"/>
    <w:rsid w:val="00A87AC1"/>
    <w:rsid w:val="00A90805"/>
    <w:rsid w:val="00A90BA1"/>
    <w:rsid w:val="00A92CD7"/>
    <w:rsid w:val="00A92CEB"/>
    <w:rsid w:val="00A93BCC"/>
    <w:rsid w:val="00A97A9A"/>
    <w:rsid w:val="00AA0671"/>
    <w:rsid w:val="00AA0B0C"/>
    <w:rsid w:val="00AA20BB"/>
    <w:rsid w:val="00AA2531"/>
    <w:rsid w:val="00AA3214"/>
    <w:rsid w:val="00AA4782"/>
    <w:rsid w:val="00AA57AE"/>
    <w:rsid w:val="00AA5DCC"/>
    <w:rsid w:val="00AA7347"/>
    <w:rsid w:val="00AA75F1"/>
    <w:rsid w:val="00AB045C"/>
    <w:rsid w:val="00AB1E09"/>
    <w:rsid w:val="00AB1F80"/>
    <w:rsid w:val="00AB28C7"/>
    <w:rsid w:val="00AB454D"/>
    <w:rsid w:val="00AB49D8"/>
    <w:rsid w:val="00AB5330"/>
    <w:rsid w:val="00AB6EBD"/>
    <w:rsid w:val="00AB7747"/>
    <w:rsid w:val="00AC14CE"/>
    <w:rsid w:val="00AC182E"/>
    <w:rsid w:val="00AC2A56"/>
    <w:rsid w:val="00AC390C"/>
    <w:rsid w:val="00AC6B0C"/>
    <w:rsid w:val="00AC6EE1"/>
    <w:rsid w:val="00AC7196"/>
    <w:rsid w:val="00AC791F"/>
    <w:rsid w:val="00AC7CF7"/>
    <w:rsid w:val="00AD0511"/>
    <w:rsid w:val="00AD055E"/>
    <w:rsid w:val="00AD28B2"/>
    <w:rsid w:val="00AD4469"/>
    <w:rsid w:val="00AD47A7"/>
    <w:rsid w:val="00AD47AC"/>
    <w:rsid w:val="00AE24FA"/>
    <w:rsid w:val="00AE2F2D"/>
    <w:rsid w:val="00AE3194"/>
    <w:rsid w:val="00AE3D5E"/>
    <w:rsid w:val="00AE3E37"/>
    <w:rsid w:val="00AE3F62"/>
    <w:rsid w:val="00AE44F9"/>
    <w:rsid w:val="00AE4604"/>
    <w:rsid w:val="00AE6C02"/>
    <w:rsid w:val="00AE7859"/>
    <w:rsid w:val="00AF0BCB"/>
    <w:rsid w:val="00AF0CBF"/>
    <w:rsid w:val="00AF257F"/>
    <w:rsid w:val="00AF33CF"/>
    <w:rsid w:val="00AF464A"/>
    <w:rsid w:val="00AF4C91"/>
    <w:rsid w:val="00AF4D50"/>
    <w:rsid w:val="00AF6179"/>
    <w:rsid w:val="00AF731C"/>
    <w:rsid w:val="00AF7B33"/>
    <w:rsid w:val="00B006D1"/>
    <w:rsid w:val="00B00D97"/>
    <w:rsid w:val="00B00E60"/>
    <w:rsid w:val="00B03504"/>
    <w:rsid w:val="00B04105"/>
    <w:rsid w:val="00B0620B"/>
    <w:rsid w:val="00B12256"/>
    <w:rsid w:val="00B12953"/>
    <w:rsid w:val="00B1295A"/>
    <w:rsid w:val="00B13196"/>
    <w:rsid w:val="00B17160"/>
    <w:rsid w:val="00B17B45"/>
    <w:rsid w:val="00B17D1E"/>
    <w:rsid w:val="00B207A8"/>
    <w:rsid w:val="00B20A45"/>
    <w:rsid w:val="00B2154A"/>
    <w:rsid w:val="00B22C5C"/>
    <w:rsid w:val="00B23E56"/>
    <w:rsid w:val="00B242E4"/>
    <w:rsid w:val="00B24F30"/>
    <w:rsid w:val="00B268B9"/>
    <w:rsid w:val="00B269B1"/>
    <w:rsid w:val="00B269BD"/>
    <w:rsid w:val="00B31ABF"/>
    <w:rsid w:val="00B32C50"/>
    <w:rsid w:val="00B33BE3"/>
    <w:rsid w:val="00B341A1"/>
    <w:rsid w:val="00B34FA4"/>
    <w:rsid w:val="00B35C93"/>
    <w:rsid w:val="00B40FD8"/>
    <w:rsid w:val="00B41FC8"/>
    <w:rsid w:val="00B43BC1"/>
    <w:rsid w:val="00B45BE5"/>
    <w:rsid w:val="00B501DF"/>
    <w:rsid w:val="00B53B5D"/>
    <w:rsid w:val="00B57EF6"/>
    <w:rsid w:val="00B6055E"/>
    <w:rsid w:val="00B6317D"/>
    <w:rsid w:val="00B64669"/>
    <w:rsid w:val="00B64E77"/>
    <w:rsid w:val="00B657AF"/>
    <w:rsid w:val="00B6662B"/>
    <w:rsid w:val="00B6680E"/>
    <w:rsid w:val="00B7047C"/>
    <w:rsid w:val="00B72670"/>
    <w:rsid w:val="00B73444"/>
    <w:rsid w:val="00B751B3"/>
    <w:rsid w:val="00B760CC"/>
    <w:rsid w:val="00B76F8C"/>
    <w:rsid w:val="00B7723F"/>
    <w:rsid w:val="00B80534"/>
    <w:rsid w:val="00B82AB5"/>
    <w:rsid w:val="00B82D47"/>
    <w:rsid w:val="00B8412C"/>
    <w:rsid w:val="00B8433C"/>
    <w:rsid w:val="00B87491"/>
    <w:rsid w:val="00B940F7"/>
    <w:rsid w:val="00B97C2B"/>
    <w:rsid w:val="00BA0ED8"/>
    <w:rsid w:val="00BA29E9"/>
    <w:rsid w:val="00BA3617"/>
    <w:rsid w:val="00BA7142"/>
    <w:rsid w:val="00BA7380"/>
    <w:rsid w:val="00BA74FA"/>
    <w:rsid w:val="00BB237C"/>
    <w:rsid w:val="00BB2681"/>
    <w:rsid w:val="00BB3A60"/>
    <w:rsid w:val="00BB41A3"/>
    <w:rsid w:val="00BB6604"/>
    <w:rsid w:val="00BC0043"/>
    <w:rsid w:val="00BC17BB"/>
    <w:rsid w:val="00BC32DC"/>
    <w:rsid w:val="00BC35B6"/>
    <w:rsid w:val="00BD0BF1"/>
    <w:rsid w:val="00BD1556"/>
    <w:rsid w:val="00BD15CF"/>
    <w:rsid w:val="00BD1B51"/>
    <w:rsid w:val="00BD2D38"/>
    <w:rsid w:val="00BD4206"/>
    <w:rsid w:val="00BD4596"/>
    <w:rsid w:val="00BD5221"/>
    <w:rsid w:val="00BD5D70"/>
    <w:rsid w:val="00BD64A6"/>
    <w:rsid w:val="00BD64FD"/>
    <w:rsid w:val="00BD7A2B"/>
    <w:rsid w:val="00BE1405"/>
    <w:rsid w:val="00BE2C9A"/>
    <w:rsid w:val="00BE312D"/>
    <w:rsid w:val="00BE58ED"/>
    <w:rsid w:val="00BF1054"/>
    <w:rsid w:val="00BF1C20"/>
    <w:rsid w:val="00BF381B"/>
    <w:rsid w:val="00BF709E"/>
    <w:rsid w:val="00BF716C"/>
    <w:rsid w:val="00C00061"/>
    <w:rsid w:val="00C017A4"/>
    <w:rsid w:val="00C01C9E"/>
    <w:rsid w:val="00C06BD6"/>
    <w:rsid w:val="00C10578"/>
    <w:rsid w:val="00C135BC"/>
    <w:rsid w:val="00C13C3E"/>
    <w:rsid w:val="00C15554"/>
    <w:rsid w:val="00C15C95"/>
    <w:rsid w:val="00C20012"/>
    <w:rsid w:val="00C202CA"/>
    <w:rsid w:val="00C202CB"/>
    <w:rsid w:val="00C2075F"/>
    <w:rsid w:val="00C21B47"/>
    <w:rsid w:val="00C22A2E"/>
    <w:rsid w:val="00C25503"/>
    <w:rsid w:val="00C2596A"/>
    <w:rsid w:val="00C27537"/>
    <w:rsid w:val="00C3042D"/>
    <w:rsid w:val="00C323FA"/>
    <w:rsid w:val="00C328FE"/>
    <w:rsid w:val="00C33507"/>
    <w:rsid w:val="00C33BFB"/>
    <w:rsid w:val="00C424E7"/>
    <w:rsid w:val="00C43791"/>
    <w:rsid w:val="00C43A36"/>
    <w:rsid w:val="00C43BEA"/>
    <w:rsid w:val="00C4409D"/>
    <w:rsid w:val="00C44E72"/>
    <w:rsid w:val="00C45A06"/>
    <w:rsid w:val="00C464B5"/>
    <w:rsid w:val="00C47E5B"/>
    <w:rsid w:val="00C50A74"/>
    <w:rsid w:val="00C52752"/>
    <w:rsid w:val="00C544CC"/>
    <w:rsid w:val="00C54D0B"/>
    <w:rsid w:val="00C55E3D"/>
    <w:rsid w:val="00C60300"/>
    <w:rsid w:val="00C60EA1"/>
    <w:rsid w:val="00C6170F"/>
    <w:rsid w:val="00C61E4B"/>
    <w:rsid w:val="00C64353"/>
    <w:rsid w:val="00C64BFF"/>
    <w:rsid w:val="00C65169"/>
    <w:rsid w:val="00C6721F"/>
    <w:rsid w:val="00C701AB"/>
    <w:rsid w:val="00C704E9"/>
    <w:rsid w:val="00C71764"/>
    <w:rsid w:val="00C74614"/>
    <w:rsid w:val="00C7467F"/>
    <w:rsid w:val="00C75095"/>
    <w:rsid w:val="00C75B0C"/>
    <w:rsid w:val="00C75BE6"/>
    <w:rsid w:val="00C763C9"/>
    <w:rsid w:val="00C80057"/>
    <w:rsid w:val="00C82232"/>
    <w:rsid w:val="00C822B3"/>
    <w:rsid w:val="00C82913"/>
    <w:rsid w:val="00C8386E"/>
    <w:rsid w:val="00C838A7"/>
    <w:rsid w:val="00C872F4"/>
    <w:rsid w:val="00C877C2"/>
    <w:rsid w:val="00C878A2"/>
    <w:rsid w:val="00C90BD6"/>
    <w:rsid w:val="00C924B0"/>
    <w:rsid w:val="00C95951"/>
    <w:rsid w:val="00C972B1"/>
    <w:rsid w:val="00CA2CCE"/>
    <w:rsid w:val="00CA3227"/>
    <w:rsid w:val="00CA43FD"/>
    <w:rsid w:val="00CA51FA"/>
    <w:rsid w:val="00CA5D66"/>
    <w:rsid w:val="00CA6678"/>
    <w:rsid w:val="00CA786E"/>
    <w:rsid w:val="00CA7EF8"/>
    <w:rsid w:val="00CB0355"/>
    <w:rsid w:val="00CB2DEF"/>
    <w:rsid w:val="00CB5D3B"/>
    <w:rsid w:val="00CC11D2"/>
    <w:rsid w:val="00CC1C8A"/>
    <w:rsid w:val="00CC2332"/>
    <w:rsid w:val="00CC25DB"/>
    <w:rsid w:val="00CC489B"/>
    <w:rsid w:val="00CC57C4"/>
    <w:rsid w:val="00CC5BE3"/>
    <w:rsid w:val="00CC7588"/>
    <w:rsid w:val="00CD1FE5"/>
    <w:rsid w:val="00CD2BCD"/>
    <w:rsid w:val="00CD2C15"/>
    <w:rsid w:val="00CD3A4C"/>
    <w:rsid w:val="00CD4CCF"/>
    <w:rsid w:val="00CD538F"/>
    <w:rsid w:val="00CD6D0D"/>
    <w:rsid w:val="00CD7776"/>
    <w:rsid w:val="00CD7ED1"/>
    <w:rsid w:val="00CD7ED6"/>
    <w:rsid w:val="00CE10E9"/>
    <w:rsid w:val="00CE163C"/>
    <w:rsid w:val="00CE2910"/>
    <w:rsid w:val="00CE2A16"/>
    <w:rsid w:val="00CE3AAB"/>
    <w:rsid w:val="00CE5393"/>
    <w:rsid w:val="00CE694C"/>
    <w:rsid w:val="00CF0F41"/>
    <w:rsid w:val="00CF3123"/>
    <w:rsid w:val="00CF36BE"/>
    <w:rsid w:val="00CF56E3"/>
    <w:rsid w:val="00CF6000"/>
    <w:rsid w:val="00D003F3"/>
    <w:rsid w:val="00D0179B"/>
    <w:rsid w:val="00D033AF"/>
    <w:rsid w:val="00D0364F"/>
    <w:rsid w:val="00D03AA5"/>
    <w:rsid w:val="00D0402C"/>
    <w:rsid w:val="00D056DC"/>
    <w:rsid w:val="00D06834"/>
    <w:rsid w:val="00D06EED"/>
    <w:rsid w:val="00D10483"/>
    <w:rsid w:val="00D10AC6"/>
    <w:rsid w:val="00D111F1"/>
    <w:rsid w:val="00D16F06"/>
    <w:rsid w:val="00D17D08"/>
    <w:rsid w:val="00D2250A"/>
    <w:rsid w:val="00D23B7B"/>
    <w:rsid w:val="00D24183"/>
    <w:rsid w:val="00D251B3"/>
    <w:rsid w:val="00D256C2"/>
    <w:rsid w:val="00D308ED"/>
    <w:rsid w:val="00D3477B"/>
    <w:rsid w:val="00D34EB1"/>
    <w:rsid w:val="00D36D86"/>
    <w:rsid w:val="00D423A9"/>
    <w:rsid w:val="00D428AA"/>
    <w:rsid w:val="00D4697B"/>
    <w:rsid w:val="00D503F2"/>
    <w:rsid w:val="00D50A34"/>
    <w:rsid w:val="00D53EFA"/>
    <w:rsid w:val="00D5544C"/>
    <w:rsid w:val="00D56E6D"/>
    <w:rsid w:val="00D6087A"/>
    <w:rsid w:val="00D618BE"/>
    <w:rsid w:val="00D66EB1"/>
    <w:rsid w:val="00D677FC"/>
    <w:rsid w:val="00D67CE6"/>
    <w:rsid w:val="00D7259C"/>
    <w:rsid w:val="00D73CA8"/>
    <w:rsid w:val="00D74F18"/>
    <w:rsid w:val="00D77E33"/>
    <w:rsid w:val="00D81DA1"/>
    <w:rsid w:val="00D83B25"/>
    <w:rsid w:val="00D86C43"/>
    <w:rsid w:val="00D87DF9"/>
    <w:rsid w:val="00D9231C"/>
    <w:rsid w:val="00D92443"/>
    <w:rsid w:val="00D927E7"/>
    <w:rsid w:val="00D93D02"/>
    <w:rsid w:val="00D940C0"/>
    <w:rsid w:val="00D94A7C"/>
    <w:rsid w:val="00D95896"/>
    <w:rsid w:val="00D975DF"/>
    <w:rsid w:val="00DA03E4"/>
    <w:rsid w:val="00DA1E89"/>
    <w:rsid w:val="00DA2EE7"/>
    <w:rsid w:val="00DA68DE"/>
    <w:rsid w:val="00DA7FE5"/>
    <w:rsid w:val="00DB0085"/>
    <w:rsid w:val="00DB1B50"/>
    <w:rsid w:val="00DB2100"/>
    <w:rsid w:val="00DB237A"/>
    <w:rsid w:val="00DB2983"/>
    <w:rsid w:val="00DB3857"/>
    <w:rsid w:val="00DC1257"/>
    <w:rsid w:val="00DC37EC"/>
    <w:rsid w:val="00DC3CD4"/>
    <w:rsid w:val="00DC3DC0"/>
    <w:rsid w:val="00DC5B2B"/>
    <w:rsid w:val="00DC676E"/>
    <w:rsid w:val="00DD318D"/>
    <w:rsid w:val="00DD3AFD"/>
    <w:rsid w:val="00DD47C6"/>
    <w:rsid w:val="00DD6335"/>
    <w:rsid w:val="00DD6368"/>
    <w:rsid w:val="00DD648B"/>
    <w:rsid w:val="00DE0847"/>
    <w:rsid w:val="00DE14FA"/>
    <w:rsid w:val="00DE4F52"/>
    <w:rsid w:val="00DE6865"/>
    <w:rsid w:val="00DE773F"/>
    <w:rsid w:val="00DE7D45"/>
    <w:rsid w:val="00DF093E"/>
    <w:rsid w:val="00DF291D"/>
    <w:rsid w:val="00DF29F5"/>
    <w:rsid w:val="00DF2E12"/>
    <w:rsid w:val="00DF3F28"/>
    <w:rsid w:val="00DF514A"/>
    <w:rsid w:val="00DF6690"/>
    <w:rsid w:val="00DF6804"/>
    <w:rsid w:val="00E000DC"/>
    <w:rsid w:val="00E01798"/>
    <w:rsid w:val="00E0358D"/>
    <w:rsid w:val="00E04323"/>
    <w:rsid w:val="00E04D74"/>
    <w:rsid w:val="00E070A2"/>
    <w:rsid w:val="00E07915"/>
    <w:rsid w:val="00E13B47"/>
    <w:rsid w:val="00E17F0A"/>
    <w:rsid w:val="00E21C38"/>
    <w:rsid w:val="00E23B9C"/>
    <w:rsid w:val="00E2644F"/>
    <w:rsid w:val="00E2656A"/>
    <w:rsid w:val="00E3316B"/>
    <w:rsid w:val="00E33BEE"/>
    <w:rsid w:val="00E35E9A"/>
    <w:rsid w:val="00E35F8D"/>
    <w:rsid w:val="00E377FC"/>
    <w:rsid w:val="00E4015C"/>
    <w:rsid w:val="00E40F77"/>
    <w:rsid w:val="00E412D0"/>
    <w:rsid w:val="00E42934"/>
    <w:rsid w:val="00E44D3D"/>
    <w:rsid w:val="00E46754"/>
    <w:rsid w:val="00E50F9E"/>
    <w:rsid w:val="00E5122A"/>
    <w:rsid w:val="00E51327"/>
    <w:rsid w:val="00E53B7C"/>
    <w:rsid w:val="00E5438E"/>
    <w:rsid w:val="00E56322"/>
    <w:rsid w:val="00E57AE0"/>
    <w:rsid w:val="00E57F89"/>
    <w:rsid w:val="00E605EB"/>
    <w:rsid w:val="00E60982"/>
    <w:rsid w:val="00E62C62"/>
    <w:rsid w:val="00E63453"/>
    <w:rsid w:val="00E652B2"/>
    <w:rsid w:val="00E654C1"/>
    <w:rsid w:val="00E65D97"/>
    <w:rsid w:val="00E67662"/>
    <w:rsid w:val="00E71F02"/>
    <w:rsid w:val="00E725F3"/>
    <w:rsid w:val="00E72A5A"/>
    <w:rsid w:val="00E73354"/>
    <w:rsid w:val="00E74187"/>
    <w:rsid w:val="00E74537"/>
    <w:rsid w:val="00E75537"/>
    <w:rsid w:val="00E7594D"/>
    <w:rsid w:val="00E803B1"/>
    <w:rsid w:val="00E8256A"/>
    <w:rsid w:val="00E82ACB"/>
    <w:rsid w:val="00E8383A"/>
    <w:rsid w:val="00E83D66"/>
    <w:rsid w:val="00E84A49"/>
    <w:rsid w:val="00E8752F"/>
    <w:rsid w:val="00E9242D"/>
    <w:rsid w:val="00E927B2"/>
    <w:rsid w:val="00E9304E"/>
    <w:rsid w:val="00E93F84"/>
    <w:rsid w:val="00E940FD"/>
    <w:rsid w:val="00EA011D"/>
    <w:rsid w:val="00EA0DA4"/>
    <w:rsid w:val="00EA1332"/>
    <w:rsid w:val="00EA3F4C"/>
    <w:rsid w:val="00EA4258"/>
    <w:rsid w:val="00EB0411"/>
    <w:rsid w:val="00EB26AC"/>
    <w:rsid w:val="00EB50EF"/>
    <w:rsid w:val="00EB5255"/>
    <w:rsid w:val="00EB5C47"/>
    <w:rsid w:val="00EB6FC0"/>
    <w:rsid w:val="00EB756C"/>
    <w:rsid w:val="00EB780D"/>
    <w:rsid w:val="00EB7FDD"/>
    <w:rsid w:val="00EC44D8"/>
    <w:rsid w:val="00EC4B6F"/>
    <w:rsid w:val="00EC5C48"/>
    <w:rsid w:val="00EC5F16"/>
    <w:rsid w:val="00ED0639"/>
    <w:rsid w:val="00ED0ED0"/>
    <w:rsid w:val="00ED2062"/>
    <w:rsid w:val="00ED41F7"/>
    <w:rsid w:val="00ED59C7"/>
    <w:rsid w:val="00EE60DD"/>
    <w:rsid w:val="00EF18E7"/>
    <w:rsid w:val="00EF3021"/>
    <w:rsid w:val="00EF4755"/>
    <w:rsid w:val="00EF583C"/>
    <w:rsid w:val="00EF7135"/>
    <w:rsid w:val="00F001FD"/>
    <w:rsid w:val="00F027DB"/>
    <w:rsid w:val="00F02F34"/>
    <w:rsid w:val="00F04899"/>
    <w:rsid w:val="00F057A3"/>
    <w:rsid w:val="00F05E1E"/>
    <w:rsid w:val="00F05F7C"/>
    <w:rsid w:val="00F14A7A"/>
    <w:rsid w:val="00F2037E"/>
    <w:rsid w:val="00F22985"/>
    <w:rsid w:val="00F23E1C"/>
    <w:rsid w:val="00F27874"/>
    <w:rsid w:val="00F326D3"/>
    <w:rsid w:val="00F3383E"/>
    <w:rsid w:val="00F3556B"/>
    <w:rsid w:val="00F36141"/>
    <w:rsid w:val="00F3633A"/>
    <w:rsid w:val="00F3668E"/>
    <w:rsid w:val="00F36FCD"/>
    <w:rsid w:val="00F37073"/>
    <w:rsid w:val="00F37622"/>
    <w:rsid w:val="00F446F6"/>
    <w:rsid w:val="00F44BFC"/>
    <w:rsid w:val="00F465A7"/>
    <w:rsid w:val="00F50B7C"/>
    <w:rsid w:val="00F550E6"/>
    <w:rsid w:val="00F56017"/>
    <w:rsid w:val="00F56EB5"/>
    <w:rsid w:val="00F57684"/>
    <w:rsid w:val="00F57DB7"/>
    <w:rsid w:val="00F61C6D"/>
    <w:rsid w:val="00F64EE0"/>
    <w:rsid w:val="00F66EAD"/>
    <w:rsid w:val="00F675A1"/>
    <w:rsid w:val="00F7160E"/>
    <w:rsid w:val="00F72565"/>
    <w:rsid w:val="00F728B2"/>
    <w:rsid w:val="00F74345"/>
    <w:rsid w:val="00F74624"/>
    <w:rsid w:val="00F75466"/>
    <w:rsid w:val="00F77C52"/>
    <w:rsid w:val="00F804C1"/>
    <w:rsid w:val="00F80A0A"/>
    <w:rsid w:val="00F825D6"/>
    <w:rsid w:val="00F82B19"/>
    <w:rsid w:val="00F84779"/>
    <w:rsid w:val="00F86B90"/>
    <w:rsid w:val="00F9212D"/>
    <w:rsid w:val="00F92658"/>
    <w:rsid w:val="00F965DA"/>
    <w:rsid w:val="00F96709"/>
    <w:rsid w:val="00F9744C"/>
    <w:rsid w:val="00FA04C8"/>
    <w:rsid w:val="00FA406A"/>
    <w:rsid w:val="00FA6112"/>
    <w:rsid w:val="00FB1A3F"/>
    <w:rsid w:val="00FB32CA"/>
    <w:rsid w:val="00FB3795"/>
    <w:rsid w:val="00FB503A"/>
    <w:rsid w:val="00FB516C"/>
    <w:rsid w:val="00FB5B40"/>
    <w:rsid w:val="00FC1E7A"/>
    <w:rsid w:val="00FC3B9A"/>
    <w:rsid w:val="00FC47F0"/>
    <w:rsid w:val="00FC6ADD"/>
    <w:rsid w:val="00FD0236"/>
    <w:rsid w:val="00FD18F4"/>
    <w:rsid w:val="00FD54DB"/>
    <w:rsid w:val="00FD619F"/>
    <w:rsid w:val="00FD7D4D"/>
    <w:rsid w:val="00FE0885"/>
    <w:rsid w:val="00FE0BA5"/>
    <w:rsid w:val="00FE6760"/>
    <w:rsid w:val="00FE68B4"/>
    <w:rsid w:val="00FE6A7E"/>
    <w:rsid w:val="00FF103A"/>
    <w:rsid w:val="00FF10F6"/>
    <w:rsid w:val="00FF40C6"/>
    <w:rsid w:val="00FF4454"/>
    <w:rsid w:val="01227D26"/>
    <w:rsid w:val="01290F7E"/>
    <w:rsid w:val="013637D1"/>
    <w:rsid w:val="015D1E09"/>
    <w:rsid w:val="017F4C7E"/>
    <w:rsid w:val="01985FCB"/>
    <w:rsid w:val="01AC75F0"/>
    <w:rsid w:val="01FB40D3"/>
    <w:rsid w:val="022352DD"/>
    <w:rsid w:val="024F3E0A"/>
    <w:rsid w:val="02697903"/>
    <w:rsid w:val="02A625A9"/>
    <w:rsid w:val="02C167B0"/>
    <w:rsid w:val="02CE12C7"/>
    <w:rsid w:val="02F16316"/>
    <w:rsid w:val="02F96569"/>
    <w:rsid w:val="02FC7ACC"/>
    <w:rsid w:val="030B7986"/>
    <w:rsid w:val="03280EF8"/>
    <w:rsid w:val="036F2169"/>
    <w:rsid w:val="03C16FD8"/>
    <w:rsid w:val="03D77EE3"/>
    <w:rsid w:val="03DF0436"/>
    <w:rsid w:val="03EA7B21"/>
    <w:rsid w:val="04051239"/>
    <w:rsid w:val="04290887"/>
    <w:rsid w:val="04D379E7"/>
    <w:rsid w:val="05027E6C"/>
    <w:rsid w:val="05135B57"/>
    <w:rsid w:val="05474BB5"/>
    <w:rsid w:val="05BE6B16"/>
    <w:rsid w:val="05C235C9"/>
    <w:rsid w:val="05F81055"/>
    <w:rsid w:val="05F83EAE"/>
    <w:rsid w:val="06021459"/>
    <w:rsid w:val="062220DC"/>
    <w:rsid w:val="062749A5"/>
    <w:rsid w:val="063E7D85"/>
    <w:rsid w:val="06D33870"/>
    <w:rsid w:val="06DF1460"/>
    <w:rsid w:val="07293586"/>
    <w:rsid w:val="07295285"/>
    <w:rsid w:val="07636392"/>
    <w:rsid w:val="07770C56"/>
    <w:rsid w:val="07A5520D"/>
    <w:rsid w:val="07C57F88"/>
    <w:rsid w:val="07F438B2"/>
    <w:rsid w:val="08104767"/>
    <w:rsid w:val="08134822"/>
    <w:rsid w:val="08326984"/>
    <w:rsid w:val="0838450F"/>
    <w:rsid w:val="083B2710"/>
    <w:rsid w:val="08964E72"/>
    <w:rsid w:val="08DF64BB"/>
    <w:rsid w:val="08E06CF9"/>
    <w:rsid w:val="09036E06"/>
    <w:rsid w:val="0907134B"/>
    <w:rsid w:val="092217DD"/>
    <w:rsid w:val="093A7294"/>
    <w:rsid w:val="095D768E"/>
    <w:rsid w:val="0A0439B6"/>
    <w:rsid w:val="0A05247C"/>
    <w:rsid w:val="0A0867D9"/>
    <w:rsid w:val="0A263993"/>
    <w:rsid w:val="0A287A2F"/>
    <w:rsid w:val="0A2D3AC2"/>
    <w:rsid w:val="0A3E46F9"/>
    <w:rsid w:val="0A503874"/>
    <w:rsid w:val="0A775E1F"/>
    <w:rsid w:val="0A99080F"/>
    <w:rsid w:val="0AA755DF"/>
    <w:rsid w:val="0AE0655C"/>
    <w:rsid w:val="0B120D44"/>
    <w:rsid w:val="0B2C3BE5"/>
    <w:rsid w:val="0B664E0F"/>
    <w:rsid w:val="0B882E7B"/>
    <w:rsid w:val="0B99503A"/>
    <w:rsid w:val="0BA650B0"/>
    <w:rsid w:val="0BD27BF6"/>
    <w:rsid w:val="0C3B3C7D"/>
    <w:rsid w:val="0C6C7ADF"/>
    <w:rsid w:val="0C727688"/>
    <w:rsid w:val="0C8064A1"/>
    <w:rsid w:val="0CAB2EAE"/>
    <w:rsid w:val="0CFA1B57"/>
    <w:rsid w:val="0CFE4DC1"/>
    <w:rsid w:val="0D117E17"/>
    <w:rsid w:val="0D621C7D"/>
    <w:rsid w:val="0D88050D"/>
    <w:rsid w:val="0DD17B12"/>
    <w:rsid w:val="0DF968F1"/>
    <w:rsid w:val="0E5054DE"/>
    <w:rsid w:val="0E73034D"/>
    <w:rsid w:val="0E9E6F6E"/>
    <w:rsid w:val="0EC17E0E"/>
    <w:rsid w:val="0EE04D7C"/>
    <w:rsid w:val="0F13775A"/>
    <w:rsid w:val="0F2D5AA7"/>
    <w:rsid w:val="0F3240DF"/>
    <w:rsid w:val="0F386966"/>
    <w:rsid w:val="0F5F45FE"/>
    <w:rsid w:val="0F7B788F"/>
    <w:rsid w:val="0F9A112B"/>
    <w:rsid w:val="0F9C0108"/>
    <w:rsid w:val="0FA51A26"/>
    <w:rsid w:val="0FDC7731"/>
    <w:rsid w:val="0FEF171B"/>
    <w:rsid w:val="106D2F64"/>
    <w:rsid w:val="10844DD5"/>
    <w:rsid w:val="10A26BE6"/>
    <w:rsid w:val="10B63710"/>
    <w:rsid w:val="10BA1208"/>
    <w:rsid w:val="10F10820"/>
    <w:rsid w:val="10FE598E"/>
    <w:rsid w:val="11050ACA"/>
    <w:rsid w:val="111C2F7A"/>
    <w:rsid w:val="113C74D4"/>
    <w:rsid w:val="114F1CDB"/>
    <w:rsid w:val="11533EE2"/>
    <w:rsid w:val="11621A79"/>
    <w:rsid w:val="11665CA1"/>
    <w:rsid w:val="11835941"/>
    <w:rsid w:val="11CD6857"/>
    <w:rsid w:val="125F15C4"/>
    <w:rsid w:val="128E1AE3"/>
    <w:rsid w:val="12B97E2D"/>
    <w:rsid w:val="138C54D3"/>
    <w:rsid w:val="13951726"/>
    <w:rsid w:val="13985C26"/>
    <w:rsid w:val="13B95B4F"/>
    <w:rsid w:val="13CB5D21"/>
    <w:rsid w:val="14396509"/>
    <w:rsid w:val="14634486"/>
    <w:rsid w:val="147F6DE6"/>
    <w:rsid w:val="14860BF1"/>
    <w:rsid w:val="148D7E6F"/>
    <w:rsid w:val="14DD2C3C"/>
    <w:rsid w:val="14EB396E"/>
    <w:rsid w:val="15437E13"/>
    <w:rsid w:val="15480AE3"/>
    <w:rsid w:val="15877D00"/>
    <w:rsid w:val="15A57B4C"/>
    <w:rsid w:val="15BC5381"/>
    <w:rsid w:val="15EE6A63"/>
    <w:rsid w:val="16087E1D"/>
    <w:rsid w:val="16134661"/>
    <w:rsid w:val="1658169C"/>
    <w:rsid w:val="16C03316"/>
    <w:rsid w:val="16E45CEE"/>
    <w:rsid w:val="17497BD2"/>
    <w:rsid w:val="17701D14"/>
    <w:rsid w:val="17735226"/>
    <w:rsid w:val="177469AA"/>
    <w:rsid w:val="178A26E7"/>
    <w:rsid w:val="178A7F7B"/>
    <w:rsid w:val="179130B8"/>
    <w:rsid w:val="17CB3F96"/>
    <w:rsid w:val="17E56F60"/>
    <w:rsid w:val="17E66E5F"/>
    <w:rsid w:val="186F4456"/>
    <w:rsid w:val="189C1C81"/>
    <w:rsid w:val="189F624C"/>
    <w:rsid w:val="18AA234F"/>
    <w:rsid w:val="18BB4448"/>
    <w:rsid w:val="18BC23B6"/>
    <w:rsid w:val="1966549E"/>
    <w:rsid w:val="197C38F4"/>
    <w:rsid w:val="198A6011"/>
    <w:rsid w:val="19D56613"/>
    <w:rsid w:val="1A1342F8"/>
    <w:rsid w:val="1A1C66C0"/>
    <w:rsid w:val="1A371F47"/>
    <w:rsid w:val="1A3D7454"/>
    <w:rsid w:val="1A42393B"/>
    <w:rsid w:val="1A4F2969"/>
    <w:rsid w:val="1A693E78"/>
    <w:rsid w:val="1A9B6BCF"/>
    <w:rsid w:val="1AAD45DE"/>
    <w:rsid w:val="1AED534D"/>
    <w:rsid w:val="1B046F80"/>
    <w:rsid w:val="1B1F577F"/>
    <w:rsid w:val="1B292471"/>
    <w:rsid w:val="1B3267B5"/>
    <w:rsid w:val="1B40161D"/>
    <w:rsid w:val="1B441859"/>
    <w:rsid w:val="1B6606B1"/>
    <w:rsid w:val="1B6F3F5F"/>
    <w:rsid w:val="1BB26287"/>
    <w:rsid w:val="1BF65BDF"/>
    <w:rsid w:val="1BFB5A6A"/>
    <w:rsid w:val="1C177904"/>
    <w:rsid w:val="1C280A6A"/>
    <w:rsid w:val="1C2C7808"/>
    <w:rsid w:val="1C5E7925"/>
    <w:rsid w:val="1C964CCC"/>
    <w:rsid w:val="1CD65C5D"/>
    <w:rsid w:val="1CFD070F"/>
    <w:rsid w:val="1CFE203E"/>
    <w:rsid w:val="1D1075D0"/>
    <w:rsid w:val="1D506D2A"/>
    <w:rsid w:val="1D54148D"/>
    <w:rsid w:val="1D56268C"/>
    <w:rsid w:val="1D5F6196"/>
    <w:rsid w:val="1D6132A5"/>
    <w:rsid w:val="1D707442"/>
    <w:rsid w:val="1D8E56D5"/>
    <w:rsid w:val="1D9C1BDF"/>
    <w:rsid w:val="1DAA0909"/>
    <w:rsid w:val="1E0C3498"/>
    <w:rsid w:val="1E206F43"/>
    <w:rsid w:val="1E7A43DA"/>
    <w:rsid w:val="1E7B133C"/>
    <w:rsid w:val="1E9B2DD4"/>
    <w:rsid w:val="1EB5581B"/>
    <w:rsid w:val="1F2611F4"/>
    <w:rsid w:val="1F452AE1"/>
    <w:rsid w:val="1F4D3D68"/>
    <w:rsid w:val="1F9811E7"/>
    <w:rsid w:val="1FE7539E"/>
    <w:rsid w:val="205E1FA5"/>
    <w:rsid w:val="20671BE0"/>
    <w:rsid w:val="206C46C2"/>
    <w:rsid w:val="20963CB8"/>
    <w:rsid w:val="20A07065"/>
    <w:rsid w:val="20A81A1B"/>
    <w:rsid w:val="20B07FB6"/>
    <w:rsid w:val="20B646FB"/>
    <w:rsid w:val="21204750"/>
    <w:rsid w:val="213B74B1"/>
    <w:rsid w:val="214320A3"/>
    <w:rsid w:val="215A2310"/>
    <w:rsid w:val="21A8797C"/>
    <w:rsid w:val="21CA6954"/>
    <w:rsid w:val="21CE77C5"/>
    <w:rsid w:val="21D56325"/>
    <w:rsid w:val="21DE318A"/>
    <w:rsid w:val="21E14C3C"/>
    <w:rsid w:val="21EF5B80"/>
    <w:rsid w:val="22222456"/>
    <w:rsid w:val="222B4109"/>
    <w:rsid w:val="22576990"/>
    <w:rsid w:val="226E036B"/>
    <w:rsid w:val="22726533"/>
    <w:rsid w:val="22835CF3"/>
    <w:rsid w:val="22902CA4"/>
    <w:rsid w:val="22F47480"/>
    <w:rsid w:val="23645BCD"/>
    <w:rsid w:val="239A1546"/>
    <w:rsid w:val="23DE1C48"/>
    <w:rsid w:val="240210CD"/>
    <w:rsid w:val="24411A0C"/>
    <w:rsid w:val="24447577"/>
    <w:rsid w:val="24BF09F7"/>
    <w:rsid w:val="24F30A06"/>
    <w:rsid w:val="252D53FE"/>
    <w:rsid w:val="25EC2D81"/>
    <w:rsid w:val="25EF28D1"/>
    <w:rsid w:val="26516E72"/>
    <w:rsid w:val="26527EB6"/>
    <w:rsid w:val="268B2A9D"/>
    <w:rsid w:val="27333506"/>
    <w:rsid w:val="2762606A"/>
    <w:rsid w:val="277057A2"/>
    <w:rsid w:val="27735D42"/>
    <w:rsid w:val="27AE656C"/>
    <w:rsid w:val="27D30E88"/>
    <w:rsid w:val="28045F82"/>
    <w:rsid w:val="28B371A5"/>
    <w:rsid w:val="28C12F19"/>
    <w:rsid w:val="28DE54FC"/>
    <w:rsid w:val="28F171AF"/>
    <w:rsid w:val="29206EB8"/>
    <w:rsid w:val="29370FFC"/>
    <w:rsid w:val="29595666"/>
    <w:rsid w:val="29874881"/>
    <w:rsid w:val="29E325E0"/>
    <w:rsid w:val="29EE7EF6"/>
    <w:rsid w:val="29FF252A"/>
    <w:rsid w:val="2A452503"/>
    <w:rsid w:val="2A4E5039"/>
    <w:rsid w:val="2A833231"/>
    <w:rsid w:val="2AE3365B"/>
    <w:rsid w:val="2AF83194"/>
    <w:rsid w:val="2B1C10CE"/>
    <w:rsid w:val="2B6229F9"/>
    <w:rsid w:val="2B716447"/>
    <w:rsid w:val="2B911481"/>
    <w:rsid w:val="2BA936A8"/>
    <w:rsid w:val="2BB24858"/>
    <w:rsid w:val="2BD70F6D"/>
    <w:rsid w:val="2BF259FE"/>
    <w:rsid w:val="2C315A5A"/>
    <w:rsid w:val="2C4B1C25"/>
    <w:rsid w:val="2C7C7A3B"/>
    <w:rsid w:val="2C8F5FE1"/>
    <w:rsid w:val="2D37400A"/>
    <w:rsid w:val="2D557340"/>
    <w:rsid w:val="2D6C440C"/>
    <w:rsid w:val="2D8C2804"/>
    <w:rsid w:val="2D8D5C78"/>
    <w:rsid w:val="2D9E56F5"/>
    <w:rsid w:val="2DE55AB4"/>
    <w:rsid w:val="2E667F96"/>
    <w:rsid w:val="2E67471B"/>
    <w:rsid w:val="2E6B1D1B"/>
    <w:rsid w:val="2E6B5F9A"/>
    <w:rsid w:val="2E8226AB"/>
    <w:rsid w:val="2E942B39"/>
    <w:rsid w:val="2F1A761F"/>
    <w:rsid w:val="2F3A60E3"/>
    <w:rsid w:val="2F8B75DA"/>
    <w:rsid w:val="2FCE5C39"/>
    <w:rsid w:val="2FD065E6"/>
    <w:rsid w:val="2FD96870"/>
    <w:rsid w:val="2FF07251"/>
    <w:rsid w:val="30254764"/>
    <w:rsid w:val="30580BC9"/>
    <w:rsid w:val="30990E96"/>
    <w:rsid w:val="30AE4E49"/>
    <w:rsid w:val="30C73EA4"/>
    <w:rsid w:val="30D65765"/>
    <w:rsid w:val="30FE32FE"/>
    <w:rsid w:val="311E2ED7"/>
    <w:rsid w:val="312A59EA"/>
    <w:rsid w:val="315619EE"/>
    <w:rsid w:val="315C449C"/>
    <w:rsid w:val="31A57A34"/>
    <w:rsid w:val="31B82709"/>
    <w:rsid w:val="31D05482"/>
    <w:rsid w:val="31EF5153"/>
    <w:rsid w:val="322E23E8"/>
    <w:rsid w:val="32400B34"/>
    <w:rsid w:val="32897E1C"/>
    <w:rsid w:val="32981379"/>
    <w:rsid w:val="329E6876"/>
    <w:rsid w:val="32AB5D01"/>
    <w:rsid w:val="32BD56A6"/>
    <w:rsid w:val="32C74BA9"/>
    <w:rsid w:val="32F72E8D"/>
    <w:rsid w:val="331F3816"/>
    <w:rsid w:val="332C16ED"/>
    <w:rsid w:val="332E3589"/>
    <w:rsid w:val="333015F2"/>
    <w:rsid w:val="334B6320"/>
    <w:rsid w:val="33501E4A"/>
    <w:rsid w:val="33527747"/>
    <w:rsid w:val="335E4607"/>
    <w:rsid w:val="337376D3"/>
    <w:rsid w:val="33BF31B5"/>
    <w:rsid w:val="33D92C7A"/>
    <w:rsid w:val="33D934D4"/>
    <w:rsid w:val="33EA31A7"/>
    <w:rsid w:val="33F26834"/>
    <w:rsid w:val="33FE2F6A"/>
    <w:rsid w:val="340E07E5"/>
    <w:rsid w:val="34235BF7"/>
    <w:rsid w:val="34383D9A"/>
    <w:rsid w:val="343926B5"/>
    <w:rsid w:val="343C6163"/>
    <w:rsid w:val="3495179E"/>
    <w:rsid w:val="357D0C50"/>
    <w:rsid w:val="3586450E"/>
    <w:rsid w:val="35883A00"/>
    <w:rsid w:val="358C5FA8"/>
    <w:rsid w:val="3596327C"/>
    <w:rsid w:val="35A61EB8"/>
    <w:rsid w:val="35B8665A"/>
    <w:rsid w:val="35C15DF1"/>
    <w:rsid w:val="35D20E49"/>
    <w:rsid w:val="36074A7F"/>
    <w:rsid w:val="3641163C"/>
    <w:rsid w:val="36577894"/>
    <w:rsid w:val="366F21BD"/>
    <w:rsid w:val="36923549"/>
    <w:rsid w:val="36B75FBF"/>
    <w:rsid w:val="36BD0C45"/>
    <w:rsid w:val="36E8763B"/>
    <w:rsid w:val="37166D64"/>
    <w:rsid w:val="37862924"/>
    <w:rsid w:val="37936580"/>
    <w:rsid w:val="37B97C84"/>
    <w:rsid w:val="37E00298"/>
    <w:rsid w:val="37EC5FE6"/>
    <w:rsid w:val="38561E35"/>
    <w:rsid w:val="38635F53"/>
    <w:rsid w:val="38911C54"/>
    <w:rsid w:val="38B302F9"/>
    <w:rsid w:val="38F12CD3"/>
    <w:rsid w:val="38F94775"/>
    <w:rsid w:val="3902351F"/>
    <w:rsid w:val="3913511C"/>
    <w:rsid w:val="39203FFE"/>
    <w:rsid w:val="392971ED"/>
    <w:rsid w:val="39325651"/>
    <w:rsid w:val="39460F06"/>
    <w:rsid w:val="399718B4"/>
    <w:rsid w:val="39C0008E"/>
    <w:rsid w:val="3A1D5EDB"/>
    <w:rsid w:val="3A56477C"/>
    <w:rsid w:val="3A751F6D"/>
    <w:rsid w:val="3A872856"/>
    <w:rsid w:val="3A8A1C91"/>
    <w:rsid w:val="3AA30888"/>
    <w:rsid w:val="3AA76476"/>
    <w:rsid w:val="3B337E5E"/>
    <w:rsid w:val="3B3763D1"/>
    <w:rsid w:val="3B4C1E1D"/>
    <w:rsid w:val="3B5123CB"/>
    <w:rsid w:val="3B6D76D3"/>
    <w:rsid w:val="3BED2703"/>
    <w:rsid w:val="3C1001A0"/>
    <w:rsid w:val="3C2042A9"/>
    <w:rsid w:val="3C241E9D"/>
    <w:rsid w:val="3C2F6E1E"/>
    <w:rsid w:val="3C4F64BA"/>
    <w:rsid w:val="3C5252DB"/>
    <w:rsid w:val="3C6B4749"/>
    <w:rsid w:val="3C6D73A0"/>
    <w:rsid w:val="3CDA245A"/>
    <w:rsid w:val="3D1E06B7"/>
    <w:rsid w:val="3D3B5B6B"/>
    <w:rsid w:val="3D3D5401"/>
    <w:rsid w:val="3D6E064C"/>
    <w:rsid w:val="3D917A06"/>
    <w:rsid w:val="3DC56D68"/>
    <w:rsid w:val="3DF31F7D"/>
    <w:rsid w:val="3DFD6240"/>
    <w:rsid w:val="3E29379B"/>
    <w:rsid w:val="3E765781"/>
    <w:rsid w:val="3E7E7642"/>
    <w:rsid w:val="3E806EB1"/>
    <w:rsid w:val="3E8A4F9E"/>
    <w:rsid w:val="3ECA4B48"/>
    <w:rsid w:val="3ECC2AA4"/>
    <w:rsid w:val="3EDA0523"/>
    <w:rsid w:val="3EEE0039"/>
    <w:rsid w:val="3EF00600"/>
    <w:rsid w:val="3F0B3A0A"/>
    <w:rsid w:val="3F6E64A0"/>
    <w:rsid w:val="3F926809"/>
    <w:rsid w:val="403503FB"/>
    <w:rsid w:val="407A6407"/>
    <w:rsid w:val="40905F1A"/>
    <w:rsid w:val="409B5894"/>
    <w:rsid w:val="40AF790C"/>
    <w:rsid w:val="40B3417D"/>
    <w:rsid w:val="40E045E4"/>
    <w:rsid w:val="41091CFF"/>
    <w:rsid w:val="411E335F"/>
    <w:rsid w:val="412020E6"/>
    <w:rsid w:val="415B7F84"/>
    <w:rsid w:val="418A51A1"/>
    <w:rsid w:val="419378A9"/>
    <w:rsid w:val="41B41965"/>
    <w:rsid w:val="41B75138"/>
    <w:rsid w:val="41BF0D08"/>
    <w:rsid w:val="41C002C6"/>
    <w:rsid w:val="41DB2618"/>
    <w:rsid w:val="41DF5F1B"/>
    <w:rsid w:val="4200449D"/>
    <w:rsid w:val="42366486"/>
    <w:rsid w:val="423A3BCC"/>
    <w:rsid w:val="423C4631"/>
    <w:rsid w:val="423D5921"/>
    <w:rsid w:val="42435874"/>
    <w:rsid w:val="424E57D2"/>
    <w:rsid w:val="42AB29D0"/>
    <w:rsid w:val="42B26C49"/>
    <w:rsid w:val="42B40980"/>
    <w:rsid w:val="42DC3C7D"/>
    <w:rsid w:val="42DD3505"/>
    <w:rsid w:val="430A6196"/>
    <w:rsid w:val="433A6FE6"/>
    <w:rsid w:val="43480868"/>
    <w:rsid w:val="4350713C"/>
    <w:rsid w:val="43566DE0"/>
    <w:rsid w:val="435B519B"/>
    <w:rsid w:val="435F23CA"/>
    <w:rsid w:val="436653E0"/>
    <w:rsid w:val="43C4431A"/>
    <w:rsid w:val="43C54BB5"/>
    <w:rsid w:val="43CC740D"/>
    <w:rsid w:val="44083ACA"/>
    <w:rsid w:val="440A0153"/>
    <w:rsid w:val="44935E12"/>
    <w:rsid w:val="44B951CC"/>
    <w:rsid w:val="44CD14E0"/>
    <w:rsid w:val="44F20B0B"/>
    <w:rsid w:val="452E5F4C"/>
    <w:rsid w:val="454551A7"/>
    <w:rsid w:val="45612018"/>
    <w:rsid w:val="45643807"/>
    <w:rsid w:val="458946E9"/>
    <w:rsid w:val="45A47C0E"/>
    <w:rsid w:val="45A63CD0"/>
    <w:rsid w:val="45F97EF6"/>
    <w:rsid w:val="4607616F"/>
    <w:rsid w:val="463E2008"/>
    <w:rsid w:val="46577FD6"/>
    <w:rsid w:val="465B64BB"/>
    <w:rsid w:val="4662784A"/>
    <w:rsid w:val="46CD624D"/>
    <w:rsid w:val="46D955A7"/>
    <w:rsid w:val="47133957"/>
    <w:rsid w:val="47480D31"/>
    <w:rsid w:val="47A07E0C"/>
    <w:rsid w:val="47D2124A"/>
    <w:rsid w:val="47DE0B15"/>
    <w:rsid w:val="47E440F8"/>
    <w:rsid w:val="47F16A4D"/>
    <w:rsid w:val="480F05D2"/>
    <w:rsid w:val="48541414"/>
    <w:rsid w:val="4870272E"/>
    <w:rsid w:val="48945CB4"/>
    <w:rsid w:val="4896651A"/>
    <w:rsid w:val="48D34A2F"/>
    <w:rsid w:val="48EC175E"/>
    <w:rsid w:val="48F81EA1"/>
    <w:rsid w:val="49000B63"/>
    <w:rsid w:val="492A3BE4"/>
    <w:rsid w:val="494A7116"/>
    <w:rsid w:val="495B1666"/>
    <w:rsid w:val="4970210B"/>
    <w:rsid w:val="49917DE8"/>
    <w:rsid w:val="499B3937"/>
    <w:rsid w:val="49D34CB5"/>
    <w:rsid w:val="49D35DF5"/>
    <w:rsid w:val="49DC7715"/>
    <w:rsid w:val="4A023139"/>
    <w:rsid w:val="4A062EB1"/>
    <w:rsid w:val="4A064990"/>
    <w:rsid w:val="4A1D1740"/>
    <w:rsid w:val="4A7B576F"/>
    <w:rsid w:val="4A875FDB"/>
    <w:rsid w:val="4A8A7937"/>
    <w:rsid w:val="4AE72962"/>
    <w:rsid w:val="4AF561A9"/>
    <w:rsid w:val="4B0F73DE"/>
    <w:rsid w:val="4B0F78AC"/>
    <w:rsid w:val="4B3D3B99"/>
    <w:rsid w:val="4BA10E14"/>
    <w:rsid w:val="4BF23577"/>
    <w:rsid w:val="4BFE25DB"/>
    <w:rsid w:val="4C4634F1"/>
    <w:rsid w:val="4C4A0649"/>
    <w:rsid w:val="4C4D2D4A"/>
    <w:rsid w:val="4C78250B"/>
    <w:rsid w:val="4C7E5ECA"/>
    <w:rsid w:val="4C8311CB"/>
    <w:rsid w:val="4C876AA5"/>
    <w:rsid w:val="4D0E00FB"/>
    <w:rsid w:val="4D112048"/>
    <w:rsid w:val="4D176606"/>
    <w:rsid w:val="4D5A457A"/>
    <w:rsid w:val="4D6B5C52"/>
    <w:rsid w:val="4D6F4A7B"/>
    <w:rsid w:val="4DA90454"/>
    <w:rsid w:val="4DEC4FB0"/>
    <w:rsid w:val="4E075D8A"/>
    <w:rsid w:val="4E0F1241"/>
    <w:rsid w:val="4E29093D"/>
    <w:rsid w:val="4EC00FAD"/>
    <w:rsid w:val="4EC5306C"/>
    <w:rsid w:val="4F05568E"/>
    <w:rsid w:val="4F5575B8"/>
    <w:rsid w:val="4F7C5744"/>
    <w:rsid w:val="4F9843DC"/>
    <w:rsid w:val="4FB82BD0"/>
    <w:rsid w:val="4FC153E4"/>
    <w:rsid w:val="4FC62A8C"/>
    <w:rsid w:val="4FE20F0D"/>
    <w:rsid w:val="4FE51552"/>
    <w:rsid w:val="4FE777A4"/>
    <w:rsid w:val="50340D88"/>
    <w:rsid w:val="50504C4B"/>
    <w:rsid w:val="505446A7"/>
    <w:rsid w:val="509C6E7C"/>
    <w:rsid w:val="50CB07DD"/>
    <w:rsid w:val="50CE7C05"/>
    <w:rsid w:val="510238A1"/>
    <w:rsid w:val="5162104E"/>
    <w:rsid w:val="51BF7BAC"/>
    <w:rsid w:val="51D0595D"/>
    <w:rsid w:val="51DD6B89"/>
    <w:rsid w:val="52043EAB"/>
    <w:rsid w:val="521E11D7"/>
    <w:rsid w:val="5229557F"/>
    <w:rsid w:val="5241293B"/>
    <w:rsid w:val="527C1C93"/>
    <w:rsid w:val="52856B65"/>
    <w:rsid w:val="52C27F12"/>
    <w:rsid w:val="52D14142"/>
    <w:rsid w:val="52E71802"/>
    <w:rsid w:val="52FF2454"/>
    <w:rsid w:val="5363150A"/>
    <w:rsid w:val="53A039CC"/>
    <w:rsid w:val="53A1505A"/>
    <w:rsid w:val="53CE5EE0"/>
    <w:rsid w:val="53D669F4"/>
    <w:rsid w:val="54063E08"/>
    <w:rsid w:val="543437E8"/>
    <w:rsid w:val="544F1C48"/>
    <w:rsid w:val="54C00BB1"/>
    <w:rsid w:val="54F73313"/>
    <w:rsid w:val="54F80955"/>
    <w:rsid w:val="555170A7"/>
    <w:rsid w:val="556E6389"/>
    <w:rsid w:val="5587536D"/>
    <w:rsid w:val="559B174B"/>
    <w:rsid w:val="55CE0CF4"/>
    <w:rsid w:val="56B22A9C"/>
    <w:rsid w:val="56D91B0B"/>
    <w:rsid w:val="570551D0"/>
    <w:rsid w:val="5726041F"/>
    <w:rsid w:val="57727B09"/>
    <w:rsid w:val="578130E3"/>
    <w:rsid w:val="57B72A76"/>
    <w:rsid w:val="57C049F1"/>
    <w:rsid w:val="57C3426C"/>
    <w:rsid w:val="57CE1F93"/>
    <w:rsid w:val="58000136"/>
    <w:rsid w:val="58101699"/>
    <w:rsid w:val="58124717"/>
    <w:rsid w:val="585B01EC"/>
    <w:rsid w:val="586144EF"/>
    <w:rsid w:val="586F67F3"/>
    <w:rsid w:val="58823D7B"/>
    <w:rsid w:val="588743D1"/>
    <w:rsid w:val="5887701A"/>
    <w:rsid w:val="58BD19D9"/>
    <w:rsid w:val="58C55960"/>
    <w:rsid w:val="58C94FFB"/>
    <w:rsid w:val="58E714F5"/>
    <w:rsid w:val="592A27C6"/>
    <w:rsid w:val="59490906"/>
    <w:rsid w:val="59C0439F"/>
    <w:rsid w:val="59D949F9"/>
    <w:rsid w:val="59EF593E"/>
    <w:rsid w:val="5ABE2233"/>
    <w:rsid w:val="5AD32CC4"/>
    <w:rsid w:val="5AD7215D"/>
    <w:rsid w:val="5AE83531"/>
    <w:rsid w:val="5B1433B1"/>
    <w:rsid w:val="5B372BFB"/>
    <w:rsid w:val="5B52500C"/>
    <w:rsid w:val="5B6D7E13"/>
    <w:rsid w:val="5B9261ED"/>
    <w:rsid w:val="5BAA7871"/>
    <w:rsid w:val="5BC53F6F"/>
    <w:rsid w:val="5BCA156F"/>
    <w:rsid w:val="5BDE1292"/>
    <w:rsid w:val="5BDF5D95"/>
    <w:rsid w:val="5BFE7528"/>
    <w:rsid w:val="5C6E4D42"/>
    <w:rsid w:val="5D794F45"/>
    <w:rsid w:val="5DAD7AAE"/>
    <w:rsid w:val="5DCA7D57"/>
    <w:rsid w:val="5E0C65C1"/>
    <w:rsid w:val="5E2467F1"/>
    <w:rsid w:val="5E2735E1"/>
    <w:rsid w:val="5E3C4389"/>
    <w:rsid w:val="5F066AD1"/>
    <w:rsid w:val="5F1A2B43"/>
    <w:rsid w:val="5F3E1E41"/>
    <w:rsid w:val="5FB837BB"/>
    <w:rsid w:val="5FEB0BB3"/>
    <w:rsid w:val="60151BC1"/>
    <w:rsid w:val="60487193"/>
    <w:rsid w:val="606C695F"/>
    <w:rsid w:val="608C0FF4"/>
    <w:rsid w:val="60CC405A"/>
    <w:rsid w:val="60D07D7A"/>
    <w:rsid w:val="61357BDD"/>
    <w:rsid w:val="61E215D8"/>
    <w:rsid w:val="61ED04B8"/>
    <w:rsid w:val="621B3775"/>
    <w:rsid w:val="62364782"/>
    <w:rsid w:val="6271012F"/>
    <w:rsid w:val="62AC242B"/>
    <w:rsid w:val="62CD2097"/>
    <w:rsid w:val="63072016"/>
    <w:rsid w:val="6317105D"/>
    <w:rsid w:val="63650113"/>
    <w:rsid w:val="6394356A"/>
    <w:rsid w:val="63B77607"/>
    <w:rsid w:val="63C61B2C"/>
    <w:rsid w:val="63C96D02"/>
    <w:rsid w:val="63D40BE9"/>
    <w:rsid w:val="63F70A4B"/>
    <w:rsid w:val="64033421"/>
    <w:rsid w:val="64102431"/>
    <w:rsid w:val="64264155"/>
    <w:rsid w:val="64452173"/>
    <w:rsid w:val="647A2BDD"/>
    <w:rsid w:val="64915A72"/>
    <w:rsid w:val="64A5243A"/>
    <w:rsid w:val="64CC2A37"/>
    <w:rsid w:val="64F531DE"/>
    <w:rsid w:val="65350491"/>
    <w:rsid w:val="65373578"/>
    <w:rsid w:val="653D09BB"/>
    <w:rsid w:val="6543450A"/>
    <w:rsid w:val="654348CD"/>
    <w:rsid w:val="6557354E"/>
    <w:rsid w:val="658070D6"/>
    <w:rsid w:val="658C3B58"/>
    <w:rsid w:val="66072780"/>
    <w:rsid w:val="664C1584"/>
    <w:rsid w:val="66560D21"/>
    <w:rsid w:val="667A11E5"/>
    <w:rsid w:val="66DD2A6B"/>
    <w:rsid w:val="671F124A"/>
    <w:rsid w:val="67265D5D"/>
    <w:rsid w:val="672D1356"/>
    <w:rsid w:val="6739419F"/>
    <w:rsid w:val="6746111A"/>
    <w:rsid w:val="677A33C6"/>
    <w:rsid w:val="68064081"/>
    <w:rsid w:val="681F6961"/>
    <w:rsid w:val="68442DFB"/>
    <w:rsid w:val="68610A2F"/>
    <w:rsid w:val="686F084C"/>
    <w:rsid w:val="68805514"/>
    <w:rsid w:val="6892654B"/>
    <w:rsid w:val="68C53F3C"/>
    <w:rsid w:val="68FD25A3"/>
    <w:rsid w:val="69066C92"/>
    <w:rsid w:val="69316E2F"/>
    <w:rsid w:val="694E2071"/>
    <w:rsid w:val="69747D96"/>
    <w:rsid w:val="69766163"/>
    <w:rsid w:val="697A3B33"/>
    <w:rsid w:val="69CE6E20"/>
    <w:rsid w:val="69D44760"/>
    <w:rsid w:val="69D87C9F"/>
    <w:rsid w:val="69FB2B09"/>
    <w:rsid w:val="69FE3A8B"/>
    <w:rsid w:val="6A0D3B18"/>
    <w:rsid w:val="6A123A14"/>
    <w:rsid w:val="6A520EC7"/>
    <w:rsid w:val="6A622E47"/>
    <w:rsid w:val="6A74729B"/>
    <w:rsid w:val="6A8556AB"/>
    <w:rsid w:val="6A902328"/>
    <w:rsid w:val="6AD25369"/>
    <w:rsid w:val="6AD82F38"/>
    <w:rsid w:val="6AF87E20"/>
    <w:rsid w:val="6B2F022A"/>
    <w:rsid w:val="6B322639"/>
    <w:rsid w:val="6B4B3105"/>
    <w:rsid w:val="6BB235AF"/>
    <w:rsid w:val="6BEA0A76"/>
    <w:rsid w:val="6C165A05"/>
    <w:rsid w:val="6C636C38"/>
    <w:rsid w:val="6C8649FD"/>
    <w:rsid w:val="6D033F9F"/>
    <w:rsid w:val="6D113010"/>
    <w:rsid w:val="6D8545BE"/>
    <w:rsid w:val="6DA63E09"/>
    <w:rsid w:val="6DB34098"/>
    <w:rsid w:val="6DB545B6"/>
    <w:rsid w:val="6DE02FB4"/>
    <w:rsid w:val="6DFB21AE"/>
    <w:rsid w:val="6E514CED"/>
    <w:rsid w:val="6E67025A"/>
    <w:rsid w:val="6E706FDE"/>
    <w:rsid w:val="6E9B51D1"/>
    <w:rsid w:val="6EA33CF4"/>
    <w:rsid w:val="6EB563D5"/>
    <w:rsid w:val="6ED92677"/>
    <w:rsid w:val="6EF94770"/>
    <w:rsid w:val="6F225983"/>
    <w:rsid w:val="6FBD613F"/>
    <w:rsid w:val="6FEE27CB"/>
    <w:rsid w:val="6FFC5590"/>
    <w:rsid w:val="70010AB8"/>
    <w:rsid w:val="701201E0"/>
    <w:rsid w:val="702A661F"/>
    <w:rsid w:val="706D1DD0"/>
    <w:rsid w:val="70700C31"/>
    <w:rsid w:val="707A08E1"/>
    <w:rsid w:val="70856B87"/>
    <w:rsid w:val="708D0F8E"/>
    <w:rsid w:val="70A419DB"/>
    <w:rsid w:val="70D527EE"/>
    <w:rsid w:val="71393FD4"/>
    <w:rsid w:val="715A0AFD"/>
    <w:rsid w:val="715B5300"/>
    <w:rsid w:val="715F0C04"/>
    <w:rsid w:val="71664AA5"/>
    <w:rsid w:val="71AB7A47"/>
    <w:rsid w:val="71D27F8A"/>
    <w:rsid w:val="72261199"/>
    <w:rsid w:val="72553024"/>
    <w:rsid w:val="725956F5"/>
    <w:rsid w:val="72921C61"/>
    <w:rsid w:val="72E15E16"/>
    <w:rsid w:val="730A137F"/>
    <w:rsid w:val="73122968"/>
    <w:rsid w:val="73142D6B"/>
    <w:rsid w:val="731F5D5E"/>
    <w:rsid w:val="738239FA"/>
    <w:rsid w:val="73857529"/>
    <w:rsid w:val="738673D5"/>
    <w:rsid w:val="73A478B6"/>
    <w:rsid w:val="73AC46F7"/>
    <w:rsid w:val="73C51AD5"/>
    <w:rsid w:val="740C2DE4"/>
    <w:rsid w:val="741E793C"/>
    <w:rsid w:val="742A2BA2"/>
    <w:rsid w:val="745E3944"/>
    <w:rsid w:val="74856C75"/>
    <w:rsid w:val="74864A31"/>
    <w:rsid w:val="74C10547"/>
    <w:rsid w:val="74E16883"/>
    <w:rsid w:val="75073186"/>
    <w:rsid w:val="75963B29"/>
    <w:rsid w:val="75DA6B4D"/>
    <w:rsid w:val="75E91F88"/>
    <w:rsid w:val="76052538"/>
    <w:rsid w:val="7635099D"/>
    <w:rsid w:val="767D7C04"/>
    <w:rsid w:val="76C21ABB"/>
    <w:rsid w:val="76E77774"/>
    <w:rsid w:val="77762421"/>
    <w:rsid w:val="77B56B1F"/>
    <w:rsid w:val="77B92741"/>
    <w:rsid w:val="780F09F4"/>
    <w:rsid w:val="786E1D9F"/>
    <w:rsid w:val="7891242C"/>
    <w:rsid w:val="78A90480"/>
    <w:rsid w:val="79CE276B"/>
    <w:rsid w:val="7A1C3FAC"/>
    <w:rsid w:val="7A29287B"/>
    <w:rsid w:val="7A364017"/>
    <w:rsid w:val="7A8265E1"/>
    <w:rsid w:val="7A9F497D"/>
    <w:rsid w:val="7AA97EC5"/>
    <w:rsid w:val="7AB07205"/>
    <w:rsid w:val="7B1261BC"/>
    <w:rsid w:val="7B686D42"/>
    <w:rsid w:val="7B6A44CF"/>
    <w:rsid w:val="7B772DF8"/>
    <w:rsid w:val="7B7C318C"/>
    <w:rsid w:val="7B825CBD"/>
    <w:rsid w:val="7B841746"/>
    <w:rsid w:val="7B8540E2"/>
    <w:rsid w:val="7B9642F1"/>
    <w:rsid w:val="7BB720BB"/>
    <w:rsid w:val="7C1E567C"/>
    <w:rsid w:val="7C2D749A"/>
    <w:rsid w:val="7C4D0079"/>
    <w:rsid w:val="7C6C5AC7"/>
    <w:rsid w:val="7C954B88"/>
    <w:rsid w:val="7CC6544B"/>
    <w:rsid w:val="7CD32E12"/>
    <w:rsid w:val="7CDC0712"/>
    <w:rsid w:val="7D0239FF"/>
    <w:rsid w:val="7D4341BC"/>
    <w:rsid w:val="7D592A4D"/>
    <w:rsid w:val="7D5E40CD"/>
    <w:rsid w:val="7D6848ED"/>
    <w:rsid w:val="7D8600AB"/>
    <w:rsid w:val="7DCD56F2"/>
    <w:rsid w:val="7DF7700A"/>
    <w:rsid w:val="7E282B4B"/>
    <w:rsid w:val="7E3C487A"/>
    <w:rsid w:val="7E3F359E"/>
    <w:rsid w:val="7E454594"/>
    <w:rsid w:val="7E6C5C55"/>
    <w:rsid w:val="7EDF70A6"/>
    <w:rsid w:val="7F001CE7"/>
    <w:rsid w:val="7F176D3A"/>
    <w:rsid w:val="7F357588"/>
    <w:rsid w:val="7F58120E"/>
    <w:rsid w:val="7FD7741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nhideWhenUsed="0" w:uiPriority="9" w:semiHidden="0" w:name="heading 2" w:locked="1"/>
    <w:lsdException w:qFormat="1" w:unhideWhenUsed="0" w:uiPriority="9"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qFormat="1"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qFormat="1" w:unhideWhenUsed="0" w:uiPriority="39" w:semiHidden="0" w:name="toc 4" w:locked="1"/>
    <w:lsdException w:qFormat="1" w:unhideWhenUsed="0" w:uiPriority="39" w:semiHidden="0" w:name="toc 5" w:locked="1"/>
    <w:lsdException w:qFormat="1" w:unhideWhenUsed="0" w:uiPriority="39" w:semiHidden="0" w:name="toc 6" w:locked="1"/>
    <w:lsdException w:qFormat="1" w:unhideWhenUsed="0" w:uiPriority="39" w:semiHidden="0" w:name="toc 7" w:locked="1"/>
    <w:lsdException w:qFormat="1" w:unhideWhenUsed="0" w:uiPriority="39" w:semiHidden="0" w:name="toc 8" w:locked="1"/>
    <w:lsdException w:qFormat="1" w:unhideWhenUsed="0" w:uiPriority="39" w:semiHidden="0" w:name="toc 9" w:locked="1"/>
    <w:lsdException w:qFormat="1" w:unhideWhenUsed="0" w:uiPriority="99" w:semiHidden="0" w:name="Normal Indent" w:locked="1"/>
    <w:lsdException w:qFormat="1" w:unhideWhenUsed="0" w:uiPriority="0" w:semiHidden="0"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ocked="1"/>
    <w:lsdException w:qFormat="1" w:unhideWhenUsed="0" w:uiPriority="35" w:semiHidden="0" w:name="caption" w:locked="1"/>
    <w:lsdException w:qFormat="1" w:unhideWhenUsed="0" w:uiPriority="0" w:semiHidden="0" w:name="table of figures" w:locked="1"/>
    <w:lsdException w:qFormat="1" w:unhideWhenUsed="0" w:uiPriority="0" w:semiHidden="0" w:name="envelope address" w:locked="1"/>
    <w:lsdException w:qFormat="1" w:unhideWhenUsed="0" w:uiPriority="0" w:semiHidden="0" w:name="envelope return" w:locked="1"/>
    <w:lsdException w:qFormat="1"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qFormat="1" w:unhideWhenUsed="0" w:uiPriority="0" w:semiHidden="0" w:name="endnote reference" w:locked="1"/>
    <w:lsdException w:qFormat="1" w:unhideWhenUsed="0" w:uiPriority="0" w:semiHidden="0" w:name="endnote text" w:locked="1"/>
    <w:lsdException w:qFormat="1" w:unhideWhenUsed="0" w:uiPriority="0" w:semiHidden="0" w:name="table of authorities" w:locked="1"/>
    <w:lsdException w:qFormat="1" w:unhideWhenUsed="0" w:uiPriority="0" w:semiHidden="0" w:name="macro" w:locked="1"/>
    <w:lsdException w:qFormat="1" w:unhideWhenUsed="0" w:uiPriority="0" w:semiHidden="0" w:name="toa heading" w:locked="1"/>
    <w:lsdException w:qFormat="1" w:unhideWhenUsed="0" w:uiPriority="0" w:semiHidden="0" w:name="List" w:locked="1"/>
    <w:lsdException w:qFormat="1" w:unhideWhenUsed="0" w:uiPriority="0" w:semiHidden="0" w:name="List Bullet" w:locked="1"/>
    <w:lsdException w:qFormat="1" w:unhideWhenUsed="0" w:uiPriority="0" w:semiHidden="0" w:name="List Number" w:locked="1"/>
    <w:lsdException w:qFormat="1" w:unhideWhenUsed="0" w:uiPriority="0" w:semiHidden="0" w:name="List 2" w:locked="1"/>
    <w:lsdException w:qFormat="1" w:unhideWhenUsed="0" w:uiPriority="0" w:semiHidden="0" w:name="List 3" w:locked="1"/>
    <w:lsdException w:qFormat="1" w:unhideWhenUsed="0" w:uiPriority="0" w:semiHidden="0" w:name="List 4" w:locked="1"/>
    <w:lsdException w:qFormat="1" w:unhideWhenUsed="0" w:uiPriority="0" w:semiHidden="0" w:name="List 5" w:locked="1"/>
    <w:lsdException w:qFormat="1" w:unhideWhenUsed="0" w:uiPriority="0" w:semiHidden="0" w:name="List Bullet 2" w:locked="1"/>
    <w:lsdException w:qFormat="1" w:unhideWhenUsed="0" w:uiPriority="0" w:semiHidden="0" w:name="List Bullet 3" w:locked="1"/>
    <w:lsdException w:qFormat="1" w:unhideWhenUsed="0" w:uiPriority="0" w:semiHidden="0" w:name="List Bullet 4" w:locked="1"/>
    <w:lsdException w:qFormat="1" w:unhideWhenUsed="0" w:uiPriority="0" w:semiHidden="0" w:name="List Bullet 5" w:locked="1"/>
    <w:lsdException w:qFormat="1" w:unhideWhenUsed="0" w:uiPriority="0" w:semiHidden="0" w:name="List Number 2" w:locked="1"/>
    <w:lsdException w:qFormat="1" w:unhideWhenUsed="0" w:uiPriority="0" w:semiHidden="0" w:name="List Number 3" w:locked="1"/>
    <w:lsdException w:qFormat="1" w:unhideWhenUsed="0" w:uiPriority="0" w:semiHidden="0" w:name="List Number 4" w:locked="1"/>
    <w:lsdException w:qFormat="1" w:unhideWhenUsed="0" w:uiPriority="0" w:semiHidden="0" w:name="List Number 5" w:locked="1"/>
    <w:lsdException w:qFormat="1" w:unhideWhenUsed="0" w:uiPriority="0" w:semiHidden="0" w:name="Title" w:locked="1"/>
    <w:lsdException w:qFormat="1" w:unhideWhenUsed="0" w:uiPriority="0" w:semiHidden="0" w:name="Closing" w:locked="1"/>
    <w:lsdException w:qFormat="1" w:unhideWhenUsed="0" w:uiPriority="0" w:semiHidden="0" w:name="Signature" w:locked="1"/>
    <w:lsdException w:qFormat="1" w:uiPriority="1" w:name="Default Paragraph Font"/>
    <w:lsdException w:qFormat="1" w:unhideWhenUsed="0" w:uiPriority="0" w:semiHidden="0" w:name="Body Text"/>
    <w:lsdException w:qFormat="1" w:unhideWhenUsed="0" w:uiPriority="99" w:semiHidden="0" w:name="Body Text Indent"/>
    <w:lsdException w:qFormat="1" w:unhideWhenUsed="0" w:uiPriority="0" w:semiHidden="0" w:name="List Continue" w:locked="1"/>
    <w:lsdException w:qFormat="1" w:unhideWhenUsed="0" w:uiPriority="0" w:semiHidden="0" w:name="List Continue 2" w:locked="1"/>
    <w:lsdException w:qFormat="1" w:unhideWhenUsed="0" w:uiPriority="0" w:semiHidden="0" w:name="List Continue 3" w:locked="1"/>
    <w:lsdException w:qFormat="1" w:unhideWhenUsed="0" w:uiPriority="0" w:semiHidden="0" w:name="List Continue 4" w:locked="1"/>
    <w:lsdException w:qFormat="1"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99" w:semiHidden="0" w:name="Date"/>
    <w:lsdException w:qFormat="1" w:unhideWhenUsed="0" w:uiPriority="0" w:semiHidden="0" w:name="Body Text First Indent" w:locked="1"/>
    <w:lsdException w:qFormat="1" w:uiPriority="99"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iPriority="99" w:semiHidden="0" w:name="FollowedHyperlink" w:locked="1"/>
    <w:lsdException w:qFormat="1" w:unhideWhenUsed="0" w:uiPriority="0" w:semiHidden="0" w:name="Strong" w:locked="1"/>
    <w:lsdException w:qFormat="1" w:unhideWhenUsed="0" w:uiPriority="0" w:semiHidden="0" w:name="Emphasis" w:locked="1"/>
    <w:lsdException w:qFormat="1" w:unhideWhenUsed="0" w:uiPriority="99"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qFormat="1" w:unhideWhenUsed="0" w:uiPriority="0" w:semiHidden="0" w:name="HTML Address" w:locked="1"/>
    <w:lsdException w:unhideWhenUsed="0" w:uiPriority="0" w:semiHidden="0" w:name="HTML Cite" w:locked="1"/>
    <w:lsdException w:qFormat="1"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nhideWhenUsed="0" w:uiPriority="0" w:semiHidden="0" w:name="Table Grid 1" w:locked="1"/>
    <w:lsdException w:uiPriority="0" w:name="Table Grid 2" w:locked="1"/>
    <w:lsdException w:uiPriority="0" w:name="Table Grid 3" w:locked="1"/>
    <w:lsdException w:uiPriority="0" w:name="Table Grid 4" w:locked="1"/>
    <w:lsdException w:qFormat="1" w:unhideWhenUsed="0" w:uiPriority="0" w:semiHidden="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qFormat="1" w:unhideWhenUsed="0" w:uiPriority="0" w:semiHidden="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qFormat="1" w:unhideWhenUsed="0" w:uiPriority="0" w:semiHidden="0" w:name="Table Theme" w:locked="1"/>
    <w:lsdException w:qFormat="1" w:unhideWhenUsed="0" w:uiPriority="0"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link w:val="105"/>
    <w:qFormat/>
    <w:locked/>
    <w:uiPriority w:val="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106"/>
    <w:autoRedefine/>
    <w:qFormat/>
    <w:locked/>
    <w:uiPriority w:val="9"/>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107"/>
    <w:autoRedefine/>
    <w:qFormat/>
    <w:locked/>
    <w:uiPriority w:val="9"/>
    <w:pPr>
      <w:keepNext/>
      <w:keepLines/>
      <w:spacing w:before="260" w:after="260" w:line="416" w:lineRule="auto"/>
      <w:outlineLvl w:val="2"/>
    </w:pPr>
    <w:rPr>
      <w:b/>
      <w:bCs/>
      <w:sz w:val="32"/>
      <w:szCs w:val="32"/>
    </w:rPr>
  </w:style>
  <w:style w:type="paragraph" w:styleId="6">
    <w:name w:val="heading 4"/>
    <w:basedOn w:val="1"/>
    <w:next w:val="1"/>
    <w:link w:val="108"/>
    <w:autoRedefine/>
    <w:qFormat/>
    <w:locked/>
    <w:uiPriority w:val="0"/>
    <w:pPr>
      <w:keepNext/>
      <w:keepLines/>
      <w:spacing w:before="280" w:after="290" w:line="376" w:lineRule="auto"/>
      <w:outlineLvl w:val="3"/>
    </w:pPr>
    <w:rPr>
      <w:rFonts w:ascii="Cambria" w:hAnsi="Cambria"/>
      <w:b/>
      <w:bCs/>
      <w:sz w:val="28"/>
      <w:szCs w:val="28"/>
    </w:rPr>
  </w:style>
  <w:style w:type="paragraph" w:styleId="7">
    <w:name w:val="heading 5"/>
    <w:basedOn w:val="1"/>
    <w:next w:val="8"/>
    <w:link w:val="109"/>
    <w:autoRedefine/>
    <w:qFormat/>
    <w:locked/>
    <w:uiPriority w:val="0"/>
    <w:pPr>
      <w:keepNext/>
      <w:keepLines/>
      <w:tabs>
        <w:tab w:val="left" w:pos="1008"/>
      </w:tabs>
      <w:spacing w:before="280" w:after="290" w:line="376" w:lineRule="auto"/>
      <w:ind w:left="1008" w:hanging="1008"/>
      <w:outlineLvl w:val="4"/>
    </w:pPr>
    <w:rPr>
      <w:b/>
      <w:sz w:val="28"/>
      <w:szCs w:val="20"/>
    </w:rPr>
  </w:style>
  <w:style w:type="paragraph" w:styleId="9">
    <w:name w:val="heading 6"/>
    <w:basedOn w:val="1"/>
    <w:next w:val="1"/>
    <w:link w:val="111"/>
    <w:autoRedefine/>
    <w:qFormat/>
    <w:locked/>
    <w:uiPriority w:val="0"/>
    <w:pPr>
      <w:keepNext/>
      <w:keepLines/>
      <w:spacing w:line="360" w:lineRule="auto"/>
      <w:jc w:val="center"/>
      <w:outlineLvl w:val="5"/>
    </w:pPr>
    <w:rPr>
      <w:rFonts w:ascii="Arial" w:hAnsi="Arial"/>
      <w:b/>
      <w:bCs/>
      <w:sz w:val="24"/>
    </w:rPr>
  </w:style>
  <w:style w:type="paragraph" w:styleId="10">
    <w:name w:val="heading 7"/>
    <w:basedOn w:val="1"/>
    <w:next w:val="1"/>
    <w:link w:val="112"/>
    <w:autoRedefine/>
    <w:qFormat/>
    <w:locked/>
    <w:uiPriority w:val="0"/>
    <w:pPr>
      <w:keepNext/>
      <w:keepLines/>
      <w:tabs>
        <w:tab w:val="left" w:pos="1296"/>
      </w:tabs>
      <w:adjustRightInd w:val="0"/>
      <w:snapToGrid w:val="0"/>
      <w:spacing w:before="240" w:after="64" w:line="320" w:lineRule="auto"/>
      <w:ind w:left="1296" w:leftChars="200" w:hanging="1296"/>
      <w:jc w:val="left"/>
      <w:outlineLvl w:val="6"/>
    </w:pPr>
    <w:rPr>
      <w:b/>
      <w:bCs/>
      <w:sz w:val="24"/>
    </w:rPr>
  </w:style>
  <w:style w:type="paragraph" w:styleId="11">
    <w:name w:val="heading 8"/>
    <w:basedOn w:val="1"/>
    <w:next w:val="8"/>
    <w:link w:val="113"/>
    <w:autoRedefine/>
    <w:qFormat/>
    <w:locked/>
    <w:uiPriority w:val="0"/>
    <w:pPr>
      <w:keepNext/>
      <w:keepLines/>
      <w:tabs>
        <w:tab w:val="left" w:pos="1440"/>
      </w:tabs>
      <w:adjustRightInd w:val="0"/>
      <w:spacing w:line="360" w:lineRule="auto"/>
      <w:ind w:left="1440" w:hanging="1440"/>
      <w:textAlignment w:val="baseline"/>
      <w:outlineLvl w:val="7"/>
    </w:pPr>
    <w:rPr>
      <w:rFonts w:ascii="Arial" w:hAnsi="Arial"/>
      <w:kern w:val="0"/>
      <w:sz w:val="24"/>
      <w:szCs w:val="20"/>
    </w:rPr>
  </w:style>
  <w:style w:type="paragraph" w:styleId="12">
    <w:name w:val="heading 9"/>
    <w:basedOn w:val="1"/>
    <w:next w:val="8"/>
    <w:link w:val="114"/>
    <w:autoRedefine/>
    <w:qFormat/>
    <w:locked/>
    <w:uiPriority w:val="0"/>
    <w:pPr>
      <w:keepNext/>
      <w:keepLines/>
      <w:tabs>
        <w:tab w:val="left" w:pos="1584"/>
      </w:tabs>
      <w:adjustRightInd w:val="0"/>
      <w:spacing w:line="360" w:lineRule="auto"/>
      <w:ind w:left="1584" w:hanging="1584"/>
      <w:textAlignment w:val="baseline"/>
      <w:outlineLvl w:val="8"/>
    </w:pPr>
    <w:rPr>
      <w:rFonts w:ascii="Arial" w:hAnsi="Arial"/>
      <w:kern w:val="0"/>
      <w:sz w:val="24"/>
      <w:szCs w:val="20"/>
    </w:rPr>
  </w:style>
  <w:style w:type="character" w:default="1" w:styleId="89">
    <w:name w:val="Default Paragraph Font"/>
    <w:autoRedefine/>
    <w:semiHidden/>
    <w:unhideWhenUsed/>
    <w:qFormat/>
    <w:uiPriority w:val="1"/>
  </w:style>
  <w:style w:type="table" w:default="1" w:styleId="83">
    <w:name w:val="Normal Table"/>
    <w:autoRedefine/>
    <w:semiHidden/>
    <w:unhideWhenUsed/>
    <w:qFormat/>
    <w:uiPriority w:val="99"/>
    <w:tblPr>
      <w:tblCellMar>
        <w:top w:w="0" w:type="dxa"/>
        <w:left w:w="108" w:type="dxa"/>
        <w:bottom w:w="0" w:type="dxa"/>
        <w:right w:w="108" w:type="dxa"/>
      </w:tblCellMar>
    </w:tblPr>
  </w:style>
  <w:style w:type="paragraph" w:styleId="2">
    <w:name w:val="macro"/>
    <w:basedOn w:val="1"/>
    <w:link w:val="104"/>
    <w:autoRedefine/>
    <w:qFormat/>
    <w:locked/>
    <w:uiPriority w:val="0"/>
    <w:pPr>
      <w:widowControl/>
      <w:spacing w:before="100" w:beforeAutospacing="1" w:after="100" w:afterAutospacing="1"/>
      <w:jc w:val="left"/>
    </w:pPr>
    <w:rPr>
      <w:rFonts w:ascii="宋体" w:hAnsi="宋体"/>
      <w:sz w:val="24"/>
    </w:rPr>
  </w:style>
  <w:style w:type="paragraph" w:styleId="8">
    <w:name w:val="Normal Indent"/>
    <w:basedOn w:val="1"/>
    <w:link w:val="110"/>
    <w:autoRedefine/>
    <w:qFormat/>
    <w:locked/>
    <w:uiPriority w:val="99"/>
    <w:pPr>
      <w:ind w:firstLine="420" w:firstLineChars="200"/>
    </w:pPr>
  </w:style>
  <w:style w:type="paragraph" w:styleId="13">
    <w:name w:val="List 3"/>
    <w:basedOn w:val="1"/>
    <w:autoRedefine/>
    <w:qFormat/>
    <w:locked/>
    <w:uiPriority w:val="0"/>
    <w:pPr>
      <w:spacing w:before="60"/>
      <w:ind w:left="1260" w:hanging="420"/>
    </w:pPr>
    <w:rPr>
      <w:rFonts w:ascii="Arial" w:hAnsi="Arial" w:eastAsia="仿宋_GB2312"/>
      <w:kern w:val="0"/>
      <w:sz w:val="24"/>
      <w:szCs w:val="20"/>
    </w:rPr>
  </w:style>
  <w:style w:type="paragraph" w:styleId="14">
    <w:name w:val="toc 7"/>
    <w:basedOn w:val="1"/>
    <w:next w:val="1"/>
    <w:autoRedefine/>
    <w:qFormat/>
    <w:locked/>
    <w:uiPriority w:val="39"/>
    <w:pPr>
      <w:snapToGrid w:val="0"/>
      <w:spacing w:line="500" w:lineRule="exact"/>
      <w:ind w:left="1440"/>
      <w:jc w:val="left"/>
    </w:pPr>
    <w:rPr>
      <w:sz w:val="18"/>
      <w:szCs w:val="18"/>
    </w:rPr>
  </w:style>
  <w:style w:type="paragraph" w:styleId="15">
    <w:name w:val="List Number 2"/>
    <w:basedOn w:val="1"/>
    <w:autoRedefine/>
    <w:qFormat/>
    <w:locked/>
    <w:uiPriority w:val="0"/>
    <w:pPr>
      <w:tabs>
        <w:tab w:val="left" w:pos="780"/>
      </w:tabs>
      <w:spacing w:before="60"/>
      <w:ind w:left="780" w:hanging="360"/>
    </w:pPr>
    <w:rPr>
      <w:rFonts w:ascii="Arial" w:hAnsi="Arial" w:eastAsia="仿宋_GB2312"/>
      <w:kern w:val="0"/>
      <w:sz w:val="24"/>
      <w:szCs w:val="20"/>
    </w:rPr>
  </w:style>
  <w:style w:type="paragraph" w:styleId="16">
    <w:name w:val="table of authorities"/>
    <w:basedOn w:val="1"/>
    <w:next w:val="1"/>
    <w:autoRedefine/>
    <w:qFormat/>
    <w:locked/>
    <w:uiPriority w:val="0"/>
    <w:pPr>
      <w:ind w:left="210" w:hanging="210"/>
      <w:jc w:val="left"/>
    </w:pPr>
    <w:rPr>
      <w:sz w:val="20"/>
      <w:szCs w:val="20"/>
    </w:rPr>
  </w:style>
  <w:style w:type="paragraph" w:styleId="17">
    <w:name w:val="Note Heading"/>
    <w:basedOn w:val="1"/>
    <w:next w:val="1"/>
    <w:link w:val="115"/>
    <w:autoRedefine/>
    <w:qFormat/>
    <w:locked/>
    <w:uiPriority w:val="0"/>
    <w:pPr>
      <w:jc w:val="center"/>
    </w:pPr>
    <w:rPr>
      <w:rFonts w:ascii="Arial" w:hAnsi="Arial"/>
      <w:bCs/>
      <w:sz w:val="28"/>
      <w:szCs w:val="28"/>
    </w:rPr>
  </w:style>
  <w:style w:type="paragraph" w:styleId="18">
    <w:name w:val="List Bullet 4"/>
    <w:basedOn w:val="1"/>
    <w:autoRedefine/>
    <w:qFormat/>
    <w:locked/>
    <w:uiPriority w:val="0"/>
    <w:pPr>
      <w:tabs>
        <w:tab w:val="left" w:pos="1620"/>
      </w:tabs>
      <w:spacing w:before="60"/>
      <w:ind w:left="1620" w:leftChars="600" w:hanging="360" w:hangingChars="200"/>
    </w:pPr>
    <w:rPr>
      <w:rFonts w:ascii="Arial" w:hAnsi="Arial" w:eastAsia="仿宋_GB2312"/>
      <w:kern w:val="0"/>
      <w:sz w:val="24"/>
      <w:szCs w:val="20"/>
    </w:rPr>
  </w:style>
  <w:style w:type="paragraph" w:styleId="19">
    <w:name w:val="E-mail Signature"/>
    <w:basedOn w:val="1"/>
    <w:link w:val="116"/>
    <w:autoRedefine/>
    <w:qFormat/>
    <w:locked/>
    <w:uiPriority w:val="0"/>
    <w:pPr>
      <w:spacing w:before="60"/>
      <w:ind w:firstLine="482"/>
    </w:pPr>
    <w:rPr>
      <w:rFonts w:ascii="Arial" w:hAnsi="Arial" w:eastAsia="仿宋_GB2312"/>
      <w:sz w:val="24"/>
      <w:szCs w:val="22"/>
    </w:rPr>
  </w:style>
  <w:style w:type="paragraph" w:styleId="20">
    <w:name w:val="List Number"/>
    <w:basedOn w:val="1"/>
    <w:autoRedefine/>
    <w:qFormat/>
    <w:locked/>
    <w:uiPriority w:val="0"/>
    <w:pPr>
      <w:tabs>
        <w:tab w:val="left" w:pos="360"/>
      </w:tabs>
      <w:spacing w:before="60"/>
      <w:ind w:left="360" w:hanging="360" w:hangingChars="200"/>
    </w:pPr>
    <w:rPr>
      <w:rFonts w:ascii="Arial" w:hAnsi="Arial" w:eastAsia="仿宋_GB2312"/>
      <w:kern w:val="0"/>
      <w:sz w:val="24"/>
      <w:szCs w:val="20"/>
    </w:rPr>
  </w:style>
  <w:style w:type="paragraph" w:styleId="21">
    <w:name w:val="caption"/>
    <w:basedOn w:val="1"/>
    <w:next w:val="1"/>
    <w:link w:val="117"/>
    <w:autoRedefine/>
    <w:qFormat/>
    <w:locked/>
    <w:uiPriority w:val="35"/>
    <w:pPr>
      <w:snapToGrid w:val="0"/>
      <w:spacing w:line="500" w:lineRule="exact"/>
      <w:jc w:val="left"/>
    </w:pPr>
    <w:rPr>
      <w:rFonts w:ascii="Arial" w:hAnsi="Arial" w:eastAsia="黑体" w:cs="Arial"/>
      <w:sz w:val="20"/>
      <w:szCs w:val="20"/>
    </w:rPr>
  </w:style>
  <w:style w:type="paragraph" w:styleId="22">
    <w:name w:val="List Bullet"/>
    <w:basedOn w:val="1"/>
    <w:autoRedefine/>
    <w:qFormat/>
    <w:locked/>
    <w:uiPriority w:val="0"/>
    <w:pPr>
      <w:numPr>
        <w:ilvl w:val="0"/>
        <w:numId w:val="1"/>
      </w:numPr>
      <w:spacing w:line="360" w:lineRule="auto"/>
    </w:pPr>
    <w:rPr>
      <w:sz w:val="24"/>
    </w:rPr>
  </w:style>
  <w:style w:type="paragraph" w:styleId="23">
    <w:name w:val="envelope address"/>
    <w:basedOn w:val="1"/>
    <w:autoRedefine/>
    <w:qFormat/>
    <w:locked/>
    <w:uiPriority w:val="0"/>
    <w:pPr>
      <w:snapToGrid w:val="0"/>
      <w:spacing w:before="60"/>
      <w:ind w:left="2880" w:firstLine="482"/>
    </w:pPr>
    <w:rPr>
      <w:rFonts w:ascii="Arial" w:hAnsi="Arial" w:eastAsia="仿宋_GB2312" w:cs="Arial"/>
      <w:kern w:val="0"/>
      <w:sz w:val="24"/>
      <w:szCs w:val="20"/>
    </w:rPr>
  </w:style>
  <w:style w:type="paragraph" w:styleId="24">
    <w:name w:val="Document Map"/>
    <w:basedOn w:val="1"/>
    <w:link w:val="118"/>
    <w:autoRedefine/>
    <w:qFormat/>
    <w:locked/>
    <w:uiPriority w:val="99"/>
    <w:pPr>
      <w:shd w:val="clear" w:color="auto" w:fill="000080"/>
    </w:pPr>
  </w:style>
  <w:style w:type="paragraph" w:styleId="25">
    <w:name w:val="toa heading"/>
    <w:basedOn w:val="1"/>
    <w:next w:val="1"/>
    <w:autoRedefine/>
    <w:qFormat/>
    <w:locked/>
    <w:uiPriority w:val="0"/>
    <w:pPr>
      <w:spacing w:before="120"/>
    </w:pPr>
    <w:rPr>
      <w:rFonts w:ascii="Arial" w:hAnsi="Arial" w:cs="Arial"/>
      <w:sz w:val="24"/>
    </w:rPr>
  </w:style>
  <w:style w:type="paragraph" w:styleId="26">
    <w:name w:val="annotation text"/>
    <w:basedOn w:val="1"/>
    <w:link w:val="119"/>
    <w:autoRedefine/>
    <w:qFormat/>
    <w:uiPriority w:val="0"/>
    <w:pPr>
      <w:jc w:val="left"/>
    </w:pPr>
    <w:rPr>
      <w:kern w:val="0"/>
      <w:sz w:val="24"/>
      <w:szCs w:val="20"/>
    </w:rPr>
  </w:style>
  <w:style w:type="paragraph" w:styleId="27">
    <w:name w:val="Salutation"/>
    <w:basedOn w:val="1"/>
    <w:next w:val="1"/>
    <w:link w:val="120"/>
    <w:autoRedefine/>
    <w:qFormat/>
    <w:locked/>
    <w:uiPriority w:val="0"/>
  </w:style>
  <w:style w:type="paragraph" w:styleId="28">
    <w:name w:val="Body Text 3"/>
    <w:basedOn w:val="1"/>
    <w:link w:val="121"/>
    <w:autoRedefine/>
    <w:qFormat/>
    <w:locked/>
    <w:uiPriority w:val="0"/>
    <w:pPr>
      <w:spacing w:line="360" w:lineRule="auto"/>
    </w:pPr>
    <w:rPr>
      <w:rFonts w:ascii="宋体" w:hAnsi="宋体"/>
      <w:sz w:val="24"/>
    </w:rPr>
  </w:style>
  <w:style w:type="paragraph" w:styleId="29">
    <w:name w:val="Closing"/>
    <w:basedOn w:val="1"/>
    <w:link w:val="122"/>
    <w:autoRedefine/>
    <w:qFormat/>
    <w:locked/>
    <w:uiPriority w:val="0"/>
    <w:pPr>
      <w:spacing w:before="60"/>
      <w:ind w:left="4320" w:firstLine="482"/>
    </w:pPr>
    <w:rPr>
      <w:rFonts w:ascii="Arial" w:hAnsi="Arial" w:eastAsia="仿宋_GB2312"/>
      <w:sz w:val="24"/>
      <w:szCs w:val="22"/>
    </w:rPr>
  </w:style>
  <w:style w:type="paragraph" w:styleId="30">
    <w:name w:val="List Bullet 3"/>
    <w:basedOn w:val="1"/>
    <w:autoRedefine/>
    <w:qFormat/>
    <w:locked/>
    <w:uiPriority w:val="0"/>
    <w:pPr>
      <w:tabs>
        <w:tab w:val="left" w:pos="1200"/>
      </w:tabs>
      <w:spacing w:before="60"/>
      <w:ind w:left="1200" w:hanging="360"/>
    </w:pPr>
    <w:rPr>
      <w:rFonts w:ascii="Arial" w:hAnsi="Arial" w:eastAsia="仿宋_GB2312"/>
      <w:kern w:val="0"/>
      <w:sz w:val="24"/>
      <w:szCs w:val="20"/>
    </w:rPr>
  </w:style>
  <w:style w:type="paragraph" w:styleId="31">
    <w:name w:val="Body Text"/>
    <w:basedOn w:val="1"/>
    <w:next w:val="32"/>
    <w:link w:val="123"/>
    <w:autoRedefine/>
    <w:qFormat/>
    <w:uiPriority w:val="0"/>
    <w:pPr>
      <w:widowControl/>
      <w:snapToGrid w:val="0"/>
      <w:spacing w:before="60" w:after="160" w:line="259" w:lineRule="auto"/>
      <w:ind w:right="113"/>
    </w:pPr>
    <w:rPr>
      <w:kern w:val="0"/>
      <w:sz w:val="18"/>
      <w:szCs w:val="20"/>
    </w:rPr>
  </w:style>
  <w:style w:type="paragraph" w:styleId="32">
    <w:name w:val="List Bullet 5"/>
    <w:basedOn w:val="1"/>
    <w:autoRedefine/>
    <w:qFormat/>
    <w:locked/>
    <w:uiPriority w:val="0"/>
    <w:pPr>
      <w:tabs>
        <w:tab w:val="left" w:pos="2040"/>
      </w:tabs>
      <w:spacing w:before="60"/>
      <w:ind w:left="2040" w:hanging="360"/>
    </w:pPr>
    <w:rPr>
      <w:rFonts w:ascii="Arial" w:hAnsi="Arial" w:eastAsia="仿宋_GB2312"/>
      <w:kern w:val="0"/>
      <w:sz w:val="24"/>
      <w:szCs w:val="20"/>
    </w:rPr>
  </w:style>
  <w:style w:type="paragraph" w:styleId="33">
    <w:name w:val="Body Text Indent"/>
    <w:basedOn w:val="1"/>
    <w:link w:val="124"/>
    <w:autoRedefine/>
    <w:qFormat/>
    <w:uiPriority w:val="99"/>
    <w:pPr>
      <w:spacing w:after="120"/>
      <w:ind w:left="420" w:leftChars="200"/>
    </w:pPr>
    <w:rPr>
      <w:kern w:val="0"/>
      <w:sz w:val="24"/>
      <w:szCs w:val="20"/>
    </w:rPr>
  </w:style>
  <w:style w:type="paragraph" w:styleId="34">
    <w:name w:val="List Number 3"/>
    <w:basedOn w:val="1"/>
    <w:autoRedefine/>
    <w:qFormat/>
    <w:locked/>
    <w:uiPriority w:val="0"/>
    <w:pPr>
      <w:tabs>
        <w:tab w:val="left" w:pos="1200"/>
      </w:tabs>
      <w:spacing w:before="60"/>
      <w:ind w:left="1200" w:hanging="360"/>
    </w:pPr>
    <w:rPr>
      <w:rFonts w:ascii="Arial" w:hAnsi="Arial" w:eastAsia="仿宋_GB2312"/>
      <w:kern w:val="0"/>
      <w:sz w:val="24"/>
      <w:szCs w:val="20"/>
    </w:rPr>
  </w:style>
  <w:style w:type="paragraph" w:styleId="35">
    <w:name w:val="List 2"/>
    <w:basedOn w:val="1"/>
    <w:autoRedefine/>
    <w:qFormat/>
    <w:locked/>
    <w:uiPriority w:val="0"/>
    <w:pPr>
      <w:ind w:left="100" w:leftChars="200" w:hanging="200" w:hangingChars="200"/>
    </w:pPr>
    <w:rPr>
      <w:rFonts w:eastAsia="仿宋_GB2312"/>
      <w:snapToGrid w:val="0"/>
      <w:color w:val="000000"/>
      <w:kern w:val="0"/>
      <w:sz w:val="28"/>
      <w:szCs w:val="32"/>
    </w:rPr>
  </w:style>
  <w:style w:type="paragraph" w:styleId="36">
    <w:name w:val="List Continue"/>
    <w:basedOn w:val="1"/>
    <w:autoRedefine/>
    <w:qFormat/>
    <w:locked/>
    <w:uiPriority w:val="0"/>
    <w:pPr>
      <w:spacing w:after="120"/>
      <w:ind w:left="420" w:leftChars="200"/>
    </w:pPr>
  </w:style>
  <w:style w:type="paragraph" w:styleId="37">
    <w:name w:val="Block Text"/>
    <w:basedOn w:val="1"/>
    <w:autoRedefine/>
    <w:qFormat/>
    <w:locked/>
    <w:uiPriority w:val="0"/>
    <w:pPr>
      <w:autoSpaceDE w:val="0"/>
      <w:autoSpaceDN w:val="0"/>
      <w:adjustRightInd w:val="0"/>
      <w:ind w:left="98" w:right="72" w:firstLine="490" w:firstLineChars="175"/>
      <w:jc w:val="left"/>
    </w:pPr>
    <w:rPr>
      <w:rFonts w:ascii="宋体" w:hAnsi="宋体"/>
      <w:kern w:val="0"/>
      <w:sz w:val="28"/>
      <w:szCs w:val="26"/>
    </w:rPr>
  </w:style>
  <w:style w:type="paragraph" w:styleId="38">
    <w:name w:val="List Bullet 2"/>
    <w:basedOn w:val="1"/>
    <w:autoRedefine/>
    <w:qFormat/>
    <w:locked/>
    <w:uiPriority w:val="0"/>
    <w:pPr>
      <w:tabs>
        <w:tab w:val="left" w:pos="780"/>
      </w:tabs>
      <w:spacing w:before="60"/>
      <w:ind w:left="780" w:leftChars="200" w:hanging="360" w:hangingChars="200"/>
    </w:pPr>
    <w:rPr>
      <w:rFonts w:ascii="Arial" w:hAnsi="Arial" w:eastAsia="仿宋_GB2312"/>
      <w:kern w:val="0"/>
      <w:sz w:val="24"/>
      <w:szCs w:val="20"/>
    </w:rPr>
  </w:style>
  <w:style w:type="paragraph" w:styleId="39">
    <w:name w:val="HTML Address"/>
    <w:basedOn w:val="1"/>
    <w:link w:val="126"/>
    <w:autoRedefine/>
    <w:qFormat/>
    <w:locked/>
    <w:uiPriority w:val="0"/>
    <w:pPr>
      <w:spacing w:before="60"/>
      <w:ind w:firstLine="482"/>
    </w:pPr>
    <w:rPr>
      <w:rFonts w:ascii="Arial" w:hAnsi="Arial" w:eastAsia="仿宋_GB2312"/>
      <w:i/>
      <w:iCs/>
      <w:sz w:val="24"/>
      <w:szCs w:val="22"/>
    </w:rPr>
  </w:style>
  <w:style w:type="paragraph" w:styleId="40">
    <w:name w:val="index 4"/>
    <w:basedOn w:val="1"/>
    <w:next w:val="1"/>
    <w:autoRedefine/>
    <w:qFormat/>
    <w:locked/>
    <w:uiPriority w:val="0"/>
    <w:pPr>
      <w:spacing w:line="360" w:lineRule="auto"/>
      <w:ind w:left="600" w:leftChars="600" w:firstLine="200" w:firstLineChars="200"/>
    </w:pPr>
    <w:rPr>
      <w:rFonts w:ascii="宋体"/>
      <w:sz w:val="24"/>
    </w:rPr>
  </w:style>
  <w:style w:type="paragraph" w:styleId="41">
    <w:name w:val="toc 5"/>
    <w:basedOn w:val="1"/>
    <w:next w:val="1"/>
    <w:autoRedefine/>
    <w:qFormat/>
    <w:locked/>
    <w:uiPriority w:val="39"/>
    <w:pPr>
      <w:snapToGrid w:val="0"/>
      <w:spacing w:line="500" w:lineRule="exact"/>
      <w:ind w:left="960"/>
      <w:jc w:val="left"/>
    </w:pPr>
    <w:rPr>
      <w:sz w:val="18"/>
      <w:szCs w:val="18"/>
    </w:rPr>
  </w:style>
  <w:style w:type="paragraph" w:styleId="42">
    <w:name w:val="toc 3"/>
    <w:basedOn w:val="1"/>
    <w:next w:val="1"/>
    <w:autoRedefine/>
    <w:qFormat/>
    <w:locked/>
    <w:uiPriority w:val="39"/>
    <w:pPr>
      <w:snapToGrid w:val="0"/>
      <w:spacing w:line="500" w:lineRule="exact"/>
      <w:ind w:left="480"/>
      <w:jc w:val="left"/>
    </w:pPr>
    <w:rPr>
      <w:i/>
      <w:iCs/>
      <w:sz w:val="20"/>
      <w:szCs w:val="20"/>
    </w:rPr>
  </w:style>
  <w:style w:type="paragraph" w:styleId="43">
    <w:name w:val="Plain Text"/>
    <w:basedOn w:val="1"/>
    <w:link w:val="103"/>
    <w:autoRedefine/>
    <w:qFormat/>
    <w:locked/>
    <w:uiPriority w:val="0"/>
    <w:rPr>
      <w:rFonts w:ascii="宋体" w:hAnsi="Courier New" w:cs="Courier New"/>
    </w:rPr>
  </w:style>
  <w:style w:type="paragraph" w:styleId="44">
    <w:name w:val="List Number 4"/>
    <w:basedOn w:val="1"/>
    <w:autoRedefine/>
    <w:qFormat/>
    <w:locked/>
    <w:uiPriority w:val="0"/>
    <w:pPr>
      <w:tabs>
        <w:tab w:val="left" w:pos="1620"/>
      </w:tabs>
      <w:spacing w:before="60"/>
      <w:ind w:left="1620" w:hanging="360"/>
    </w:pPr>
    <w:rPr>
      <w:rFonts w:ascii="Arial" w:hAnsi="Arial" w:eastAsia="仿宋_GB2312"/>
      <w:kern w:val="0"/>
      <w:sz w:val="24"/>
      <w:szCs w:val="20"/>
    </w:rPr>
  </w:style>
  <w:style w:type="paragraph" w:styleId="45">
    <w:name w:val="toc 8"/>
    <w:basedOn w:val="1"/>
    <w:next w:val="1"/>
    <w:autoRedefine/>
    <w:qFormat/>
    <w:locked/>
    <w:uiPriority w:val="39"/>
    <w:pPr>
      <w:snapToGrid w:val="0"/>
      <w:spacing w:line="500" w:lineRule="exact"/>
      <w:ind w:left="1680"/>
      <w:jc w:val="left"/>
    </w:pPr>
    <w:rPr>
      <w:sz w:val="18"/>
      <w:szCs w:val="18"/>
    </w:rPr>
  </w:style>
  <w:style w:type="paragraph" w:styleId="46">
    <w:name w:val="Date"/>
    <w:basedOn w:val="1"/>
    <w:next w:val="1"/>
    <w:link w:val="127"/>
    <w:autoRedefine/>
    <w:qFormat/>
    <w:uiPriority w:val="99"/>
    <w:pPr>
      <w:ind w:left="100" w:leftChars="2500"/>
    </w:pPr>
    <w:rPr>
      <w:kern w:val="0"/>
      <w:sz w:val="24"/>
      <w:szCs w:val="20"/>
    </w:rPr>
  </w:style>
  <w:style w:type="paragraph" w:styleId="47">
    <w:name w:val="Body Text Indent 2"/>
    <w:basedOn w:val="1"/>
    <w:link w:val="128"/>
    <w:autoRedefine/>
    <w:qFormat/>
    <w:locked/>
    <w:uiPriority w:val="0"/>
    <w:pPr>
      <w:spacing w:before="120"/>
      <w:ind w:right="113" w:firstLine="570"/>
    </w:pPr>
    <w:rPr>
      <w:kern w:val="24"/>
      <w:sz w:val="28"/>
      <w:szCs w:val="20"/>
    </w:rPr>
  </w:style>
  <w:style w:type="paragraph" w:styleId="48">
    <w:name w:val="endnote text"/>
    <w:basedOn w:val="1"/>
    <w:link w:val="129"/>
    <w:autoRedefine/>
    <w:qFormat/>
    <w:locked/>
    <w:uiPriority w:val="0"/>
    <w:pPr>
      <w:snapToGrid w:val="0"/>
      <w:jc w:val="left"/>
    </w:pPr>
  </w:style>
  <w:style w:type="paragraph" w:styleId="49">
    <w:name w:val="List Continue 5"/>
    <w:basedOn w:val="1"/>
    <w:autoRedefine/>
    <w:qFormat/>
    <w:locked/>
    <w:uiPriority w:val="0"/>
    <w:pPr>
      <w:spacing w:before="60" w:after="120"/>
      <w:ind w:left="2100" w:firstLine="482"/>
    </w:pPr>
    <w:rPr>
      <w:rFonts w:ascii="Arial" w:hAnsi="Arial" w:eastAsia="仿宋_GB2312"/>
      <w:kern w:val="0"/>
      <w:sz w:val="24"/>
      <w:szCs w:val="20"/>
    </w:rPr>
  </w:style>
  <w:style w:type="paragraph" w:styleId="50">
    <w:name w:val="Balloon Text"/>
    <w:basedOn w:val="1"/>
    <w:link w:val="130"/>
    <w:autoRedefine/>
    <w:semiHidden/>
    <w:qFormat/>
    <w:uiPriority w:val="0"/>
    <w:rPr>
      <w:kern w:val="0"/>
      <w:sz w:val="18"/>
      <w:szCs w:val="20"/>
    </w:rPr>
  </w:style>
  <w:style w:type="paragraph" w:styleId="51">
    <w:name w:val="footer"/>
    <w:basedOn w:val="1"/>
    <w:link w:val="131"/>
    <w:autoRedefine/>
    <w:qFormat/>
    <w:uiPriority w:val="99"/>
    <w:pPr>
      <w:tabs>
        <w:tab w:val="center" w:pos="4153"/>
        <w:tab w:val="right" w:pos="8306"/>
      </w:tabs>
      <w:snapToGrid w:val="0"/>
      <w:jc w:val="left"/>
    </w:pPr>
    <w:rPr>
      <w:kern w:val="0"/>
      <w:sz w:val="18"/>
      <w:szCs w:val="20"/>
    </w:rPr>
  </w:style>
  <w:style w:type="paragraph" w:styleId="52">
    <w:name w:val="envelope return"/>
    <w:basedOn w:val="1"/>
    <w:autoRedefine/>
    <w:qFormat/>
    <w:locked/>
    <w:uiPriority w:val="0"/>
    <w:pPr>
      <w:snapToGrid w:val="0"/>
      <w:spacing w:before="60"/>
      <w:ind w:firstLine="482"/>
    </w:pPr>
    <w:rPr>
      <w:rFonts w:ascii="Arial" w:hAnsi="Arial" w:eastAsia="仿宋_GB2312" w:cs="Arial"/>
      <w:kern w:val="0"/>
      <w:sz w:val="24"/>
      <w:szCs w:val="20"/>
    </w:rPr>
  </w:style>
  <w:style w:type="paragraph" w:styleId="53">
    <w:name w:val="header"/>
    <w:basedOn w:val="1"/>
    <w:next w:val="54"/>
    <w:link w:val="132"/>
    <w:autoRedefine/>
    <w:qFormat/>
    <w:uiPriority w:val="99"/>
    <w:pPr>
      <w:pBdr>
        <w:bottom w:val="single" w:color="auto" w:sz="6" w:space="1"/>
      </w:pBdr>
      <w:tabs>
        <w:tab w:val="center" w:pos="4153"/>
        <w:tab w:val="right" w:pos="8306"/>
      </w:tabs>
      <w:snapToGrid w:val="0"/>
      <w:jc w:val="center"/>
    </w:pPr>
    <w:rPr>
      <w:kern w:val="0"/>
      <w:sz w:val="18"/>
      <w:szCs w:val="20"/>
    </w:rPr>
  </w:style>
  <w:style w:type="paragraph" w:customStyle="1" w:styleId="54">
    <w:name w:val="样式5"/>
    <w:basedOn w:val="55"/>
    <w:next w:val="1"/>
    <w:link w:val="265"/>
    <w:autoRedefine/>
    <w:qFormat/>
    <w:uiPriority w:val="0"/>
    <w:pPr>
      <w:widowControl w:val="0"/>
      <w:snapToGrid/>
      <w:spacing w:before="0" w:after="0" w:line="240" w:lineRule="auto"/>
      <w:ind w:right="-105" w:rightChars="-50"/>
      <w:jc w:val="center"/>
    </w:pPr>
    <w:rPr>
      <w:rFonts w:ascii="宋体"/>
      <w:sz w:val="20"/>
      <w:szCs w:val="21"/>
    </w:rPr>
  </w:style>
  <w:style w:type="paragraph" w:customStyle="1" w:styleId="55">
    <w:name w:val="正文1"/>
    <w:basedOn w:val="31"/>
    <w:next w:val="1"/>
    <w:link w:val="266"/>
    <w:autoRedefine/>
    <w:qFormat/>
    <w:uiPriority w:val="0"/>
    <w:pPr>
      <w:adjustRightInd w:val="0"/>
      <w:spacing w:line="500" w:lineRule="atLeast"/>
      <w:ind w:firstLine="567"/>
    </w:pPr>
    <w:rPr>
      <w:sz w:val="28"/>
    </w:rPr>
  </w:style>
  <w:style w:type="paragraph" w:styleId="56">
    <w:name w:val="Signature"/>
    <w:basedOn w:val="1"/>
    <w:link w:val="133"/>
    <w:autoRedefine/>
    <w:qFormat/>
    <w:locked/>
    <w:uiPriority w:val="0"/>
    <w:pPr>
      <w:spacing w:before="60"/>
      <w:ind w:left="4320" w:firstLine="482"/>
    </w:pPr>
    <w:rPr>
      <w:rFonts w:ascii="Arial" w:hAnsi="Arial" w:eastAsia="仿宋_GB2312"/>
      <w:sz w:val="24"/>
      <w:szCs w:val="22"/>
    </w:rPr>
  </w:style>
  <w:style w:type="paragraph" w:styleId="57">
    <w:name w:val="toc 1"/>
    <w:basedOn w:val="1"/>
    <w:next w:val="1"/>
    <w:link w:val="134"/>
    <w:autoRedefine/>
    <w:qFormat/>
    <w:locked/>
    <w:uiPriority w:val="39"/>
    <w:pPr>
      <w:tabs>
        <w:tab w:val="right" w:leader="dot" w:pos="9060"/>
      </w:tabs>
      <w:snapToGrid w:val="0"/>
      <w:spacing w:before="120" w:after="120" w:line="360" w:lineRule="auto"/>
      <w:jc w:val="left"/>
    </w:pPr>
    <w:rPr>
      <w:b/>
      <w:bCs/>
      <w:caps/>
      <w:sz w:val="20"/>
      <w:szCs w:val="20"/>
    </w:rPr>
  </w:style>
  <w:style w:type="paragraph" w:styleId="58">
    <w:name w:val="List Continue 4"/>
    <w:basedOn w:val="1"/>
    <w:autoRedefine/>
    <w:qFormat/>
    <w:locked/>
    <w:uiPriority w:val="0"/>
    <w:pPr>
      <w:spacing w:before="60" w:after="120"/>
      <w:ind w:left="1680" w:firstLine="482"/>
    </w:pPr>
    <w:rPr>
      <w:rFonts w:ascii="Arial" w:hAnsi="Arial" w:eastAsia="仿宋_GB2312"/>
      <w:kern w:val="0"/>
      <w:sz w:val="24"/>
      <w:szCs w:val="20"/>
    </w:rPr>
  </w:style>
  <w:style w:type="paragraph" w:styleId="59">
    <w:name w:val="toc 4"/>
    <w:basedOn w:val="1"/>
    <w:next w:val="1"/>
    <w:autoRedefine/>
    <w:qFormat/>
    <w:locked/>
    <w:uiPriority w:val="39"/>
    <w:pPr>
      <w:tabs>
        <w:tab w:val="right" w:leader="dot" w:pos="9060"/>
      </w:tabs>
      <w:snapToGrid w:val="0"/>
      <w:spacing w:line="360" w:lineRule="auto"/>
      <w:ind w:left="720"/>
      <w:jc w:val="left"/>
    </w:pPr>
    <w:rPr>
      <w:b/>
      <w:sz w:val="18"/>
      <w:szCs w:val="18"/>
    </w:rPr>
  </w:style>
  <w:style w:type="paragraph" w:styleId="60">
    <w:name w:val="index heading"/>
    <w:basedOn w:val="1"/>
    <w:next w:val="61"/>
    <w:autoRedefine/>
    <w:qFormat/>
    <w:locked/>
    <w:uiPriority w:val="0"/>
  </w:style>
  <w:style w:type="paragraph" w:styleId="61">
    <w:name w:val="index 1"/>
    <w:basedOn w:val="1"/>
    <w:next w:val="1"/>
    <w:autoRedefine/>
    <w:unhideWhenUsed/>
    <w:qFormat/>
    <w:locked/>
    <w:uiPriority w:val="0"/>
  </w:style>
  <w:style w:type="paragraph" w:styleId="62">
    <w:name w:val="Subtitle"/>
    <w:basedOn w:val="1"/>
    <w:link w:val="135"/>
    <w:autoRedefine/>
    <w:qFormat/>
    <w:locked/>
    <w:uiPriority w:val="0"/>
    <w:pPr>
      <w:spacing w:before="240" w:after="60" w:line="312" w:lineRule="auto"/>
      <w:ind w:firstLine="482"/>
      <w:jc w:val="center"/>
      <w:outlineLvl w:val="1"/>
    </w:pPr>
    <w:rPr>
      <w:rFonts w:ascii="Arial" w:hAnsi="Arial" w:eastAsia="仿宋_GB2312"/>
      <w:b/>
      <w:bCs/>
      <w:kern w:val="28"/>
      <w:sz w:val="32"/>
      <w:szCs w:val="32"/>
    </w:rPr>
  </w:style>
  <w:style w:type="paragraph" w:styleId="63">
    <w:name w:val="List Number 5"/>
    <w:basedOn w:val="1"/>
    <w:autoRedefine/>
    <w:qFormat/>
    <w:locked/>
    <w:uiPriority w:val="0"/>
    <w:pPr>
      <w:tabs>
        <w:tab w:val="left" w:pos="420"/>
      </w:tabs>
      <w:spacing w:before="60"/>
      <w:ind w:left="420" w:hanging="420"/>
    </w:pPr>
    <w:rPr>
      <w:rFonts w:ascii="Arial" w:hAnsi="Arial" w:eastAsia="仿宋_GB2312"/>
      <w:kern w:val="0"/>
      <w:sz w:val="24"/>
      <w:szCs w:val="20"/>
    </w:rPr>
  </w:style>
  <w:style w:type="paragraph" w:styleId="64">
    <w:name w:val="List"/>
    <w:basedOn w:val="1"/>
    <w:autoRedefine/>
    <w:qFormat/>
    <w:locked/>
    <w:uiPriority w:val="0"/>
    <w:pPr>
      <w:snapToGrid w:val="0"/>
      <w:spacing w:line="500" w:lineRule="exact"/>
      <w:jc w:val="left"/>
    </w:pPr>
    <w:rPr>
      <w:szCs w:val="20"/>
    </w:rPr>
  </w:style>
  <w:style w:type="paragraph" w:styleId="65">
    <w:name w:val="footnote text"/>
    <w:basedOn w:val="1"/>
    <w:link w:val="136"/>
    <w:autoRedefine/>
    <w:qFormat/>
    <w:locked/>
    <w:uiPriority w:val="0"/>
    <w:pPr>
      <w:snapToGrid w:val="0"/>
      <w:spacing w:line="360" w:lineRule="auto"/>
      <w:ind w:firstLine="200" w:firstLineChars="200"/>
      <w:jc w:val="left"/>
    </w:pPr>
    <w:rPr>
      <w:rFonts w:ascii="宋体"/>
      <w:sz w:val="18"/>
      <w:szCs w:val="18"/>
    </w:rPr>
  </w:style>
  <w:style w:type="paragraph" w:styleId="66">
    <w:name w:val="toc 6"/>
    <w:basedOn w:val="1"/>
    <w:next w:val="1"/>
    <w:autoRedefine/>
    <w:qFormat/>
    <w:locked/>
    <w:uiPriority w:val="39"/>
    <w:pPr>
      <w:snapToGrid w:val="0"/>
      <w:spacing w:line="500" w:lineRule="exact"/>
      <w:ind w:left="1200"/>
      <w:jc w:val="left"/>
    </w:pPr>
    <w:rPr>
      <w:sz w:val="18"/>
      <w:szCs w:val="18"/>
    </w:rPr>
  </w:style>
  <w:style w:type="paragraph" w:styleId="67">
    <w:name w:val="List 5"/>
    <w:basedOn w:val="1"/>
    <w:autoRedefine/>
    <w:qFormat/>
    <w:locked/>
    <w:uiPriority w:val="0"/>
    <w:pPr>
      <w:spacing w:before="60"/>
      <w:ind w:left="2100" w:hanging="420"/>
    </w:pPr>
    <w:rPr>
      <w:rFonts w:ascii="Arial" w:hAnsi="Arial" w:eastAsia="仿宋_GB2312"/>
      <w:kern w:val="0"/>
      <w:sz w:val="24"/>
      <w:szCs w:val="20"/>
    </w:rPr>
  </w:style>
  <w:style w:type="paragraph" w:styleId="68">
    <w:name w:val="Body Text Indent 3"/>
    <w:basedOn w:val="1"/>
    <w:link w:val="137"/>
    <w:autoRedefine/>
    <w:qFormat/>
    <w:locked/>
    <w:uiPriority w:val="0"/>
    <w:pPr>
      <w:spacing w:after="120"/>
      <w:ind w:left="420" w:leftChars="200"/>
    </w:pPr>
    <w:rPr>
      <w:sz w:val="16"/>
      <w:szCs w:val="16"/>
    </w:rPr>
  </w:style>
  <w:style w:type="paragraph" w:styleId="69">
    <w:name w:val="table of figures"/>
    <w:basedOn w:val="1"/>
    <w:next w:val="1"/>
    <w:autoRedefine/>
    <w:qFormat/>
    <w:locked/>
    <w:uiPriority w:val="0"/>
    <w:pPr>
      <w:tabs>
        <w:tab w:val="right" w:leader="dot" w:pos="8312"/>
      </w:tabs>
      <w:adjustRightInd w:val="0"/>
      <w:spacing w:line="360" w:lineRule="auto"/>
      <w:textAlignment w:val="baseline"/>
    </w:pPr>
    <w:rPr>
      <w:rFonts w:ascii="宋体"/>
      <w:kern w:val="0"/>
      <w:szCs w:val="20"/>
    </w:rPr>
  </w:style>
  <w:style w:type="paragraph" w:styleId="70">
    <w:name w:val="toc 2"/>
    <w:basedOn w:val="1"/>
    <w:next w:val="1"/>
    <w:autoRedefine/>
    <w:qFormat/>
    <w:locked/>
    <w:uiPriority w:val="39"/>
    <w:pPr>
      <w:tabs>
        <w:tab w:val="right" w:leader="dot" w:pos="9060"/>
      </w:tabs>
      <w:snapToGrid w:val="0"/>
      <w:ind w:left="240"/>
      <w:jc w:val="left"/>
    </w:pPr>
    <w:rPr>
      <w:smallCaps/>
      <w:sz w:val="20"/>
      <w:szCs w:val="20"/>
    </w:rPr>
  </w:style>
  <w:style w:type="paragraph" w:styleId="71">
    <w:name w:val="toc 9"/>
    <w:basedOn w:val="1"/>
    <w:next w:val="1"/>
    <w:autoRedefine/>
    <w:qFormat/>
    <w:locked/>
    <w:uiPriority w:val="39"/>
    <w:pPr>
      <w:snapToGrid w:val="0"/>
      <w:spacing w:line="500" w:lineRule="exact"/>
      <w:ind w:left="1920"/>
      <w:jc w:val="left"/>
    </w:pPr>
    <w:rPr>
      <w:sz w:val="18"/>
      <w:szCs w:val="18"/>
    </w:rPr>
  </w:style>
  <w:style w:type="paragraph" w:styleId="72">
    <w:name w:val="Body Text 2"/>
    <w:basedOn w:val="1"/>
    <w:link w:val="138"/>
    <w:autoRedefine/>
    <w:qFormat/>
    <w:locked/>
    <w:uiPriority w:val="0"/>
    <w:rPr>
      <w:rFonts w:eastAsia="仿宋_GB2312"/>
      <w:sz w:val="32"/>
    </w:rPr>
  </w:style>
  <w:style w:type="paragraph" w:styleId="73">
    <w:name w:val="List 4"/>
    <w:basedOn w:val="1"/>
    <w:autoRedefine/>
    <w:qFormat/>
    <w:locked/>
    <w:uiPriority w:val="0"/>
    <w:pPr>
      <w:spacing w:before="60"/>
      <w:ind w:left="1680" w:hanging="420"/>
    </w:pPr>
    <w:rPr>
      <w:rFonts w:ascii="Arial" w:hAnsi="Arial" w:eastAsia="仿宋_GB2312"/>
      <w:kern w:val="0"/>
      <w:sz w:val="24"/>
      <w:szCs w:val="20"/>
    </w:rPr>
  </w:style>
  <w:style w:type="paragraph" w:styleId="74">
    <w:name w:val="List Continue 2"/>
    <w:basedOn w:val="1"/>
    <w:autoRedefine/>
    <w:qFormat/>
    <w:locked/>
    <w:uiPriority w:val="0"/>
    <w:pPr>
      <w:spacing w:before="60" w:after="120"/>
      <w:ind w:left="840" w:firstLine="482"/>
    </w:pPr>
    <w:rPr>
      <w:rFonts w:ascii="Arial" w:hAnsi="Arial" w:eastAsia="仿宋_GB2312"/>
      <w:kern w:val="0"/>
      <w:sz w:val="24"/>
      <w:szCs w:val="20"/>
    </w:rPr>
  </w:style>
  <w:style w:type="paragraph" w:styleId="75">
    <w:name w:val="Message Header"/>
    <w:basedOn w:val="1"/>
    <w:link w:val="139"/>
    <w:autoRedefine/>
    <w:qFormat/>
    <w:locked/>
    <w:uiPriority w:val="0"/>
    <w:pPr>
      <w:pBdr>
        <w:top w:val="single" w:color="auto" w:sz="6" w:space="1"/>
        <w:left w:val="single" w:color="auto" w:sz="6" w:space="1"/>
        <w:bottom w:val="single" w:color="auto" w:sz="6" w:space="1"/>
        <w:right w:val="single" w:color="auto" w:sz="6" w:space="1"/>
      </w:pBdr>
      <w:shd w:val="pct20" w:color="auto" w:fill="auto"/>
      <w:spacing w:before="60"/>
      <w:ind w:left="1080" w:hanging="1080"/>
    </w:pPr>
    <w:rPr>
      <w:rFonts w:ascii="宋体" w:hAnsi="宋体" w:cs="宋体"/>
      <w:sz w:val="24"/>
    </w:rPr>
  </w:style>
  <w:style w:type="paragraph" w:styleId="76">
    <w:name w:val="HTML Preformatted"/>
    <w:basedOn w:val="1"/>
    <w:link w:val="140"/>
    <w:autoRedefine/>
    <w:qFormat/>
    <w:locked/>
    <w:uiPriority w:val="0"/>
    <w:rPr>
      <w:rFonts w:ascii="Courier New" w:hAnsi="Courier New" w:cs="Courier New"/>
      <w:sz w:val="20"/>
      <w:szCs w:val="20"/>
    </w:rPr>
  </w:style>
  <w:style w:type="paragraph" w:styleId="77">
    <w:name w:val="Normal (Web)"/>
    <w:basedOn w:val="1"/>
    <w:link w:val="141"/>
    <w:autoRedefine/>
    <w:qFormat/>
    <w:uiPriority w:val="0"/>
    <w:pPr>
      <w:widowControl/>
      <w:spacing w:before="100" w:beforeAutospacing="1" w:after="100" w:afterAutospacing="1"/>
      <w:jc w:val="left"/>
    </w:pPr>
    <w:rPr>
      <w:rFonts w:ascii="宋体" w:hAnsi="宋体"/>
      <w:kern w:val="0"/>
      <w:sz w:val="24"/>
      <w:szCs w:val="20"/>
    </w:rPr>
  </w:style>
  <w:style w:type="paragraph" w:styleId="78">
    <w:name w:val="List Continue 3"/>
    <w:basedOn w:val="1"/>
    <w:autoRedefine/>
    <w:qFormat/>
    <w:locked/>
    <w:uiPriority w:val="0"/>
    <w:pPr>
      <w:spacing w:before="60" w:after="120"/>
      <w:ind w:left="1260" w:firstLine="482"/>
    </w:pPr>
    <w:rPr>
      <w:rFonts w:ascii="Arial" w:hAnsi="Arial" w:eastAsia="仿宋_GB2312"/>
      <w:kern w:val="0"/>
      <w:sz w:val="24"/>
      <w:szCs w:val="20"/>
    </w:rPr>
  </w:style>
  <w:style w:type="paragraph" w:styleId="79">
    <w:name w:val="Title"/>
    <w:basedOn w:val="1"/>
    <w:next w:val="1"/>
    <w:link w:val="142"/>
    <w:autoRedefine/>
    <w:qFormat/>
    <w:locked/>
    <w:uiPriority w:val="0"/>
    <w:pPr>
      <w:spacing w:before="240" w:after="60"/>
      <w:jc w:val="center"/>
      <w:outlineLvl w:val="0"/>
    </w:pPr>
    <w:rPr>
      <w:rFonts w:ascii="Cambria" w:hAnsi="Cambria"/>
      <w:b/>
      <w:bCs/>
      <w:sz w:val="32"/>
      <w:szCs w:val="32"/>
    </w:rPr>
  </w:style>
  <w:style w:type="paragraph" w:styleId="80">
    <w:name w:val="annotation subject"/>
    <w:basedOn w:val="26"/>
    <w:next w:val="26"/>
    <w:link w:val="143"/>
    <w:autoRedefine/>
    <w:semiHidden/>
    <w:qFormat/>
    <w:uiPriority w:val="0"/>
    <w:rPr>
      <w:b/>
    </w:rPr>
  </w:style>
  <w:style w:type="paragraph" w:styleId="81">
    <w:name w:val="Body Text First Indent"/>
    <w:basedOn w:val="31"/>
    <w:link w:val="125"/>
    <w:autoRedefine/>
    <w:qFormat/>
    <w:locked/>
    <w:uiPriority w:val="0"/>
    <w:pPr>
      <w:widowControl w:val="0"/>
      <w:snapToGrid/>
      <w:spacing w:before="0" w:after="120" w:line="240" w:lineRule="auto"/>
      <w:ind w:right="0" w:firstLine="420" w:firstLineChars="100"/>
    </w:pPr>
    <w:rPr>
      <w:kern w:val="2"/>
      <w:sz w:val="21"/>
      <w:szCs w:val="24"/>
    </w:rPr>
  </w:style>
  <w:style w:type="paragraph" w:styleId="82">
    <w:name w:val="Body Text First Indent 2"/>
    <w:basedOn w:val="33"/>
    <w:link w:val="144"/>
    <w:autoRedefine/>
    <w:unhideWhenUsed/>
    <w:qFormat/>
    <w:locked/>
    <w:uiPriority w:val="99"/>
    <w:pPr>
      <w:ind w:firstLine="420" w:firstLineChars="200"/>
    </w:pPr>
    <w:rPr>
      <w:szCs w:val="24"/>
    </w:rPr>
  </w:style>
  <w:style w:type="table" w:styleId="84">
    <w:name w:val="Table Grid"/>
    <w:basedOn w:val="83"/>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5">
    <w:name w:val="Table Theme"/>
    <w:basedOn w:val="83"/>
    <w:autoRedefine/>
    <w:qFormat/>
    <w:locked/>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6">
    <w:name w:val="Table Grid 1"/>
    <w:basedOn w:val="83"/>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7">
    <w:name w:val="Table Grid 5"/>
    <w:basedOn w:val="83"/>
    <w:autoRedefine/>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8">
    <w:name w:val="Table Professional"/>
    <w:basedOn w:val="83"/>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90">
    <w:name w:val="Strong"/>
    <w:autoRedefine/>
    <w:qFormat/>
    <w:locked/>
    <w:uiPriority w:val="0"/>
    <w:rPr>
      <w:b/>
      <w:bCs/>
    </w:rPr>
  </w:style>
  <w:style w:type="character" w:styleId="91">
    <w:name w:val="endnote reference"/>
    <w:autoRedefine/>
    <w:qFormat/>
    <w:locked/>
    <w:uiPriority w:val="0"/>
    <w:rPr>
      <w:rFonts w:ascii="宋体" w:hAnsi="宋体" w:eastAsia="宋体" w:cs="宋体"/>
      <w:kern w:val="2"/>
      <w:sz w:val="21"/>
      <w:szCs w:val="24"/>
      <w:vertAlign w:val="superscript"/>
      <w:lang w:val="en-US" w:eastAsia="zh-CN" w:bidi="ar-SA"/>
    </w:rPr>
  </w:style>
  <w:style w:type="character" w:styleId="92">
    <w:name w:val="page number"/>
    <w:autoRedefine/>
    <w:qFormat/>
    <w:locked/>
    <w:uiPriority w:val="0"/>
  </w:style>
  <w:style w:type="character" w:styleId="93">
    <w:name w:val="FollowedHyperlink"/>
    <w:autoRedefine/>
    <w:unhideWhenUsed/>
    <w:qFormat/>
    <w:locked/>
    <w:uiPriority w:val="99"/>
    <w:rPr>
      <w:color w:val="954F72"/>
      <w:u w:val="single"/>
    </w:rPr>
  </w:style>
  <w:style w:type="character" w:styleId="94">
    <w:name w:val="Emphasis"/>
    <w:autoRedefine/>
    <w:qFormat/>
    <w:locked/>
    <w:uiPriority w:val="0"/>
    <w:rPr>
      <w:rFonts w:ascii="宋体" w:hAnsi="宋体" w:eastAsia="宋体" w:cs="宋体"/>
      <w:color w:val="CC0000"/>
      <w:kern w:val="2"/>
      <w:sz w:val="24"/>
      <w:szCs w:val="24"/>
      <w:lang w:val="en-US" w:eastAsia="zh-CN" w:bidi="ar-SA"/>
    </w:rPr>
  </w:style>
  <w:style w:type="character" w:styleId="95">
    <w:name w:val="Hyperlink"/>
    <w:autoRedefine/>
    <w:qFormat/>
    <w:locked/>
    <w:uiPriority w:val="99"/>
    <w:rPr>
      <w:color w:val="0000FF"/>
      <w:u w:val="single"/>
    </w:rPr>
  </w:style>
  <w:style w:type="character" w:styleId="96">
    <w:name w:val="HTML Code"/>
    <w:autoRedefine/>
    <w:qFormat/>
    <w:locked/>
    <w:uiPriority w:val="0"/>
    <w:rPr>
      <w:rFonts w:ascii="黑体" w:hAnsi="Courier New" w:eastAsia="黑体" w:cs="Courier New"/>
      <w:sz w:val="24"/>
      <w:szCs w:val="24"/>
    </w:rPr>
  </w:style>
  <w:style w:type="character" w:styleId="97">
    <w:name w:val="annotation reference"/>
    <w:autoRedefine/>
    <w:semiHidden/>
    <w:qFormat/>
    <w:uiPriority w:val="0"/>
    <w:rPr>
      <w:sz w:val="21"/>
    </w:rPr>
  </w:style>
  <w:style w:type="character" w:styleId="98">
    <w:name w:val="footnote reference"/>
    <w:autoRedefine/>
    <w:qFormat/>
    <w:locked/>
    <w:uiPriority w:val="0"/>
    <w:rPr>
      <w:rFonts w:ascii="宋体" w:hAnsi="宋体" w:eastAsia="宋体" w:cs="宋体"/>
      <w:kern w:val="2"/>
      <w:sz w:val="24"/>
      <w:szCs w:val="24"/>
      <w:vertAlign w:val="superscript"/>
      <w:lang w:val="en-US" w:eastAsia="zh-CN" w:bidi="ar-SA"/>
    </w:rPr>
  </w:style>
  <w:style w:type="paragraph" w:customStyle="1" w:styleId="99">
    <w:name w:val="样式 正文文本缩进 + 行距: 1.5 倍行距"/>
    <w:basedOn w:val="100"/>
    <w:next w:val="1"/>
    <w:autoRedefine/>
    <w:qFormat/>
    <w:uiPriority w:val="0"/>
    <w:pPr>
      <w:ind w:left="90" w:leftChars="32" w:firstLine="560"/>
    </w:pPr>
    <w:rPr>
      <w:rFonts w:cs="宋体"/>
    </w:rPr>
  </w:style>
  <w:style w:type="paragraph" w:customStyle="1" w:styleId="100">
    <w:name w:val="Body Text Indent"/>
    <w:basedOn w:val="1"/>
    <w:next w:val="99"/>
    <w:qFormat/>
    <w:uiPriority w:val="0"/>
    <w:pPr>
      <w:spacing w:after="120" w:afterLines="0"/>
      <w:ind w:left="420" w:leftChars="200"/>
    </w:pPr>
    <w:rPr>
      <w:rFonts w:ascii="Times New Roman" w:hAnsi="Times New Roman" w:eastAsia="宋体"/>
      <w:sz w:val="24"/>
    </w:rPr>
  </w:style>
  <w:style w:type="paragraph" w:customStyle="1" w:styleId="101">
    <w:name w:val="正文文本缩进1"/>
    <w:basedOn w:val="102"/>
    <w:next w:val="99"/>
    <w:autoRedefine/>
    <w:qFormat/>
    <w:uiPriority w:val="0"/>
    <w:pPr>
      <w:spacing w:after="120" w:line="360" w:lineRule="auto"/>
      <w:ind w:left="420" w:leftChars="200" w:firstLine="200" w:firstLineChars="200"/>
    </w:pPr>
    <w:rPr>
      <w:sz w:val="24"/>
    </w:rPr>
  </w:style>
  <w:style w:type="paragraph" w:customStyle="1" w:styleId="102">
    <w:name w:val="Normal New New New New New New New New New New New New New New New New New New New New New New New New New New New New New New New New New New New New New New New New New New New New New New New New New New New New New New New New New New New New New 53"/>
    <w:qFormat/>
    <w:uiPriority w:val="0"/>
    <w:pPr>
      <w:widowControl w:val="0"/>
      <w:jc w:val="both"/>
    </w:pPr>
    <w:rPr>
      <w:rFonts w:hint="eastAsia" w:ascii="Calibri" w:hAnsi="Calibri" w:eastAsia="宋体" w:cs="Times New Roman"/>
      <w:kern w:val="2"/>
      <w:sz w:val="21"/>
      <w:lang w:val="en-US" w:eastAsia="zh-CN" w:bidi="ar-SA"/>
    </w:rPr>
  </w:style>
  <w:style w:type="character" w:customStyle="1" w:styleId="103">
    <w:name w:val="纯文本 字符"/>
    <w:link w:val="43"/>
    <w:autoRedefine/>
    <w:qFormat/>
    <w:uiPriority w:val="0"/>
    <w:rPr>
      <w:rFonts w:ascii="宋体" w:hAnsi="Courier New" w:cs="Courier New"/>
      <w:kern w:val="2"/>
      <w:sz w:val="21"/>
      <w:szCs w:val="21"/>
    </w:rPr>
  </w:style>
  <w:style w:type="character" w:customStyle="1" w:styleId="104">
    <w:name w:val="宏文本 字符"/>
    <w:link w:val="2"/>
    <w:autoRedefine/>
    <w:qFormat/>
    <w:uiPriority w:val="0"/>
    <w:rPr>
      <w:rFonts w:ascii="宋体" w:hAnsi="宋体"/>
      <w:kern w:val="2"/>
      <w:sz w:val="24"/>
      <w:szCs w:val="24"/>
    </w:rPr>
  </w:style>
  <w:style w:type="character" w:customStyle="1" w:styleId="105">
    <w:name w:val="标题 1 字符"/>
    <w:link w:val="3"/>
    <w:autoRedefine/>
    <w:qFormat/>
    <w:uiPriority w:val="9"/>
    <w:rPr>
      <w:rFonts w:eastAsia="黑体"/>
      <w:b/>
      <w:bCs/>
      <w:color w:val="000000"/>
      <w:kern w:val="44"/>
      <w:sz w:val="30"/>
      <w:szCs w:val="30"/>
    </w:rPr>
  </w:style>
  <w:style w:type="character" w:customStyle="1" w:styleId="106">
    <w:name w:val="标题 2 字符"/>
    <w:link w:val="4"/>
    <w:autoRedefine/>
    <w:qFormat/>
    <w:uiPriority w:val="9"/>
    <w:rPr>
      <w:rFonts w:ascii="Arial" w:hAnsi="Arial" w:eastAsia="黑体"/>
      <w:b/>
      <w:bCs/>
      <w:kern w:val="2"/>
      <w:sz w:val="32"/>
      <w:szCs w:val="32"/>
    </w:rPr>
  </w:style>
  <w:style w:type="character" w:customStyle="1" w:styleId="107">
    <w:name w:val="标题 3 字符"/>
    <w:link w:val="5"/>
    <w:autoRedefine/>
    <w:qFormat/>
    <w:uiPriority w:val="9"/>
    <w:rPr>
      <w:b/>
      <w:bCs/>
      <w:kern w:val="2"/>
      <w:sz w:val="32"/>
      <w:szCs w:val="32"/>
    </w:rPr>
  </w:style>
  <w:style w:type="character" w:customStyle="1" w:styleId="108">
    <w:name w:val="标题 4 字符"/>
    <w:link w:val="6"/>
    <w:autoRedefine/>
    <w:qFormat/>
    <w:uiPriority w:val="0"/>
    <w:rPr>
      <w:rFonts w:ascii="Cambria" w:hAnsi="Cambria"/>
      <w:b/>
      <w:bCs/>
      <w:kern w:val="2"/>
      <w:sz w:val="28"/>
      <w:szCs w:val="28"/>
    </w:rPr>
  </w:style>
  <w:style w:type="character" w:customStyle="1" w:styleId="109">
    <w:name w:val="标题 5 字符"/>
    <w:link w:val="7"/>
    <w:autoRedefine/>
    <w:qFormat/>
    <w:uiPriority w:val="0"/>
    <w:rPr>
      <w:b/>
      <w:kern w:val="2"/>
      <w:sz w:val="28"/>
    </w:rPr>
  </w:style>
  <w:style w:type="character" w:customStyle="1" w:styleId="110">
    <w:name w:val="正文缩进 字符"/>
    <w:link w:val="8"/>
    <w:autoRedefine/>
    <w:qFormat/>
    <w:uiPriority w:val="99"/>
    <w:rPr>
      <w:kern w:val="2"/>
      <w:sz w:val="21"/>
      <w:szCs w:val="24"/>
    </w:rPr>
  </w:style>
  <w:style w:type="character" w:customStyle="1" w:styleId="111">
    <w:name w:val="标题 6 字符"/>
    <w:link w:val="9"/>
    <w:autoRedefine/>
    <w:qFormat/>
    <w:uiPriority w:val="0"/>
    <w:rPr>
      <w:rFonts w:ascii="Arial" w:hAnsi="Arial"/>
      <w:b/>
      <w:bCs/>
      <w:kern w:val="2"/>
      <w:sz w:val="24"/>
      <w:szCs w:val="24"/>
    </w:rPr>
  </w:style>
  <w:style w:type="character" w:customStyle="1" w:styleId="112">
    <w:name w:val="标题 7 字符"/>
    <w:link w:val="10"/>
    <w:autoRedefine/>
    <w:qFormat/>
    <w:uiPriority w:val="0"/>
    <w:rPr>
      <w:b/>
      <w:bCs/>
      <w:kern w:val="2"/>
      <w:sz w:val="24"/>
      <w:szCs w:val="24"/>
    </w:rPr>
  </w:style>
  <w:style w:type="character" w:customStyle="1" w:styleId="113">
    <w:name w:val="标题 8 字符"/>
    <w:link w:val="11"/>
    <w:autoRedefine/>
    <w:qFormat/>
    <w:uiPriority w:val="0"/>
    <w:rPr>
      <w:rFonts w:ascii="Arial" w:hAnsi="Arial"/>
      <w:sz w:val="24"/>
    </w:rPr>
  </w:style>
  <w:style w:type="character" w:customStyle="1" w:styleId="114">
    <w:name w:val="标题 9 字符"/>
    <w:link w:val="12"/>
    <w:autoRedefine/>
    <w:qFormat/>
    <w:uiPriority w:val="0"/>
    <w:rPr>
      <w:rFonts w:ascii="Arial" w:hAnsi="Arial"/>
      <w:sz w:val="24"/>
    </w:rPr>
  </w:style>
  <w:style w:type="character" w:customStyle="1" w:styleId="115">
    <w:name w:val="注释标题 字符"/>
    <w:link w:val="17"/>
    <w:autoRedefine/>
    <w:qFormat/>
    <w:uiPriority w:val="0"/>
    <w:rPr>
      <w:rFonts w:ascii="Arial" w:hAnsi="Arial"/>
      <w:bCs/>
      <w:kern w:val="2"/>
      <w:sz w:val="28"/>
      <w:szCs w:val="28"/>
    </w:rPr>
  </w:style>
  <w:style w:type="character" w:customStyle="1" w:styleId="116">
    <w:name w:val="电子邮件签名 字符"/>
    <w:link w:val="19"/>
    <w:autoRedefine/>
    <w:qFormat/>
    <w:uiPriority w:val="0"/>
    <w:rPr>
      <w:rFonts w:ascii="Arial" w:hAnsi="Arial" w:eastAsia="仿宋_GB2312"/>
      <w:kern w:val="2"/>
      <w:sz w:val="24"/>
      <w:szCs w:val="22"/>
    </w:rPr>
  </w:style>
  <w:style w:type="character" w:customStyle="1" w:styleId="117">
    <w:name w:val="题注 字符"/>
    <w:link w:val="21"/>
    <w:autoRedefine/>
    <w:qFormat/>
    <w:uiPriority w:val="35"/>
    <w:rPr>
      <w:rFonts w:ascii="Arial" w:hAnsi="Arial" w:eastAsia="黑体" w:cs="Arial"/>
      <w:kern w:val="2"/>
    </w:rPr>
  </w:style>
  <w:style w:type="character" w:customStyle="1" w:styleId="118">
    <w:name w:val="文档结构图 字符"/>
    <w:link w:val="24"/>
    <w:autoRedefine/>
    <w:qFormat/>
    <w:uiPriority w:val="99"/>
    <w:rPr>
      <w:kern w:val="2"/>
      <w:sz w:val="21"/>
      <w:szCs w:val="24"/>
      <w:shd w:val="clear" w:color="auto" w:fill="000080"/>
    </w:rPr>
  </w:style>
  <w:style w:type="character" w:customStyle="1" w:styleId="119">
    <w:name w:val="批注文字 字符"/>
    <w:link w:val="26"/>
    <w:autoRedefine/>
    <w:qFormat/>
    <w:locked/>
    <w:uiPriority w:val="0"/>
    <w:rPr>
      <w:rFonts w:ascii="Times New Roman" w:hAnsi="Times New Roman" w:eastAsia="宋体"/>
      <w:sz w:val="24"/>
    </w:rPr>
  </w:style>
  <w:style w:type="character" w:customStyle="1" w:styleId="120">
    <w:name w:val="称呼 字符"/>
    <w:link w:val="27"/>
    <w:autoRedefine/>
    <w:qFormat/>
    <w:uiPriority w:val="0"/>
    <w:rPr>
      <w:kern w:val="2"/>
      <w:sz w:val="21"/>
      <w:szCs w:val="24"/>
    </w:rPr>
  </w:style>
  <w:style w:type="character" w:customStyle="1" w:styleId="121">
    <w:name w:val="正文文本 3 字符"/>
    <w:link w:val="28"/>
    <w:autoRedefine/>
    <w:qFormat/>
    <w:uiPriority w:val="0"/>
    <w:rPr>
      <w:rFonts w:ascii="宋体" w:hAnsi="宋体"/>
      <w:kern w:val="2"/>
      <w:sz w:val="24"/>
      <w:szCs w:val="24"/>
    </w:rPr>
  </w:style>
  <w:style w:type="character" w:customStyle="1" w:styleId="122">
    <w:name w:val="结束语 字符"/>
    <w:link w:val="29"/>
    <w:autoRedefine/>
    <w:qFormat/>
    <w:uiPriority w:val="0"/>
    <w:rPr>
      <w:rFonts w:ascii="Arial" w:hAnsi="Arial" w:eastAsia="仿宋_GB2312"/>
      <w:kern w:val="2"/>
      <w:sz w:val="24"/>
      <w:szCs w:val="22"/>
    </w:rPr>
  </w:style>
  <w:style w:type="character" w:customStyle="1" w:styleId="123">
    <w:name w:val="正文文本 字符"/>
    <w:link w:val="31"/>
    <w:autoRedefine/>
    <w:qFormat/>
    <w:locked/>
    <w:uiPriority w:val="0"/>
    <w:rPr>
      <w:sz w:val="18"/>
    </w:rPr>
  </w:style>
  <w:style w:type="character" w:customStyle="1" w:styleId="124">
    <w:name w:val="正文文本缩进 字符"/>
    <w:link w:val="33"/>
    <w:autoRedefine/>
    <w:qFormat/>
    <w:locked/>
    <w:uiPriority w:val="99"/>
    <w:rPr>
      <w:rFonts w:ascii="Times New Roman" w:hAnsi="Times New Roman" w:eastAsia="宋体"/>
      <w:sz w:val="24"/>
    </w:rPr>
  </w:style>
  <w:style w:type="character" w:customStyle="1" w:styleId="125">
    <w:name w:val="正文文本首行缩进 字符"/>
    <w:link w:val="81"/>
    <w:autoRedefine/>
    <w:qFormat/>
    <w:uiPriority w:val="0"/>
    <w:rPr>
      <w:kern w:val="2"/>
      <w:sz w:val="21"/>
      <w:szCs w:val="24"/>
    </w:rPr>
  </w:style>
  <w:style w:type="character" w:customStyle="1" w:styleId="126">
    <w:name w:val="HTML 地址 字符"/>
    <w:link w:val="39"/>
    <w:autoRedefine/>
    <w:qFormat/>
    <w:uiPriority w:val="0"/>
    <w:rPr>
      <w:rFonts w:ascii="Arial" w:hAnsi="Arial" w:eastAsia="仿宋_GB2312"/>
      <w:i/>
      <w:iCs/>
      <w:kern w:val="2"/>
      <w:sz w:val="24"/>
      <w:szCs w:val="22"/>
    </w:rPr>
  </w:style>
  <w:style w:type="character" w:customStyle="1" w:styleId="127">
    <w:name w:val="日期 字符1"/>
    <w:link w:val="46"/>
    <w:autoRedefine/>
    <w:qFormat/>
    <w:locked/>
    <w:uiPriority w:val="0"/>
    <w:rPr>
      <w:rFonts w:ascii="Times New Roman" w:hAnsi="Times New Roman" w:eastAsia="宋体"/>
      <w:sz w:val="24"/>
    </w:rPr>
  </w:style>
  <w:style w:type="character" w:customStyle="1" w:styleId="128">
    <w:name w:val="正文文本缩进 2 字符"/>
    <w:link w:val="47"/>
    <w:autoRedefine/>
    <w:qFormat/>
    <w:uiPriority w:val="0"/>
    <w:rPr>
      <w:kern w:val="24"/>
      <w:sz w:val="28"/>
    </w:rPr>
  </w:style>
  <w:style w:type="character" w:customStyle="1" w:styleId="129">
    <w:name w:val="尾注文本 字符"/>
    <w:link w:val="48"/>
    <w:autoRedefine/>
    <w:qFormat/>
    <w:uiPriority w:val="0"/>
    <w:rPr>
      <w:kern w:val="2"/>
      <w:sz w:val="21"/>
      <w:szCs w:val="24"/>
    </w:rPr>
  </w:style>
  <w:style w:type="character" w:customStyle="1" w:styleId="130">
    <w:name w:val="批注框文本 字符"/>
    <w:link w:val="50"/>
    <w:autoRedefine/>
    <w:semiHidden/>
    <w:qFormat/>
    <w:locked/>
    <w:uiPriority w:val="0"/>
    <w:rPr>
      <w:rFonts w:ascii="Times New Roman" w:hAnsi="Times New Roman" w:eastAsia="宋体"/>
      <w:sz w:val="18"/>
    </w:rPr>
  </w:style>
  <w:style w:type="character" w:customStyle="1" w:styleId="131">
    <w:name w:val="页脚 字符1"/>
    <w:link w:val="51"/>
    <w:autoRedefine/>
    <w:qFormat/>
    <w:locked/>
    <w:uiPriority w:val="99"/>
    <w:rPr>
      <w:sz w:val="18"/>
    </w:rPr>
  </w:style>
  <w:style w:type="character" w:customStyle="1" w:styleId="132">
    <w:name w:val="页眉 字符"/>
    <w:link w:val="53"/>
    <w:autoRedefine/>
    <w:qFormat/>
    <w:locked/>
    <w:uiPriority w:val="99"/>
    <w:rPr>
      <w:sz w:val="18"/>
    </w:rPr>
  </w:style>
  <w:style w:type="character" w:customStyle="1" w:styleId="133">
    <w:name w:val="签名 字符"/>
    <w:link w:val="56"/>
    <w:autoRedefine/>
    <w:qFormat/>
    <w:uiPriority w:val="0"/>
    <w:rPr>
      <w:rFonts w:ascii="Arial" w:hAnsi="Arial" w:eastAsia="仿宋_GB2312"/>
      <w:kern w:val="2"/>
      <w:sz w:val="24"/>
      <w:szCs w:val="22"/>
    </w:rPr>
  </w:style>
  <w:style w:type="character" w:customStyle="1" w:styleId="134">
    <w:name w:val="TOC 1 字符"/>
    <w:link w:val="57"/>
    <w:autoRedefine/>
    <w:qFormat/>
    <w:uiPriority w:val="39"/>
    <w:rPr>
      <w:b/>
      <w:bCs/>
      <w:caps/>
      <w:kern w:val="2"/>
    </w:rPr>
  </w:style>
  <w:style w:type="character" w:customStyle="1" w:styleId="135">
    <w:name w:val="副标题 字符"/>
    <w:link w:val="62"/>
    <w:autoRedefine/>
    <w:qFormat/>
    <w:uiPriority w:val="0"/>
    <w:rPr>
      <w:rFonts w:ascii="Arial" w:hAnsi="Arial" w:eastAsia="仿宋_GB2312"/>
      <w:b/>
      <w:bCs/>
      <w:kern w:val="28"/>
      <w:sz w:val="32"/>
      <w:szCs w:val="32"/>
    </w:rPr>
  </w:style>
  <w:style w:type="character" w:customStyle="1" w:styleId="136">
    <w:name w:val="脚注文本 字符"/>
    <w:link w:val="65"/>
    <w:autoRedefine/>
    <w:qFormat/>
    <w:uiPriority w:val="0"/>
    <w:rPr>
      <w:rFonts w:ascii="宋体"/>
      <w:kern w:val="2"/>
      <w:sz w:val="18"/>
      <w:szCs w:val="18"/>
    </w:rPr>
  </w:style>
  <w:style w:type="character" w:customStyle="1" w:styleId="137">
    <w:name w:val="正文文本缩进 3 字符"/>
    <w:link w:val="68"/>
    <w:autoRedefine/>
    <w:qFormat/>
    <w:uiPriority w:val="0"/>
    <w:rPr>
      <w:kern w:val="2"/>
      <w:sz w:val="16"/>
      <w:szCs w:val="16"/>
    </w:rPr>
  </w:style>
  <w:style w:type="character" w:customStyle="1" w:styleId="138">
    <w:name w:val="正文文本 2 字符"/>
    <w:link w:val="72"/>
    <w:autoRedefine/>
    <w:qFormat/>
    <w:uiPriority w:val="0"/>
    <w:rPr>
      <w:rFonts w:eastAsia="仿宋_GB2312"/>
      <w:kern w:val="2"/>
      <w:sz w:val="32"/>
      <w:szCs w:val="24"/>
    </w:rPr>
  </w:style>
  <w:style w:type="character" w:customStyle="1" w:styleId="139">
    <w:name w:val="信息标题 字符"/>
    <w:link w:val="75"/>
    <w:autoRedefine/>
    <w:qFormat/>
    <w:uiPriority w:val="0"/>
    <w:rPr>
      <w:rFonts w:ascii="宋体" w:hAnsi="宋体" w:cs="宋体"/>
      <w:kern w:val="2"/>
      <w:sz w:val="24"/>
      <w:szCs w:val="21"/>
      <w:shd w:val="pct20" w:color="auto" w:fill="auto"/>
    </w:rPr>
  </w:style>
  <w:style w:type="character" w:customStyle="1" w:styleId="140">
    <w:name w:val="HTML 预设格式 字符"/>
    <w:link w:val="76"/>
    <w:autoRedefine/>
    <w:qFormat/>
    <w:uiPriority w:val="0"/>
    <w:rPr>
      <w:rFonts w:ascii="Courier New" w:hAnsi="Courier New" w:cs="Courier New"/>
      <w:kern w:val="2"/>
    </w:rPr>
  </w:style>
  <w:style w:type="character" w:customStyle="1" w:styleId="141">
    <w:name w:val="普通(网站) 字符"/>
    <w:link w:val="77"/>
    <w:autoRedefine/>
    <w:qFormat/>
    <w:locked/>
    <w:uiPriority w:val="0"/>
    <w:rPr>
      <w:rFonts w:ascii="宋体" w:hAnsi="宋体" w:eastAsia="宋体"/>
      <w:sz w:val="24"/>
    </w:rPr>
  </w:style>
  <w:style w:type="character" w:customStyle="1" w:styleId="142">
    <w:name w:val="标题 字符"/>
    <w:link w:val="79"/>
    <w:autoRedefine/>
    <w:qFormat/>
    <w:uiPriority w:val="0"/>
    <w:rPr>
      <w:rFonts w:ascii="Cambria" w:hAnsi="Cambria"/>
      <w:b/>
      <w:bCs/>
      <w:kern w:val="2"/>
      <w:sz w:val="32"/>
      <w:szCs w:val="32"/>
    </w:rPr>
  </w:style>
  <w:style w:type="character" w:customStyle="1" w:styleId="143">
    <w:name w:val="批注主题 字符"/>
    <w:link w:val="80"/>
    <w:autoRedefine/>
    <w:semiHidden/>
    <w:qFormat/>
    <w:locked/>
    <w:uiPriority w:val="0"/>
    <w:rPr>
      <w:rFonts w:ascii="Times New Roman" w:hAnsi="Times New Roman" w:eastAsia="宋体"/>
      <w:b/>
      <w:kern w:val="2"/>
      <w:sz w:val="24"/>
    </w:rPr>
  </w:style>
  <w:style w:type="character" w:customStyle="1" w:styleId="144">
    <w:name w:val="正文文本首行缩进 2 字符"/>
    <w:link w:val="82"/>
    <w:autoRedefine/>
    <w:qFormat/>
    <w:uiPriority w:val="99"/>
    <w:rPr>
      <w:rFonts w:ascii="Times New Roman" w:hAnsi="Times New Roman" w:eastAsia="宋体"/>
      <w:kern w:val="2"/>
      <w:sz w:val="21"/>
      <w:szCs w:val="24"/>
    </w:rPr>
  </w:style>
  <w:style w:type="paragraph" w:customStyle="1" w:styleId="145">
    <w:name w:val="一般内容"/>
    <w:basedOn w:val="1"/>
    <w:autoRedefine/>
    <w:qFormat/>
    <w:uiPriority w:val="0"/>
    <w:pPr>
      <w:spacing w:line="360" w:lineRule="auto"/>
      <w:ind w:firstLine="200" w:firstLineChars="200"/>
    </w:pPr>
    <w:rPr>
      <w:rFonts w:ascii="Arial" w:hAnsi="Arial"/>
      <w:bCs/>
      <w:sz w:val="24"/>
    </w:rPr>
  </w:style>
  <w:style w:type="character" w:customStyle="1" w:styleId="146">
    <w:name w:val="内容"/>
    <w:autoRedefine/>
    <w:qFormat/>
    <w:uiPriority w:val="0"/>
  </w:style>
  <w:style w:type="character" w:customStyle="1" w:styleId="147">
    <w:name w:val="页脚 字符"/>
    <w:autoRedefine/>
    <w:qFormat/>
    <w:uiPriority w:val="99"/>
  </w:style>
  <w:style w:type="character" w:customStyle="1" w:styleId="148">
    <w:name w:val="样式2 Char"/>
    <w:link w:val="149"/>
    <w:autoRedefine/>
    <w:qFormat/>
    <w:uiPriority w:val="0"/>
    <w:rPr>
      <w:rFonts w:ascii="宋体"/>
      <w:b/>
      <w:kern w:val="2"/>
      <w:sz w:val="24"/>
      <w:szCs w:val="28"/>
    </w:rPr>
  </w:style>
  <w:style w:type="paragraph" w:customStyle="1" w:styleId="149">
    <w:name w:val="样式2"/>
    <w:basedOn w:val="1"/>
    <w:link w:val="148"/>
    <w:autoRedefine/>
    <w:qFormat/>
    <w:uiPriority w:val="0"/>
    <w:pPr>
      <w:widowControl/>
      <w:spacing w:line="360" w:lineRule="auto"/>
      <w:jc w:val="center"/>
    </w:pPr>
    <w:rPr>
      <w:rFonts w:ascii="宋体"/>
      <w:b/>
      <w:sz w:val="24"/>
      <w:szCs w:val="28"/>
    </w:rPr>
  </w:style>
  <w:style w:type="character" w:customStyle="1" w:styleId="150">
    <w:name w:val="标题 3 Char Char"/>
    <w:autoRedefine/>
    <w:qFormat/>
    <w:uiPriority w:val="0"/>
    <w:rPr>
      <w:rFonts w:ascii="宋体" w:hAnsi="宋体" w:eastAsia="宋体" w:cs="宋体"/>
      <w:b/>
      <w:bCs/>
      <w:color w:val="000000"/>
      <w:kern w:val="2"/>
      <w:sz w:val="32"/>
      <w:szCs w:val="24"/>
      <w:lang w:val="zh-CN" w:eastAsia="zh-CN" w:bidi="ar-SA"/>
    </w:rPr>
  </w:style>
  <w:style w:type="character" w:customStyle="1" w:styleId="151">
    <w:name w:val="参加人员 Char Char"/>
    <w:link w:val="152"/>
    <w:autoRedefine/>
    <w:qFormat/>
    <w:uiPriority w:val="0"/>
    <w:rPr>
      <w:sz w:val="24"/>
    </w:rPr>
  </w:style>
  <w:style w:type="paragraph" w:customStyle="1" w:styleId="152">
    <w:name w:val="参加人员"/>
    <w:basedOn w:val="1"/>
    <w:link w:val="151"/>
    <w:autoRedefine/>
    <w:qFormat/>
    <w:uiPriority w:val="0"/>
    <w:pPr>
      <w:spacing w:line="360" w:lineRule="auto"/>
    </w:pPr>
    <w:rPr>
      <w:kern w:val="0"/>
      <w:sz w:val="24"/>
      <w:szCs w:val="20"/>
    </w:rPr>
  </w:style>
  <w:style w:type="character" w:customStyle="1" w:styleId="153">
    <w:name w:val="正文王 Char Char"/>
    <w:link w:val="154"/>
    <w:autoRedefine/>
    <w:semiHidden/>
    <w:qFormat/>
    <w:uiPriority w:val="0"/>
    <w:rPr>
      <w:snapToGrid/>
      <w:color w:val="000000"/>
      <w:sz w:val="21"/>
      <w:szCs w:val="21"/>
    </w:rPr>
  </w:style>
  <w:style w:type="paragraph" w:customStyle="1" w:styleId="154">
    <w:name w:val="正文王"/>
    <w:basedOn w:val="1"/>
    <w:link w:val="153"/>
    <w:autoRedefine/>
    <w:semiHidden/>
    <w:qFormat/>
    <w:uiPriority w:val="0"/>
    <w:pPr>
      <w:adjustRightInd w:val="0"/>
      <w:snapToGrid w:val="0"/>
      <w:spacing w:line="320" w:lineRule="exact"/>
      <w:jc w:val="center"/>
    </w:pPr>
    <w:rPr>
      <w:snapToGrid w:val="0"/>
      <w:color w:val="000000"/>
      <w:kern w:val="0"/>
    </w:rPr>
  </w:style>
  <w:style w:type="character" w:customStyle="1" w:styleId="155">
    <w:name w:val="style11"/>
    <w:autoRedefine/>
    <w:qFormat/>
    <w:uiPriority w:val="0"/>
    <w:rPr>
      <w:rFonts w:ascii="宋体" w:hAnsi="宋体" w:eastAsia="宋体" w:cs="宋体"/>
      <w:color w:val="000000"/>
      <w:kern w:val="2"/>
      <w:sz w:val="24"/>
      <w:szCs w:val="24"/>
      <w:lang w:val="en-US" w:eastAsia="zh-CN" w:bidi="ar-SA"/>
    </w:rPr>
  </w:style>
  <w:style w:type="character" w:customStyle="1" w:styleId="156">
    <w:name w:val="title6"/>
    <w:autoRedefine/>
    <w:qFormat/>
    <w:uiPriority w:val="0"/>
    <w:rPr>
      <w:rFonts w:ascii="宋体" w:hAnsi="宋体" w:eastAsia="宋体" w:cs="宋体"/>
      <w:kern w:val="2"/>
      <w:sz w:val="24"/>
      <w:szCs w:val="24"/>
      <w:lang w:val="en-US" w:eastAsia="zh-CN" w:bidi="ar-SA"/>
    </w:rPr>
  </w:style>
  <w:style w:type="character" w:customStyle="1" w:styleId="157">
    <w:name w:val="f12h201"/>
    <w:autoRedefine/>
    <w:qFormat/>
    <w:uiPriority w:val="0"/>
    <w:rPr>
      <w:rFonts w:ascii="宋体" w:hAnsi="宋体" w:eastAsia="宋体" w:cs="宋体"/>
      <w:kern w:val="2"/>
      <w:sz w:val="18"/>
      <w:szCs w:val="18"/>
      <w:lang w:val="en-US" w:eastAsia="zh-CN" w:bidi="ar-SA"/>
    </w:rPr>
  </w:style>
  <w:style w:type="character" w:customStyle="1" w:styleId="158">
    <w:name w:val="apple-converted-space"/>
    <w:autoRedefine/>
    <w:qFormat/>
    <w:uiPriority w:val="0"/>
  </w:style>
  <w:style w:type="character" w:customStyle="1" w:styleId="159">
    <w:name w:val="表头 Char Char"/>
    <w:link w:val="160"/>
    <w:autoRedefine/>
    <w:qFormat/>
    <w:uiPriority w:val="0"/>
    <w:rPr>
      <w:rFonts w:eastAsia="黑体"/>
      <w:spacing w:val="-10"/>
      <w:sz w:val="21"/>
    </w:rPr>
  </w:style>
  <w:style w:type="paragraph" w:customStyle="1" w:styleId="160">
    <w:name w:val="表头"/>
    <w:basedOn w:val="1"/>
    <w:link w:val="159"/>
    <w:autoRedefine/>
    <w:qFormat/>
    <w:uiPriority w:val="0"/>
    <w:pPr>
      <w:adjustRightInd w:val="0"/>
      <w:snapToGrid w:val="0"/>
      <w:spacing w:line="320" w:lineRule="atLeast"/>
      <w:jc w:val="center"/>
      <w:textAlignment w:val="baseline"/>
    </w:pPr>
    <w:rPr>
      <w:rFonts w:eastAsia="黑体"/>
      <w:spacing w:val="-10"/>
      <w:kern w:val="0"/>
      <w:szCs w:val="20"/>
    </w:rPr>
  </w:style>
  <w:style w:type="character" w:customStyle="1" w:styleId="161">
    <w:name w:val="btd1"/>
    <w:autoRedefine/>
    <w:qFormat/>
    <w:uiPriority w:val="0"/>
    <w:rPr>
      <w:rFonts w:ascii="宋体" w:hAnsi="宋体" w:eastAsia="宋体" w:cs="宋体"/>
      <w:b/>
      <w:bCs/>
      <w:kern w:val="2"/>
      <w:sz w:val="24"/>
      <w:szCs w:val="24"/>
      <w:lang w:val="en-US" w:eastAsia="zh-CN" w:bidi="ar-SA"/>
    </w:rPr>
  </w:style>
  <w:style w:type="character" w:customStyle="1" w:styleId="162">
    <w:name w:val="表格格式 Char"/>
    <w:link w:val="163"/>
    <w:autoRedefine/>
    <w:qFormat/>
    <w:uiPriority w:val="0"/>
    <w:rPr>
      <w:rFonts w:ascii="宋体" w:hAnsi="宋体" w:cs="宋体"/>
      <w:color w:val="000000"/>
      <w:szCs w:val="21"/>
    </w:rPr>
  </w:style>
  <w:style w:type="paragraph" w:customStyle="1" w:styleId="163">
    <w:name w:val="表格格式"/>
    <w:basedOn w:val="1"/>
    <w:link w:val="162"/>
    <w:autoRedefine/>
    <w:qFormat/>
    <w:uiPriority w:val="0"/>
    <w:pPr>
      <w:snapToGrid w:val="0"/>
      <w:jc w:val="center"/>
    </w:pPr>
    <w:rPr>
      <w:rFonts w:ascii="宋体" w:hAnsi="宋体" w:cs="宋体"/>
      <w:color w:val="000000"/>
      <w:kern w:val="0"/>
      <w:sz w:val="20"/>
    </w:rPr>
  </w:style>
  <w:style w:type="character" w:customStyle="1" w:styleId="164">
    <w:name w:val="样式68 Char Char"/>
    <w:link w:val="165"/>
    <w:autoRedefine/>
    <w:qFormat/>
    <w:uiPriority w:val="0"/>
    <w:rPr>
      <w:rFonts w:ascii="宋体" w:hAnsi="宋体"/>
      <w:color w:val="000000"/>
      <w:spacing w:val="-2"/>
      <w:sz w:val="28"/>
    </w:rPr>
  </w:style>
  <w:style w:type="paragraph" w:customStyle="1" w:styleId="165">
    <w:name w:val="样式68"/>
    <w:basedOn w:val="1"/>
    <w:link w:val="164"/>
    <w:autoRedefine/>
    <w:qFormat/>
    <w:uiPriority w:val="0"/>
    <w:pPr>
      <w:ind w:firstLine="552" w:firstLineChars="200"/>
    </w:pPr>
    <w:rPr>
      <w:rFonts w:ascii="宋体" w:hAnsi="宋体"/>
      <w:color w:val="000000"/>
      <w:spacing w:val="-2"/>
      <w:kern w:val="0"/>
      <w:sz w:val="28"/>
      <w:szCs w:val="20"/>
    </w:rPr>
  </w:style>
  <w:style w:type="character" w:customStyle="1" w:styleId="166">
    <w:name w:val="正文3 Char1"/>
    <w:link w:val="167"/>
    <w:autoRedefine/>
    <w:qFormat/>
    <w:uiPriority w:val="0"/>
    <w:rPr>
      <w:sz w:val="30"/>
      <w:szCs w:val="24"/>
    </w:rPr>
  </w:style>
  <w:style w:type="paragraph" w:customStyle="1" w:styleId="167">
    <w:name w:val="正文3"/>
    <w:basedOn w:val="1"/>
    <w:link w:val="166"/>
    <w:autoRedefine/>
    <w:qFormat/>
    <w:uiPriority w:val="0"/>
    <w:pPr>
      <w:adjustRightInd w:val="0"/>
      <w:spacing w:line="360" w:lineRule="auto"/>
      <w:ind w:firstLine="624"/>
      <w:textAlignment w:val="baseline"/>
    </w:pPr>
    <w:rPr>
      <w:kern w:val="0"/>
      <w:sz w:val="30"/>
    </w:rPr>
  </w:style>
  <w:style w:type="character" w:customStyle="1" w:styleId="168">
    <w:name w:val="样式 样式 正文 行距: 固定值 25 磅 + 首行缩进:  2 字符1 Char"/>
    <w:link w:val="169"/>
    <w:autoRedefine/>
    <w:qFormat/>
    <w:uiPriority w:val="0"/>
    <w:rPr>
      <w:rFonts w:cs="宋体"/>
      <w:kern w:val="2"/>
      <w:sz w:val="24"/>
      <w:szCs w:val="24"/>
    </w:rPr>
  </w:style>
  <w:style w:type="paragraph" w:customStyle="1" w:styleId="169">
    <w:name w:val="样式 样式 正文 行距: 固定值 25 磅 + 首行缩进:  2 字符1"/>
    <w:basedOn w:val="170"/>
    <w:link w:val="168"/>
    <w:autoRedefine/>
    <w:qFormat/>
    <w:uiPriority w:val="0"/>
    <w:pPr>
      <w:ind w:firstLine="480"/>
    </w:pPr>
  </w:style>
  <w:style w:type="paragraph" w:customStyle="1" w:styleId="170">
    <w:name w:val="样式 正文 行距: 固定值 25 磅"/>
    <w:basedOn w:val="1"/>
    <w:link w:val="171"/>
    <w:autoRedefine/>
    <w:semiHidden/>
    <w:qFormat/>
    <w:uiPriority w:val="0"/>
    <w:pPr>
      <w:adjustRightInd w:val="0"/>
      <w:spacing w:line="500" w:lineRule="exact"/>
      <w:ind w:firstLine="200" w:firstLineChars="200"/>
    </w:pPr>
    <w:rPr>
      <w:rFonts w:cs="宋体"/>
      <w:sz w:val="24"/>
    </w:rPr>
  </w:style>
  <w:style w:type="character" w:customStyle="1" w:styleId="171">
    <w:name w:val="样式 正文 行距: 固定值 25 磅 Char"/>
    <w:link w:val="170"/>
    <w:autoRedefine/>
    <w:semiHidden/>
    <w:qFormat/>
    <w:uiPriority w:val="0"/>
    <w:rPr>
      <w:rFonts w:cs="宋体"/>
      <w:kern w:val="2"/>
      <w:sz w:val="24"/>
      <w:szCs w:val="24"/>
    </w:rPr>
  </w:style>
  <w:style w:type="character" w:customStyle="1" w:styleId="172">
    <w:name w:val="表头 Char Char Char"/>
    <w:autoRedefine/>
    <w:qFormat/>
    <w:uiPriority w:val="0"/>
    <w:rPr>
      <w:rFonts w:ascii="宋体" w:hAnsi="宋体" w:eastAsia="宋体"/>
      <w:b/>
      <w:spacing w:val="-10"/>
      <w:sz w:val="24"/>
      <w:lang w:val="en-US" w:eastAsia="zh-CN" w:bidi="ar-SA"/>
    </w:rPr>
  </w:style>
  <w:style w:type="character" w:customStyle="1" w:styleId="173">
    <w:name w:val="Char Char13"/>
    <w:autoRedefine/>
    <w:qFormat/>
    <w:uiPriority w:val="0"/>
    <w:rPr>
      <w:rFonts w:eastAsia="宋体"/>
      <w:kern w:val="2"/>
      <w:sz w:val="18"/>
      <w:szCs w:val="18"/>
      <w:lang w:val="en-US" w:eastAsia="zh-CN" w:bidi="ar-SA"/>
    </w:rPr>
  </w:style>
  <w:style w:type="character" w:customStyle="1" w:styleId="174">
    <w:name w:val="表格标题博泵 Char Char"/>
    <w:link w:val="175"/>
    <w:autoRedefine/>
    <w:qFormat/>
    <w:uiPriority w:val="0"/>
    <w:rPr>
      <w:b/>
      <w:color w:val="000000"/>
    </w:rPr>
  </w:style>
  <w:style w:type="paragraph" w:customStyle="1" w:styleId="175">
    <w:name w:val="表格标题博泵"/>
    <w:basedOn w:val="1"/>
    <w:link w:val="174"/>
    <w:autoRedefine/>
    <w:qFormat/>
    <w:uiPriority w:val="0"/>
    <w:pPr>
      <w:adjustRightInd w:val="0"/>
      <w:snapToGrid w:val="0"/>
      <w:jc w:val="center"/>
      <w:textAlignment w:val="baseline"/>
    </w:pPr>
    <w:rPr>
      <w:b/>
      <w:color w:val="000000"/>
      <w:kern w:val="0"/>
      <w:sz w:val="20"/>
      <w:szCs w:val="20"/>
    </w:rPr>
  </w:style>
  <w:style w:type="character" w:customStyle="1" w:styleId="176">
    <w:name w:val="al11"/>
    <w:autoRedefine/>
    <w:qFormat/>
    <w:uiPriority w:val="0"/>
    <w:rPr>
      <w:color w:val="333333"/>
      <w:sz w:val="18"/>
      <w:szCs w:val="18"/>
    </w:rPr>
  </w:style>
  <w:style w:type="character" w:customStyle="1" w:styleId="177">
    <w:name w:val="表格内文字 Char"/>
    <w:link w:val="178"/>
    <w:autoRedefine/>
    <w:qFormat/>
    <w:uiPriority w:val="0"/>
    <w:rPr>
      <w:rFonts w:eastAsia="仿宋_GB2312"/>
      <w:kern w:val="2"/>
      <w:sz w:val="24"/>
      <w:szCs w:val="24"/>
    </w:rPr>
  </w:style>
  <w:style w:type="paragraph" w:customStyle="1" w:styleId="178">
    <w:name w:val="表格内文字"/>
    <w:basedOn w:val="1"/>
    <w:link w:val="177"/>
    <w:autoRedefine/>
    <w:qFormat/>
    <w:uiPriority w:val="0"/>
    <w:pPr>
      <w:tabs>
        <w:tab w:val="left" w:pos="0"/>
      </w:tabs>
      <w:adjustRightInd w:val="0"/>
      <w:snapToGrid w:val="0"/>
      <w:jc w:val="center"/>
    </w:pPr>
    <w:rPr>
      <w:rFonts w:eastAsia="仿宋_GB2312"/>
      <w:sz w:val="24"/>
    </w:rPr>
  </w:style>
  <w:style w:type="character" w:customStyle="1" w:styleId="179">
    <w:name w:val="Char Char9"/>
    <w:autoRedefine/>
    <w:qFormat/>
    <w:uiPriority w:val="0"/>
    <w:rPr>
      <w:rFonts w:ascii="Cambria" w:hAnsi="Cambria" w:eastAsia="宋体" w:cs="宋体"/>
      <w:b/>
      <w:bCs/>
      <w:iCs/>
      <w:kern w:val="2"/>
      <w:sz w:val="30"/>
      <w:szCs w:val="28"/>
      <w:lang w:val="en-US" w:eastAsia="en-US" w:bidi="en-US"/>
    </w:rPr>
  </w:style>
  <w:style w:type="character" w:customStyle="1" w:styleId="180">
    <w:name w:val="px141"/>
    <w:autoRedefine/>
    <w:qFormat/>
    <w:uiPriority w:val="0"/>
    <w:rPr>
      <w:sz w:val="21"/>
    </w:rPr>
  </w:style>
  <w:style w:type="character" w:customStyle="1" w:styleId="181">
    <w:name w:val="hz"/>
    <w:autoRedefine/>
    <w:qFormat/>
    <w:uiPriority w:val="0"/>
  </w:style>
  <w:style w:type="character" w:customStyle="1" w:styleId="182">
    <w:name w:val="scs62"/>
    <w:autoRedefine/>
    <w:qFormat/>
    <w:uiPriority w:val="0"/>
  </w:style>
  <w:style w:type="character" w:customStyle="1" w:styleId="183">
    <w:name w:val="样式75 Char Char"/>
    <w:link w:val="184"/>
    <w:autoRedefine/>
    <w:qFormat/>
    <w:uiPriority w:val="0"/>
    <w:rPr>
      <w:rFonts w:ascii="黑体" w:hAnsi="宋体" w:eastAsia="黑体"/>
      <w:color w:val="000000"/>
      <w:sz w:val="28"/>
      <w:szCs w:val="28"/>
    </w:rPr>
  </w:style>
  <w:style w:type="paragraph" w:customStyle="1" w:styleId="184">
    <w:name w:val="样式75"/>
    <w:basedOn w:val="1"/>
    <w:link w:val="183"/>
    <w:autoRedefine/>
    <w:qFormat/>
    <w:uiPriority w:val="0"/>
    <w:pPr>
      <w:spacing w:beforeLines="150" w:line="360" w:lineRule="auto"/>
    </w:pPr>
    <w:rPr>
      <w:rFonts w:ascii="黑体" w:hAnsi="宋体" w:eastAsia="黑体"/>
      <w:color w:val="000000"/>
      <w:kern w:val="0"/>
      <w:sz w:val="28"/>
      <w:szCs w:val="28"/>
    </w:rPr>
  </w:style>
  <w:style w:type="character" w:customStyle="1" w:styleId="185">
    <w:name w:val="标题1.1.1.1.1 Char1"/>
    <w:autoRedefine/>
    <w:qFormat/>
    <w:uiPriority w:val="0"/>
    <w:rPr>
      <w:rFonts w:eastAsia="宋体"/>
      <w:b/>
      <w:bCs/>
      <w:sz w:val="28"/>
      <w:szCs w:val="28"/>
      <w:lang w:bidi="ar-SA"/>
    </w:rPr>
  </w:style>
  <w:style w:type="character" w:customStyle="1" w:styleId="186">
    <w:name w:val="图名 Char"/>
    <w:link w:val="187"/>
    <w:autoRedefine/>
    <w:qFormat/>
    <w:uiPriority w:val="0"/>
    <w:rPr>
      <w:rFonts w:ascii="宋体" w:eastAsia="黑体"/>
      <w:sz w:val="24"/>
      <w:szCs w:val="24"/>
      <w:lang w:eastAsia="en-US" w:bidi="en-US"/>
    </w:rPr>
  </w:style>
  <w:style w:type="paragraph" w:customStyle="1" w:styleId="187">
    <w:name w:val="图名"/>
    <w:basedOn w:val="1"/>
    <w:link w:val="186"/>
    <w:autoRedefine/>
    <w:qFormat/>
    <w:uiPriority w:val="0"/>
    <w:pPr>
      <w:widowControl/>
      <w:adjustRightInd w:val="0"/>
      <w:snapToGrid w:val="0"/>
      <w:spacing w:line="360" w:lineRule="auto"/>
      <w:jc w:val="center"/>
      <w:textAlignment w:val="baseline"/>
    </w:pPr>
    <w:rPr>
      <w:rFonts w:ascii="宋体" w:eastAsia="黑体"/>
      <w:kern w:val="0"/>
      <w:sz w:val="24"/>
      <w:lang w:eastAsia="en-US" w:bidi="en-US"/>
    </w:rPr>
  </w:style>
  <w:style w:type="character" w:customStyle="1" w:styleId="188">
    <w:name w:val="word131"/>
    <w:autoRedefine/>
    <w:qFormat/>
    <w:uiPriority w:val="0"/>
    <w:rPr>
      <w:rFonts w:hint="default" w:ascii="ˎ̥" w:hAnsi="ˎ̥"/>
      <w:color w:val="000000"/>
      <w:sz w:val="20"/>
      <w:szCs w:val="20"/>
      <w:u w:val="none"/>
    </w:rPr>
  </w:style>
  <w:style w:type="character" w:customStyle="1" w:styleId="189">
    <w:name w:val="样式4 Char Char"/>
    <w:link w:val="190"/>
    <w:autoRedefine/>
    <w:qFormat/>
    <w:uiPriority w:val="0"/>
    <w:rPr>
      <w:rFonts w:eastAsia="黑体" w:cs="宋体"/>
      <w:b/>
      <w:bCs/>
      <w:kern w:val="2"/>
      <w:sz w:val="28"/>
    </w:rPr>
  </w:style>
  <w:style w:type="paragraph" w:customStyle="1" w:styleId="190">
    <w:name w:val="样式4"/>
    <w:basedOn w:val="191"/>
    <w:link w:val="189"/>
    <w:autoRedefine/>
    <w:qFormat/>
    <w:uiPriority w:val="0"/>
  </w:style>
  <w:style w:type="paragraph" w:customStyle="1" w:styleId="191">
    <w:name w:val="样式 标题 2H2节标题 1.1节标题 1.1 Char1.1标题2条标题h2l22nd levelTitre..."/>
    <w:basedOn w:val="4"/>
    <w:autoRedefine/>
    <w:qFormat/>
    <w:uiPriority w:val="0"/>
    <w:pPr>
      <w:snapToGrid w:val="0"/>
      <w:spacing w:before="120" w:beforeLines="100" w:after="0" w:line="240" w:lineRule="auto"/>
      <w:ind w:left="1134" w:hanging="992"/>
    </w:pPr>
    <w:rPr>
      <w:rFonts w:ascii="Times New Roman" w:hAnsi="Times New Roman" w:cs="宋体"/>
      <w:sz w:val="28"/>
      <w:szCs w:val="20"/>
    </w:rPr>
  </w:style>
  <w:style w:type="character" w:customStyle="1" w:styleId="192">
    <w:name w:val="main-11"/>
    <w:autoRedefine/>
    <w:qFormat/>
    <w:uiPriority w:val="0"/>
  </w:style>
  <w:style w:type="character" w:customStyle="1" w:styleId="193">
    <w:name w:val="description"/>
    <w:autoRedefine/>
    <w:qFormat/>
    <w:uiPriority w:val="0"/>
  </w:style>
  <w:style w:type="character" w:customStyle="1" w:styleId="194">
    <w:name w:val="zw1"/>
    <w:autoRedefine/>
    <w:qFormat/>
    <w:uiPriority w:val="0"/>
    <w:rPr>
      <w:rFonts w:hint="eastAsia" w:ascii="宋体" w:hAnsi="宋体" w:eastAsia="宋体"/>
      <w:sz w:val="22"/>
      <w:szCs w:val="22"/>
    </w:rPr>
  </w:style>
  <w:style w:type="character" w:customStyle="1" w:styleId="195">
    <w:name w:val="正文5号 Char2"/>
    <w:autoRedefine/>
    <w:qFormat/>
    <w:uiPriority w:val="0"/>
    <w:rPr>
      <w:rFonts w:ascii="宋体" w:hAnsi="宋体" w:eastAsia="宋体" w:cs="宋体"/>
      <w:kern w:val="2"/>
      <w:sz w:val="24"/>
      <w:szCs w:val="24"/>
      <w:lang w:val="en-US" w:eastAsia="zh-CN" w:bidi="ar-SA"/>
    </w:rPr>
  </w:style>
  <w:style w:type="character" w:customStyle="1" w:styleId="196">
    <w:name w:val="表内容1 Char"/>
    <w:link w:val="197"/>
    <w:autoRedefine/>
    <w:qFormat/>
    <w:uiPriority w:val="0"/>
    <w:rPr>
      <w:rFonts w:ascii="楷体_GB2312" w:hAnsi="楷体_GB2312" w:eastAsia="仿宋_GB2312"/>
      <w:bCs/>
      <w:szCs w:val="24"/>
    </w:rPr>
  </w:style>
  <w:style w:type="paragraph" w:customStyle="1" w:styleId="197">
    <w:name w:val="表内容1"/>
    <w:basedOn w:val="1"/>
    <w:link w:val="196"/>
    <w:autoRedefine/>
    <w:qFormat/>
    <w:uiPriority w:val="0"/>
    <w:pPr>
      <w:snapToGrid w:val="0"/>
      <w:jc w:val="center"/>
    </w:pPr>
    <w:rPr>
      <w:rFonts w:ascii="楷体_GB2312" w:hAnsi="楷体_GB2312" w:eastAsia="仿宋_GB2312"/>
      <w:bCs/>
      <w:kern w:val="0"/>
      <w:sz w:val="20"/>
    </w:rPr>
  </w:style>
  <w:style w:type="character" w:customStyle="1" w:styleId="198">
    <w:name w:val="Char Char31"/>
    <w:autoRedefine/>
    <w:qFormat/>
    <w:uiPriority w:val="0"/>
    <w:rPr>
      <w:sz w:val="24"/>
      <w:lang w:bidi="ar-SA"/>
    </w:rPr>
  </w:style>
  <w:style w:type="character" w:customStyle="1" w:styleId="199">
    <w:name w:val="表格 Char"/>
    <w:link w:val="200"/>
    <w:autoRedefine/>
    <w:qFormat/>
    <w:locked/>
    <w:uiPriority w:val="0"/>
    <w:rPr>
      <w:rFonts w:ascii="宋体"/>
      <w:sz w:val="21"/>
    </w:rPr>
  </w:style>
  <w:style w:type="paragraph" w:customStyle="1" w:styleId="200">
    <w:name w:val="表格"/>
    <w:basedOn w:val="201"/>
    <w:next w:val="1"/>
    <w:link w:val="199"/>
    <w:autoRedefine/>
    <w:qFormat/>
    <w:uiPriority w:val="0"/>
    <w:pPr>
      <w:adjustRightInd w:val="0"/>
      <w:snapToGrid w:val="0"/>
      <w:spacing w:beforeLines="10" w:afterLines="10" w:line="259" w:lineRule="auto"/>
    </w:pPr>
    <w:rPr>
      <w:rFonts w:ascii="宋体"/>
      <w:kern w:val="0"/>
      <w:szCs w:val="20"/>
    </w:rPr>
  </w:style>
  <w:style w:type="paragraph" w:customStyle="1" w:styleId="201">
    <w:name w:val="表格使用文字"/>
    <w:basedOn w:val="1"/>
    <w:link w:val="202"/>
    <w:autoRedefine/>
    <w:qFormat/>
    <w:uiPriority w:val="99"/>
    <w:pPr>
      <w:jc w:val="center"/>
    </w:pPr>
    <w:rPr>
      <w:color w:val="000000"/>
    </w:rPr>
  </w:style>
  <w:style w:type="character" w:customStyle="1" w:styleId="202">
    <w:name w:val="表格使用文字 Char"/>
    <w:link w:val="201"/>
    <w:autoRedefine/>
    <w:qFormat/>
    <w:uiPriority w:val="99"/>
    <w:rPr>
      <w:color w:val="000000"/>
      <w:kern w:val="2"/>
      <w:sz w:val="21"/>
      <w:szCs w:val="21"/>
    </w:rPr>
  </w:style>
  <w:style w:type="character" w:customStyle="1" w:styleId="203">
    <w:name w:val="Char Char8"/>
    <w:autoRedefine/>
    <w:semiHidden/>
    <w:qFormat/>
    <w:uiPriority w:val="0"/>
    <w:rPr>
      <w:rFonts w:ascii="宋体" w:hAnsi="宋体" w:eastAsia="宋体" w:cs="宋体"/>
      <w:kern w:val="2"/>
      <w:sz w:val="18"/>
      <w:szCs w:val="18"/>
      <w:lang w:val="en-US" w:eastAsia="zh-CN" w:bidi="ar-SA"/>
    </w:rPr>
  </w:style>
  <w:style w:type="character" w:customStyle="1" w:styleId="204">
    <w:name w:val="haogao1"/>
    <w:autoRedefine/>
    <w:qFormat/>
    <w:uiPriority w:val="0"/>
  </w:style>
  <w:style w:type="character" w:customStyle="1" w:styleId="205">
    <w:name w:val="Plain Text Char1 Char"/>
    <w:autoRedefine/>
    <w:qFormat/>
    <w:uiPriority w:val="0"/>
    <w:rPr>
      <w:rFonts w:ascii="宋体" w:hAnsi="Courier New"/>
      <w:kern w:val="2"/>
      <w:sz w:val="21"/>
      <w:szCs w:val="21"/>
      <w:lang w:bidi="ar-SA"/>
    </w:rPr>
  </w:style>
  <w:style w:type="character" w:customStyle="1" w:styleId="206">
    <w:name w:val="sppkvsc"/>
    <w:autoRedefine/>
    <w:qFormat/>
    <w:uiPriority w:val="0"/>
  </w:style>
  <w:style w:type="character" w:customStyle="1" w:styleId="207">
    <w:name w:val="样式20 Char Char"/>
    <w:link w:val="208"/>
    <w:autoRedefine/>
    <w:qFormat/>
    <w:uiPriority w:val="0"/>
    <w:rPr>
      <w:rFonts w:ascii="楷体_GB2312" w:hAnsi="楷体_GB2312" w:eastAsia="楷体_GB2312"/>
      <w:b/>
      <w:color w:val="000000"/>
      <w:sz w:val="32"/>
    </w:rPr>
  </w:style>
  <w:style w:type="paragraph" w:customStyle="1" w:styleId="208">
    <w:name w:val="样式20"/>
    <w:basedOn w:val="4"/>
    <w:link w:val="207"/>
    <w:autoRedefine/>
    <w:qFormat/>
    <w:uiPriority w:val="0"/>
    <w:pPr>
      <w:tabs>
        <w:tab w:val="left" w:pos="840"/>
      </w:tabs>
      <w:snapToGrid w:val="0"/>
      <w:spacing w:before="0" w:after="0" w:line="360" w:lineRule="auto"/>
      <w:ind w:left="840"/>
      <w:jc w:val="center"/>
    </w:pPr>
    <w:rPr>
      <w:rFonts w:ascii="楷体_GB2312" w:hAnsi="楷体_GB2312" w:eastAsia="楷体_GB2312"/>
      <w:bCs w:val="0"/>
      <w:color w:val="000000"/>
      <w:kern w:val="0"/>
      <w:szCs w:val="20"/>
    </w:rPr>
  </w:style>
  <w:style w:type="character" w:customStyle="1" w:styleId="209">
    <w:name w:val="参数解释 Char Char"/>
    <w:link w:val="210"/>
    <w:autoRedefine/>
    <w:qFormat/>
    <w:uiPriority w:val="0"/>
    <w:rPr>
      <w:sz w:val="24"/>
    </w:rPr>
  </w:style>
  <w:style w:type="paragraph" w:customStyle="1" w:styleId="210">
    <w:name w:val="参数解释"/>
    <w:basedOn w:val="211"/>
    <w:link w:val="209"/>
    <w:autoRedefine/>
    <w:qFormat/>
    <w:uiPriority w:val="0"/>
    <w:pPr>
      <w:ind w:firstLine="1274" w:firstLineChars="531"/>
    </w:pPr>
    <w:rPr>
      <w:rFonts w:ascii="Times New Roman" w:hAnsi="Times New Roman"/>
      <w:kern w:val="0"/>
      <w:szCs w:val="20"/>
    </w:rPr>
  </w:style>
  <w:style w:type="paragraph" w:customStyle="1" w:styleId="211">
    <w:name w:val="金源"/>
    <w:basedOn w:val="1"/>
    <w:link w:val="212"/>
    <w:autoRedefine/>
    <w:qFormat/>
    <w:uiPriority w:val="0"/>
    <w:pPr>
      <w:spacing w:line="480" w:lineRule="exact"/>
      <w:ind w:firstLine="480" w:firstLineChars="200"/>
      <w:jc w:val="left"/>
    </w:pPr>
    <w:rPr>
      <w:rFonts w:ascii="Calibri" w:hAnsi="Calibri"/>
      <w:sz w:val="24"/>
      <w:szCs w:val="22"/>
    </w:rPr>
  </w:style>
  <w:style w:type="character" w:customStyle="1" w:styleId="212">
    <w:name w:val="金源 Char Char"/>
    <w:link w:val="211"/>
    <w:autoRedefine/>
    <w:qFormat/>
    <w:uiPriority w:val="0"/>
    <w:rPr>
      <w:rFonts w:ascii="Calibri" w:hAnsi="Calibri"/>
      <w:kern w:val="2"/>
      <w:sz w:val="24"/>
      <w:szCs w:val="22"/>
    </w:rPr>
  </w:style>
  <w:style w:type="character" w:customStyle="1" w:styleId="213">
    <w:name w:val="节标题 1.1 Char4"/>
    <w:autoRedefine/>
    <w:qFormat/>
    <w:uiPriority w:val="0"/>
    <w:rPr>
      <w:b/>
      <w:bCs/>
      <w:sz w:val="28"/>
      <w:szCs w:val="32"/>
    </w:rPr>
  </w:style>
  <w:style w:type="character" w:customStyle="1" w:styleId="214">
    <w:name w:val="articlebody3"/>
    <w:autoRedefine/>
    <w:qFormat/>
    <w:uiPriority w:val="0"/>
    <w:rPr>
      <w:rFonts w:ascii="宋体" w:hAnsi="宋体" w:eastAsia="宋体" w:cs="宋体"/>
      <w:kern w:val="2"/>
      <w:sz w:val="21"/>
      <w:szCs w:val="21"/>
      <w:lang w:val="en-US" w:eastAsia="zh-CN" w:bidi="ar-SA"/>
    </w:rPr>
  </w:style>
  <w:style w:type="character" w:customStyle="1" w:styleId="215">
    <w:name w:val="样式 样式 正文 行距: 固定值 25 磅 + 首行缩进:  2 字符 Char"/>
    <w:link w:val="216"/>
    <w:autoRedefine/>
    <w:qFormat/>
    <w:uiPriority w:val="0"/>
    <w:rPr>
      <w:rFonts w:cs="宋体"/>
      <w:kern w:val="2"/>
      <w:sz w:val="24"/>
      <w:szCs w:val="24"/>
    </w:rPr>
  </w:style>
  <w:style w:type="paragraph" w:customStyle="1" w:styleId="216">
    <w:name w:val="样式 样式 正文 行距: 固定值 25 磅 + 首行缩进:  2 字符"/>
    <w:basedOn w:val="1"/>
    <w:link w:val="215"/>
    <w:autoRedefine/>
    <w:qFormat/>
    <w:uiPriority w:val="0"/>
    <w:pPr>
      <w:adjustRightInd w:val="0"/>
      <w:snapToGrid w:val="0"/>
      <w:spacing w:line="500" w:lineRule="exact"/>
      <w:ind w:firstLine="200" w:firstLineChars="200"/>
    </w:pPr>
    <w:rPr>
      <w:rFonts w:cs="宋体"/>
      <w:sz w:val="24"/>
    </w:rPr>
  </w:style>
  <w:style w:type="character" w:customStyle="1" w:styleId="217">
    <w:name w:val="ssqiaz"/>
    <w:autoRedefine/>
    <w:qFormat/>
    <w:uiPriority w:val="0"/>
  </w:style>
  <w:style w:type="character" w:customStyle="1" w:styleId="218">
    <w:name w:val="表格标题 Char"/>
    <w:link w:val="219"/>
    <w:autoRedefine/>
    <w:qFormat/>
    <w:uiPriority w:val="0"/>
    <w:rPr>
      <w:b/>
      <w:color w:val="000000"/>
      <w:kern w:val="2"/>
      <w:sz w:val="21"/>
      <w:szCs w:val="21"/>
    </w:rPr>
  </w:style>
  <w:style w:type="paragraph" w:customStyle="1" w:styleId="219">
    <w:name w:val="表格标题"/>
    <w:basedOn w:val="1"/>
    <w:link w:val="218"/>
    <w:autoRedefine/>
    <w:qFormat/>
    <w:uiPriority w:val="0"/>
    <w:pPr>
      <w:snapToGrid w:val="0"/>
      <w:spacing w:before="120"/>
      <w:ind w:firstLine="1756" w:firstLineChars="833"/>
      <w:contextualSpacing/>
      <w:jc w:val="center"/>
    </w:pPr>
    <w:rPr>
      <w:b/>
      <w:color w:val="000000"/>
    </w:rPr>
  </w:style>
  <w:style w:type="character" w:customStyle="1" w:styleId="220">
    <w:name w:val="页眉1 Char"/>
    <w:autoRedefine/>
    <w:qFormat/>
    <w:uiPriority w:val="0"/>
    <w:rPr>
      <w:rFonts w:ascii="宋体" w:hAnsi="宋体" w:eastAsia="宋体" w:cs="宋体"/>
      <w:kern w:val="2"/>
      <w:sz w:val="18"/>
      <w:szCs w:val="18"/>
      <w:lang w:val="en-US" w:eastAsia="zh-CN" w:bidi="ar-SA"/>
    </w:rPr>
  </w:style>
  <w:style w:type="character" w:customStyle="1" w:styleId="221">
    <w:name w:val="c121"/>
    <w:autoRedefine/>
    <w:qFormat/>
    <w:uiPriority w:val="0"/>
    <w:rPr>
      <w:color w:val="666666"/>
      <w:sz w:val="18"/>
      <w:szCs w:val="18"/>
      <w:u w:val="none"/>
    </w:rPr>
  </w:style>
  <w:style w:type="character" w:customStyle="1" w:styleId="222">
    <w:name w:val="甲乙酮标题1 Char Char"/>
    <w:link w:val="223"/>
    <w:autoRedefine/>
    <w:qFormat/>
    <w:uiPriority w:val="0"/>
    <w:rPr>
      <w:b/>
      <w:bCs/>
      <w:kern w:val="44"/>
      <w:sz w:val="32"/>
      <w:szCs w:val="32"/>
    </w:rPr>
  </w:style>
  <w:style w:type="paragraph" w:customStyle="1" w:styleId="223">
    <w:name w:val="甲乙酮标题1"/>
    <w:basedOn w:val="3"/>
    <w:link w:val="222"/>
    <w:autoRedefine/>
    <w:qFormat/>
    <w:uiPriority w:val="0"/>
    <w:pPr>
      <w:keepLines/>
      <w:tabs>
        <w:tab w:val="left" w:pos="390"/>
      </w:tabs>
      <w:overflowPunct/>
      <w:snapToGrid/>
      <w:spacing w:after="140" w:line="480" w:lineRule="exact"/>
      <w:ind w:left="390" w:firstLine="0"/>
    </w:pPr>
    <w:rPr>
      <w:rFonts w:eastAsia="宋体"/>
      <w:color w:val="auto"/>
      <w:sz w:val="32"/>
      <w:szCs w:val="32"/>
    </w:rPr>
  </w:style>
  <w:style w:type="character" w:customStyle="1" w:styleId="224">
    <w:name w:val="contenttable1"/>
    <w:autoRedefine/>
    <w:qFormat/>
    <w:uiPriority w:val="0"/>
    <w:rPr>
      <w:rFonts w:hint="default" w:ascii="Arial" w:hAnsi="Arial" w:eastAsia="宋体" w:cs="Arial"/>
      <w:color w:val="000000"/>
      <w:kern w:val="2"/>
      <w:sz w:val="18"/>
      <w:szCs w:val="18"/>
      <w:u w:val="none"/>
      <w:lang w:val="en-US" w:eastAsia="zh-CN" w:bidi="ar-SA"/>
    </w:rPr>
  </w:style>
  <w:style w:type="character" w:customStyle="1" w:styleId="225">
    <w:name w:val="未确定 Char Char"/>
    <w:link w:val="226"/>
    <w:autoRedefine/>
    <w:qFormat/>
    <w:uiPriority w:val="0"/>
    <w:rPr>
      <w:color w:val="800080"/>
      <w:sz w:val="24"/>
      <w:szCs w:val="24"/>
    </w:rPr>
  </w:style>
  <w:style w:type="paragraph" w:customStyle="1" w:styleId="226">
    <w:name w:val="未确定"/>
    <w:basedOn w:val="1"/>
    <w:link w:val="225"/>
    <w:autoRedefine/>
    <w:qFormat/>
    <w:uiPriority w:val="0"/>
    <w:pPr>
      <w:spacing w:beforeLines="50" w:line="400" w:lineRule="exact"/>
      <w:ind w:firstLine="480" w:firstLineChars="200"/>
    </w:pPr>
    <w:rPr>
      <w:color w:val="800080"/>
      <w:kern w:val="0"/>
      <w:sz w:val="24"/>
    </w:rPr>
  </w:style>
  <w:style w:type="character" w:customStyle="1" w:styleId="227">
    <w:name w:val="16p"/>
    <w:autoRedefine/>
    <w:qFormat/>
    <w:uiPriority w:val="0"/>
  </w:style>
  <w:style w:type="character" w:customStyle="1" w:styleId="228">
    <w:name w:val="纯文本21"/>
    <w:autoRedefine/>
    <w:qFormat/>
    <w:uiPriority w:val="0"/>
    <w:rPr>
      <w:rFonts w:ascii="宋体" w:hAnsi="Courier New" w:eastAsia="宋体" w:cs="Courier New"/>
      <w:kern w:val="2"/>
      <w:sz w:val="21"/>
      <w:szCs w:val="21"/>
      <w:lang w:val="en-US" w:eastAsia="zh-CN" w:bidi="ar-SA"/>
    </w:rPr>
  </w:style>
  <w:style w:type="character" w:customStyle="1" w:styleId="229">
    <w:name w:val="图表名 大王 20100426 Char"/>
    <w:link w:val="230"/>
    <w:autoRedefine/>
    <w:qFormat/>
    <w:uiPriority w:val="0"/>
    <w:rPr>
      <w:rFonts w:ascii="宋体" w:hAnsi="宋体" w:cs="宋体"/>
      <w:b/>
      <w:bCs/>
      <w:snapToGrid/>
      <w:sz w:val="21"/>
    </w:rPr>
  </w:style>
  <w:style w:type="paragraph" w:customStyle="1" w:styleId="230">
    <w:name w:val="图表名 大王 20100426"/>
    <w:basedOn w:val="231"/>
    <w:link w:val="229"/>
    <w:autoRedefine/>
    <w:qFormat/>
    <w:uiPriority w:val="0"/>
    <w:pPr>
      <w:tabs>
        <w:tab w:val="left" w:pos="377"/>
      </w:tabs>
      <w:spacing w:before="120" w:after="120"/>
    </w:pPr>
    <w:rPr>
      <w:snapToGrid w:val="0"/>
    </w:rPr>
  </w:style>
  <w:style w:type="paragraph" w:customStyle="1" w:styleId="231">
    <w:name w:val="图表标题-大王"/>
    <w:basedOn w:val="1"/>
    <w:link w:val="232"/>
    <w:autoRedefine/>
    <w:qFormat/>
    <w:uiPriority w:val="0"/>
    <w:pPr>
      <w:widowControl/>
      <w:tabs>
        <w:tab w:val="left" w:pos="377"/>
      </w:tabs>
      <w:spacing w:beforeLines="50" w:afterLines="50"/>
      <w:jc w:val="center"/>
    </w:pPr>
    <w:rPr>
      <w:rFonts w:ascii="宋体" w:hAnsi="宋体" w:cs="宋体"/>
      <w:b/>
      <w:bCs/>
      <w:kern w:val="0"/>
      <w:szCs w:val="20"/>
    </w:rPr>
  </w:style>
  <w:style w:type="character" w:customStyle="1" w:styleId="232">
    <w:name w:val="图表标题-大王 Char"/>
    <w:link w:val="231"/>
    <w:autoRedefine/>
    <w:qFormat/>
    <w:uiPriority w:val="0"/>
    <w:rPr>
      <w:rFonts w:ascii="宋体" w:hAnsi="宋体" w:cs="宋体"/>
      <w:b/>
      <w:bCs/>
      <w:sz w:val="21"/>
    </w:rPr>
  </w:style>
  <w:style w:type="character" w:customStyle="1" w:styleId="233">
    <w:name w:val="9css21"/>
    <w:autoRedefine/>
    <w:qFormat/>
    <w:uiPriority w:val="0"/>
    <w:rPr>
      <w:spacing w:val="268"/>
      <w:sz w:val="20"/>
      <w:szCs w:val="20"/>
    </w:rPr>
  </w:style>
  <w:style w:type="character" w:customStyle="1" w:styleId="234">
    <w:name w:val="公示 Char Char"/>
    <w:link w:val="235"/>
    <w:autoRedefine/>
    <w:qFormat/>
    <w:uiPriority w:val="0"/>
  </w:style>
  <w:style w:type="paragraph" w:customStyle="1" w:styleId="235">
    <w:name w:val="公示"/>
    <w:basedOn w:val="1"/>
    <w:link w:val="234"/>
    <w:autoRedefine/>
    <w:qFormat/>
    <w:uiPriority w:val="0"/>
    <w:pPr>
      <w:spacing w:line="360" w:lineRule="auto"/>
      <w:ind w:firstLine="200" w:firstLineChars="200"/>
      <w:jc w:val="center"/>
    </w:pPr>
    <w:rPr>
      <w:kern w:val="0"/>
      <w:sz w:val="20"/>
      <w:szCs w:val="20"/>
    </w:rPr>
  </w:style>
  <w:style w:type="character" w:customStyle="1" w:styleId="236">
    <w:name w:val="style51"/>
    <w:autoRedefine/>
    <w:qFormat/>
    <w:uiPriority w:val="0"/>
    <w:rPr>
      <w:color w:val="000000"/>
      <w:sz w:val="36"/>
      <w:szCs w:val="36"/>
    </w:rPr>
  </w:style>
  <w:style w:type="character" w:customStyle="1" w:styleId="237">
    <w:name w:val="表格内文字 Char Char"/>
    <w:autoRedefine/>
    <w:qFormat/>
    <w:uiPriority w:val="0"/>
    <w:rPr>
      <w:rFonts w:eastAsia="仿宋_GB2312"/>
      <w:sz w:val="24"/>
      <w:szCs w:val="24"/>
      <w:lang w:bidi="ar-SA"/>
    </w:rPr>
  </w:style>
  <w:style w:type="character" w:customStyle="1" w:styleId="238">
    <w:name w:val="表头1 Char"/>
    <w:link w:val="239"/>
    <w:autoRedefine/>
    <w:qFormat/>
    <w:uiPriority w:val="0"/>
    <w:rPr>
      <w:rFonts w:eastAsia="黑体"/>
      <w:sz w:val="21"/>
      <w:szCs w:val="21"/>
    </w:rPr>
  </w:style>
  <w:style w:type="paragraph" w:customStyle="1" w:styleId="239">
    <w:name w:val="表头1"/>
    <w:basedOn w:val="1"/>
    <w:next w:val="1"/>
    <w:link w:val="238"/>
    <w:autoRedefine/>
    <w:qFormat/>
    <w:uiPriority w:val="0"/>
    <w:pPr>
      <w:tabs>
        <w:tab w:val="left" w:pos="605"/>
      </w:tabs>
      <w:adjustRightInd w:val="0"/>
      <w:snapToGrid w:val="0"/>
      <w:jc w:val="center"/>
    </w:pPr>
    <w:rPr>
      <w:rFonts w:eastAsia="黑体"/>
      <w:kern w:val="0"/>
    </w:rPr>
  </w:style>
  <w:style w:type="character" w:customStyle="1" w:styleId="240">
    <w:name w:val="type021"/>
    <w:autoRedefine/>
    <w:qFormat/>
    <w:uiPriority w:val="0"/>
    <w:rPr>
      <w:color w:val="000000"/>
      <w:sz w:val="18"/>
      <w:szCs w:val="18"/>
    </w:rPr>
  </w:style>
  <w:style w:type="character" w:customStyle="1" w:styleId="241">
    <w:name w:val="表蕊居中 Char Char"/>
    <w:link w:val="242"/>
    <w:autoRedefine/>
    <w:qFormat/>
    <w:uiPriority w:val="0"/>
    <w:rPr>
      <w:color w:val="FF0000"/>
      <w:spacing w:val="-10"/>
      <w:szCs w:val="21"/>
    </w:rPr>
  </w:style>
  <w:style w:type="paragraph" w:customStyle="1" w:styleId="242">
    <w:name w:val="表蕊居中"/>
    <w:basedOn w:val="1"/>
    <w:link w:val="241"/>
    <w:autoRedefine/>
    <w:qFormat/>
    <w:uiPriority w:val="0"/>
    <w:pPr>
      <w:adjustRightInd w:val="0"/>
      <w:spacing w:line="280" w:lineRule="atLeast"/>
      <w:jc w:val="center"/>
      <w:textAlignment w:val="baseline"/>
    </w:pPr>
    <w:rPr>
      <w:color w:val="FF0000"/>
      <w:spacing w:val="-10"/>
      <w:kern w:val="0"/>
      <w:sz w:val="20"/>
    </w:rPr>
  </w:style>
  <w:style w:type="character" w:customStyle="1" w:styleId="243">
    <w:name w:val="articlebody1"/>
    <w:autoRedefine/>
    <w:qFormat/>
    <w:uiPriority w:val="0"/>
    <w:rPr>
      <w:rFonts w:ascii="宋体" w:hAnsi="宋体" w:eastAsia="宋体" w:cs="宋体"/>
      <w:color w:val="333333"/>
      <w:kern w:val="2"/>
      <w:sz w:val="21"/>
      <w:szCs w:val="21"/>
      <w:lang w:val="en-US" w:eastAsia="zh-CN" w:bidi="ar-SA"/>
    </w:rPr>
  </w:style>
  <w:style w:type="character" w:customStyle="1" w:styleId="244">
    <w:name w:val="标题 3 Char1"/>
    <w:autoRedefine/>
    <w:qFormat/>
    <w:uiPriority w:val="0"/>
    <w:rPr>
      <w:rFonts w:ascii="宋体" w:hAnsi="宋体" w:eastAsia="宋体" w:cs="宋体"/>
      <w:b/>
      <w:bCs/>
      <w:caps/>
      <w:color w:val="000000"/>
      <w:kern w:val="2"/>
      <w:sz w:val="28"/>
      <w:szCs w:val="24"/>
      <w:lang w:val="zh-CN" w:eastAsia="zh-CN" w:bidi="ar-SA"/>
    </w:rPr>
  </w:style>
  <w:style w:type="character" w:customStyle="1" w:styleId="245">
    <w:name w:val="apple-style-span"/>
    <w:autoRedefine/>
    <w:qFormat/>
    <w:uiPriority w:val="0"/>
    <w:rPr>
      <w:rFonts w:ascii="宋体" w:hAnsi="宋体" w:eastAsia="宋体" w:cs="宋体"/>
      <w:kern w:val="2"/>
      <w:sz w:val="24"/>
      <w:szCs w:val="24"/>
      <w:lang w:val="en-US" w:eastAsia="zh-CN" w:bidi="ar-SA"/>
    </w:rPr>
  </w:style>
  <w:style w:type="character" w:customStyle="1" w:styleId="246">
    <w:name w:val="ssmj9"/>
    <w:autoRedefine/>
    <w:qFormat/>
    <w:uiPriority w:val="0"/>
  </w:style>
  <w:style w:type="character" w:customStyle="1" w:styleId="247">
    <w:name w:val="sfrxxz"/>
    <w:autoRedefine/>
    <w:qFormat/>
    <w:uiPriority w:val="0"/>
  </w:style>
  <w:style w:type="character" w:customStyle="1" w:styleId="248">
    <w:name w:val="无间隔 字符"/>
    <w:link w:val="249"/>
    <w:autoRedefine/>
    <w:qFormat/>
    <w:uiPriority w:val="0"/>
    <w:rPr>
      <w:rFonts w:ascii="Calibri" w:hAnsi="Calibri"/>
      <w:sz w:val="24"/>
      <w:szCs w:val="32"/>
      <w:lang w:eastAsia="en-US" w:bidi="en-US"/>
    </w:rPr>
  </w:style>
  <w:style w:type="paragraph" w:styleId="249">
    <w:name w:val="No Spacing"/>
    <w:basedOn w:val="1"/>
    <w:link w:val="248"/>
    <w:autoRedefine/>
    <w:qFormat/>
    <w:uiPriority w:val="0"/>
    <w:pPr>
      <w:widowControl/>
      <w:jc w:val="left"/>
    </w:pPr>
    <w:rPr>
      <w:rFonts w:ascii="Calibri" w:hAnsi="Calibri"/>
      <w:kern w:val="0"/>
      <w:sz w:val="24"/>
      <w:szCs w:val="32"/>
      <w:lang w:eastAsia="en-US" w:bidi="en-US"/>
    </w:rPr>
  </w:style>
  <w:style w:type="character" w:customStyle="1" w:styleId="250">
    <w:name w:val="news_line"/>
    <w:autoRedefine/>
    <w:qFormat/>
    <w:uiPriority w:val="0"/>
    <w:rPr>
      <w:rFonts w:ascii="宋体" w:hAnsi="宋体" w:eastAsia="宋体" w:cs="宋体"/>
      <w:kern w:val="2"/>
      <w:sz w:val="24"/>
      <w:szCs w:val="24"/>
      <w:lang w:val="en-US" w:eastAsia="zh-CN" w:bidi="ar-SA"/>
    </w:rPr>
  </w:style>
  <w:style w:type="character" w:customStyle="1" w:styleId="251">
    <w:name w:val="正文缩进2"/>
    <w:autoRedefine/>
    <w:qFormat/>
    <w:uiPriority w:val="0"/>
    <w:rPr>
      <w:rFonts w:ascii="仿宋_GB2312" w:eastAsia="仿宋_GB2312"/>
      <w:kern w:val="2"/>
      <w:sz w:val="28"/>
      <w:szCs w:val="24"/>
      <w:lang w:val="en-US" w:eastAsia="zh-CN" w:bidi="ar-SA"/>
    </w:rPr>
  </w:style>
  <w:style w:type="character" w:customStyle="1" w:styleId="252">
    <w:name w:val="正文文本 字符1"/>
    <w:autoRedefine/>
    <w:semiHidden/>
    <w:qFormat/>
    <w:uiPriority w:val="0"/>
    <w:rPr>
      <w:rFonts w:ascii="Times New Roman" w:hAnsi="Times New Roman" w:eastAsia="宋体"/>
      <w:sz w:val="24"/>
    </w:rPr>
  </w:style>
  <w:style w:type="character" w:customStyle="1" w:styleId="253">
    <w:name w:val="241"/>
    <w:qFormat/>
    <w:uiPriority w:val="0"/>
    <w:rPr>
      <w:rFonts w:ascii="宋体" w:hAnsi="宋体" w:eastAsia="宋体" w:cs="宋体"/>
      <w:kern w:val="2"/>
      <w:sz w:val="24"/>
      <w:szCs w:val="24"/>
      <w:lang w:val="en-US" w:eastAsia="zh-CN" w:bidi="ar-SA"/>
    </w:rPr>
  </w:style>
  <w:style w:type="character" w:customStyle="1" w:styleId="254">
    <w:name w:val="样式84 Char Char"/>
    <w:link w:val="255"/>
    <w:autoRedefine/>
    <w:qFormat/>
    <w:uiPriority w:val="0"/>
    <w:rPr>
      <w:rFonts w:ascii="宋体" w:hAnsi="宋体"/>
      <w:color w:val="000000"/>
      <w:sz w:val="24"/>
      <w:szCs w:val="24"/>
    </w:rPr>
  </w:style>
  <w:style w:type="paragraph" w:customStyle="1" w:styleId="255">
    <w:name w:val="样式84"/>
    <w:basedOn w:val="1"/>
    <w:link w:val="254"/>
    <w:autoRedefine/>
    <w:qFormat/>
    <w:uiPriority w:val="0"/>
    <w:pPr>
      <w:snapToGrid w:val="0"/>
      <w:spacing w:line="520" w:lineRule="exact"/>
      <w:ind w:firstLine="560" w:firstLineChars="200"/>
    </w:pPr>
    <w:rPr>
      <w:rFonts w:ascii="宋体" w:hAnsi="宋体"/>
      <w:color w:val="000000"/>
      <w:kern w:val="0"/>
      <w:sz w:val="24"/>
    </w:rPr>
  </w:style>
  <w:style w:type="character" w:customStyle="1" w:styleId="256">
    <w:name w:val="广石化正文 Char"/>
    <w:link w:val="257"/>
    <w:autoRedefine/>
    <w:qFormat/>
    <w:uiPriority w:val="0"/>
    <w:rPr>
      <w:rFonts w:ascii="宋体" w:hAnsi="宋体"/>
      <w:kern w:val="2"/>
      <w:sz w:val="28"/>
      <w:szCs w:val="28"/>
    </w:rPr>
  </w:style>
  <w:style w:type="paragraph" w:customStyle="1" w:styleId="257">
    <w:name w:val="广石化正文"/>
    <w:basedOn w:val="1"/>
    <w:link w:val="256"/>
    <w:autoRedefine/>
    <w:qFormat/>
    <w:uiPriority w:val="0"/>
    <w:pPr>
      <w:tabs>
        <w:tab w:val="left" w:pos="6520"/>
        <w:tab w:val="left" w:leader="dot" w:pos="8220"/>
      </w:tabs>
      <w:spacing w:line="520" w:lineRule="exact"/>
      <w:ind w:firstLine="538" w:firstLineChars="192"/>
    </w:pPr>
    <w:rPr>
      <w:rFonts w:ascii="宋体" w:hAnsi="宋体"/>
      <w:sz w:val="28"/>
      <w:szCs w:val="28"/>
    </w:rPr>
  </w:style>
  <w:style w:type="character" w:customStyle="1" w:styleId="258">
    <w:name w:val="脚注文本 字符1"/>
    <w:autoRedefine/>
    <w:qFormat/>
    <w:uiPriority w:val="0"/>
    <w:rPr>
      <w:kern w:val="2"/>
      <w:sz w:val="18"/>
      <w:szCs w:val="18"/>
    </w:rPr>
  </w:style>
  <w:style w:type="character" w:customStyle="1" w:styleId="259">
    <w:name w:val="批注文字 字符1"/>
    <w:autoRedefine/>
    <w:semiHidden/>
    <w:qFormat/>
    <w:uiPriority w:val="0"/>
    <w:rPr>
      <w:rFonts w:ascii="Times New Roman" w:hAnsi="Times New Roman" w:eastAsia="宋体"/>
      <w:sz w:val="24"/>
    </w:rPr>
  </w:style>
  <w:style w:type="character" w:customStyle="1" w:styleId="260">
    <w:name w:val="文章正文样式 Char"/>
    <w:link w:val="261"/>
    <w:qFormat/>
    <w:uiPriority w:val="0"/>
    <w:rPr>
      <w:rFonts w:ascii="宋体" w:hAnsi="宋体" w:cs="宋体"/>
      <w:kern w:val="2"/>
      <w:sz w:val="24"/>
    </w:rPr>
  </w:style>
  <w:style w:type="paragraph" w:customStyle="1" w:styleId="261">
    <w:name w:val="文章正文样式"/>
    <w:basedOn w:val="1"/>
    <w:link w:val="260"/>
    <w:qFormat/>
    <w:uiPriority w:val="0"/>
    <w:pPr>
      <w:spacing w:line="520" w:lineRule="exact"/>
      <w:ind w:firstLine="480" w:firstLineChars="200"/>
      <w:jc w:val="left"/>
    </w:pPr>
    <w:rPr>
      <w:rFonts w:ascii="宋体" w:hAnsi="宋体" w:cs="宋体"/>
      <w:sz w:val="24"/>
      <w:szCs w:val="20"/>
    </w:rPr>
  </w:style>
  <w:style w:type="character" w:customStyle="1" w:styleId="262">
    <w:name w:val="标题2"/>
    <w:autoRedefine/>
    <w:qFormat/>
    <w:uiPriority w:val="0"/>
  </w:style>
  <w:style w:type="character" w:customStyle="1" w:styleId="263">
    <w:name w:val="样式7 Char Char"/>
    <w:link w:val="264"/>
    <w:qFormat/>
    <w:uiPriority w:val="0"/>
    <w:rPr>
      <w:rFonts w:ascii="宋体" w:hAnsi="宋体"/>
      <w:color w:val="000000"/>
      <w:sz w:val="24"/>
      <w:szCs w:val="24"/>
    </w:rPr>
  </w:style>
  <w:style w:type="paragraph" w:customStyle="1" w:styleId="264">
    <w:name w:val="样式7"/>
    <w:basedOn w:val="1"/>
    <w:next w:val="1"/>
    <w:link w:val="263"/>
    <w:autoRedefine/>
    <w:qFormat/>
    <w:uiPriority w:val="0"/>
    <w:pPr>
      <w:spacing w:line="360" w:lineRule="auto"/>
      <w:ind w:firstLine="480" w:firstLineChars="200"/>
    </w:pPr>
    <w:rPr>
      <w:rFonts w:ascii="宋体" w:hAnsi="宋体"/>
      <w:color w:val="000000"/>
      <w:kern w:val="0"/>
      <w:sz w:val="24"/>
    </w:rPr>
  </w:style>
  <w:style w:type="character" w:customStyle="1" w:styleId="265">
    <w:name w:val="样式5 Char Char"/>
    <w:link w:val="54"/>
    <w:autoRedefine/>
    <w:qFormat/>
    <w:uiPriority w:val="0"/>
    <w:rPr>
      <w:rFonts w:ascii="宋体"/>
      <w:szCs w:val="21"/>
    </w:rPr>
  </w:style>
  <w:style w:type="character" w:customStyle="1" w:styleId="266">
    <w:name w:val="正文1 Char"/>
    <w:link w:val="55"/>
    <w:autoRedefine/>
    <w:qFormat/>
    <w:uiPriority w:val="0"/>
    <w:rPr>
      <w:kern w:val="2"/>
      <w:sz w:val="28"/>
      <w:szCs w:val="24"/>
    </w:rPr>
  </w:style>
  <w:style w:type="character" w:customStyle="1" w:styleId="267">
    <w:name w:val="unnamed21"/>
    <w:autoRedefine/>
    <w:qFormat/>
    <w:uiPriority w:val="0"/>
    <w:rPr>
      <w:rFonts w:ascii="宋体" w:hAnsi="宋体" w:eastAsia="宋体" w:cs="宋体"/>
      <w:kern w:val="2"/>
      <w:sz w:val="18"/>
      <w:szCs w:val="18"/>
      <w:lang w:val="en-US" w:eastAsia="zh-CN" w:bidi="ar-SA"/>
    </w:rPr>
  </w:style>
  <w:style w:type="character" w:customStyle="1" w:styleId="268">
    <w:name w:val="表格填充1 Char"/>
    <w:link w:val="269"/>
    <w:autoRedefine/>
    <w:qFormat/>
    <w:uiPriority w:val="0"/>
    <w:rPr>
      <w:snapToGrid/>
      <w:kern w:val="2"/>
      <w:sz w:val="24"/>
      <w:szCs w:val="18"/>
    </w:rPr>
  </w:style>
  <w:style w:type="paragraph" w:customStyle="1" w:styleId="269">
    <w:name w:val="表格填充1"/>
    <w:basedOn w:val="1"/>
    <w:link w:val="268"/>
    <w:autoRedefine/>
    <w:semiHidden/>
    <w:qFormat/>
    <w:uiPriority w:val="0"/>
    <w:pPr>
      <w:adjustRightInd w:val="0"/>
      <w:snapToGrid w:val="0"/>
      <w:spacing w:line="400" w:lineRule="exact"/>
      <w:jc w:val="center"/>
    </w:pPr>
    <w:rPr>
      <w:snapToGrid w:val="0"/>
      <w:sz w:val="24"/>
      <w:szCs w:val="18"/>
    </w:rPr>
  </w:style>
  <w:style w:type="character" w:customStyle="1" w:styleId="270">
    <w:name w:val="Char Char6"/>
    <w:autoRedefine/>
    <w:qFormat/>
    <w:uiPriority w:val="0"/>
    <w:rPr>
      <w:rFonts w:ascii="宋体" w:hAnsi="宋体" w:eastAsia="宋体" w:cs="宋体"/>
      <w:b/>
      <w:bCs/>
      <w:i/>
      <w:iCs/>
      <w:kern w:val="2"/>
      <w:sz w:val="26"/>
      <w:szCs w:val="26"/>
      <w:lang w:val="en-US" w:eastAsia="zh-CN" w:bidi="ar-SA"/>
    </w:rPr>
  </w:style>
  <w:style w:type="character" w:customStyle="1" w:styleId="271">
    <w:name w:val="标题 4 Char4"/>
    <w:autoRedefine/>
    <w:qFormat/>
    <w:uiPriority w:val="0"/>
    <w:rPr>
      <w:rFonts w:ascii="宋体" w:hAnsi="宋体" w:eastAsia="宋体" w:cs="宋体"/>
      <w:b/>
      <w:snapToGrid/>
      <w:kern w:val="2"/>
      <w:sz w:val="24"/>
      <w:szCs w:val="24"/>
      <w:lang w:val="en-GB" w:eastAsia="zh-CN" w:bidi="ar-SA"/>
    </w:rPr>
  </w:style>
  <w:style w:type="character" w:customStyle="1" w:styleId="272">
    <w:name w:val="Footer1 Char Char"/>
    <w:autoRedefine/>
    <w:qFormat/>
    <w:uiPriority w:val="0"/>
    <w:rPr>
      <w:rFonts w:eastAsia="宋体"/>
      <w:kern w:val="2"/>
      <w:sz w:val="18"/>
      <w:szCs w:val="18"/>
      <w:lang w:val="en-US" w:eastAsia="zh-CN" w:bidi="ar-SA"/>
    </w:rPr>
  </w:style>
  <w:style w:type="character" w:customStyle="1" w:styleId="273">
    <w:name w:val="公式 Char Char"/>
    <w:link w:val="274"/>
    <w:autoRedefine/>
    <w:qFormat/>
    <w:uiPriority w:val="0"/>
    <w:rPr>
      <w:rFonts w:ascii="宋体"/>
      <w:kern w:val="16"/>
      <w:sz w:val="24"/>
    </w:rPr>
  </w:style>
  <w:style w:type="paragraph" w:customStyle="1" w:styleId="274">
    <w:name w:val="公式"/>
    <w:basedOn w:val="1"/>
    <w:link w:val="273"/>
    <w:autoRedefine/>
    <w:qFormat/>
    <w:uiPriority w:val="0"/>
    <w:pPr>
      <w:adjustRightInd w:val="0"/>
      <w:spacing w:before="240" w:after="240" w:line="480" w:lineRule="exact"/>
      <w:ind w:firstLine="200" w:firstLineChars="200"/>
      <w:jc w:val="center"/>
      <w:textAlignment w:val="baseline"/>
    </w:pPr>
    <w:rPr>
      <w:rFonts w:ascii="宋体"/>
      <w:kern w:val="16"/>
      <w:sz w:val="24"/>
      <w:szCs w:val="20"/>
    </w:rPr>
  </w:style>
  <w:style w:type="character" w:customStyle="1" w:styleId="275">
    <w:name w:val="style2_title1"/>
    <w:autoRedefine/>
    <w:qFormat/>
    <w:uiPriority w:val="0"/>
    <w:rPr>
      <w:b/>
      <w:bCs/>
      <w:sz w:val="25"/>
      <w:szCs w:val="25"/>
    </w:rPr>
  </w:style>
  <w:style w:type="character" w:customStyle="1" w:styleId="276">
    <w:name w:val="表格题目 Char"/>
    <w:link w:val="277"/>
    <w:autoRedefine/>
    <w:qFormat/>
    <w:uiPriority w:val="0"/>
    <w:rPr>
      <w:rFonts w:ascii="宋体" w:hAnsi="宋体"/>
      <w:sz w:val="24"/>
      <w:szCs w:val="24"/>
    </w:rPr>
  </w:style>
  <w:style w:type="paragraph" w:customStyle="1" w:styleId="277">
    <w:name w:val="表格题目"/>
    <w:basedOn w:val="1"/>
    <w:link w:val="276"/>
    <w:autoRedefine/>
    <w:qFormat/>
    <w:uiPriority w:val="0"/>
    <w:pPr>
      <w:spacing w:line="360" w:lineRule="auto"/>
      <w:ind w:firstLine="480" w:firstLineChars="200"/>
    </w:pPr>
    <w:rPr>
      <w:rFonts w:ascii="宋体" w:hAnsi="宋体"/>
      <w:kern w:val="0"/>
      <w:sz w:val="24"/>
      <w:shd w:val="clear" w:color="auto" w:fill="FFFFFF"/>
    </w:rPr>
  </w:style>
  <w:style w:type="character" w:customStyle="1" w:styleId="278">
    <w:name w:val="表格 Char Char"/>
    <w:autoRedefine/>
    <w:qFormat/>
    <w:uiPriority w:val="0"/>
    <w:rPr>
      <w:kern w:val="2"/>
      <w:sz w:val="24"/>
      <w:szCs w:val="24"/>
      <w:lang w:bidi="ar-SA"/>
    </w:rPr>
  </w:style>
  <w:style w:type="character" w:customStyle="1" w:styleId="279">
    <w:name w:val="text_edit editable-title"/>
    <w:autoRedefine/>
    <w:qFormat/>
    <w:uiPriority w:val="0"/>
  </w:style>
  <w:style w:type="character" w:customStyle="1" w:styleId="280">
    <w:name w:val="s c c"/>
    <w:autoRedefine/>
    <w:qFormat/>
    <w:uiPriority w:val="0"/>
  </w:style>
  <w:style w:type="character" w:customStyle="1" w:styleId="281">
    <w:name w:val="tpc_content1"/>
    <w:autoRedefine/>
    <w:qFormat/>
    <w:uiPriority w:val="0"/>
    <w:rPr>
      <w:rFonts w:ascii="宋体" w:hAnsi="宋体" w:eastAsia="宋体" w:cs="宋体"/>
      <w:kern w:val="2"/>
      <w:sz w:val="24"/>
      <w:szCs w:val="24"/>
      <w:lang w:val="en-US" w:eastAsia="zh-CN" w:bidi="ar-SA"/>
    </w:rPr>
  </w:style>
  <w:style w:type="character" w:customStyle="1" w:styleId="282">
    <w:name w:val="样式16 Char Char"/>
    <w:link w:val="283"/>
    <w:autoRedefine/>
    <w:qFormat/>
    <w:uiPriority w:val="0"/>
    <w:rPr>
      <w:rFonts w:eastAsia="楷体_GB2312"/>
      <w:b/>
      <w:bCs/>
      <w:color w:val="000000"/>
      <w:sz w:val="32"/>
      <w:szCs w:val="32"/>
    </w:rPr>
  </w:style>
  <w:style w:type="paragraph" w:customStyle="1" w:styleId="283">
    <w:name w:val="样式16"/>
    <w:basedOn w:val="3"/>
    <w:link w:val="282"/>
    <w:autoRedefine/>
    <w:qFormat/>
    <w:uiPriority w:val="0"/>
    <w:pPr>
      <w:tabs>
        <w:tab w:val="left" w:pos="390"/>
      </w:tabs>
      <w:overflowPunct/>
      <w:snapToGrid/>
      <w:spacing w:before="340" w:beforeLines="100" w:after="330" w:afterLines="100" w:line="240" w:lineRule="auto"/>
      <w:ind w:left="390" w:firstLine="0"/>
      <w:jc w:val="center"/>
    </w:pPr>
    <w:rPr>
      <w:rFonts w:eastAsia="楷体_GB2312"/>
      <w:kern w:val="0"/>
      <w:sz w:val="32"/>
      <w:szCs w:val="32"/>
    </w:rPr>
  </w:style>
  <w:style w:type="character" w:customStyle="1" w:styleId="284">
    <w:name w:val="su21"/>
    <w:autoRedefine/>
    <w:qFormat/>
    <w:uiPriority w:val="0"/>
  </w:style>
  <w:style w:type="character" w:customStyle="1" w:styleId="285">
    <w:name w:val="文本 Char Char"/>
    <w:link w:val="286"/>
    <w:autoRedefine/>
    <w:qFormat/>
    <w:uiPriority w:val="0"/>
    <w:rPr>
      <w:rFonts w:ascii="宋体" w:hAnsi="宋体"/>
      <w:sz w:val="24"/>
      <w:szCs w:val="24"/>
    </w:rPr>
  </w:style>
  <w:style w:type="paragraph" w:customStyle="1" w:styleId="286">
    <w:name w:val="文本"/>
    <w:basedOn w:val="1"/>
    <w:link w:val="285"/>
    <w:autoRedefine/>
    <w:qFormat/>
    <w:uiPriority w:val="0"/>
    <w:pPr>
      <w:spacing w:after="60" w:line="440" w:lineRule="exact"/>
      <w:ind w:firstLine="480" w:firstLineChars="200"/>
    </w:pPr>
    <w:rPr>
      <w:rFonts w:ascii="宋体" w:hAnsi="宋体"/>
      <w:kern w:val="0"/>
      <w:sz w:val="24"/>
    </w:rPr>
  </w:style>
  <w:style w:type="character" w:customStyle="1" w:styleId="287">
    <w:name w:val="样式19 Char Char"/>
    <w:link w:val="288"/>
    <w:autoRedefine/>
    <w:qFormat/>
    <w:uiPriority w:val="0"/>
    <w:rPr>
      <w:b/>
      <w:bCs/>
      <w:kern w:val="44"/>
      <w:sz w:val="32"/>
      <w:szCs w:val="44"/>
    </w:rPr>
  </w:style>
  <w:style w:type="paragraph" w:customStyle="1" w:styleId="288">
    <w:name w:val="样式19"/>
    <w:basedOn w:val="3"/>
    <w:link w:val="287"/>
    <w:autoRedefine/>
    <w:qFormat/>
    <w:uiPriority w:val="0"/>
    <w:pPr>
      <w:keepLines/>
      <w:numPr>
        <w:ilvl w:val="0"/>
        <w:numId w:val="2"/>
      </w:numPr>
      <w:overflowPunct/>
      <w:snapToGrid/>
      <w:spacing w:before="0" w:after="0" w:line="360" w:lineRule="auto"/>
    </w:pPr>
    <w:rPr>
      <w:rFonts w:eastAsia="宋体"/>
      <w:color w:val="auto"/>
      <w:sz w:val="32"/>
      <w:szCs w:val="44"/>
    </w:rPr>
  </w:style>
  <w:style w:type="character" w:customStyle="1" w:styleId="289">
    <w:name w:val="source"/>
    <w:autoRedefine/>
    <w:qFormat/>
    <w:uiPriority w:val="0"/>
  </w:style>
  <w:style w:type="character" w:customStyle="1" w:styleId="290">
    <w:name w:val="表内字 Char1"/>
    <w:link w:val="291"/>
    <w:autoRedefine/>
    <w:qFormat/>
    <w:uiPriority w:val="0"/>
    <w:rPr>
      <w:kern w:val="2"/>
      <w:sz w:val="21"/>
    </w:rPr>
  </w:style>
  <w:style w:type="paragraph" w:customStyle="1" w:styleId="291">
    <w:name w:val="表内字"/>
    <w:link w:val="290"/>
    <w:autoRedefine/>
    <w:qFormat/>
    <w:uiPriority w:val="0"/>
    <w:pPr>
      <w:spacing w:before="80" w:after="80"/>
      <w:jc w:val="both"/>
    </w:pPr>
    <w:rPr>
      <w:rFonts w:ascii="Times New Roman" w:hAnsi="Times New Roman" w:eastAsia="宋体" w:cs="Times New Roman"/>
      <w:kern w:val="2"/>
      <w:sz w:val="21"/>
      <w:lang w:val="en-US" w:eastAsia="zh-CN" w:bidi="ar-SA"/>
    </w:rPr>
  </w:style>
  <w:style w:type="character" w:customStyle="1" w:styleId="292">
    <w:name w:val="标题 2 Char"/>
    <w:autoRedefine/>
    <w:qFormat/>
    <w:uiPriority w:val="9"/>
    <w:rPr>
      <w:rFonts w:ascii="Cambria" w:hAnsi="Cambria" w:eastAsia="宋体" w:cs="Times New Roman"/>
      <w:b/>
      <w:bCs/>
      <w:sz w:val="32"/>
      <w:szCs w:val="32"/>
    </w:rPr>
  </w:style>
  <w:style w:type="character" w:customStyle="1" w:styleId="293">
    <w:name w:val="报告书正文 Char1"/>
    <w:link w:val="294"/>
    <w:autoRedefine/>
    <w:qFormat/>
    <w:uiPriority w:val="0"/>
    <w:rPr>
      <w:sz w:val="18"/>
      <w:szCs w:val="18"/>
      <w:lang w:val="zh-CN"/>
    </w:rPr>
  </w:style>
  <w:style w:type="paragraph" w:customStyle="1" w:styleId="294">
    <w:name w:val="报告书正文"/>
    <w:basedOn w:val="1"/>
    <w:link w:val="293"/>
    <w:autoRedefine/>
    <w:qFormat/>
    <w:uiPriority w:val="0"/>
    <w:pPr>
      <w:adjustRightInd w:val="0"/>
      <w:spacing w:beforeLines="50" w:line="360" w:lineRule="auto"/>
      <w:ind w:firstLine="480" w:firstLineChars="200"/>
      <w:textAlignment w:val="baseline"/>
    </w:pPr>
    <w:rPr>
      <w:kern w:val="0"/>
      <w:sz w:val="18"/>
      <w:szCs w:val="18"/>
      <w:lang w:val="zh-CN"/>
    </w:rPr>
  </w:style>
  <w:style w:type="character" w:customStyle="1" w:styleId="295">
    <w:name w:val="css-text3"/>
    <w:autoRedefine/>
    <w:qFormat/>
    <w:uiPriority w:val="0"/>
  </w:style>
  <w:style w:type="character" w:customStyle="1" w:styleId="296">
    <w:name w:val="样式 标题 3H31.1.1标题 3条标题1.1.1h3level_3PIM 3Level 3 HeadHead...1 Char Char"/>
    <w:link w:val="297"/>
    <w:autoRedefine/>
    <w:qFormat/>
    <w:uiPriority w:val="0"/>
    <w:rPr>
      <w:rFonts w:ascii="黑体" w:hAnsi="黑体" w:eastAsia="黑体"/>
      <w:b/>
      <w:bCs/>
      <w:sz w:val="28"/>
      <w:szCs w:val="32"/>
    </w:rPr>
  </w:style>
  <w:style w:type="paragraph" w:customStyle="1" w:styleId="297">
    <w:name w:val="样式 标题 3H31.1.1标题 3条标题1.1.1h3level_3PIM 3Level 3 HeadHead...1"/>
    <w:basedOn w:val="5"/>
    <w:link w:val="296"/>
    <w:autoRedefine/>
    <w:qFormat/>
    <w:uiPriority w:val="0"/>
    <w:pPr>
      <w:tabs>
        <w:tab w:val="left" w:pos="1260"/>
      </w:tabs>
      <w:ind w:left="1260" w:hanging="420"/>
    </w:pPr>
    <w:rPr>
      <w:rFonts w:ascii="黑体" w:hAnsi="黑体" w:eastAsia="黑体"/>
      <w:kern w:val="0"/>
      <w:sz w:val="28"/>
    </w:rPr>
  </w:style>
  <w:style w:type="character" w:customStyle="1" w:styleId="298">
    <w:name w:val="默认段落字体 Para Char Char Char Char Char"/>
    <w:link w:val="299"/>
    <w:autoRedefine/>
    <w:qFormat/>
    <w:uiPriority w:val="0"/>
    <w:rPr>
      <w:kern w:val="2"/>
      <w:sz w:val="21"/>
      <w:szCs w:val="21"/>
    </w:rPr>
  </w:style>
  <w:style w:type="paragraph" w:customStyle="1" w:styleId="299">
    <w:name w:val="默认段落字体 Para Char Char Char Char"/>
    <w:basedOn w:val="1"/>
    <w:link w:val="298"/>
    <w:autoRedefine/>
    <w:qFormat/>
    <w:uiPriority w:val="0"/>
  </w:style>
  <w:style w:type="character" w:customStyle="1" w:styleId="300">
    <w:name w:val="博泵1 Char Char"/>
    <w:link w:val="301"/>
    <w:autoRedefine/>
    <w:qFormat/>
    <w:uiPriority w:val="0"/>
    <w:rPr>
      <w:rFonts w:hAnsi="宋体"/>
      <w:color w:val="000000"/>
      <w:sz w:val="24"/>
    </w:rPr>
  </w:style>
  <w:style w:type="paragraph" w:customStyle="1" w:styleId="301">
    <w:name w:val="博泵1"/>
    <w:basedOn w:val="1"/>
    <w:link w:val="300"/>
    <w:autoRedefine/>
    <w:qFormat/>
    <w:uiPriority w:val="0"/>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302">
    <w:name w:val="特点标题 Char1"/>
    <w:autoRedefine/>
    <w:qFormat/>
    <w:uiPriority w:val="0"/>
    <w:rPr>
      <w:rFonts w:eastAsia="宋体"/>
      <w:kern w:val="2"/>
      <w:sz w:val="24"/>
      <w:szCs w:val="21"/>
      <w:lang w:val="en-US" w:eastAsia="zh-CN" w:bidi="ar-SA"/>
    </w:rPr>
  </w:style>
  <w:style w:type="character" w:customStyle="1" w:styleId="303">
    <w:name w:val="报告标题3 Char Char"/>
    <w:link w:val="304"/>
    <w:autoRedefine/>
    <w:qFormat/>
    <w:uiPriority w:val="0"/>
    <w:rPr>
      <w:b/>
      <w:bCs/>
      <w:color w:val="000000"/>
      <w:sz w:val="28"/>
      <w:szCs w:val="28"/>
    </w:rPr>
  </w:style>
  <w:style w:type="paragraph" w:customStyle="1" w:styleId="304">
    <w:name w:val="报告标题3"/>
    <w:basedOn w:val="5"/>
    <w:link w:val="303"/>
    <w:autoRedefine/>
    <w:qFormat/>
    <w:uiPriority w:val="0"/>
    <w:pPr>
      <w:tabs>
        <w:tab w:val="left" w:pos="1260"/>
      </w:tabs>
      <w:spacing w:before="60" w:after="60" w:line="360" w:lineRule="auto"/>
      <w:ind w:left="1260" w:hanging="420"/>
    </w:pPr>
    <w:rPr>
      <w:color w:val="000000"/>
      <w:kern w:val="0"/>
      <w:sz w:val="28"/>
      <w:szCs w:val="28"/>
    </w:rPr>
  </w:style>
  <w:style w:type="character" w:customStyle="1" w:styleId="305">
    <w:name w:val="f141"/>
    <w:autoRedefine/>
    <w:qFormat/>
    <w:uiPriority w:val="0"/>
    <w:rPr>
      <w:color w:val="000000"/>
      <w:sz w:val="21"/>
      <w:szCs w:val="21"/>
    </w:rPr>
  </w:style>
  <w:style w:type="character" w:customStyle="1" w:styleId="306">
    <w:name w:val="Plain Text Char1 Char2"/>
    <w:autoRedefine/>
    <w:qFormat/>
    <w:uiPriority w:val="0"/>
    <w:rPr>
      <w:rFonts w:ascii="宋体" w:hAnsi="Courier New" w:eastAsia="宋体"/>
      <w:kern w:val="2"/>
      <w:sz w:val="21"/>
      <w:szCs w:val="21"/>
      <w:lang w:val="en-US" w:eastAsia="zh-CN" w:bidi="ar-SA"/>
    </w:rPr>
  </w:style>
  <w:style w:type="character" w:customStyle="1" w:styleId="307">
    <w:name w:val="ourfont11"/>
    <w:autoRedefine/>
    <w:qFormat/>
    <w:uiPriority w:val="0"/>
    <w:rPr>
      <w:sz w:val="20"/>
    </w:rPr>
  </w:style>
  <w:style w:type="character" w:customStyle="1" w:styleId="308">
    <w:name w:val="Footer1 Char2"/>
    <w:autoRedefine/>
    <w:qFormat/>
    <w:uiPriority w:val="0"/>
    <w:rPr>
      <w:sz w:val="18"/>
      <w:szCs w:val="18"/>
      <w:lang w:bidi="ar-SA"/>
    </w:rPr>
  </w:style>
  <w:style w:type="character" w:customStyle="1" w:styleId="309">
    <w:name w:val="文本正文 Char"/>
    <w:link w:val="310"/>
    <w:autoRedefine/>
    <w:semiHidden/>
    <w:qFormat/>
    <w:uiPriority w:val="0"/>
    <w:rPr>
      <w:snapToGrid/>
      <w:sz w:val="24"/>
      <w:szCs w:val="24"/>
    </w:rPr>
  </w:style>
  <w:style w:type="paragraph" w:customStyle="1" w:styleId="310">
    <w:name w:val="文本正文"/>
    <w:basedOn w:val="1"/>
    <w:link w:val="309"/>
    <w:autoRedefine/>
    <w:semiHidden/>
    <w:qFormat/>
    <w:uiPriority w:val="0"/>
    <w:pPr>
      <w:spacing w:line="360" w:lineRule="auto"/>
      <w:ind w:firstLine="200" w:firstLineChars="200"/>
      <w:jc w:val="left"/>
    </w:pPr>
    <w:rPr>
      <w:snapToGrid w:val="0"/>
      <w:kern w:val="0"/>
      <w:sz w:val="24"/>
    </w:rPr>
  </w:style>
  <w:style w:type="character" w:customStyle="1" w:styleId="311">
    <w:name w:val="content"/>
    <w:autoRedefine/>
    <w:qFormat/>
    <w:uiPriority w:val="0"/>
    <w:rPr>
      <w:rFonts w:ascii="宋体" w:hAnsi="宋体" w:eastAsia="宋体" w:cs="宋体"/>
      <w:kern w:val="2"/>
      <w:sz w:val="24"/>
      <w:szCs w:val="24"/>
      <w:lang w:val="en-US" w:eastAsia="zh-CN" w:bidi="ar-SA"/>
    </w:rPr>
  </w:style>
  <w:style w:type="character" w:customStyle="1" w:styleId="312">
    <w:name w:val="dectext1"/>
    <w:autoRedefine/>
    <w:qFormat/>
    <w:uiPriority w:val="0"/>
    <w:rPr>
      <w:rFonts w:hint="eastAsia" w:ascii="宋体" w:hAnsi="宋体" w:eastAsia="宋体"/>
      <w:color w:val="333333"/>
      <w:sz w:val="21"/>
      <w:szCs w:val="21"/>
      <w:u w:val="none"/>
    </w:rPr>
  </w:style>
  <w:style w:type="character" w:customStyle="1" w:styleId="313">
    <w:name w:val="图片居中 大王 20100426 Char"/>
    <w:link w:val="314"/>
    <w:autoRedefine/>
    <w:qFormat/>
    <w:uiPriority w:val="0"/>
    <w:rPr>
      <w:snapToGrid/>
      <w:spacing w:val="10"/>
      <w:sz w:val="24"/>
    </w:rPr>
  </w:style>
  <w:style w:type="paragraph" w:customStyle="1" w:styleId="314">
    <w:name w:val="图片居中 大王 20100426"/>
    <w:basedOn w:val="1"/>
    <w:link w:val="313"/>
    <w:autoRedefine/>
    <w:qFormat/>
    <w:uiPriority w:val="0"/>
    <w:pPr>
      <w:snapToGrid w:val="0"/>
      <w:spacing w:beforeLines="20" w:afterLines="20"/>
      <w:jc w:val="center"/>
    </w:pPr>
    <w:rPr>
      <w:snapToGrid w:val="0"/>
      <w:spacing w:val="10"/>
      <w:kern w:val="0"/>
      <w:sz w:val="24"/>
      <w:szCs w:val="20"/>
    </w:rPr>
  </w:style>
  <w:style w:type="character" w:customStyle="1" w:styleId="315">
    <w:name w:val="fontstyle01"/>
    <w:autoRedefine/>
    <w:qFormat/>
    <w:uiPriority w:val="0"/>
    <w:rPr>
      <w:rFonts w:hint="eastAsia" w:ascii="宋体" w:hAnsi="宋体" w:eastAsia="宋体"/>
      <w:color w:val="000000"/>
      <w:sz w:val="24"/>
      <w:szCs w:val="24"/>
    </w:rPr>
  </w:style>
  <w:style w:type="character" w:customStyle="1" w:styleId="316">
    <w:name w:val="样式24 Char Char"/>
    <w:link w:val="317"/>
    <w:autoRedefine/>
    <w:qFormat/>
    <w:uiPriority w:val="0"/>
    <w:rPr>
      <w:rFonts w:ascii="宋体" w:hAnsi="宋体"/>
      <w:b/>
      <w:bCs/>
      <w:spacing w:val="4"/>
      <w:sz w:val="32"/>
      <w:szCs w:val="32"/>
    </w:rPr>
  </w:style>
  <w:style w:type="paragraph" w:customStyle="1" w:styleId="317">
    <w:name w:val="样式24"/>
    <w:basedOn w:val="1"/>
    <w:link w:val="316"/>
    <w:autoRedefine/>
    <w:qFormat/>
    <w:uiPriority w:val="0"/>
    <w:pPr>
      <w:keepNext/>
      <w:jc w:val="center"/>
      <w:outlineLvl w:val="1"/>
    </w:pPr>
    <w:rPr>
      <w:rFonts w:ascii="宋体" w:hAnsi="宋体"/>
      <w:b/>
      <w:bCs/>
      <w:spacing w:val="4"/>
      <w:kern w:val="0"/>
      <w:sz w:val="32"/>
      <w:szCs w:val="32"/>
    </w:rPr>
  </w:style>
  <w:style w:type="character" w:customStyle="1" w:styleId="318">
    <w:name w:val="表头1 Char Char Char"/>
    <w:autoRedefine/>
    <w:qFormat/>
    <w:uiPriority w:val="0"/>
    <w:rPr>
      <w:rFonts w:eastAsia="黑体"/>
      <w:sz w:val="21"/>
      <w:szCs w:val="28"/>
      <w:lang w:val="en-US" w:eastAsia="zh-CN" w:bidi="ar-SA"/>
    </w:rPr>
  </w:style>
  <w:style w:type="character" w:customStyle="1" w:styleId="319">
    <w:name w:val="表、图名 Char"/>
    <w:link w:val="320"/>
    <w:autoRedefine/>
    <w:semiHidden/>
    <w:qFormat/>
    <w:uiPriority w:val="0"/>
    <w:rPr>
      <w:rFonts w:ascii="宋体" w:eastAsia="黑体"/>
      <w:kern w:val="2"/>
      <w:sz w:val="21"/>
      <w:szCs w:val="24"/>
    </w:rPr>
  </w:style>
  <w:style w:type="paragraph" w:customStyle="1" w:styleId="320">
    <w:name w:val="表、图名"/>
    <w:basedOn w:val="1"/>
    <w:link w:val="319"/>
    <w:autoRedefine/>
    <w:semiHidden/>
    <w:qFormat/>
    <w:uiPriority w:val="0"/>
    <w:pPr>
      <w:adjustRightInd w:val="0"/>
      <w:snapToGrid w:val="0"/>
      <w:spacing w:line="312" w:lineRule="atLeast"/>
      <w:jc w:val="center"/>
    </w:pPr>
    <w:rPr>
      <w:rFonts w:ascii="宋体" w:eastAsia="黑体"/>
    </w:rPr>
  </w:style>
  <w:style w:type="character" w:customStyle="1" w:styleId="321">
    <w:name w:val="Char Char Char Char Char Char Char Char Char"/>
    <w:autoRedefine/>
    <w:qFormat/>
    <w:uiPriority w:val="0"/>
    <w:rPr>
      <w:rFonts w:eastAsia="宋体"/>
      <w:kern w:val="2"/>
      <w:sz w:val="18"/>
      <w:szCs w:val="18"/>
      <w:lang w:val="en-US" w:eastAsia="zh-CN" w:bidi="ar-SA"/>
    </w:rPr>
  </w:style>
  <w:style w:type="character" w:customStyle="1" w:styleId="322">
    <w:name w:val="css11"/>
    <w:autoRedefine/>
    <w:qFormat/>
    <w:uiPriority w:val="0"/>
    <w:rPr>
      <w:rFonts w:hint="eastAsia" w:ascii="宋体" w:hAnsi="宋体" w:eastAsia="宋体"/>
      <w:color w:val="336633"/>
      <w:sz w:val="18"/>
      <w:szCs w:val="18"/>
    </w:rPr>
  </w:style>
  <w:style w:type="character" w:customStyle="1" w:styleId="323">
    <w:name w:val="表格内容 Char"/>
    <w:link w:val="324"/>
    <w:autoRedefine/>
    <w:qFormat/>
    <w:uiPriority w:val="0"/>
    <w:rPr>
      <w:sz w:val="21"/>
      <w:szCs w:val="21"/>
    </w:rPr>
  </w:style>
  <w:style w:type="paragraph" w:customStyle="1" w:styleId="324">
    <w:name w:val="表格内容"/>
    <w:basedOn w:val="1"/>
    <w:link w:val="323"/>
    <w:autoRedefine/>
    <w:qFormat/>
    <w:uiPriority w:val="99"/>
    <w:pPr>
      <w:autoSpaceDE w:val="0"/>
      <w:autoSpaceDN w:val="0"/>
      <w:adjustRightInd w:val="0"/>
      <w:jc w:val="left"/>
    </w:pPr>
    <w:rPr>
      <w:kern w:val="0"/>
    </w:rPr>
  </w:style>
  <w:style w:type="character" w:customStyle="1" w:styleId="325">
    <w:name w:val="样式69 Char Char"/>
    <w:link w:val="326"/>
    <w:autoRedefine/>
    <w:qFormat/>
    <w:uiPriority w:val="0"/>
    <w:rPr>
      <w:rFonts w:ascii="宋体" w:hAnsi="宋体"/>
      <w:color w:val="000000"/>
    </w:rPr>
  </w:style>
  <w:style w:type="paragraph" w:customStyle="1" w:styleId="326">
    <w:name w:val="样式69"/>
    <w:basedOn w:val="1"/>
    <w:link w:val="325"/>
    <w:autoRedefine/>
    <w:qFormat/>
    <w:uiPriority w:val="0"/>
    <w:pPr>
      <w:numPr>
        <w:ilvl w:val="0"/>
        <w:numId w:val="3"/>
      </w:numPr>
      <w:ind w:left="0" w:firstLine="0"/>
      <w:jc w:val="center"/>
    </w:pPr>
    <w:rPr>
      <w:rFonts w:ascii="宋体" w:hAnsi="宋体"/>
      <w:color w:val="000000"/>
      <w:kern w:val="0"/>
      <w:sz w:val="20"/>
      <w:szCs w:val="20"/>
    </w:rPr>
  </w:style>
  <w:style w:type="character" w:customStyle="1" w:styleId="327">
    <w:name w:val="s19n338"/>
    <w:autoRedefine/>
    <w:qFormat/>
    <w:uiPriority w:val="0"/>
  </w:style>
  <w:style w:type="character" w:customStyle="1" w:styleId="328">
    <w:name w:val="1.1.1 Char Char"/>
    <w:link w:val="329"/>
    <w:autoRedefine/>
    <w:qFormat/>
    <w:uiPriority w:val="0"/>
    <w:rPr>
      <w:rFonts w:eastAsia="黑体"/>
      <w:sz w:val="28"/>
      <w:szCs w:val="24"/>
    </w:rPr>
  </w:style>
  <w:style w:type="paragraph" w:customStyle="1" w:styleId="329">
    <w:name w:val="1.1.1"/>
    <w:basedOn w:val="1"/>
    <w:link w:val="328"/>
    <w:autoRedefine/>
    <w:qFormat/>
    <w:uiPriority w:val="0"/>
    <w:pPr>
      <w:spacing w:line="600" w:lineRule="exact"/>
      <w:outlineLvl w:val="0"/>
    </w:pPr>
    <w:rPr>
      <w:rFonts w:eastAsia="黑体"/>
      <w:kern w:val="0"/>
      <w:sz w:val="28"/>
    </w:rPr>
  </w:style>
  <w:style w:type="character" w:customStyle="1" w:styleId="330">
    <w:name w:val="s6wwf"/>
    <w:autoRedefine/>
    <w:qFormat/>
    <w:uiPriority w:val="0"/>
  </w:style>
  <w:style w:type="character" w:customStyle="1" w:styleId="331">
    <w:name w:val="正文 大王 20100426 Char"/>
    <w:link w:val="332"/>
    <w:autoRedefine/>
    <w:qFormat/>
    <w:uiPriority w:val="0"/>
    <w:rPr>
      <w:snapToGrid/>
      <w:spacing w:val="10"/>
      <w:sz w:val="24"/>
    </w:rPr>
  </w:style>
  <w:style w:type="paragraph" w:customStyle="1" w:styleId="332">
    <w:name w:val="正文 大王 20100426"/>
    <w:basedOn w:val="1"/>
    <w:link w:val="331"/>
    <w:autoRedefine/>
    <w:qFormat/>
    <w:uiPriority w:val="0"/>
    <w:pPr>
      <w:numPr>
        <w:ilvl w:val="2"/>
        <w:numId w:val="4"/>
      </w:numPr>
      <w:snapToGrid w:val="0"/>
      <w:spacing w:beforeLines="20" w:afterLines="20" w:line="360" w:lineRule="auto"/>
      <w:ind w:left="0" w:firstLine="520" w:firstLineChars="200"/>
    </w:pPr>
    <w:rPr>
      <w:snapToGrid w:val="0"/>
      <w:spacing w:val="10"/>
      <w:kern w:val="0"/>
      <w:sz w:val="24"/>
      <w:szCs w:val="20"/>
    </w:rPr>
  </w:style>
  <w:style w:type="character" w:customStyle="1" w:styleId="333">
    <w:name w:val="unnamed3"/>
    <w:autoRedefine/>
    <w:qFormat/>
    <w:uiPriority w:val="0"/>
  </w:style>
  <w:style w:type="character" w:customStyle="1" w:styleId="334">
    <w:name w:val="表内容 Char Char"/>
    <w:autoRedefine/>
    <w:qFormat/>
    <w:uiPriority w:val="0"/>
    <w:rPr>
      <w:rFonts w:eastAsia="宋体"/>
      <w:lang w:bidi="ar-SA"/>
    </w:rPr>
  </w:style>
  <w:style w:type="character" w:customStyle="1" w:styleId="335">
    <w:name w:val="question-title2"/>
    <w:autoRedefine/>
    <w:qFormat/>
    <w:uiPriority w:val="0"/>
  </w:style>
  <w:style w:type="character" w:customStyle="1" w:styleId="336">
    <w:name w:val="表内文字 Char"/>
    <w:link w:val="337"/>
    <w:autoRedefine/>
    <w:qFormat/>
    <w:uiPriority w:val="0"/>
    <w:rPr>
      <w:kern w:val="2"/>
      <w:sz w:val="21"/>
      <w:szCs w:val="24"/>
    </w:rPr>
  </w:style>
  <w:style w:type="paragraph" w:customStyle="1" w:styleId="337">
    <w:name w:val="表内文字"/>
    <w:basedOn w:val="1"/>
    <w:next w:val="1"/>
    <w:link w:val="336"/>
    <w:autoRedefine/>
    <w:qFormat/>
    <w:uiPriority w:val="0"/>
    <w:pPr>
      <w:jc w:val="center"/>
    </w:pPr>
  </w:style>
  <w:style w:type="character" w:customStyle="1" w:styleId="338">
    <w:name w:val="postbody1"/>
    <w:autoRedefine/>
    <w:qFormat/>
    <w:uiPriority w:val="0"/>
    <w:rPr>
      <w:sz w:val="21"/>
      <w:szCs w:val="21"/>
    </w:rPr>
  </w:style>
  <w:style w:type="character" w:customStyle="1" w:styleId="339">
    <w:name w:val="!正文_ALT+Z Char Char"/>
    <w:link w:val="340"/>
    <w:autoRedefine/>
    <w:qFormat/>
    <w:uiPriority w:val="0"/>
    <w:rPr>
      <w:rFonts w:eastAsia="仿宋_GB2312"/>
      <w:kern w:val="2"/>
      <w:sz w:val="28"/>
      <w:szCs w:val="28"/>
    </w:rPr>
  </w:style>
  <w:style w:type="paragraph" w:customStyle="1" w:styleId="340">
    <w:name w:val="!正文_ALT+Z"/>
    <w:basedOn w:val="1"/>
    <w:link w:val="339"/>
    <w:autoRedefine/>
    <w:qFormat/>
    <w:uiPriority w:val="0"/>
    <w:pPr>
      <w:spacing w:line="520" w:lineRule="exact"/>
      <w:ind w:firstLine="200" w:firstLineChars="200"/>
    </w:pPr>
    <w:rPr>
      <w:rFonts w:eastAsia="仿宋_GB2312"/>
      <w:sz w:val="28"/>
      <w:szCs w:val="28"/>
    </w:rPr>
  </w:style>
  <w:style w:type="character" w:customStyle="1" w:styleId="341">
    <w:name w:val="表头1 Char Char"/>
    <w:autoRedefine/>
    <w:qFormat/>
    <w:uiPriority w:val="0"/>
    <w:rPr>
      <w:b/>
      <w:bCs/>
      <w:color w:val="000000"/>
      <w:sz w:val="24"/>
      <w:szCs w:val="24"/>
      <w:lang w:bidi="ar-SA"/>
    </w:rPr>
  </w:style>
  <w:style w:type="character" w:customStyle="1" w:styleId="342">
    <w:name w:val="正文文本缩进 Char Char"/>
    <w:autoRedefine/>
    <w:qFormat/>
    <w:uiPriority w:val="0"/>
    <w:rPr>
      <w:rFonts w:ascii="Times New Roman" w:hAnsi="Times New Roman"/>
      <w:sz w:val="24"/>
    </w:rPr>
  </w:style>
  <w:style w:type="character" w:customStyle="1" w:styleId="343">
    <w:name w:val="Char Char11"/>
    <w:autoRedefine/>
    <w:qFormat/>
    <w:uiPriority w:val="0"/>
    <w:rPr>
      <w:rFonts w:ascii="宋体" w:hAnsi="宋体" w:eastAsia="宋体" w:cs="宋体"/>
      <w:kern w:val="2"/>
      <w:sz w:val="18"/>
      <w:szCs w:val="18"/>
      <w:lang w:val="en-US" w:eastAsia="zh-CN" w:bidi="ar-SA"/>
    </w:rPr>
  </w:style>
  <w:style w:type="character" w:customStyle="1" w:styleId="344">
    <w:name w:val="日期 字符"/>
    <w:autoRedefine/>
    <w:qFormat/>
    <w:uiPriority w:val="99"/>
    <w:rPr>
      <w:rFonts w:ascii="Times New Roman" w:hAnsi="Times New Roman" w:eastAsia="宋体"/>
      <w:sz w:val="24"/>
    </w:rPr>
  </w:style>
  <w:style w:type="character" w:customStyle="1" w:styleId="345">
    <w:name w:val="z-窗体顶端 Char"/>
    <w:link w:val="346"/>
    <w:autoRedefine/>
    <w:qFormat/>
    <w:uiPriority w:val="0"/>
    <w:rPr>
      <w:rFonts w:ascii="宋体" w:hAnsi="Courier New" w:cs="宋体"/>
      <w:szCs w:val="24"/>
    </w:rPr>
  </w:style>
  <w:style w:type="paragraph" w:customStyle="1" w:styleId="346">
    <w:name w:val="z-窗体顶端1"/>
    <w:basedOn w:val="1"/>
    <w:next w:val="1"/>
    <w:link w:val="345"/>
    <w:autoRedefine/>
    <w:qFormat/>
    <w:uiPriority w:val="0"/>
    <w:pPr>
      <w:pBdr>
        <w:bottom w:val="single" w:color="auto" w:sz="6" w:space="1"/>
      </w:pBdr>
      <w:adjustRightInd w:val="0"/>
      <w:snapToGrid w:val="0"/>
      <w:spacing w:line="300" w:lineRule="auto"/>
      <w:jc w:val="center"/>
    </w:pPr>
    <w:rPr>
      <w:rFonts w:ascii="宋体" w:hAnsi="Courier New" w:cs="宋体"/>
      <w:kern w:val="0"/>
      <w:sz w:val="20"/>
    </w:rPr>
  </w:style>
  <w:style w:type="character" w:customStyle="1" w:styleId="347">
    <w:name w:val="tpc_content"/>
    <w:autoRedefine/>
    <w:qFormat/>
    <w:uiPriority w:val="0"/>
    <w:rPr>
      <w:rFonts w:ascii="宋体" w:hAnsi="宋体" w:eastAsia="宋体" w:cs="宋体"/>
      <w:kern w:val="2"/>
      <w:sz w:val="24"/>
      <w:szCs w:val="24"/>
      <w:lang w:val="en-US" w:eastAsia="zh-CN" w:bidi="ar-SA"/>
    </w:rPr>
  </w:style>
  <w:style w:type="character" w:customStyle="1" w:styleId="348">
    <w:name w:val="text_new"/>
    <w:autoRedefine/>
    <w:qFormat/>
    <w:uiPriority w:val="0"/>
  </w:style>
  <w:style w:type="character" w:customStyle="1" w:styleId="349">
    <w:name w:val="Char Char12"/>
    <w:autoRedefine/>
    <w:qFormat/>
    <w:uiPriority w:val="0"/>
    <w:rPr>
      <w:rFonts w:eastAsia="宋体"/>
      <w:kern w:val="2"/>
      <w:sz w:val="18"/>
      <w:szCs w:val="18"/>
      <w:lang w:val="en-US" w:eastAsia="zh-CN" w:bidi="ar-SA"/>
    </w:rPr>
  </w:style>
  <w:style w:type="character" w:customStyle="1" w:styleId="350">
    <w:name w:val="表 标题 Char Char"/>
    <w:link w:val="351"/>
    <w:autoRedefine/>
    <w:qFormat/>
    <w:uiPriority w:val="0"/>
    <w:rPr>
      <w:b/>
      <w:sz w:val="24"/>
    </w:rPr>
  </w:style>
  <w:style w:type="paragraph" w:customStyle="1" w:styleId="351">
    <w:name w:val="表 标题"/>
    <w:basedOn w:val="69"/>
    <w:next w:val="1"/>
    <w:link w:val="350"/>
    <w:autoRedefine/>
    <w:qFormat/>
    <w:uiPriority w:val="0"/>
    <w:pPr>
      <w:tabs>
        <w:tab w:val="clear" w:pos="8312"/>
      </w:tabs>
      <w:adjustRightInd/>
      <w:spacing w:beforeLines="50" w:line="240" w:lineRule="auto"/>
      <w:jc w:val="center"/>
      <w:textAlignment w:val="auto"/>
    </w:pPr>
    <w:rPr>
      <w:rFonts w:ascii="Times New Roman"/>
      <w:b/>
      <w:sz w:val="24"/>
    </w:rPr>
  </w:style>
  <w:style w:type="character" w:customStyle="1" w:styleId="352">
    <w:name w:val="content1"/>
    <w:autoRedefine/>
    <w:qFormat/>
    <w:uiPriority w:val="0"/>
    <w:rPr>
      <w:sz w:val="21"/>
      <w:szCs w:val="21"/>
    </w:rPr>
  </w:style>
  <w:style w:type="character" w:customStyle="1" w:styleId="353">
    <w:name w:val="表格内容 Char Char"/>
    <w:autoRedefine/>
    <w:qFormat/>
    <w:uiPriority w:val="0"/>
    <w:rPr>
      <w:rFonts w:eastAsia="宋体"/>
      <w:sz w:val="24"/>
      <w:lang w:bidi="ar-SA"/>
    </w:rPr>
  </w:style>
  <w:style w:type="character" w:customStyle="1" w:styleId="354">
    <w:name w:val="表格标题新 Char Char"/>
    <w:link w:val="355"/>
    <w:autoRedefine/>
    <w:qFormat/>
    <w:uiPriority w:val="0"/>
    <w:rPr>
      <w:rFonts w:eastAsia="仿宋_GB2312"/>
      <w:b/>
      <w:sz w:val="28"/>
      <w:szCs w:val="24"/>
    </w:rPr>
  </w:style>
  <w:style w:type="paragraph" w:customStyle="1" w:styleId="355">
    <w:name w:val="表格标题新"/>
    <w:basedOn w:val="178"/>
    <w:link w:val="354"/>
    <w:autoRedefine/>
    <w:qFormat/>
    <w:uiPriority w:val="0"/>
    <w:pPr>
      <w:spacing w:beforeLines="50" w:line="360" w:lineRule="auto"/>
      <w:ind w:firstLine="561" w:firstLineChars="200"/>
    </w:pPr>
    <w:rPr>
      <w:b/>
      <w:kern w:val="0"/>
      <w:sz w:val="28"/>
    </w:rPr>
  </w:style>
  <w:style w:type="character" w:customStyle="1" w:styleId="356">
    <w:name w:val="sz3evj"/>
    <w:autoRedefine/>
    <w:qFormat/>
    <w:uiPriority w:val="0"/>
  </w:style>
  <w:style w:type="character" w:customStyle="1" w:styleId="357">
    <w:name w:val="宏文本 Char1"/>
    <w:autoRedefine/>
    <w:semiHidden/>
    <w:qFormat/>
    <w:uiPriority w:val="99"/>
    <w:rPr>
      <w:rFonts w:ascii="Courier New" w:hAnsi="Courier New" w:eastAsia="宋体" w:cs="Courier New"/>
      <w:sz w:val="24"/>
      <w:szCs w:val="24"/>
    </w:rPr>
  </w:style>
  <w:style w:type="character" w:customStyle="1" w:styleId="358">
    <w:name w:val="sl0m"/>
    <w:autoRedefine/>
    <w:qFormat/>
    <w:uiPriority w:val="0"/>
  </w:style>
  <w:style w:type="character" w:customStyle="1" w:styleId="359">
    <w:name w:val="标题3 Char"/>
    <w:link w:val="360"/>
    <w:autoRedefine/>
    <w:qFormat/>
    <w:uiPriority w:val="0"/>
    <w:rPr>
      <w:rFonts w:eastAsia="黑体"/>
      <w:sz w:val="24"/>
    </w:rPr>
  </w:style>
  <w:style w:type="paragraph" w:customStyle="1" w:styleId="360">
    <w:name w:val="标题3"/>
    <w:basedOn w:val="1"/>
    <w:next w:val="1"/>
    <w:link w:val="359"/>
    <w:autoRedefine/>
    <w:qFormat/>
    <w:uiPriority w:val="0"/>
    <w:pPr>
      <w:keepNext/>
      <w:keepLines/>
      <w:adjustRightInd w:val="0"/>
      <w:snapToGrid w:val="0"/>
      <w:spacing w:after="50" w:line="416" w:lineRule="atLeast"/>
      <w:outlineLvl w:val="2"/>
    </w:pPr>
    <w:rPr>
      <w:rFonts w:eastAsia="黑体"/>
      <w:kern w:val="0"/>
      <w:sz w:val="24"/>
      <w:szCs w:val="20"/>
    </w:rPr>
  </w:style>
  <w:style w:type="character" w:customStyle="1" w:styleId="361">
    <w:name w:val="段落1 Char"/>
    <w:link w:val="362"/>
    <w:autoRedefine/>
    <w:qFormat/>
    <w:uiPriority w:val="0"/>
    <w:rPr>
      <w:rFonts w:ascii="宋体" w:hAnsi="宋体"/>
      <w:color w:val="000000"/>
      <w:kern w:val="28"/>
      <w:sz w:val="28"/>
      <w:szCs w:val="28"/>
    </w:rPr>
  </w:style>
  <w:style w:type="paragraph" w:customStyle="1" w:styleId="362">
    <w:name w:val="段落1"/>
    <w:basedOn w:val="1"/>
    <w:link w:val="361"/>
    <w:autoRedefine/>
    <w:qFormat/>
    <w:uiPriority w:val="0"/>
    <w:pPr>
      <w:snapToGrid w:val="0"/>
      <w:spacing w:beforeLines="10" w:afterLines="10" w:line="360" w:lineRule="auto"/>
      <w:ind w:firstLine="420" w:firstLineChars="150"/>
    </w:pPr>
    <w:rPr>
      <w:rFonts w:ascii="宋体" w:hAnsi="宋体"/>
      <w:color w:val="000000"/>
      <w:kern w:val="28"/>
      <w:sz w:val="28"/>
      <w:szCs w:val="28"/>
    </w:rPr>
  </w:style>
  <w:style w:type="character" w:customStyle="1" w:styleId="363">
    <w:name w:val="表内式样 Char1"/>
    <w:link w:val="364"/>
    <w:autoRedefine/>
    <w:qFormat/>
    <w:uiPriority w:val="0"/>
    <w:rPr>
      <w:rFonts w:ascii="宋体"/>
      <w:sz w:val="21"/>
      <w:szCs w:val="21"/>
    </w:rPr>
  </w:style>
  <w:style w:type="paragraph" w:customStyle="1" w:styleId="364">
    <w:name w:val="表内式样"/>
    <w:link w:val="363"/>
    <w:autoRedefine/>
    <w:qFormat/>
    <w:uiPriority w:val="0"/>
    <w:pPr>
      <w:keepLines/>
      <w:widowControl w:val="0"/>
      <w:kinsoku w:val="0"/>
      <w:overflowPunct w:val="0"/>
      <w:adjustRightInd w:val="0"/>
      <w:jc w:val="center"/>
    </w:pPr>
    <w:rPr>
      <w:rFonts w:ascii="宋体" w:hAnsi="Times New Roman" w:eastAsia="宋体" w:cs="Times New Roman"/>
      <w:sz w:val="21"/>
      <w:szCs w:val="21"/>
      <w:lang w:val="en-US" w:eastAsia="zh-CN" w:bidi="ar-SA"/>
    </w:rPr>
  </w:style>
  <w:style w:type="character" w:customStyle="1" w:styleId="365">
    <w:name w:val="标题 3 Char1 Char1"/>
    <w:autoRedefine/>
    <w:qFormat/>
    <w:uiPriority w:val="0"/>
    <w:rPr>
      <w:rFonts w:ascii="宋体" w:hAnsi="宋体" w:eastAsia="宋体" w:cs="宋体"/>
      <w:b/>
      <w:bCs/>
      <w:caps/>
      <w:color w:val="000000"/>
      <w:kern w:val="2"/>
      <w:sz w:val="24"/>
      <w:szCs w:val="24"/>
      <w:lang w:val="zh-CN" w:eastAsia="zh-CN" w:bidi="ar-SA"/>
    </w:rPr>
  </w:style>
  <w:style w:type="character" w:customStyle="1" w:styleId="366">
    <w:name w:val="3zw1"/>
    <w:autoRedefine/>
    <w:qFormat/>
    <w:uiPriority w:val="0"/>
    <w:rPr>
      <w:color w:val="000000"/>
      <w:sz w:val="21"/>
      <w:szCs w:val="21"/>
    </w:rPr>
  </w:style>
  <w:style w:type="character" w:customStyle="1" w:styleId="367">
    <w:name w:val="s0s4w"/>
    <w:autoRedefine/>
    <w:qFormat/>
    <w:uiPriority w:val="0"/>
  </w:style>
  <w:style w:type="character" w:customStyle="1" w:styleId="368">
    <w:name w:val="表 Char"/>
    <w:link w:val="369"/>
    <w:autoRedefine/>
    <w:qFormat/>
    <w:uiPriority w:val="0"/>
    <w:rPr>
      <w:spacing w:val="2"/>
      <w:kern w:val="2"/>
      <w:sz w:val="24"/>
    </w:rPr>
  </w:style>
  <w:style w:type="paragraph" w:customStyle="1" w:styleId="369">
    <w:name w:val="表"/>
    <w:basedOn w:val="1"/>
    <w:link w:val="368"/>
    <w:autoRedefine/>
    <w:qFormat/>
    <w:uiPriority w:val="0"/>
    <w:pPr>
      <w:adjustRightInd w:val="0"/>
      <w:snapToGrid w:val="0"/>
      <w:jc w:val="center"/>
    </w:pPr>
    <w:rPr>
      <w:spacing w:val="2"/>
      <w:sz w:val="24"/>
      <w:szCs w:val="20"/>
    </w:rPr>
  </w:style>
  <w:style w:type="character" w:customStyle="1" w:styleId="370">
    <w:name w:val="style391"/>
    <w:autoRedefine/>
    <w:qFormat/>
    <w:uiPriority w:val="0"/>
    <w:rPr>
      <w:b/>
      <w:bCs/>
      <w:color w:val="005984"/>
      <w:sz w:val="21"/>
      <w:szCs w:val="21"/>
    </w:rPr>
  </w:style>
  <w:style w:type="character" w:customStyle="1" w:styleId="371">
    <w:name w:val="正文 首行缩进:  2 字符 Char"/>
    <w:link w:val="372"/>
    <w:autoRedefine/>
    <w:semiHidden/>
    <w:qFormat/>
    <w:uiPriority w:val="0"/>
    <w:rPr>
      <w:rFonts w:cs="宋体"/>
      <w:kern w:val="2"/>
      <w:sz w:val="24"/>
    </w:rPr>
  </w:style>
  <w:style w:type="paragraph" w:customStyle="1" w:styleId="372">
    <w:name w:val="正文 首行缩进:  2 字符"/>
    <w:basedOn w:val="1"/>
    <w:link w:val="371"/>
    <w:autoRedefine/>
    <w:semiHidden/>
    <w:qFormat/>
    <w:uiPriority w:val="0"/>
    <w:pPr>
      <w:snapToGrid w:val="0"/>
      <w:spacing w:line="500" w:lineRule="exact"/>
      <w:ind w:firstLine="480" w:firstLineChars="200"/>
      <w:jc w:val="left"/>
    </w:pPr>
    <w:rPr>
      <w:rFonts w:cs="宋体"/>
      <w:sz w:val="24"/>
      <w:szCs w:val="20"/>
    </w:rPr>
  </w:style>
  <w:style w:type="character" w:customStyle="1" w:styleId="373">
    <w:name w:val="样式91 Char Char"/>
    <w:link w:val="374"/>
    <w:autoRedefine/>
    <w:qFormat/>
    <w:uiPriority w:val="0"/>
    <w:rPr>
      <w:rFonts w:ascii="宋体" w:hAnsi="宋体"/>
      <w:color w:val="000000"/>
      <w:sz w:val="28"/>
      <w:szCs w:val="28"/>
    </w:rPr>
  </w:style>
  <w:style w:type="paragraph" w:customStyle="1" w:styleId="374">
    <w:name w:val="样式91"/>
    <w:basedOn w:val="1"/>
    <w:link w:val="373"/>
    <w:autoRedefine/>
    <w:qFormat/>
    <w:uiPriority w:val="0"/>
    <w:pPr>
      <w:spacing w:line="480" w:lineRule="exact"/>
      <w:ind w:firstLine="560" w:firstLineChars="200"/>
    </w:pPr>
    <w:rPr>
      <w:rFonts w:ascii="宋体" w:hAnsi="宋体"/>
      <w:color w:val="000000"/>
      <w:kern w:val="0"/>
      <w:sz w:val="28"/>
      <w:szCs w:val="28"/>
    </w:rPr>
  </w:style>
  <w:style w:type="character" w:customStyle="1" w:styleId="375">
    <w:name w:val="表内容 Char"/>
    <w:link w:val="376"/>
    <w:autoRedefine/>
    <w:qFormat/>
    <w:uiPriority w:val="0"/>
    <w:rPr>
      <w:kern w:val="2"/>
      <w:sz w:val="21"/>
    </w:rPr>
  </w:style>
  <w:style w:type="paragraph" w:customStyle="1" w:styleId="376">
    <w:name w:val="表内容"/>
    <w:basedOn w:val="1"/>
    <w:next w:val="1"/>
    <w:link w:val="375"/>
    <w:autoRedefine/>
    <w:qFormat/>
    <w:uiPriority w:val="0"/>
    <w:pPr>
      <w:spacing w:line="320" w:lineRule="exact"/>
      <w:jc w:val="center"/>
    </w:pPr>
    <w:rPr>
      <w:szCs w:val="20"/>
    </w:rPr>
  </w:style>
  <w:style w:type="character" w:customStyle="1" w:styleId="377">
    <w:name w:val="style81"/>
    <w:autoRedefine/>
    <w:qFormat/>
    <w:uiPriority w:val="0"/>
    <w:rPr>
      <w:rFonts w:hint="eastAsia" w:ascii="宋体" w:hAnsi="宋体" w:eastAsia="宋体"/>
    </w:rPr>
  </w:style>
  <w:style w:type="character" w:customStyle="1" w:styleId="378">
    <w:name w:val="s5y7c"/>
    <w:autoRedefine/>
    <w:qFormat/>
    <w:uiPriority w:val="0"/>
  </w:style>
  <w:style w:type="character" w:customStyle="1" w:styleId="379">
    <w:name w:val="title41"/>
    <w:autoRedefine/>
    <w:qFormat/>
    <w:uiPriority w:val="0"/>
  </w:style>
  <w:style w:type="character" w:customStyle="1" w:styleId="380">
    <w:name w:val="报告正文 Char"/>
    <w:link w:val="381"/>
    <w:autoRedefine/>
    <w:qFormat/>
    <w:uiPriority w:val="0"/>
    <w:rPr>
      <w:kern w:val="2"/>
      <w:sz w:val="24"/>
      <w:szCs w:val="24"/>
      <w:lang w:val="zh-CN"/>
    </w:rPr>
  </w:style>
  <w:style w:type="paragraph" w:customStyle="1" w:styleId="381">
    <w:name w:val="报告正文"/>
    <w:basedOn w:val="1"/>
    <w:link w:val="380"/>
    <w:autoRedefine/>
    <w:qFormat/>
    <w:uiPriority w:val="0"/>
    <w:pPr>
      <w:adjustRightInd w:val="0"/>
      <w:snapToGrid w:val="0"/>
      <w:spacing w:line="360" w:lineRule="auto"/>
      <w:ind w:firstLine="200" w:firstLineChars="200"/>
    </w:pPr>
    <w:rPr>
      <w:sz w:val="24"/>
      <w:lang w:val="zh-CN"/>
    </w:rPr>
  </w:style>
  <w:style w:type="character" w:customStyle="1" w:styleId="382">
    <w:name w:val="paragragh1"/>
    <w:autoRedefine/>
    <w:qFormat/>
    <w:uiPriority w:val="0"/>
    <w:rPr>
      <w:color w:val="004040"/>
      <w:sz w:val="21"/>
      <w:szCs w:val="21"/>
    </w:rPr>
  </w:style>
  <w:style w:type="character" w:customStyle="1" w:styleId="383">
    <w:name w:val="标题 1 Char Char"/>
    <w:autoRedefine/>
    <w:qFormat/>
    <w:uiPriority w:val="0"/>
    <w:rPr>
      <w:rFonts w:ascii="宋体" w:hAnsi="宋体" w:eastAsia="宋体" w:cs="宋体"/>
      <w:b/>
      <w:bCs/>
      <w:kern w:val="44"/>
      <w:sz w:val="44"/>
      <w:szCs w:val="44"/>
      <w:lang w:val="en-US" w:eastAsia="zh-CN" w:bidi="ar-SA"/>
    </w:rPr>
  </w:style>
  <w:style w:type="character" w:customStyle="1" w:styleId="384">
    <w:name w:val="表标题 Char Char"/>
    <w:autoRedefine/>
    <w:qFormat/>
    <w:uiPriority w:val="0"/>
    <w:rPr>
      <w:rFonts w:eastAsia="宋体"/>
      <w:b/>
      <w:bCs/>
      <w:sz w:val="24"/>
      <w:szCs w:val="18"/>
      <w:lang w:bidi="ar-SA"/>
    </w:rPr>
  </w:style>
  <w:style w:type="character" w:customStyle="1" w:styleId="385">
    <w:name w:val="t_tag"/>
    <w:autoRedefine/>
    <w:qFormat/>
    <w:uiPriority w:val="0"/>
    <w:rPr>
      <w:rFonts w:ascii="宋体" w:hAnsi="宋体" w:eastAsia="宋体" w:cs="宋体"/>
      <w:kern w:val="2"/>
      <w:sz w:val="24"/>
      <w:szCs w:val="24"/>
      <w:lang w:val="en-US" w:eastAsia="zh-CN" w:bidi="ar-SA"/>
    </w:rPr>
  </w:style>
  <w:style w:type="character" w:customStyle="1" w:styleId="386">
    <w:name w:val="s2ze7v"/>
    <w:autoRedefine/>
    <w:qFormat/>
    <w:uiPriority w:val="0"/>
  </w:style>
  <w:style w:type="character" w:customStyle="1" w:styleId="387">
    <w:name w:val="tpc_title"/>
    <w:autoRedefine/>
    <w:qFormat/>
    <w:uiPriority w:val="0"/>
    <w:rPr>
      <w:rFonts w:ascii="宋体" w:hAnsi="宋体" w:eastAsia="宋体" w:cs="宋体"/>
      <w:kern w:val="2"/>
      <w:sz w:val="24"/>
      <w:szCs w:val="24"/>
      <w:lang w:val="en-US" w:eastAsia="zh-CN" w:bidi="ar-SA"/>
    </w:rPr>
  </w:style>
  <w:style w:type="character" w:customStyle="1" w:styleId="388">
    <w:name w:val="gray_text12"/>
    <w:autoRedefine/>
    <w:qFormat/>
    <w:uiPriority w:val="0"/>
  </w:style>
  <w:style w:type="character" w:customStyle="1" w:styleId="389">
    <w:name w:val="样式 表格内容 + (符号) 宋体 Char"/>
    <w:link w:val="390"/>
    <w:autoRedefine/>
    <w:qFormat/>
    <w:uiPriority w:val="0"/>
    <w:rPr>
      <w:sz w:val="21"/>
      <w:szCs w:val="21"/>
    </w:rPr>
  </w:style>
  <w:style w:type="paragraph" w:customStyle="1" w:styleId="390">
    <w:name w:val="样式 表格内容 + (符号) 宋体"/>
    <w:basedOn w:val="324"/>
    <w:link w:val="389"/>
    <w:autoRedefine/>
    <w:qFormat/>
    <w:uiPriority w:val="0"/>
  </w:style>
  <w:style w:type="character" w:customStyle="1" w:styleId="391">
    <w:name w:val="报告书正文 Char"/>
    <w:autoRedefine/>
    <w:qFormat/>
    <w:uiPriority w:val="0"/>
    <w:rPr>
      <w:rFonts w:ascii="宋体" w:hAnsi="宋体" w:eastAsia="宋体" w:cs="宋体"/>
      <w:kern w:val="2"/>
      <w:sz w:val="24"/>
      <w:szCs w:val="24"/>
      <w:lang w:val="en-US" w:eastAsia="zh-CN" w:bidi="ar-SA"/>
    </w:rPr>
  </w:style>
  <w:style w:type="character" w:customStyle="1" w:styleId="392">
    <w:name w:val="甲乙酮正文 Char Char"/>
    <w:link w:val="393"/>
    <w:autoRedefine/>
    <w:qFormat/>
    <w:uiPriority w:val="0"/>
    <w:rPr>
      <w:color w:val="000000"/>
      <w:sz w:val="24"/>
      <w:szCs w:val="24"/>
    </w:rPr>
  </w:style>
  <w:style w:type="paragraph" w:customStyle="1" w:styleId="393">
    <w:name w:val="甲乙酮正文"/>
    <w:basedOn w:val="81"/>
    <w:link w:val="392"/>
    <w:autoRedefine/>
    <w:qFormat/>
    <w:uiPriority w:val="0"/>
    <w:pPr>
      <w:spacing w:after="0" w:line="360" w:lineRule="auto"/>
      <w:ind w:firstLine="200" w:firstLineChars="200"/>
      <w:jc w:val="left"/>
    </w:pPr>
    <w:rPr>
      <w:color w:val="000000"/>
      <w:kern w:val="0"/>
      <w:sz w:val="24"/>
    </w:rPr>
  </w:style>
  <w:style w:type="character" w:customStyle="1" w:styleId="394">
    <w:name w:val="正文文字 Char Char"/>
    <w:autoRedefine/>
    <w:qFormat/>
    <w:uiPriority w:val="0"/>
    <w:rPr>
      <w:rFonts w:ascii="宋体" w:hAnsi="宋体" w:eastAsia="宋体" w:cs="宋体"/>
      <w:kern w:val="2"/>
      <w:sz w:val="24"/>
      <w:szCs w:val="24"/>
      <w:lang w:val="en-US" w:eastAsia="zh-CN" w:bidi="ar-SA"/>
    </w:rPr>
  </w:style>
  <w:style w:type="character" w:customStyle="1" w:styleId="395">
    <w:name w:val="headline-content2"/>
    <w:autoRedefine/>
    <w:qFormat/>
    <w:uiPriority w:val="0"/>
  </w:style>
  <w:style w:type="character" w:customStyle="1" w:styleId="396">
    <w:name w:val="grame"/>
    <w:autoRedefine/>
    <w:qFormat/>
    <w:uiPriority w:val="0"/>
  </w:style>
  <w:style w:type="character" w:customStyle="1" w:styleId="397">
    <w:name w:val="报告 Char"/>
    <w:link w:val="398"/>
    <w:autoRedefine/>
    <w:qFormat/>
    <w:uiPriority w:val="0"/>
    <w:rPr>
      <w:sz w:val="24"/>
    </w:rPr>
  </w:style>
  <w:style w:type="paragraph" w:customStyle="1" w:styleId="398">
    <w:name w:val="报告"/>
    <w:basedOn w:val="1"/>
    <w:link w:val="397"/>
    <w:autoRedefine/>
    <w:qFormat/>
    <w:uiPriority w:val="0"/>
    <w:pPr>
      <w:adjustRightInd w:val="0"/>
      <w:spacing w:line="360" w:lineRule="auto"/>
      <w:ind w:firstLine="505"/>
      <w:textAlignment w:val="baseline"/>
    </w:pPr>
    <w:rPr>
      <w:kern w:val="0"/>
      <w:sz w:val="24"/>
      <w:szCs w:val="20"/>
    </w:rPr>
  </w:style>
  <w:style w:type="character" w:customStyle="1" w:styleId="399">
    <w:name w:val="dash6b63-6587--char"/>
    <w:autoRedefine/>
    <w:qFormat/>
    <w:uiPriority w:val="0"/>
    <w:rPr>
      <w:rFonts w:ascii="宋体" w:hAnsi="宋体" w:eastAsia="宋体" w:cs="宋体"/>
      <w:kern w:val="2"/>
      <w:sz w:val="24"/>
      <w:szCs w:val="24"/>
      <w:lang w:val="en-US" w:eastAsia="zh-CN" w:bidi="ar-SA"/>
    </w:rPr>
  </w:style>
  <w:style w:type="character" w:customStyle="1" w:styleId="400">
    <w:name w:val="dz1"/>
    <w:autoRedefine/>
    <w:qFormat/>
    <w:uiPriority w:val="0"/>
    <w:rPr>
      <w:rFonts w:hint="default" w:ascii="ˎ̥" w:hAnsi="ˎ̥"/>
      <w:sz w:val="30"/>
      <w:szCs w:val="30"/>
    </w:rPr>
  </w:style>
  <w:style w:type="character" w:customStyle="1" w:styleId="401">
    <w:name w:val="seecix"/>
    <w:autoRedefine/>
    <w:qFormat/>
    <w:uiPriority w:val="0"/>
  </w:style>
  <w:style w:type="character" w:customStyle="1" w:styleId="402">
    <w:name w:val="表头王 Char"/>
    <w:link w:val="403"/>
    <w:autoRedefine/>
    <w:semiHidden/>
    <w:qFormat/>
    <w:uiPriority w:val="0"/>
    <w:rPr>
      <w:rFonts w:ascii="宋体" w:hAnsi="宋体"/>
      <w:b/>
      <w:color w:val="000000"/>
      <w:sz w:val="24"/>
      <w:szCs w:val="24"/>
      <w:lang w:val="zh-CN"/>
    </w:rPr>
  </w:style>
  <w:style w:type="paragraph" w:customStyle="1" w:styleId="403">
    <w:name w:val="表头王"/>
    <w:basedOn w:val="1"/>
    <w:link w:val="402"/>
    <w:autoRedefine/>
    <w:semiHidden/>
    <w:qFormat/>
    <w:uiPriority w:val="0"/>
    <w:pPr>
      <w:adjustRightInd w:val="0"/>
      <w:snapToGrid w:val="0"/>
      <w:spacing w:line="360" w:lineRule="auto"/>
      <w:jc w:val="center"/>
    </w:pPr>
    <w:rPr>
      <w:rFonts w:ascii="宋体" w:hAnsi="宋体"/>
      <w:b/>
      <w:color w:val="000000"/>
      <w:kern w:val="0"/>
      <w:sz w:val="24"/>
      <w:lang w:val="zh-CN"/>
    </w:rPr>
  </w:style>
  <w:style w:type="character" w:customStyle="1" w:styleId="404">
    <w:name w:val="s8h0t"/>
    <w:autoRedefine/>
    <w:qFormat/>
    <w:uiPriority w:val="0"/>
  </w:style>
  <w:style w:type="character" w:customStyle="1" w:styleId="405">
    <w:name w:val="样式1 Char"/>
    <w:autoRedefine/>
    <w:qFormat/>
    <w:uiPriority w:val="0"/>
    <w:rPr>
      <w:rFonts w:ascii="宋体" w:hAnsi="宋体" w:eastAsia="宋体" w:cs="宋体"/>
      <w:b/>
      <w:bCs/>
      <w:kern w:val="2"/>
      <w:sz w:val="24"/>
      <w:szCs w:val="24"/>
      <w:lang w:val="en-US" w:eastAsia="zh-CN" w:bidi="ar-SA"/>
    </w:rPr>
  </w:style>
  <w:style w:type="character" w:styleId="406">
    <w:name w:val="Placeholder Text"/>
    <w:autoRedefine/>
    <w:qFormat/>
    <w:uiPriority w:val="0"/>
    <w:rPr>
      <w:color w:val="808080"/>
    </w:rPr>
  </w:style>
  <w:style w:type="character" w:customStyle="1" w:styleId="407">
    <w:name w:val="正文文本 Char Char"/>
    <w:autoRedefine/>
    <w:qFormat/>
    <w:uiPriority w:val="0"/>
    <w:rPr>
      <w:rFonts w:eastAsia="宋体"/>
      <w:kern w:val="2"/>
      <w:sz w:val="28"/>
      <w:szCs w:val="24"/>
      <w:lang w:val="en-US" w:eastAsia="zh-CN" w:bidi="ar-SA"/>
    </w:rPr>
  </w:style>
  <w:style w:type="character" w:customStyle="1" w:styleId="408">
    <w:name w:val="Char Char19"/>
    <w:autoRedefine/>
    <w:qFormat/>
    <w:uiPriority w:val="0"/>
    <w:rPr>
      <w:rFonts w:eastAsia="仿宋_GB2312"/>
      <w:sz w:val="18"/>
      <w:lang w:val="en-US" w:eastAsia="zh-CN" w:bidi="ar-SA"/>
    </w:rPr>
  </w:style>
  <w:style w:type="character" w:customStyle="1" w:styleId="409">
    <w:name w:val="尾注文本 字符1"/>
    <w:autoRedefine/>
    <w:qFormat/>
    <w:uiPriority w:val="0"/>
    <w:rPr>
      <w:kern w:val="2"/>
      <w:sz w:val="21"/>
      <w:szCs w:val="24"/>
    </w:rPr>
  </w:style>
  <w:style w:type="character" w:customStyle="1" w:styleId="410">
    <w:name w:val="样式 正文 首行缩进:  2 字符 + (中文) 楷体_GB2312 Char"/>
    <w:link w:val="411"/>
    <w:autoRedefine/>
    <w:semiHidden/>
    <w:qFormat/>
    <w:uiPriority w:val="0"/>
    <w:rPr>
      <w:rFonts w:eastAsia="楷体_GB2312" w:cs="宋体"/>
      <w:kern w:val="2"/>
      <w:sz w:val="24"/>
      <w:szCs w:val="24"/>
    </w:rPr>
  </w:style>
  <w:style w:type="paragraph" w:customStyle="1" w:styleId="411">
    <w:name w:val="样式 正文 首行缩进:  2 字符 + (中文) 楷体_GB2312"/>
    <w:basedOn w:val="372"/>
    <w:link w:val="410"/>
    <w:autoRedefine/>
    <w:semiHidden/>
    <w:qFormat/>
    <w:uiPriority w:val="0"/>
    <w:pPr>
      <w:adjustRightInd w:val="0"/>
      <w:ind w:firstLine="200"/>
      <w:jc w:val="both"/>
    </w:pPr>
    <w:rPr>
      <w:rFonts w:eastAsia="楷体_GB2312"/>
      <w:szCs w:val="24"/>
    </w:rPr>
  </w:style>
  <w:style w:type="character" w:customStyle="1" w:styleId="412">
    <w:name w:val="样式 小四 行距: 1.5 倍行距 Char Char"/>
    <w:link w:val="413"/>
    <w:autoRedefine/>
    <w:qFormat/>
    <w:uiPriority w:val="0"/>
    <w:rPr>
      <w:sz w:val="24"/>
      <w:szCs w:val="24"/>
    </w:rPr>
  </w:style>
  <w:style w:type="paragraph" w:customStyle="1" w:styleId="413">
    <w:name w:val="样式 小四 行距: 1.5 倍行距"/>
    <w:basedOn w:val="1"/>
    <w:link w:val="412"/>
    <w:autoRedefine/>
    <w:qFormat/>
    <w:uiPriority w:val="0"/>
    <w:pPr>
      <w:spacing w:line="360" w:lineRule="auto"/>
      <w:ind w:firstLine="480" w:firstLineChars="200"/>
    </w:pPr>
    <w:rPr>
      <w:kern w:val="0"/>
      <w:sz w:val="24"/>
    </w:rPr>
  </w:style>
  <w:style w:type="character" w:customStyle="1" w:styleId="414">
    <w:name w:val="正文(首行缩进) Char Char"/>
    <w:link w:val="415"/>
    <w:autoRedefine/>
    <w:qFormat/>
    <w:uiPriority w:val="0"/>
    <w:rPr>
      <w:rFonts w:ascii="宋体" w:hAnsi="宋体"/>
      <w:color w:val="000000"/>
      <w:kern w:val="2"/>
      <w:sz w:val="24"/>
      <w:szCs w:val="24"/>
    </w:rPr>
  </w:style>
  <w:style w:type="paragraph" w:customStyle="1" w:styleId="415">
    <w:name w:val="正文(首行缩进)"/>
    <w:basedOn w:val="1"/>
    <w:link w:val="414"/>
    <w:autoRedefine/>
    <w:qFormat/>
    <w:uiPriority w:val="0"/>
    <w:pPr>
      <w:spacing w:line="360" w:lineRule="auto"/>
      <w:ind w:firstLine="540" w:firstLineChars="225"/>
    </w:pPr>
    <w:rPr>
      <w:rFonts w:ascii="宋体" w:hAnsi="宋体"/>
      <w:color w:val="000000"/>
      <w:sz w:val="24"/>
    </w:rPr>
  </w:style>
  <w:style w:type="character" w:customStyle="1" w:styleId="416">
    <w:name w:val="表格文字 Char Char"/>
    <w:link w:val="417"/>
    <w:autoRedefine/>
    <w:qFormat/>
    <w:uiPriority w:val="0"/>
    <w:rPr>
      <w:rFonts w:ascii="仿宋_GB2312" w:hAnsi="Arial Black" w:eastAsia="仿宋_GB2312"/>
      <w:kern w:val="44"/>
      <w:sz w:val="24"/>
    </w:rPr>
  </w:style>
  <w:style w:type="paragraph" w:customStyle="1" w:styleId="417">
    <w:name w:val="表格文字"/>
    <w:basedOn w:val="1"/>
    <w:link w:val="416"/>
    <w:autoRedefine/>
    <w:qFormat/>
    <w:uiPriority w:val="0"/>
    <w:pPr>
      <w:jc w:val="center"/>
    </w:pPr>
    <w:rPr>
      <w:rFonts w:ascii="仿宋_GB2312" w:hAnsi="Arial Black" w:eastAsia="仿宋_GB2312"/>
      <w:kern w:val="44"/>
      <w:sz w:val="24"/>
      <w:szCs w:val="20"/>
    </w:rPr>
  </w:style>
  <w:style w:type="character" w:customStyle="1" w:styleId="418">
    <w:name w:val="标题 Char Char"/>
    <w:autoRedefine/>
    <w:qFormat/>
    <w:uiPriority w:val="0"/>
    <w:rPr>
      <w:rFonts w:ascii="Arial" w:hAnsi="Arial" w:eastAsia="宋体" w:cs="Arial"/>
      <w:b/>
      <w:bCs/>
      <w:sz w:val="32"/>
      <w:szCs w:val="32"/>
      <w:lang w:val="en-US" w:eastAsia="zh-CN" w:bidi="ar-SA"/>
    </w:rPr>
  </w:style>
  <w:style w:type="character" w:customStyle="1" w:styleId="419">
    <w:name w:val="Char Char4"/>
    <w:autoRedefine/>
    <w:qFormat/>
    <w:uiPriority w:val="0"/>
    <w:rPr>
      <w:rFonts w:ascii="宋体" w:hAnsi="宋体" w:eastAsia="宋体" w:cs="宋体"/>
      <w:kern w:val="2"/>
      <w:sz w:val="24"/>
      <w:szCs w:val="24"/>
      <w:lang w:val="en-US" w:eastAsia="zh-CN" w:bidi="ar-SA"/>
    </w:rPr>
  </w:style>
  <w:style w:type="character" w:customStyle="1" w:styleId="420">
    <w:name w:val="样式35 Char Char"/>
    <w:link w:val="421"/>
    <w:autoRedefine/>
    <w:qFormat/>
    <w:uiPriority w:val="0"/>
    <w:rPr>
      <w:color w:val="000000"/>
      <w:sz w:val="28"/>
      <w:szCs w:val="28"/>
    </w:rPr>
  </w:style>
  <w:style w:type="paragraph" w:customStyle="1" w:styleId="421">
    <w:name w:val="样式35"/>
    <w:basedOn w:val="1"/>
    <w:link w:val="420"/>
    <w:autoRedefine/>
    <w:qFormat/>
    <w:uiPriority w:val="0"/>
    <w:pPr>
      <w:snapToGrid w:val="0"/>
      <w:spacing w:line="360" w:lineRule="auto"/>
      <w:ind w:firstLine="560" w:firstLineChars="200"/>
    </w:pPr>
    <w:rPr>
      <w:color w:val="000000"/>
      <w:kern w:val="0"/>
      <w:sz w:val="28"/>
      <w:szCs w:val="28"/>
    </w:rPr>
  </w:style>
  <w:style w:type="character" w:customStyle="1" w:styleId="422">
    <w:name w:val="bt21"/>
    <w:autoRedefine/>
    <w:qFormat/>
    <w:uiPriority w:val="0"/>
    <w:rPr>
      <w:rFonts w:hint="eastAsia" w:ascii="黑体" w:eastAsia="黑体"/>
      <w:sz w:val="24"/>
      <w:szCs w:val="24"/>
    </w:rPr>
  </w:style>
  <w:style w:type="character" w:customStyle="1" w:styleId="423">
    <w:name w:val="表标题 Char"/>
    <w:link w:val="424"/>
    <w:autoRedefine/>
    <w:qFormat/>
    <w:uiPriority w:val="0"/>
    <w:rPr>
      <w:b/>
      <w:bCs/>
      <w:kern w:val="2"/>
      <w:sz w:val="24"/>
      <w:szCs w:val="18"/>
    </w:rPr>
  </w:style>
  <w:style w:type="paragraph" w:customStyle="1" w:styleId="424">
    <w:name w:val="表标题"/>
    <w:basedOn w:val="81"/>
    <w:link w:val="423"/>
    <w:autoRedefine/>
    <w:qFormat/>
    <w:uiPriority w:val="0"/>
    <w:pPr>
      <w:adjustRightInd w:val="0"/>
      <w:snapToGrid w:val="0"/>
      <w:spacing w:before="60" w:after="60" w:line="500" w:lineRule="exact"/>
      <w:ind w:firstLine="0" w:firstLineChars="0"/>
      <w:jc w:val="center"/>
    </w:pPr>
    <w:rPr>
      <w:b/>
      <w:bCs/>
      <w:sz w:val="24"/>
      <w:szCs w:val="18"/>
    </w:rPr>
  </w:style>
  <w:style w:type="character" w:customStyle="1" w:styleId="425">
    <w:name w:val="样式 标题 3H31.1.1标题 3条标题1.1.1h3level_3PIM 3Level 3 HeadHead... Char Char"/>
    <w:link w:val="426"/>
    <w:autoRedefine/>
    <w:qFormat/>
    <w:uiPriority w:val="0"/>
    <w:rPr>
      <w:rFonts w:ascii="黑体" w:hAnsi="黑体" w:eastAsia="黑体"/>
      <w:sz w:val="28"/>
      <w:szCs w:val="32"/>
    </w:rPr>
  </w:style>
  <w:style w:type="paragraph" w:customStyle="1" w:styleId="426">
    <w:name w:val="样式 标题 3H31.1.1标题 3条标题1.1.1h3level_3PIM 3Level 3 HeadHead..."/>
    <w:basedOn w:val="5"/>
    <w:link w:val="425"/>
    <w:autoRedefine/>
    <w:qFormat/>
    <w:uiPriority w:val="0"/>
    <w:pPr>
      <w:tabs>
        <w:tab w:val="left" w:pos="1260"/>
      </w:tabs>
      <w:spacing w:line="360" w:lineRule="auto"/>
      <w:ind w:left="1260" w:hanging="420"/>
    </w:pPr>
    <w:rPr>
      <w:rFonts w:ascii="黑体" w:hAnsi="黑体" w:eastAsia="黑体"/>
      <w:b w:val="0"/>
      <w:bCs w:val="0"/>
      <w:kern w:val="0"/>
      <w:sz w:val="28"/>
    </w:rPr>
  </w:style>
  <w:style w:type="character" w:customStyle="1" w:styleId="427">
    <w:name w:val="sovnn"/>
    <w:autoRedefine/>
    <w:qFormat/>
    <w:uiPriority w:val="0"/>
  </w:style>
  <w:style w:type="character" w:customStyle="1" w:styleId="428">
    <w:name w:val="si16"/>
    <w:autoRedefine/>
    <w:qFormat/>
    <w:uiPriority w:val="0"/>
  </w:style>
  <w:style w:type="character" w:customStyle="1" w:styleId="429">
    <w:name w:val="样式26 Char Char"/>
    <w:link w:val="430"/>
    <w:autoRedefine/>
    <w:qFormat/>
    <w:uiPriority w:val="0"/>
    <w:rPr>
      <w:rFonts w:ascii="宋体" w:hAnsi="宋体"/>
      <w:color w:val="000000"/>
      <w:sz w:val="28"/>
      <w:szCs w:val="24"/>
    </w:rPr>
  </w:style>
  <w:style w:type="paragraph" w:customStyle="1" w:styleId="430">
    <w:name w:val="样式26"/>
    <w:basedOn w:val="1"/>
    <w:link w:val="429"/>
    <w:autoRedefine/>
    <w:qFormat/>
    <w:uiPriority w:val="0"/>
    <w:pPr>
      <w:spacing w:line="520" w:lineRule="exact"/>
      <w:ind w:firstLine="560" w:firstLineChars="200"/>
      <w:jc w:val="left"/>
    </w:pPr>
    <w:rPr>
      <w:rFonts w:ascii="宋体" w:hAnsi="宋体"/>
      <w:color w:val="000000"/>
      <w:kern w:val="0"/>
      <w:sz w:val="28"/>
    </w:rPr>
  </w:style>
  <w:style w:type="character" w:customStyle="1" w:styleId="431">
    <w:name w:val="c"/>
    <w:autoRedefine/>
    <w:qFormat/>
    <w:uiPriority w:val="0"/>
    <w:rPr>
      <w:rFonts w:ascii="宋体" w:hAnsi="宋体" w:eastAsia="宋体" w:cs="宋体"/>
      <w:kern w:val="2"/>
      <w:sz w:val="24"/>
      <w:szCs w:val="24"/>
      <w:lang w:val="en-US" w:eastAsia="zh-CN" w:bidi="ar-SA"/>
    </w:rPr>
  </w:style>
  <w:style w:type="character" w:customStyle="1" w:styleId="432">
    <w:name w:val="条标题1.1.1 Char1"/>
    <w:autoRedefine/>
    <w:qFormat/>
    <w:uiPriority w:val="0"/>
    <w:rPr>
      <w:b/>
      <w:bCs/>
      <w:sz w:val="24"/>
      <w:szCs w:val="32"/>
    </w:rPr>
  </w:style>
  <w:style w:type="character" w:customStyle="1" w:styleId="433">
    <w:name w:val="正文四号ss Char Char"/>
    <w:link w:val="434"/>
    <w:autoRedefine/>
    <w:qFormat/>
    <w:uiPriority w:val="0"/>
    <w:rPr>
      <w:rFonts w:ascii="宋体" w:hAnsi="宋体"/>
      <w:sz w:val="28"/>
      <w:szCs w:val="28"/>
    </w:rPr>
  </w:style>
  <w:style w:type="paragraph" w:customStyle="1" w:styleId="434">
    <w:name w:val="正文四号ss"/>
    <w:basedOn w:val="1"/>
    <w:next w:val="1"/>
    <w:link w:val="433"/>
    <w:autoRedefine/>
    <w:qFormat/>
    <w:uiPriority w:val="0"/>
    <w:pPr>
      <w:spacing w:line="520" w:lineRule="exact"/>
      <w:ind w:firstLine="200" w:firstLineChars="200"/>
    </w:pPr>
    <w:rPr>
      <w:rFonts w:ascii="宋体" w:hAnsi="宋体"/>
      <w:kern w:val="0"/>
      <w:sz w:val="28"/>
      <w:szCs w:val="28"/>
    </w:rPr>
  </w:style>
  <w:style w:type="character" w:customStyle="1" w:styleId="435">
    <w:name w:val="scu4wkd"/>
    <w:autoRedefine/>
    <w:qFormat/>
    <w:uiPriority w:val="0"/>
  </w:style>
  <w:style w:type="character" w:customStyle="1" w:styleId="436">
    <w:name w:val="申兴正文 Char Char"/>
    <w:link w:val="437"/>
    <w:autoRedefine/>
    <w:qFormat/>
    <w:uiPriority w:val="0"/>
    <w:rPr>
      <w:sz w:val="24"/>
      <w:szCs w:val="24"/>
    </w:rPr>
  </w:style>
  <w:style w:type="paragraph" w:customStyle="1" w:styleId="437">
    <w:name w:val="申兴正文"/>
    <w:basedOn w:val="1"/>
    <w:link w:val="436"/>
    <w:autoRedefine/>
    <w:qFormat/>
    <w:uiPriority w:val="0"/>
    <w:pPr>
      <w:spacing w:line="360" w:lineRule="auto"/>
      <w:ind w:firstLine="200" w:firstLineChars="200"/>
    </w:pPr>
    <w:rPr>
      <w:kern w:val="0"/>
      <w:sz w:val="24"/>
    </w:rPr>
  </w:style>
  <w:style w:type="character" w:customStyle="1" w:styleId="438">
    <w:name w:val="标题 7表内5号 Char1"/>
    <w:autoRedefine/>
    <w:qFormat/>
    <w:uiPriority w:val="0"/>
    <w:rPr>
      <w:rFonts w:eastAsia="宋体"/>
      <w:b/>
      <w:bCs/>
      <w:sz w:val="24"/>
      <w:szCs w:val="24"/>
      <w:lang w:bidi="ar-SA"/>
    </w:rPr>
  </w:style>
  <w:style w:type="character" w:customStyle="1" w:styleId="439">
    <w:name w:val="satajq8"/>
    <w:autoRedefine/>
    <w:qFormat/>
    <w:uiPriority w:val="0"/>
  </w:style>
  <w:style w:type="character" w:customStyle="1" w:styleId="440">
    <w:name w:val="样式 标题 4 + 行距: 1.5 倍行距 Char"/>
    <w:link w:val="441"/>
    <w:autoRedefine/>
    <w:qFormat/>
    <w:uiPriority w:val="0"/>
    <w:rPr>
      <w:rFonts w:ascii="Cambria" w:hAnsi="Cambria" w:eastAsia="黑体" w:cs="宋体"/>
      <w:b/>
      <w:bCs/>
      <w:kern w:val="2"/>
      <w:sz w:val="24"/>
      <w:szCs w:val="28"/>
    </w:rPr>
  </w:style>
  <w:style w:type="paragraph" w:customStyle="1" w:styleId="441">
    <w:name w:val="样式 标题 4 + 行距: 1.5 倍行距"/>
    <w:basedOn w:val="6"/>
    <w:link w:val="440"/>
    <w:autoRedefine/>
    <w:qFormat/>
    <w:uiPriority w:val="0"/>
    <w:pPr>
      <w:snapToGrid w:val="0"/>
      <w:spacing w:before="0" w:beforeLines="50" w:after="0" w:line="360" w:lineRule="auto"/>
      <w:ind w:left="2884" w:hanging="2884"/>
      <w:jc w:val="left"/>
    </w:pPr>
    <w:rPr>
      <w:rFonts w:eastAsia="黑体" w:cs="宋体"/>
      <w:sz w:val="24"/>
    </w:rPr>
  </w:style>
  <w:style w:type="character" w:customStyle="1" w:styleId="442">
    <w:name w:val="正文1 Char Char"/>
    <w:autoRedefine/>
    <w:qFormat/>
    <w:uiPriority w:val="0"/>
    <w:rPr>
      <w:rFonts w:ascii="宋体" w:eastAsia="宋体"/>
      <w:snapToGrid/>
      <w:kern w:val="21"/>
      <w:position w:val="2"/>
      <w:sz w:val="24"/>
      <w:lang w:val="en-US" w:eastAsia="zh-CN" w:bidi="ar-SA"/>
    </w:rPr>
  </w:style>
  <w:style w:type="character" w:customStyle="1" w:styleId="443">
    <w:name w:val="正文缩进 Char1"/>
    <w:autoRedefine/>
    <w:qFormat/>
    <w:uiPriority w:val="0"/>
    <w:rPr>
      <w:kern w:val="2"/>
      <w:sz w:val="21"/>
      <w:szCs w:val="24"/>
      <w:lang w:val="zh-CN" w:eastAsia="zh-CN"/>
    </w:rPr>
  </w:style>
  <w:style w:type="character" w:customStyle="1" w:styleId="444">
    <w:name w:val="正文01 Char Char"/>
    <w:link w:val="445"/>
    <w:autoRedefine/>
    <w:qFormat/>
    <w:uiPriority w:val="0"/>
    <w:rPr>
      <w:rFonts w:ascii="Arial" w:hAnsi="Arial"/>
      <w:sz w:val="24"/>
    </w:rPr>
  </w:style>
  <w:style w:type="paragraph" w:customStyle="1" w:styleId="445">
    <w:name w:val="正文01"/>
    <w:basedOn w:val="1"/>
    <w:link w:val="444"/>
    <w:autoRedefine/>
    <w:qFormat/>
    <w:uiPriority w:val="0"/>
    <w:pPr>
      <w:spacing w:before="60" w:line="460" w:lineRule="exact"/>
      <w:ind w:firstLine="200" w:firstLineChars="200"/>
    </w:pPr>
    <w:rPr>
      <w:rFonts w:ascii="Arial" w:hAnsi="Arial"/>
      <w:kern w:val="0"/>
      <w:sz w:val="24"/>
      <w:szCs w:val="20"/>
    </w:rPr>
  </w:style>
  <w:style w:type="character" w:customStyle="1" w:styleId="446">
    <w:name w:val="正文 Char Char"/>
    <w:autoRedefine/>
    <w:qFormat/>
    <w:uiPriority w:val="0"/>
    <w:rPr>
      <w:rFonts w:ascii="仿宋_GB2312" w:hAnsi="宋体" w:eastAsia="仿宋_GB2312"/>
      <w:color w:val="000000"/>
      <w:kern w:val="2"/>
      <w:sz w:val="28"/>
      <w:szCs w:val="24"/>
      <w:lang w:val="en-US" w:eastAsia="zh-CN" w:bidi="ar-SA"/>
    </w:rPr>
  </w:style>
  <w:style w:type="character" w:customStyle="1" w:styleId="447">
    <w:name w:val="甲乙酮正文 Char Char Char"/>
    <w:autoRedefine/>
    <w:qFormat/>
    <w:uiPriority w:val="0"/>
    <w:rPr>
      <w:rFonts w:ascii="Times New Roman" w:hAnsi="Times New Roman" w:eastAsia="宋体" w:cs="Times New Roman"/>
      <w:color w:val="000000"/>
      <w:sz w:val="24"/>
      <w:szCs w:val="24"/>
    </w:rPr>
  </w:style>
  <w:style w:type="character" w:customStyle="1" w:styleId="448">
    <w:name w:val="表格内容 Char Char Char"/>
    <w:autoRedefine/>
    <w:qFormat/>
    <w:uiPriority w:val="0"/>
    <w:rPr>
      <w:rFonts w:ascii="Arial" w:hAnsi="Arial" w:eastAsia="仿宋_GB2312"/>
      <w:sz w:val="24"/>
      <w:lang w:val="en-US" w:eastAsia="zh-CN" w:bidi="ar-SA"/>
    </w:rPr>
  </w:style>
  <w:style w:type="character" w:customStyle="1" w:styleId="449">
    <w:name w:val="表格内文字 Char Char Char"/>
    <w:autoRedefine/>
    <w:qFormat/>
    <w:uiPriority w:val="0"/>
    <w:rPr>
      <w:rFonts w:ascii="仿宋_GB2312" w:eastAsia="仿宋_GB2312"/>
      <w:kern w:val="2"/>
      <w:sz w:val="24"/>
      <w:szCs w:val="24"/>
      <w:lang w:val="en-US" w:eastAsia="zh-CN" w:bidi="ar-SA"/>
    </w:rPr>
  </w:style>
  <w:style w:type="character" w:customStyle="1" w:styleId="450">
    <w:name w:val="part"/>
    <w:autoRedefine/>
    <w:qFormat/>
    <w:uiPriority w:val="0"/>
    <w:rPr>
      <w:rFonts w:ascii="宋体" w:hAnsi="宋体" w:eastAsia="宋体" w:cs="宋体"/>
      <w:kern w:val="2"/>
      <w:sz w:val="24"/>
      <w:szCs w:val="24"/>
      <w:lang w:val="en-US" w:eastAsia="zh-CN" w:bidi="ar-SA"/>
    </w:rPr>
  </w:style>
  <w:style w:type="character" w:customStyle="1" w:styleId="451">
    <w:name w:val="样式2 Char Char"/>
    <w:autoRedefine/>
    <w:qFormat/>
    <w:uiPriority w:val="0"/>
    <w:rPr>
      <w:rFonts w:eastAsia="Times New Roman"/>
      <w:kern w:val="2"/>
      <w:sz w:val="24"/>
      <w:lang w:val="en-US" w:eastAsia="zh-CN" w:bidi="ar-SA"/>
    </w:rPr>
  </w:style>
  <w:style w:type="character" w:customStyle="1" w:styleId="452">
    <w:name w:val="td21"/>
    <w:autoRedefine/>
    <w:qFormat/>
    <w:uiPriority w:val="0"/>
    <w:rPr>
      <w:sz w:val="21"/>
      <w:szCs w:val="21"/>
      <w:u w:val="none"/>
    </w:rPr>
  </w:style>
  <w:style w:type="character" w:customStyle="1" w:styleId="453">
    <w:name w:val="highlight1"/>
    <w:autoRedefine/>
    <w:qFormat/>
    <w:uiPriority w:val="0"/>
    <w:rPr>
      <w:sz w:val="21"/>
    </w:rPr>
  </w:style>
  <w:style w:type="character" w:customStyle="1" w:styleId="454">
    <w:name w:val="宋体4 Char Char"/>
    <w:link w:val="455"/>
    <w:autoRedefine/>
    <w:qFormat/>
    <w:uiPriority w:val="0"/>
    <w:rPr>
      <w:sz w:val="28"/>
      <w:szCs w:val="48"/>
    </w:rPr>
  </w:style>
  <w:style w:type="paragraph" w:customStyle="1" w:styleId="455">
    <w:name w:val="宋体4"/>
    <w:basedOn w:val="1"/>
    <w:link w:val="454"/>
    <w:autoRedefine/>
    <w:qFormat/>
    <w:uiPriority w:val="0"/>
    <w:pPr>
      <w:spacing w:line="360" w:lineRule="auto"/>
      <w:ind w:firstLine="200" w:firstLineChars="200"/>
    </w:pPr>
    <w:rPr>
      <w:kern w:val="0"/>
      <w:sz w:val="28"/>
      <w:szCs w:val="48"/>
    </w:rPr>
  </w:style>
  <w:style w:type="character" w:customStyle="1" w:styleId="456">
    <w:name w:val="indetail1"/>
    <w:autoRedefine/>
    <w:qFormat/>
    <w:uiPriority w:val="0"/>
    <w:rPr>
      <w:sz w:val="18"/>
      <w:szCs w:val="18"/>
      <w:bdr w:val="single" w:color="E2E2E2" w:sz="6" w:space="0"/>
    </w:rPr>
  </w:style>
  <w:style w:type="character" w:customStyle="1" w:styleId="457">
    <w:name w:val="专用字体 Char Char"/>
    <w:link w:val="458"/>
    <w:autoRedefine/>
    <w:qFormat/>
    <w:uiPriority w:val="0"/>
    <w:rPr>
      <w:bCs/>
      <w:sz w:val="24"/>
      <w:szCs w:val="24"/>
    </w:rPr>
  </w:style>
  <w:style w:type="paragraph" w:customStyle="1" w:styleId="458">
    <w:name w:val="专用字体"/>
    <w:basedOn w:val="1"/>
    <w:link w:val="457"/>
    <w:autoRedefine/>
    <w:qFormat/>
    <w:uiPriority w:val="0"/>
    <w:pPr>
      <w:spacing w:line="360" w:lineRule="auto"/>
      <w:ind w:firstLine="200" w:firstLineChars="200"/>
    </w:pPr>
    <w:rPr>
      <w:bCs/>
      <w:kern w:val="0"/>
      <w:sz w:val="24"/>
    </w:rPr>
  </w:style>
  <w:style w:type="character" w:customStyle="1" w:styleId="459">
    <w:name w:val="甲乙酮标题3 Char Char"/>
    <w:link w:val="460"/>
    <w:autoRedefine/>
    <w:qFormat/>
    <w:uiPriority w:val="0"/>
    <w:rPr>
      <w:b/>
      <w:bCs/>
      <w:sz w:val="32"/>
      <w:szCs w:val="32"/>
    </w:rPr>
  </w:style>
  <w:style w:type="paragraph" w:customStyle="1" w:styleId="460">
    <w:name w:val="甲乙酮标题3"/>
    <w:basedOn w:val="5"/>
    <w:link w:val="459"/>
    <w:autoRedefine/>
    <w:qFormat/>
    <w:uiPriority w:val="0"/>
    <w:pPr>
      <w:tabs>
        <w:tab w:val="left" w:pos="1260"/>
      </w:tabs>
      <w:spacing w:before="100" w:after="100" w:line="360" w:lineRule="auto"/>
      <w:ind w:left="1260" w:hanging="420"/>
    </w:pPr>
    <w:rPr>
      <w:kern w:val="0"/>
    </w:rPr>
  </w:style>
  <w:style w:type="character" w:customStyle="1" w:styleId="461">
    <w:name w:val="Char Char Char1"/>
    <w:autoRedefine/>
    <w:qFormat/>
    <w:uiPriority w:val="0"/>
    <w:rPr>
      <w:rFonts w:ascii="宋体" w:hAnsi="Courier New" w:eastAsia="宋体" w:cs="Courier New"/>
      <w:kern w:val="2"/>
      <w:sz w:val="21"/>
      <w:szCs w:val="21"/>
      <w:lang w:val="en-US" w:eastAsia="zh-CN" w:bidi="ar-SA"/>
    </w:rPr>
  </w:style>
  <w:style w:type="character" w:customStyle="1" w:styleId="462">
    <w:name w:val="表格填充1 Char Char"/>
    <w:autoRedefine/>
    <w:qFormat/>
    <w:uiPriority w:val="0"/>
    <w:rPr>
      <w:rFonts w:eastAsia="宋体"/>
      <w:szCs w:val="18"/>
      <w:lang w:bidi="ar-SA"/>
    </w:rPr>
  </w:style>
  <w:style w:type="character" w:customStyle="1" w:styleId="463">
    <w:name w:val="表格文字1 Char Char"/>
    <w:link w:val="464"/>
    <w:autoRedefine/>
    <w:qFormat/>
    <w:uiPriority w:val="0"/>
    <w:rPr>
      <w:bCs/>
      <w:color w:val="000000"/>
      <w:szCs w:val="21"/>
    </w:rPr>
  </w:style>
  <w:style w:type="paragraph" w:customStyle="1" w:styleId="464">
    <w:name w:val="表格文字1"/>
    <w:basedOn w:val="178"/>
    <w:link w:val="463"/>
    <w:autoRedefine/>
    <w:qFormat/>
    <w:uiPriority w:val="0"/>
    <w:rPr>
      <w:rFonts w:eastAsia="宋体"/>
      <w:bCs/>
      <w:color w:val="000000"/>
      <w:kern w:val="0"/>
      <w:sz w:val="20"/>
    </w:rPr>
  </w:style>
  <w:style w:type="character" w:customStyle="1" w:styleId="465">
    <w:name w:val="标题1.1.1.1.1.1 Char1"/>
    <w:autoRedefine/>
    <w:qFormat/>
    <w:uiPriority w:val="0"/>
    <w:rPr>
      <w:rFonts w:ascii="Arial" w:hAnsi="Arial" w:eastAsia="黑体"/>
      <w:b/>
      <w:bCs/>
      <w:sz w:val="24"/>
      <w:szCs w:val="24"/>
      <w:lang w:bidi="ar-SA"/>
    </w:rPr>
  </w:style>
  <w:style w:type="character" w:customStyle="1" w:styleId="466">
    <w:name w:val="s1"/>
    <w:autoRedefine/>
    <w:qFormat/>
    <w:uiPriority w:val="0"/>
    <w:rPr>
      <w:sz w:val="18"/>
      <w:szCs w:val="18"/>
    </w:rPr>
  </w:style>
  <w:style w:type="character" w:customStyle="1" w:styleId="467">
    <w:name w:val="正文5号 Char Char1"/>
    <w:autoRedefine/>
    <w:qFormat/>
    <w:uiPriority w:val="0"/>
    <w:rPr>
      <w:sz w:val="24"/>
      <w:lang w:bidi="ar-SA"/>
    </w:rPr>
  </w:style>
  <w:style w:type="character" w:customStyle="1" w:styleId="468">
    <w:name w:val="what"/>
    <w:autoRedefine/>
    <w:qFormat/>
    <w:uiPriority w:val="0"/>
    <w:rPr>
      <w:rFonts w:eastAsia="宋体"/>
      <w:kern w:val="2"/>
      <w:sz w:val="24"/>
      <w:szCs w:val="24"/>
      <w:lang w:val="en-US" w:eastAsia="zh-CN" w:bidi="ar-SA"/>
    </w:rPr>
  </w:style>
  <w:style w:type="character" w:customStyle="1" w:styleId="469">
    <w:name w:val="报告正文1 Char Char"/>
    <w:link w:val="470"/>
    <w:autoRedefine/>
    <w:qFormat/>
    <w:uiPriority w:val="0"/>
    <w:rPr>
      <w:color w:val="000000"/>
      <w:sz w:val="24"/>
      <w:szCs w:val="24"/>
    </w:rPr>
  </w:style>
  <w:style w:type="paragraph" w:customStyle="1" w:styleId="470">
    <w:name w:val="报告正文1"/>
    <w:basedOn w:val="82"/>
    <w:link w:val="469"/>
    <w:autoRedefine/>
    <w:qFormat/>
    <w:uiPriority w:val="0"/>
    <w:pPr>
      <w:spacing w:line="360" w:lineRule="auto"/>
      <w:ind w:firstLine="200"/>
    </w:pPr>
    <w:rPr>
      <w:color w:val="000000"/>
      <w:kern w:val="0"/>
      <w:sz w:val="24"/>
    </w:rPr>
  </w:style>
  <w:style w:type="character" w:customStyle="1" w:styleId="471">
    <w:name w:val="b1 Char2"/>
    <w:autoRedefine/>
    <w:qFormat/>
    <w:uiPriority w:val="0"/>
    <w:rPr>
      <w:rFonts w:ascii="Calibri" w:hAnsi="Calibri"/>
      <w:b/>
      <w:bCs/>
      <w:kern w:val="44"/>
      <w:sz w:val="44"/>
      <w:szCs w:val="44"/>
    </w:rPr>
  </w:style>
  <w:style w:type="character" w:customStyle="1" w:styleId="472">
    <w:name w:val="nine-11"/>
    <w:autoRedefine/>
    <w:qFormat/>
    <w:uiPriority w:val="0"/>
    <w:rPr>
      <w:rFonts w:hint="default"/>
      <w:sz w:val="18"/>
      <w:szCs w:val="18"/>
    </w:rPr>
  </w:style>
  <w:style w:type="character" w:customStyle="1" w:styleId="473">
    <w:name w:val="sf6tjlp"/>
    <w:autoRedefine/>
    <w:qFormat/>
    <w:uiPriority w:val="0"/>
  </w:style>
  <w:style w:type="character" w:customStyle="1" w:styleId="474">
    <w:name w:val="兴武正文 Char Char"/>
    <w:link w:val="475"/>
    <w:autoRedefine/>
    <w:qFormat/>
    <w:uiPriority w:val="0"/>
    <w:rPr>
      <w:sz w:val="24"/>
    </w:rPr>
  </w:style>
  <w:style w:type="paragraph" w:customStyle="1" w:styleId="475">
    <w:name w:val="兴武正文"/>
    <w:basedOn w:val="1"/>
    <w:link w:val="474"/>
    <w:autoRedefine/>
    <w:qFormat/>
    <w:uiPriority w:val="0"/>
    <w:pPr>
      <w:spacing w:line="480" w:lineRule="exact"/>
      <w:ind w:firstLine="200" w:firstLineChars="200"/>
    </w:pPr>
    <w:rPr>
      <w:kern w:val="0"/>
      <w:sz w:val="24"/>
      <w:szCs w:val="20"/>
    </w:rPr>
  </w:style>
  <w:style w:type="character" w:customStyle="1" w:styleId="476">
    <w:name w:val="a11"/>
    <w:autoRedefine/>
    <w:qFormat/>
    <w:uiPriority w:val="0"/>
  </w:style>
  <w:style w:type="character" w:customStyle="1" w:styleId="477">
    <w:name w:val="main-1"/>
    <w:autoRedefine/>
    <w:qFormat/>
    <w:uiPriority w:val="0"/>
  </w:style>
  <w:style w:type="character" w:customStyle="1" w:styleId="478">
    <w:name w:val="s4y5"/>
    <w:autoRedefine/>
    <w:qFormat/>
    <w:uiPriority w:val="0"/>
  </w:style>
  <w:style w:type="character" w:customStyle="1" w:styleId="479">
    <w:name w:val="lh131"/>
    <w:autoRedefine/>
    <w:qFormat/>
    <w:uiPriority w:val="0"/>
  </w:style>
  <w:style w:type="character" w:customStyle="1" w:styleId="480">
    <w:name w:val="Char Char27"/>
    <w:autoRedefine/>
    <w:qFormat/>
    <w:uiPriority w:val="0"/>
    <w:rPr>
      <w:kern w:val="2"/>
      <w:sz w:val="24"/>
      <w:szCs w:val="21"/>
      <w:lang w:bidi="ar-SA"/>
    </w:rPr>
  </w:style>
  <w:style w:type="character" w:customStyle="1" w:styleId="481">
    <w:name w:val="shekj8m"/>
    <w:autoRedefine/>
    <w:qFormat/>
    <w:uiPriority w:val="0"/>
  </w:style>
  <w:style w:type="character" w:customStyle="1" w:styleId="482">
    <w:name w:val="正文样式 Char Char Char Char Char Char Char"/>
    <w:link w:val="483"/>
    <w:autoRedefine/>
    <w:qFormat/>
    <w:uiPriority w:val="0"/>
    <w:rPr>
      <w:rFonts w:ascii="宋体" w:hAnsi="宋体"/>
      <w:color w:val="000000"/>
      <w:sz w:val="24"/>
      <w:szCs w:val="24"/>
    </w:rPr>
  </w:style>
  <w:style w:type="paragraph" w:customStyle="1" w:styleId="483">
    <w:name w:val="正文样式 Char Char Char Char Char"/>
    <w:basedOn w:val="1"/>
    <w:link w:val="482"/>
    <w:autoRedefine/>
    <w:qFormat/>
    <w:uiPriority w:val="0"/>
    <w:pPr>
      <w:spacing w:line="360" w:lineRule="auto"/>
      <w:ind w:firstLine="480" w:firstLineChars="200"/>
    </w:pPr>
    <w:rPr>
      <w:rFonts w:ascii="宋体" w:hAnsi="宋体"/>
      <w:color w:val="000000"/>
      <w:kern w:val="0"/>
      <w:sz w:val="24"/>
    </w:rPr>
  </w:style>
  <w:style w:type="character" w:customStyle="1" w:styleId="484">
    <w:name w:val="样式14 Char Char"/>
    <w:link w:val="485"/>
    <w:autoRedefine/>
    <w:qFormat/>
    <w:uiPriority w:val="0"/>
    <w:rPr>
      <w:rFonts w:ascii="仿宋_GB2312" w:hAnsi="宋体" w:eastAsia="仿宋_GB2312"/>
      <w:bCs/>
      <w:sz w:val="24"/>
    </w:rPr>
  </w:style>
  <w:style w:type="paragraph" w:customStyle="1" w:styleId="485">
    <w:name w:val="样式14"/>
    <w:basedOn w:val="486"/>
    <w:link w:val="484"/>
    <w:autoRedefine/>
    <w:qFormat/>
    <w:uiPriority w:val="0"/>
    <w:pPr>
      <w:adjustRightInd w:val="0"/>
      <w:spacing w:line="240" w:lineRule="auto"/>
      <w:textAlignment w:val="baseline"/>
    </w:pPr>
    <w:rPr>
      <w:rFonts w:ascii="仿宋_GB2312" w:eastAsia="仿宋_GB2312"/>
      <w:bCs/>
      <w:kern w:val="0"/>
      <w:sz w:val="24"/>
      <w:szCs w:val="20"/>
    </w:rPr>
  </w:style>
  <w:style w:type="paragraph" w:customStyle="1" w:styleId="486">
    <w:name w:val="图表文字"/>
    <w:basedOn w:val="1"/>
    <w:autoRedefine/>
    <w:qFormat/>
    <w:uiPriority w:val="0"/>
    <w:pPr>
      <w:spacing w:line="320" w:lineRule="exact"/>
      <w:jc w:val="center"/>
    </w:pPr>
    <w:rPr>
      <w:rFonts w:ascii="宋体" w:hAnsi="宋体"/>
    </w:rPr>
  </w:style>
  <w:style w:type="character" w:customStyle="1" w:styleId="487">
    <w:name w:val="s9n1k0c"/>
    <w:autoRedefine/>
    <w:qFormat/>
    <w:uiPriority w:val="0"/>
  </w:style>
  <w:style w:type="character" w:customStyle="1" w:styleId="488">
    <w:name w:val="Char Char5"/>
    <w:autoRedefine/>
    <w:qFormat/>
    <w:uiPriority w:val="0"/>
    <w:rPr>
      <w:rFonts w:ascii="宋体" w:hAnsi="宋体" w:eastAsia="宋体"/>
      <w:kern w:val="2"/>
      <w:sz w:val="21"/>
      <w:szCs w:val="24"/>
      <w:lang w:val="en-US" w:eastAsia="zh-CN" w:bidi="ar-SA"/>
    </w:rPr>
  </w:style>
  <w:style w:type="character" w:customStyle="1" w:styleId="489">
    <w:name w:val="正文2 Char Char"/>
    <w:link w:val="490"/>
    <w:autoRedefine/>
    <w:qFormat/>
    <w:uiPriority w:val="0"/>
    <w:rPr>
      <w:bCs/>
      <w:sz w:val="24"/>
      <w:szCs w:val="44"/>
    </w:rPr>
  </w:style>
  <w:style w:type="paragraph" w:customStyle="1" w:styleId="490">
    <w:name w:val="正文21"/>
    <w:basedOn w:val="1"/>
    <w:link w:val="489"/>
    <w:autoRedefine/>
    <w:qFormat/>
    <w:uiPriority w:val="0"/>
    <w:pPr>
      <w:adjustRightInd w:val="0"/>
      <w:spacing w:line="360" w:lineRule="auto"/>
      <w:ind w:firstLine="200" w:firstLineChars="200"/>
    </w:pPr>
    <w:rPr>
      <w:bCs/>
      <w:kern w:val="0"/>
      <w:sz w:val="24"/>
      <w:szCs w:val="44"/>
    </w:rPr>
  </w:style>
  <w:style w:type="character" w:customStyle="1" w:styleId="491">
    <w:name w:val="title31"/>
    <w:autoRedefine/>
    <w:qFormat/>
    <w:uiPriority w:val="0"/>
  </w:style>
  <w:style w:type="character" w:customStyle="1" w:styleId="492">
    <w:name w:val="sfmq"/>
    <w:autoRedefine/>
    <w:qFormat/>
    <w:uiPriority w:val="0"/>
  </w:style>
  <w:style w:type="character" w:customStyle="1" w:styleId="493">
    <w:name w:val="f121"/>
    <w:autoRedefine/>
    <w:qFormat/>
    <w:uiPriority w:val="0"/>
    <w:rPr>
      <w:sz w:val="18"/>
      <w:szCs w:val="18"/>
      <w:u w:val="none"/>
    </w:rPr>
  </w:style>
  <w:style w:type="character" w:customStyle="1" w:styleId="494">
    <w:name w:val="sxwt2u"/>
    <w:autoRedefine/>
    <w:qFormat/>
    <w:uiPriority w:val="0"/>
  </w:style>
  <w:style w:type="character" w:customStyle="1" w:styleId="495">
    <w:name w:val="style191"/>
    <w:autoRedefine/>
    <w:qFormat/>
    <w:uiPriority w:val="0"/>
    <w:rPr>
      <w:b/>
      <w:bCs/>
      <w:color w:val="FF0000"/>
    </w:rPr>
  </w:style>
  <w:style w:type="character" w:customStyle="1" w:styleId="496">
    <w:name w:val="sv1hyw"/>
    <w:autoRedefine/>
    <w:qFormat/>
    <w:uiPriority w:val="0"/>
  </w:style>
  <w:style w:type="character" w:customStyle="1" w:styleId="497">
    <w:name w:val="td1"/>
    <w:autoRedefine/>
    <w:qFormat/>
    <w:uiPriority w:val="0"/>
    <w:rPr>
      <w:color w:val="000000"/>
      <w:sz w:val="21"/>
      <w:szCs w:val="21"/>
    </w:rPr>
  </w:style>
  <w:style w:type="character" w:customStyle="1" w:styleId="498">
    <w:name w:val="样式82 Char Char"/>
    <w:link w:val="499"/>
    <w:autoRedefine/>
    <w:qFormat/>
    <w:uiPriority w:val="0"/>
    <w:rPr>
      <w:rFonts w:ascii="宋体" w:hAnsi="宋体"/>
      <w:sz w:val="28"/>
      <w:szCs w:val="28"/>
    </w:rPr>
  </w:style>
  <w:style w:type="paragraph" w:customStyle="1" w:styleId="499">
    <w:name w:val="样式82"/>
    <w:basedOn w:val="1"/>
    <w:link w:val="498"/>
    <w:autoRedefine/>
    <w:qFormat/>
    <w:uiPriority w:val="0"/>
    <w:pPr>
      <w:spacing w:line="360" w:lineRule="auto"/>
      <w:ind w:firstLine="560" w:firstLineChars="200"/>
    </w:pPr>
    <w:rPr>
      <w:rFonts w:ascii="宋体" w:hAnsi="宋体"/>
      <w:kern w:val="0"/>
      <w:sz w:val="28"/>
      <w:szCs w:val="28"/>
    </w:rPr>
  </w:style>
  <w:style w:type="character" w:customStyle="1" w:styleId="500">
    <w:name w:val="s lh15"/>
    <w:autoRedefine/>
    <w:qFormat/>
    <w:uiPriority w:val="0"/>
  </w:style>
  <w:style w:type="character" w:customStyle="1" w:styleId="501">
    <w:name w:val="s8xye"/>
    <w:autoRedefine/>
    <w:qFormat/>
    <w:uiPriority w:val="0"/>
  </w:style>
  <w:style w:type="character" w:customStyle="1" w:styleId="502">
    <w:name w:val="style61"/>
    <w:autoRedefine/>
    <w:qFormat/>
    <w:uiPriority w:val="0"/>
    <w:rPr>
      <w:sz w:val="45"/>
      <w:szCs w:val="45"/>
    </w:rPr>
  </w:style>
  <w:style w:type="character" w:customStyle="1" w:styleId="503">
    <w:name w:val="表格001 Char Char"/>
    <w:link w:val="504"/>
    <w:autoRedefine/>
    <w:qFormat/>
    <w:uiPriority w:val="0"/>
  </w:style>
  <w:style w:type="paragraph" w:customStyle="1" w:styleId="504">
    <w:name w:val="表格001"/>
    <w:basedOn w:val="1"/>
    <w:link w:val="503"/>
    <w:autoRedefine/>
    <w:qFormat/>
    <w:uiPriority w:val="0"/>
    <w:pPr>
      <w:jc w:val="center"/>
    </w:pPr>
    <w:rPr>
      <w:kern w:val="0"/>
      <w:sz w:val="20"/>
      <w:szCs w:val="20"/>
    </w:rPr>
  </w:style>
  <w:style w:type="character" w:customStyle="1" w:styleId="505">
    <w:name w:val="style421"/>
    <w:autoRedefine/>
    <w:qFormat/>
    <w:uiPriority w:val="0"/>
    <w:rPr>
      <w:color w:val="287D3C"/>
      <w:sz w:val="21"/>
      <w:szCs w:val="21"/>
    </w:rPr>
  </w:style>
  <w:style w:type="character" w:customStyle="1" w:styleId="506">
    <w:name w:val="高表单 Char Char"/>
    <w:autoRedefine/>
    <w:qFormat/>
    <w:uiPriority w:val="0"/>
    <w:rPr>
      <w:rFonts w:ascii="Arial" w:hAnsi="Arial" w:eastAsia="宋体"/>
      <w:kern w:val="2"/>
      <w:sz w:val="21"/>
      <w:szCs w:val="21"/>
      <w:lang w:val="en-US" w:eastAsia="zh-CN" w:bidi="ar-SA"/>
    </w:rPr>
  </w:style>
  <w:style w:type="character" w:customStyle="1" w:styleId="507">
    <w:name w:val="soqzabs"/>
    <w:autoRedefine/>
    <w:qFormat/>
    <w:uiPriority w:val="0"/>
  </w:style>
  <w:style w:type="character" w:customStyle="1" w:styleId="508">
    <w:name w:val="pccs1"/>
    <w:autoRedefine/>
    <w:qFormat/>
    <w:uiPriority w:val="0"/>
    <w:rPr>
      <w:sz w:val="18"/>
      <w:szCs w:val="18"/>
    </w:rPr>
  </w:style>
  <w:style w:type="character" w:customStyle="1" w:styleId="509">
    <w:name w:val="s9zsb3q"/>
    <w:autoRedefine/>
    <w:qFormat/>
    <w:uiPriority w:val="0"/>
  </w:style>
  <w:style w:type="character" w:customStyle="1" w:styleId="510">
    <w:name w:val="unnamed91"/>
    <w:autoRedefine/>
    <w:qFormat/>
    <w:uiPriority w:val="0"/>
    <w:rPr>
      <w:rFonts w:hint="eastAsia" w:ascii="宋体" w:hAnsi="宋体" w:eastAsia="宋体"/>
      <w:color w:val="000000"/>
      <w:sz w:val="18"/>
      <w:szCs w:val="18"/>
      <w:u w:val="none"/>
    </w:rPr>
  </w:style>
  <w:style w:type="character" w:customStyle="1" w:styleId="511">
    <w:name w:val="sj4lab"/>
    <w:autoRedefine/>
    <w:qFormat/>
    <w:uiPriority w:val="0"/>
  </w:style>
  <w:style w:type="character" w:customStyle="1" w:styleId="512">
    <w:name w:val="ttitle1"/>
    <w:autoRedefine/>
    <w:qFormat/>
    <w:uiPriority w:val="0"/>
    <w:rPr>
      <w:spacing w:val="120"/>
      <w:sz w:val="21"/>
      <w:szCs w:val="21"/>
    </w:rPr>
  </w:style>
  <w:style w:type="character" w:customStyle="1" w:styleId="513">
    <w:name w:val="style21"/>
    <w:autoRedefine/>
    <w:qFormat/>
    <w:uiPriority w:val="0"/>
    <w:rPr>
      <w:color w:val="00007F"/>
    </w:rPr>
  </w:style>
  <w:style w:type="character" w:customStyle="1" w:styleId="514">
    <w:name w:val="sdi8io"/>
    <w:autoRedefine/>
    <w:qFormat/>
    <w:uiPriority w:val="0"/>
  </w:style>
  <w:style w:type="character" w:customStyle="1" w:styleId="515">
    <w:name w:val="正文缩进 Cha Char"/>
    <w:autoRedefine/>
    <w:qFormat/>
    <w:uiPriority w:val="0"/>
    <w:rPr>
      <w:rFonts w:eastAsia="宋体"/>
      <w:kern w:val="2"/>
      <w:sz w:val="28"/>
      <w:szCs w:val="24"/>
      <w:lang w:val="en-US" w:eastAsia="zh-CN" w:bidi="ar-SA"/>
    </w:rPr>
  </w:style>
  <w:style w:type="character" w:customStyle="1" w:styleId="516">
    <w:name w:val="表文字 Char Char"/>
    <w:link w:val="517"/>
    <w:autoRedefine/>
    <w:qFormat/>
    <w:uiPriority w:val="0"/>
    <w:rPr>
      <w:sz w:val="24"/>
    </w:rPr>
  </w:style>
  <w:style w:type="paragraph" w:customStyle="1" w:styleId="517">
    <w:name w:val="表文字"/>
    <w:basedOn w:val="1"/>
    <w:link w:val="516"/>
    <w:autoRedefine/>
    <w:qFormat/>
    <w:uiPriority w:val="0"/>
    <w:pPr>
      <w:overflowPunct w:val="0"/>
      <w:autoSpaceDE w:val="0"/>
      <w:autoSpaceDN w:val="0"/>
      <w:adjustRightInd w:val="0"/>
      <w:spacing w:line="240" w:lineRule="atLeast"/>
      <w:jc w:val="center"/>
      <w:textAlignment w:val="baseline"/>
    </w:pPr>
    <w:rPr>
      <w:kern w:val="0"/>
      <w:sz w:val="24"/>
      <w:szCs w:val="20"/>
    </w:rPr>
  </w:style>
  <w:style w:type="character" w:customStyle="1" w:styleId="518">
    <w:name w:val="soa7bda"/>
    <w:autoRedefine/>
    <w:qFormat/>
    <w:uiPriority w:val="0"/>
  </w:style>
  <w:style w:type="character" w:customStyle="1" w:styleId="519">
    <w:name w:val="sxuoj4"/>
    <w:autoRedefine/>
    <w:qFormat/>
    <w:uiPriority w:val="0"/>
  </w:style>
  <w:style w:type="character" w:customStyle="1" w:styleId="520">
    <w:name w:val="报告 Char Char"/>
    <w:autoRedefine/>
    <w:qFormat/>
    <w:uiPriority w:val="0"/>
    <w:rPr>
      <w:sz w:val="24"/>
      <w:lang w:bidi="ar-SA"/>
    </w:rPr>
  </w:style>
  <w:style w:type="character" w:customStyle="1" w:styleId="521">
    <w:name w:val="标题 21"/>
    <w:autoRedefine/>
    <w:qFormat/>
    <w:uiPriority w:val="0"/>
    <w:rPr>
      <w:rFonts w:ascii="黑体" w:hAnsi="Arial" w:eastAsia="黑体"/>
      <w:kern w:val="2"/>
      <w:sz w:val="36"/>
      <w:szCs w:val="32"/>
      <w:lang w:val="en-US" w:eastAsia="zh-CN" w:bidi="ar-SA"/>
    </w:rPr>
  </w:style>
  <w:style w:type="character" w:customStyle="1" w:styleId="522">
    <w:name w:val="样式21 Char Char"/>
    <w:link w:val="523"/>
    <w:autoRedefine/>
    <w:qFormat/>
    <w:uiPriority w:val="0"/>
    <w:rPr>
      <w:rFonts w:ascii="宋体" w:hAnsi="宋体"/>
      <w:b/>
      <w:bCs/>
      <w:color w:val="000000"/>
      <w:sz w:val="28"/>
      <w:szCs w:val="28"/>
      <w:lang w:val="zh-CN"/>
    </w:rPr>
  </w:style>
  <w:style w:type="paragraph" w:customStyle="1" w:styleId="523">
    <w:name w:val="样式21"/>
    <w:basedOn w:val="283"/>
    <w:link w:val="522"/>
    <w:autoRedefine/>
    <w:qFormat/>
    <w:uiPriority w:val="0"/>
    <w:pPr>
      <w:spacing w:beforeLines="0" w:afterLines="0" w:line="480" w:lineRule="auto"/>
      <w:ind w:firstLine="3500" w:firstLineChars="1250"/>
      <w:jc w:val="both"/>
      <w:outlineLvl w:val="9"/>
    </w:pPr>
    <w:rPr>
      <w:rFonts w:ascii="宋体" w:hAnsi="宋体" w:eastAsia="宋体"/>
      <w:sz w:val="28"/>
      <w:szCs w:val="28"/>
      <w:lang w:val="zh-CN"/>
    </w:rPr>
  </w:style>
  <w:style w:type="character" w:customStyle="1" w:styleId="524">
    <w:name w:val="zjgblk1"/>
    <w:autoRedefine/>
    <w:qFormat/>
    <w:uiPriority w:val="0"/>
    <w:rPr>
      <w:rFonts w:hint="default"/>
      <w:color w:val="000000"/>
      <w:sz w:val="18"/>
      <w:szCs w:val="18"/>
      <w:u w:val="none"/>
    </w:rPr>
  </w:style>
  <w:style w:type="character" w:customStyle="1" w:styleId="525">
    <w:name w:val="sub42"/>
    <w:autoRedefine/>
    <w:qFormat/>
    <w:uiPriority w:val="0"/>
  </w:style>
  <w:style w:type="character" w:customStyle="1" w:styleId="526">
    <w:name w:val="smuvt"/>
    <w:autoRedefine/>
    <w:qFormat/>
    <w:uiPriority w:val="0"/>
  </w:style>
  <w:style w:type="character" w:customStyle="1" w:styleId="527">
    <w:name w:val="sgiivq"/>
    <w:autoRedefine/>
    <w:qFormat/>
    <w:uiPriority w:val="0"/>
  </w:style>
  <w:style w:type="character" w:customStyle="1" w:styleId="528">
    <w:name w:val="标题 12"/>
    <w:autoRedefine/>
    <w:qFormat/>
    <w:uiPriority w:val="0"/>
    <w:rPr>
      <w:rFonts w:ascii="黑体" w:eastAsia="黑体"/>
      <w:kern w:val="44"/>
      <w:sz w:val="44"/>
      <w:lang w:val="en-US" w:eastAsia="zh-CN" w:bidi="ar-SA"/>
    </w:rPr>
  </w:style>
  <w:style w:type="character" w:customStyle="1" w:styleId="529">
    <w:name w:val="nava61"/>
    <w:autoRedefine/>
    <w:qFormat/>
    <w:uiPriority w:val="0"/>
    <w:rPr>
      <w:color w:val="000000"/>
      <w:sz w:val="21"/>
      <w:szCs w:val="21"/>
      <w:u w:val="none"/>
    </w:rPr>
  </w:style>
  <w:style w:type="character" w:customStyle="1" w:styleId="530">
    <w:name w:val="Char Char Char11"/>
    <w:autoRedefine/>
    <w:qFormat/>
    <w:uiPriority w:val="0"/>
    <w:rPr>
      <w:rFonts w:eastAsia="宋体"/>
      <w:kern w:val="2"/>
      <w:sz w:val="21"/>
      <w:szCs w:val="24"/>
      <w:lang w:val="en-US" w:eastAsia="zh-CN" w:bidi="ar-SA"/>
    </w:rPr>
  </w:style>
  <w:style w:type="character" w:customStyle="1" w:styleId="531">
    <w:name w:val="sc2f7tt"/>
    <w:autoRedefine/>
    <w:qFormat/>
    <w:uiPriority w:val="0"/>
  </w:style>
  <w:style w:type="character" w:customStyle="1" w:styleId="532">
    <w:name w:val="oblog_text"/>
    <w:autoRedefine/>
    <w:qFormat/>
    <w:uiPriority w:val="0"/>
  </w:style>
  <w:style w:type="character" w:customStyle="1" w:styleId="533">
    <w:name w:val="xiaozhiti1"/>
    <w:autoRedefine/>
    <w:qFormat/>
    <w:uiPriority w:val="0"/>
    <w:rPr>
      <w:sz w:val="18"/>
      <w:szCs w:val="18"/>
    </w:rPr>
  </w:style>
  <w:style w:type="character" w:customStyle="1" w:styleId="534">
    <w:name w:val="标题 Char1"/>
    <w:autoRedefine/>
    <w:qFormat/>
    <w:uiPriority w:val="0"/>
    <w:rPr>
      <w:rFonts w:ascii="Arial" w:hAnsi="Arial" w:eastAsia="黑体" w:cs="Arial"/>
      <w:b/>
      <w:bCs/>
      <w:kern w:val="2"/>
      <w:sz w:val="32"/>
      <w:szCs w:val="32"/>
      <w:lang w:val="en-US" w:eastAsia="zh-CN" w:bidi="ar-SA"/>
    </w:rPr>
  </w:style>
  <w:style w:type="character" w:customStyle="1" w:styleId="535">
    <w:name w:val="sub_title1"/>
    <w:autoRedefine/>
    <w:qFormat/>
    <w:uiPriority w:val="0"/>
    <w:rPr>
      <w:rFonts w:hint="default"/>
      <w:color w:val="FF6600"/>
      <w:sz w:val="21"/>
      <w:szCs w:val="21"/>
    </w:rPr>
  </w:style>
  <w:style w:type="character" w:customStyle="1" w:styleId="536">
    <w:name w:val="s6lx"/>
    <w:autoRedefine/>
    <w:qFormat/>
    <w:uiPriority w:val="0"/>
  </w:style>
  <w:style w:type="character" w:customStyle="1" w:styleId="537">
    <w:name w:val="sy7t"/>
    <w:autoRedefine/>
    <w:qFormat/>
    <w:uiPriority w:val="0"/>
  </w:style>
  <w:style w:type="character" w:customStyle="1" w:styleId="538">
    <w:name w:val="样式78 Char Char"/>
    <w:link w:val="539"/>
    <w:autoRedefine/>
    <w:qFormat/>
    <w:uiPriority w:val="0"/>
    <w:rPr>
      <w:rFonts w:ascii="黑体" w:eastAsia="黑体"/>
      <w:b/>
      <w:kern w:val="44"/>
      <w:sz w:val="32"/>
    </w:rPr>
  </w:style>
  <w:style w:type="paragraph" w:customStyle="1" w:styleId="539">
    <w:name w:val="样式78"/>
    <w:basedOn w:val="1"/>
    <w:link w:val="538"/>
    <w:autoRedefine/>
    <w:qFormat/>
    <w:uiPriority w:val="0"/>
    <w:pPr>
      <w:keepNext/>
      <w:keepLines/>
      <w:spacing w:before="290" w:after="290" w:line="360" w:lineRule="auto"/>
      <w:jc w:val="center"/>
      <w:outlineLvl w:val="0"/>
    </w:pPr>
    <w:rPr>
      <w:rFonts w:ascii="黑体" w:eastAsia="黑体"/>
      <w:b/>
      <w:kern w:val="44"/>
      <w:sz w:val="32"/>
      <w:szCs w:val="20"/>
    </w:rPr>
  </w:style>
  <w:style w:type="character" w:customStyle="1" w:styleId="540">
    <w:name w:val="样式45 Char Char"/>
    <w:link w:val="541"/>
    <w:autoRedefine/>
    <w:qFormat/>
    <w:uiPriority w:val="0"/>
    <w:rPr>
      <w:rFonts w:ascii="宋体" w:hAnsi="宋体"/>
      <w:color w:val="000000"/>
      <w:sz w:val="28"/>
      <w:szCs w:val="28"/>
    </w:rPr>
  </w:style>
  <w:style w:type="paragraph" w:customStyle="1" w:styleId="541">
    <w:name w:val="样式45"/>
    <w:basedOn w:val="1"/>
    <w:link w:val="540"/>
    <w:autoRedefine/>
    <w:qFormat/>
    <w:uiPriority w:val="0"/>
    <w:pPr>
      <w:spacing w:line="360" w:lineRule="auto"/>
      <w:ind w:firstLine="560" w:firstLineChars="200"/>
    </w:pPr>
    <w:rPr>
      <w:rFonts w:ascii="宋体" w:hAnsi="宋体"/>
      <w:color w:val="000000"/>
      <w:kern w:val="0"/>
      <w:sz w:val="28"/>
      <w:szCs w:val="28"/>
    </w:rPr>
  </w:style>
  <w:style w:type="character" w:customStyle="1" w:styleId="542">
    <w:name w:val="样式90 Char Char"/>
    <w:link w:val="543"/>
    <w:autoRedefine/>
    <w:qFormat/>
    <w:uiPriority w:val="0"/>
    <w:rPr>
      <w:rFonts w:ascii="黑体" w:hAnsi="宋体" w:eastAsia="黑体"/>
      <w:color w:val="000000"/>
      <w:sz w:val="24"/>
      <w:szCs w:val="24"/>
    </w:rPr>
  </w:style>
  <w:style w:type="paragraph" w:customStyle="1" w:styleId="543">
    <w:name w:val="样式90"/>
    <w:basedOn w:val="1"/>
    <w:link w:val="542"/>
    <w:autoRedefine/>
    <w:qFormat/>
    <w:uiPriority w:val="0"/>
    <w:pPr>
      <w:widowControl/>
      <w:spacing w:beforeLines="50" w:afterLines="50" w:line="360" w:lineRule="auto"/>
      <w:ind w:firstLine="480" w:firstLineChars="200"/>
      <w:jc w:val="center"/>
    </w:pPr>
    <w:rPr>
      <w:rFonts w:ascii="黑体" w:hAnsi="宋体" w:eastAsia="黑体"/>
      <w:color w:val="000000"/>
      <w:kern w:val="0"/>
      <w:sz w:val="24"/>
    </w:rPr>
  </w:style>
  <w:style w:type="character" w:customStyle="1" w:styleId="544">
    <w:name w:val="样式70 Char Char"/>
    <w:link w:val="545"/>
    <w:autoRedefine/>
    <w:qFormat/>
    <w:uiPriority w:val="0"/>
    <w:rPr>
      <w:rFonts w:ascii="宋体" w:hAnsi="宋体"/>
      <w:color w:val="000000"/>
      <w:kern w:val="28"/>
      <w:sz w:val="28"/>
      <w:szCs w:val="28"/>
    </w:rPr>
  </w:style>
  <w:style w:type="paragraph" w:customStyle="1" w:styleId="545">
    <w:name w:val="样式70"/>
    <w:basedOn w:val="1"/>
    <w:link w:val="544"/>
    <w:autoRedefine/>
    <w:qFormat/>
    <w:uiPriority w:val="0"/>
    <w:pPr>
      <w:spacing w:line="460" w:lineRule="exact"/>
      <w:ind w:firstLine="560" w:firstLineChars="200"/>
      <w:jc w:val="left"/>
    </w:pPr>
    <w:rPr>
      <w:rFonts w:ascii="宋体" w:hAnsi="宋体"/>
      <w:color w:val="000000"/>
      <w:kern w:val="28"/>
      <w:sz w:val="28"/>
      <w:szCs w:val="28"/>
    </w:rPr>
  </w:style>
  <w:style w:type="character" w:customStyle="1" w:styleId="546">
    <w:name w:val="标题 Char2"/>
    <w:autoRedefine/>
    <w:qFormat/>
    <w:uiPriority w:val="0"/>
    <w:rPr>
      <w:rFonts w:ascii="Cambria" w:hAnsi="Cambria" w:cs="Times New Roman"/>
      <w:b/>
      <w:bCs/>
      <w:kern w:val="2"/>
      <w:sz w:val="32"/>
      <w:szCs w:val="32"/>
    </w:rPr>
  </w:style>
  <w:style w:type="character" w:customStyle="1" w:styleId="547">
    <w:name w:val="甲乙酮正文 Char"/>
    <w:autoRedefine/>
    <w:qFormat/>
    <w:uiPriority w:val="0"/>
    <w:rPr>
      <w:rFonts w:eastAsia="宋体"/>
      <w:color w:val="000000"/>
      <w:kern w:val="2"/>
      <w:sz w:val="24"/>
      <w:szCs w:val="24"/>
      <w:lang w:val="en-US" w:eastAsia="zh-CN" w:bidi="ar-SA"/>
    </w:rPr>
  </w:style>
  <w:style w:type="character" w:customStyle="1" w:styleId="548">
    <w:name w:val="甲乙酮标题3 Char"/>
    <w:autoRedefine/>
    <w:qFormat/>
    <w:uiPriority w:val="0"/>
    <w:rPr>
      <w:rFonts w:eastAsia="宋体"/>
      <w:b/>
      <w:bCs/>
      <w:kern w:val="2"/>
      <w:sz w:val="32"/>
      <w:szCs w:val="32"/>
      <w:lang w:val="en-US" w:eastAsia="zh-CN" w:bidi="ar-SA"/>
    </w:rPr>
  </w:style>
  <w:style w:type="character" w:customStyle="1" w:styleId="549">
    <w:name w:val="报告正文1 Char"/>
    <w:autoRedefine/>
    <w:qFormat/>
    <w:uiPriority w:val="0"/>
    <w:rPr>
      <w:rFonts w:eastAsia="宋体"/>
      <w:color w:val="000000"/>
      <w:kern w:val="2"/>
      <w:sz w:val="24"/>
      <w:szCs w:val="24"/>
      <w:lang w:val="en-US" w:eastAsia="zh-CN" w:bidi="ar-SA"/>
    </w:rPr>
  </w:style>
  <w:style w:type="character" w:customStyle="1" w:styleId="550">
    <w:name w:val="文本 Char"/>
    <w:autoRedefine/>
    <w:qFormat/>
    <w:uiPriority w:val="0"/>
    <w:rPr>
      <w:kern w:val="2"/>
      <w:sz w:val="24"/>
      <w:szCs w:val="24"/>
    </w:rPr>
  </w:style>
  <w:style w:type="character" w:customStyle="1" w:styleId="551">
    <w:name w:val="表 标题 Char"/>
    <w:autoRedefine/>
    <w:qFormat/>
    <w:uiPriority w:val="0"/>
    <w:rPr>
      <w:rFonts w:cs="宋体"/>
      <w:b/>
      <w:kern w:val="2"/>
      <w:sz w:val="24"/>
    </w:rPr>
  </w:style>
  <w:style w:type="character" w:customStyle="1" w:styleId="552">
    <w:name w:val="环正文 Char4"/>
    <w:link w:val="553"/>
    <w:autoRedefine/>
    <w:qFormat/>
    <w:uiPriority w:val="0"/>
    <w:rPr>
      <w:rFonts w:ascii="仿宋_GB2312" w:hAnsi="宋体" w:eastAsia="仿宋_GB2312"/>
      <w:sz w:val="28"/>
    </w:rPr>
  </w:style>
  <w:style w:type="paragraph" w:customStyle="1" w:styleId="553">
    <w:name w:val="环正文"/>
    <w:basedOn w:val="1"/>
    <w:link w:val="552"/>
    <w:autoRedefine/>
    <w:qFormat/>
    <w:uiPriority w:val="0"/>
    <w:pPr>
      <w:widowControl/>
      <w:suppressAutoHyphens/>
      <w:adjustRightInd w:val="0"/>
      <w:snapToGrid w:val="0"/>
      <w:spacing w:line="300" w:lineRule="auto"/>
      <w:ind w:firstLine="560"/>
      <w:textAlignment w:val="baseline"/>
    </w:pPr>
    <w:rPr>
      <w:rFonts w:ascii="仿宋_GB2312" w:hAnsi="宋体" w:eastAsia="仿宋_GB2312"/>
      <w:kern w:val="0"/>
      <w:sz w:val="28"/>
      <w:szCs w:val="20"/>
    </w:rPr>
  </w:style>
  <w:style w:type="character" w:customStyle="1" w:styleId="554">
    <w:name w:val="副标题 Char1"/>
    <w:autoRedefine/>
    <w:qFormat/>
    <w:uiPriority w:val="11"/>
    <w:rPr>
      <w:rFonts w:ascii="Cambria" w:hAnsi="Cambria" w:eastAsia="宋体" w:cs="Times New Roman"/>
      <w:b/>
      <w:bCs/>
      <w:kern w:val="28"/>
      <w:sz w:val="32"/>
      <w:szCs w:val="32"/>
    </w:rPr>
  </w:style>
  <w:style w:type="character" w:customStyle="1" w:styleId="555">
    <w:name w:val="三级 Char"/>
    <w:link w:val="556"/>
    <w:autoRedefine/>
    <w:qFormat/>
    <w:uiPriority w:val="0"/>
    <w:rPr>
      <w:b/>
      <w:kern w:val="2"/>
      <w:sz w:val="28"/>
    </w:rPr>
  </w:style>
  <w:style w:type="paragraph" w:customStyle="1" w:styleId="556">
    <w:name w:val="三级"/>
    <w:basedOn w:val="1"/>
    <w:link w:val="555"/>
    <w:autoRedefine/>
    <w:qFormat/>
    <w:uiPriority w:val="0"/>
    <w:pPr>
      <w:adjustRightInd w:val="0"/>
      <w:textAlignment w:val="baseline"/>
    </w:pPr>
    <w:rPr>
      <w:b/>
      <w:sz w:val="28"/>
      <w:szCs w:val="20"/>
    </w:rPr>
  </w:style>
  <w:style w:type="character" w:customStyle="1" w:styleId="557">
    <w:name w:val="兴武正文 Char"/>
    <w:autoRedefine/>
    <w:qFormat/>
    <w:uiPriority w:val="0"/>
    <w:rPr>
      <w:rFonts w:eastAsia="宋体" w:cs="宋体"/>
      <w:kern w:val="2"/>
      <w:sz w:val="24"/>
      <w:lang w:val="en-US" w:eastAsia="zh-CN" w:bidi="ar-SA"/>
    </w:rPr>
  </w:style>
  <w:style w:type="character" w:customStyle="1" w:styleId="558">
    <w:name w:val="表格yy Char Char"/>
    <w:link w:val="559"/>
    <w:autoRedefine/>
    <w:qFormat/>
    <w:uiPriority w:val="0"/>
    <w:rPr>
      <w:rFonts w:eastAsia="仿宋_GB2312"/>
      <w:szCs w:val="24"/>
    </w:rPr>
  </w:style>
  <w:style w:type="paragraph" w:customStyle="1" w:styleId="559">
    <w:name w:val="表格yy"/>
    <w:basedOn w:val="1"/>
    <w:link w:val="558"/>
    <w:autoRedefine/>
    <w:qFormat/>
    <w:uiPriority w:val="0"/>
    <w:pPr>
      <w:snapToGrid w:val="0"/>
      <w:spacing w:line="240" w:lineRule="atLeast"/>
      <w:jc w:val="center"/>
    </w:pPr>
    <w:rPr>
      <w:rFonts w:eastAsia="仿宋_GB2312"/>
      <w:kern w:val="0"/>
      <w:sz w:val="20"/>
    </w:rPr>
  </w:style>
  <w:style w:type="character" w:customStyle="1" w:styleId="560">
    <w:name w:val="正文缩进 Char Char"/>
    <w:autoRedefine/>
    <w:qFormat/>
    <w:uiPriority w:val="0"/>
    <w:rPr>
      <w:rFonts w:eastAsia="宋体"/>
      <w:kern w:val="2"/>
      <w:sz w:val="21"/>
      <w:szCs w:val="24"/>
      <w:lang w:val="en-US" w:eastAsia="zh-CN" w:bidi="ar-SA"/>
    </w:rPr>
  </w:style>
  <w:style w:type="character" w:customStyle="1" w:styleId="561">
    <w:name w:val="页眉1 Char1"/>
    <w:autoRedefine/>
    <w:qFormat/>
    <w:uiPriority w:val="0"/>
    <w:rPr>
      <w:rFonts w:eastAsia="宋体"/>
      <w:kern w:val="2"/>
      <w:sz w:val="18"/>
      <w:szCs w:val="18"/>
      <w:lang w:val="en-US" w:eastAsia="zh-CN" w:bidi="ar-SA"/>
    </w:rPr>
  </w:style>
  <w:style w:type="character" w:customStyle="1" w:styleId="562">
    <w:name w:val="Char Char48"/>
    <w:autoRedefine/>
    <w:qFormat/>
    <w:uiPriority w:val="0"/>
    <w:rPr>
      <w:b/>
      <w:bCs/>
      <w:kern w:val="44"/>
      <w:sz w:val="44"/>
      <w:szCs w:val="44"/>
    </w:rPr>
  </w:style>
  <w:style w:type="character" w:customStyle="1" w:styleId="563">
    <w:name w:val="14588 Char"/>
    <w:link w:val="564"/>
    <w:autoRedefine/>
    <w:qFormat/>
    <w:uiPriority w:val="0"/>
    <w:rPr>
      <w:rFonts w:ascii="Calibri" w:hAnsi="Calibri" w:cs="宋体"/>
      <w:kern w:val="2"/>
      <w:sz w:val="24"/>
      <w:lang w:val="de-DE"/>
    </w:rPr>
  </w:style>
  <w:style w:type="paragraph" w:customStyle="1" w:styleId="564">
    <w:name w:val="14588"/>
    <w:basedOn w:val="1"/>
    <w:link w:val="563"/>
    <w:autoRedefine/>
    <w:qFormat/>
    <w:uiPriority w:val="0"/>
    <w:pPr>
      <w:spacing w:line="360" w:lineRule="auto"/>
      <w:ind w:firstLine="480" w:firstLineChars="200"/>
    </w:pPr>
    <w:rPr>
      <w:rFonts w:ascii="Calibri" w:hAnsi="Calibri" w:cs="宋体"/>
      <w:sz w:val="24"/>
      <w:szCs w:val="20"/>
      <w:lang w:val="de-DE"/>
    </w:rPr>
  </w:style>
  <w:style w:type="character" w:customStyle="1" w:styleId="565">
    <w:name w:val="茂名 正文 Char"/>
    <w:link w:val="566"/>
    <w:autoRedefine/>
    <w:qFormat/>
    <w:uiPriority w:val="0"/>
    <w:rPr>
      <w:rFonts w:ascii="Symbol" w:hAnsi="Symbol" w:eastAsia="微软雅黑" w:cs="Symbol"/>
      <w:sz w:val="24"/>
      <w:szCs w:val="24"/>
    </w:rPr>
  </w:style>
  <w:style w:type="paragraph" w:customStyle="1" w:styleId="566">
    <w:name w:val="茂名 正文"/>
    <w:basedOn w:val="1"/>
    <w:link w:val="565"/>
    <w:autoRedefine/>
    <w:qFormat/>
    <w:uiPriority w:val="0"/>
    <w:pPr>
      <w:widowControl/>
      <w:topLinePunct/>
      <w:spacing w:line="480" w:lineRule="exact"/>
      <w:ind w:firstLine="539"/>
    </w:pPr>
    <w:rPr>
      <w:rFonts w:ascii="Symbol" w:hAnsi="Symbol" w:eastAsia="微软雅黑" w:cs="Symbol"/>
      <w:kern w:val="0"/>
      <w:sz w:val="24"/>
    </w:rPr>
  </w:style>
  <w:style w:type="character" w:customStyle="1" w:styleId="567">
    <w:name w:val="正文(康健城) Char"/>
    <w:link w:val="568"/>
    <w:autoRedefine/>
    <w:qFormat/>
    <w:uiPriority w:val="0"/>
    <w:rPr>
      <w:sz w:val="24"/>
      <w:szCs w:val="24"/>
    </w:rPr>
  </w:style>
  <w:style w:type="paragraph" w:customStyle="1" w:styleId="568">
    <w:name w:val="正文(康健城)"/>
    <w:basedOn w:val="1"/>
    <w:link w:val="567"/>
    <w:autoRedefine/>
    <w:qFormat/>
    <w:uiPriority w:val="0"/>
    <w:pPr>
      <w:adjustRightInd w:val="0"/>
      <w:snapToGrid w:val="0"/>
      <w:spacing w:line="360" w:lineRule="auto"/>
      <w:ind w:firstLine="480" w:firstLineChars="200"/>
      <w:textAlignment w:val="baseline"/>
    </w:pPr>
    <w:rPr>
      <w:kern w:val="0"/>
      <w:sz w:val="24"/>
    </w:rPr>
  </w:style>
  <w:style w:type="character" w:customStyle="1" w:styleId="569">
    <w:name w:val="标题1.1.1.1.1.1 Char"/>
    <w:autoRedefine/>
    <w:qFormat/>
    <w:uiPriority w:val="0"/>
    <w:rPr>
      <w:rFonts w:ascii="Arial" w:hAnsi="Arial" w:eastAsia="黑体" w:cs="宋体"/>
      <w:b/>
      <w:color w:val="FF0000"/>
      <w:kern w:val="0"/>
      <w:szCs w:val="20"/>
    </w:rPr>
  </w:style>
  <w:style w:type="character" w:customStyle="1" w:styleId="570">
    <w:name w:val="标题 7表内5号 Char"/>
    <w:autoRedefine/>
    <w:qFormat/>
    <w:uiPriority w:val="0"/>
    <w:rPr>
      <w:rFonts w:ascii="Times New Roman" w:hAnsi="Times New Roman" w:eastAsia="宋体" w:cs="宋体"/>
      <w:b/>
      <w:color w:val="FF0000"/>
      <w:kern w:val="0"/>
      <w:szCs w:val="20"/>
    </w:rPr>
  </w:style>
  <w:style w:type="character" w:customStyle="1" w:styleId="571">
    <w:name w:val="目标题 1) Char"/>
    <w:autoRedefine/>
    <w:qFormat/>
    <w:uiPriority w:val="0"/>
    <w:rPr>
      <w:rFonts w:ascii="Arial" w:hAnsi="Arial" w:eastAsia="黑体" w:cs="宋体"/>
      <w:b/>
      <w:color w:val="FF0000"/>
      <w:kern w:val="0"/>
      <w:szCs w:val="20"/>
    </w:rPr>
  </w:style>
  <w:style w:type="character" w:customStyle="1" w:styleId="572">
    <w:name w:val="干标题(a) Char"/>
    <w:autoRedefine/>
    <w:qFormat/>
    <w:uiPriority w:val="0"/>
    <w:rPr>
      <w:rFonts w:ascii="Arial" w:hAnsi="Arial" w:eastAsia="黑体" w:cs="宋体"/>
      <w:b/>
      <w:color w:val="FF0000"/>
      <w:kern w:val="0"/>
      <w:szCs w:val="20"/>
    </w:rPr>
  </w:style>
  <w:style w:type="character" w:customStyle="1" w:styleId="573">
    <w:name w:val="CN normal Char"/>
    <w:link w:val="574"/>
    <w:autoRedefine/>
    <w:qFormat/>
    <w:uiPriority w:val="0"/>
    <w:rPr>
      <w:rFonts w:ascii="Arial" w:hAnsi="Arial"/>
      <w:lang w:val="en-GB"/>
    </w:rPr>
  </w:style>
  <w:style w:type="paragraph" w:customStyle="1" w:styleId="574">
    <w:name w:val="CN normal"/>
    <w:basedOn w:val="1"/>
    <w:link w:val="573"/>
    <w:autoRedefine/>
    <w:qFormat/>
    <w:uiPriority w:val="0"/>
    <w:pPr>
      <w:widowControl/>
      <w:spacing w:line="280" w:lineRule="atLeast"/>
      <w:contextualSpacing/>
    </w:pPr>
    <w:rPr>
      <w:rFonts w:ascii="Arial" w:hAnsi="Arial"/>
      <w:kern w:val="0"/>
      <w:sz w:val="20"/>
      <w:szCs w:val="20"/>
      <w:lang w:val="en-GB"/>
    </w:rPr>
  </w:style>
  <w:style w:type="character" w:customStyle="1" w:styleId="575">
    <w:name w:val="li_正文 Char"/>
    <w:link w:val="576"/>
    <w:autoRedefine/>
    <w:qFormat/>
    <w:uiPriority w:val="0"/>
    <w:rPr>
      <w:rFonts w:ascii="Calibri" w:hAnsi="Calibri"/>
      <w:kern w:val="2"/>
      <w:sz w:val="21"/>
      <w:szCs w:val="24"/>
    </w:rPr>
  </w:style>
  <w:style w:type="paragraph" w:customStyle="1" w:styleId="576">
    <w:name w:val="li_正文"/>
    <w:basedOn w:val="1"/>
    <w:link w:val="575"/>
    <w:autoRedefine/>
    <w:qFormat/>
    <w:uiPriority w:val="0"/>
    <w:pPr>
      <w:ind w:firstLine="480" w:firstLineChars="200"/>
      <w:contextualSpacing/>
    </w:pPr>
    <w:rPr>
      <w:rFonts w:ascii="Calibri" w:hAnsi="Calibri"/>
    </w:rPr>
  </w:style>
  <w:style w:type="character" w:customStyle="1" w:styleId="577">
    <w:name w:val="表名 Char1"/>
    <w:link w:val="578"/>
    <w:autoRedefine/>
    <w:semiHidden/>
    <w:qFormat/>
    <w:uiPriority w:val="0"/>
    <w:rPr>
      <w:rFonts w:ascii="Arial" w:hAnsi="Arial" w:eastAsia="楷体_GB2312" w:cs="宋体"/>
      <w:b/>
      <w:sz w:val="21"/>
    </w:rPr>
  </w:style>
  <w:style w:type="paragraph" w:customStyle="1" w:styleId="578">
    <w:name w:val="表名"/>
    <w:basedOn w:val="1"/>
    <w:next w:val="1"/>
    <w:link w:val="577"/>
    <w:autoRedefine/>
    <w:semiHidden/>
    <w:qFormat/>
    <w:uiPriority w:val="0"/>
    <w:pPr>
      <w:widowControl/>
      <w:adjustRightInd w:val="0"/>
      <w:spacing w:before="120" w:afterLines="10" w:line="312" w:lineRule="auto"/>
      <w:contextualSpacing/>
      <w:jc w:val="center"/>
      <w:textAlignment w:val="baseline"/>
    </w:pPr>
    <w:rPr>
      <w:rFonts w:ascii="Arial" w:hAnsi="Arial" w:eastAsia="楷体_GB2312" w:cs="宋体"/>
      <w:b/>
      <w:kern w:val="0"/>
      <w:szCs w:val="20"/>
    </w:rPr>
  </w:style>
  <w:style w:type="character" w:customStyle="1" w:styleId="579">
    <w:name w:val="表名 1 Char"/>
    <w:link w:val="580"/>
    <w:autoRedefine/>
    <w:qFormat/>
    <w:uiPriority w:val="0"/>
    <w:rPr>
      <w:rFonts w:ascii="Arial" w:hAnsi="Arial" w:eastAsia="楷体_GB2312" w:cs="宋体"/>
      <w:b/>
      <w:sz w:val="21"/>
    </w:rPr>
  </w:style>
  <w:style w:type="paragraph" w:customStyle="1" w:styleId="580">
    <w:name w:val="表名 1"/>
    <w:basedOn w:val="578"/>
    <w:link w:val="579"/>
    <w:autoRedefine/>
    <w:qFormat/>
    <w:uiPriority w:val="0"/>
    <w:pPr>
      <w:spacing w:after="31"/>
    </w:pPr>
  </w:style>
  <w:style w:type="character" w:customStyle="1" w:styleId="581">
    <w:name w:val="hangju"/>
    <w:autoRedefine/>
    <w:qFormat/>
    <w:uiPriority w:val="0"/>
    <w:rPr>
      <w:rFonts w:ascii="宋体" w:hAnsi="宋体" w:eastAsia="宋体" w:cs="宋体"/>
      <w:kern w:val="2"/>
      <w:sz w:val="24"/>
      <w:szCs w:val="24"/>
      <w:lang w:val="en-US" w:eastAsia="zh-CN" w:bidi="ar-SA"/>
    </w:rPr>
  </w:style>
  <w:style w:type="character" w:customStyle="1" w:styleId="582">
    <w:name w:val="可研报告正文 Char"/>
    <w:link w:val="583"/>
    <w:autoRedefine/>
    <w:qFormat/>
    <w:uiPriority w:val="0"/>
    <w:rPr>
      <w:rFonts w:ascii="Calibri" w:hAnsi="Calibri" w:cs="宋体"/>
      <w:sz w:val="21"/>
      <w:szCs w:val="24"/>
    </w:rPr>
  </w:style>
  <w:style w:type="paragraph" w:customStyle="1" w:styleId="583">
    <w:name w:val="可研报告正文"/>
    <w:basedOn w:val="1"/>
    <w:link w:val="582"/>
    <w:autoRedefine/>
    <w:qFormat/>
    <w:uiPriority w:val="0"/>
    <w:pPr>
      <w:widowControl/>
      <w:tabs>
        <w:tab w:val="left" w:pos="5880"/>
      </w:tabs>
      <w:spacing w:beforeLines="50" w:line="440" w:lineRule="exact"/>
      <w:ind w:left="425" w:firstLine="482"/>
      <w:contextualSpacing/>
      <w:jc w:val="left"/>
    </w:pPr>
    <w:rPr>
      <w:rFonts w:ascii="Calibri" w:hAnsi="Calibri" w:cs="宋体"/>
      <w:kern w:val="0"/>
    </w:rPr>
  </w:style>
  <w:style w:type="character" w:customStyle="1" w:styleId="584">
    <w:name w:val="csscontent0041"/>
    <w:autoRedefine/>
    <w:qFormat/>
    <w:uiPriority w:val="0"/>
    <w:rPr>
      <w:rFonts w:hint="default" w:ascii="ˎ̥" w:hAnsi="ˎ̥"/>
      <w:color w:val="000000"/>
      <w:sz w:val="16"/>
      <w:szCs w:val="16"/>
      <w:u w:val="none"/>
    </w:rPr>
  </w:style>
  <w:style w:type="character" w:customStyle="1" w:styleId="585">
    <w:name w:val="段落文字 Char"/>
    <w:link w:val="586"/>
    <w:autoRedefine/>
    <w:qFormat/>
    <w:uiPriority w:val="0"/>
    <w:rPr>
      <w:rFonts w:ascii="宋体" w:hAnsi="宋体"/>
      <w:sz w:val="24"/>
      <w:szCs w:val="24"/>
    </w:rPr>
  </w:style>
  <w:style w:type="paragraph" w:customStyle="1" w:styleId="586">
    <w:name w:val="段落文字"/>
    <w:basedOn w:val="1"/>
    <w:link w:val="585"/>
    <w:autoRedefine/>
    <w:qFormat/>
    <w:uiPriority w:val="0"/>
    <w:pPr>
      <w:widowControl/>
      <w:adjustRightInd w:val="0"/>
      <w:snapToGrid w:val="0"/>
      <w:spacing w:line="480" w:lineRule="exact"/>
      <w:contextualSpacing/>
      <w:jc w:val="left"/>
    </w:pPr>
    <w:rPr>
      <w:rFonts w:ascii="宋体" w:hAnsi="宋体"/>
      <w:kern w:val="0"/>
      <w:sz w:val="24"/>
    </w:rPr>
  </w:style>
  <w:style w:type="character" w:customStyle="1" w:styleId="587">
    <w:name w:val="middle1"/>
    <w:autoRedefine/>
    <w:qFormat/>
    <w:uiPriority w:val="0"/>
    <w:rPr>
      <w:rFonts w:hint="eastAsia" w:ascii="宋体" w:hAnsi="宋体" w:eastAsia="宋体"/>
      <w:sz w:val="24"/>
      <w:szCs w:val="24"/>
    </w:rPr>
  </w:style>
  <w:style w:type="character" w:customStyle="1" w:styleId="588">
    <w:name w:val="样式 表内样式 + (符号) 宋体 Char1"/>
    <w:link w:val="589"/>
    <w:autoRedefine/>
    <w:qFormat/>
    <w:uiPriority w:val="0"/>
    <w:rPr>
      <w:rFonts w:ascii="Calibri" w:hAnsi="Calibri" w:cs="宋体"/>
      <w:sz w:val="21"/>
      <w:szCs w:val="21"/>
    </w:rPr>
  </w:style>
  <w:style w:type="paragraph" w:customStyle="1" w:styleId="589">
    <w:name w:val="样式 表内样式 + (符号) 宋体"/>
    <w:basedOn w:val="1"/>
    <w:link w:val="588"/>
    <w:autoRedefine/>
    <w:qFormat/>
    <w:uiPriority w:val="0"/>
    <w:pPr>
      <w:keepLines/>
      <w:widowControl/>
      <w:kinsoku w:val="0"/>
      <w:overflowPunct w:val="0"/>
      <w:adjustRightInd w:val="0"/>
      <w:spacing w:line="320" w:lineRule="exact"/>
      <w:contextualSpacing/>
      <w:jc w:val="center"/>
    </w:pPr>
    <w:rPr>
      <w:rFonts w:ascii="Calibri" w:hAnsi="Calibri" w:cs="宋体"/>
      <w:kern w:val="0"/>
    </w:rPr>
  </w:style>
  <w:style w:type="character" w:customStyle="1" w:styleId="590">
    <w:name w:val="Char Char111"/>
    <w:autoRedefine/>
    <w:qFormat/>
    <w:uiPriority w:val="0"/>
    <w:rPr>
      <w:rFonts w:ascii="Arial" w:hAnsi="Arial" w:eastAsia="黑体"/>
      <w:b/>
      <w:sz w:val="28"/>
    </w:rPr>
  </w:style>
  <w:style w:type="character" w:customStyle="1" w:styleId="591">
    <w:name w:val="Char Char2"/>
    <w:autoRedefine/>
    <w:qFormat/>
    <w:uiPriority w:val="0"/>
    <w:rPr>
      <w:rFonts w:ascii="宋体" w:hAnsi="Courier New" w:eastAsia="宋体"/>
      <w:kern w:val="2"/>
      <w:sz w:val="21"/>
      <w:lang w:val="en-US" w:eastAsia="zh-CN" w:bidi="ar-SA"/>
    </w:rPr>
  </w:style>
  <w:style w:type="character" w:customStyle="1" w:styleId="592">
    <w:name w:val="正文首行缩进2字符! Char"/>
    <w:link w:val="593"/>
    <w:autoRedefine/>
    <w:qFormat/>
    <w:uiPriority w:val="0"/>
    <w:rPr>
      <w:rFonts w:ascii="Calibri" w:hAnsi="Calibri"/>
      <w:kern w:val="2"/>
      <w:sz w:val="28"/>
    </w:rPr>
  </w:style>
  <w:style w:type="paragraph" w:customStyle="1" w:styleId="593">
    <w:name w:val="正文首行缩进2字符!"/>
    <w:basedOn w:val="1"/>
    <w:link w:val="592"/>
    <w:autoRedefine/>
    <w:qFormat/>
    <w:uiPriority w:val="0"/>
    <w:pPr>
      <w:adjustRightInd w:val="0"/>
      <w:snapToGrid w:val="0"/>
      <w:ind w:firstLine="560" w:firstLineChars="200"/>
      <w:contextualSpacing/>
      <w:jc w:val="left"/>
    </w:pPr>
    <w:rPr>
      <w:rFonts w:ascii="Calibri" w:hAnsi="Calibri"/>
      <w:sz w:val="28"/>
      <w:szCs w:val="20"/>
    </w:rPr>
  </w:style>
  <w:style w:type="character" w:customStyle="1" w:styleId="594">
    <w:name w:val="标题5 Char"/>
    <w:link w:val="595"/>
    <w:autoRedefine/>
    <w:qFormat/>
    <w:uiPriority w:val="0"/>
    <w:rPr>
      <w:rFonts w:ascii="Calibri" w:hAnsi="Calibri"/>
      <w:kern w:val="2"/>
      <w:sz w:val="28"/>
      <w:szCs w:val="21"/>
    </w:rPr>
  </w:style>
  <w:style w:type="paragraph" w:customStyle="1" w:styleId="595">
    <w:name w:val="标题5"/>
    <w:basedOn w:val="1"/>
    <w:next w:val="81"/>
    <w:link w:val="594"/>
    <w:autoRedefine/>
    <w:qFormat/>
    <w:uiPriority w:val="0"/>
    <w:pPr>
      <w:numPr>
        <w:ilvl w:val="4"/>
        <w:numId w:val="5"/>
      </w:numPr>
      <w:snapToGrid w:val="0"/>
      <w:contextualSpacing/>
      <w:outlineLvl w:val="4"/>
    </w:pPr>
    <w:rPr>
      <w:rFonts w:ascii="Calibri" w:hAnsi="Calibri"/>
      <w:sz w:val="28"/>
    </w:rPr>
  </w:style>
  <w:style w:type="character" w:customStyle="1" w:styleId="596">
    <w:name w:val="样式 题注 + 首行缩进:  2 字符2 Char"/>
    <w:link w:val="597"/>
    <w:autoRedefine/>
    <w:qFormat/>
    <w:uiPriority w:val="0"/>
    <w:rPr>
      <w:rFonts w:ascii="黑体" w:hAnsi="宋体" w:eastAsia="黑体"/>
      <w:kern w:val="2"/>
      <w:sz w:val="24"/>
      <w:szCs w:val="24"/>
    </w:rPr>
  </w:style>
  <w:style w:type="paragraph" w:customStyle="1" w:styleId="597">
    <w:name w:val="样式 题注 + 首行缩进:  2 字符2"/>
    <w:basedOn w:val="21"/>
    <w:link w:val="596"/>
    <w:autoRedefine/>
    <w:qFormat/>
    <w:uiPriority w:val="0"/>
    <w:pPr>
      <w:snapToGrid/>
      <w:spacing w:line="240" w:lineRule="auto"/>
      <w:contextualSpacing/>
      <w:jc w:val="center"/>
    </w:pPr>
    <w:rPr>
      <w:rFonts w:ascii="黑体" w:hAnsi="宋体" w:cs="Times New Roman"/>
      <w:sz w:val="24"/>
      <w:szCs w:val="24"/>
    </w:rPr>
  </w:style>
  <w:style w:type="character" w:customStyle="1" w:styleId="598">
    <w:name w:val="题注 + 居中! Char"/>
    <w:link w:val="599"/>
    <w:autoRedefine/>
    <w:qFormat/>
    <w:uiPriority w:val="0"/>
    <w:rPr>
      <w:rFonts w:ascii="黑体" w:hAnsi="Arial" w:eastAsia="黑体"/>
      <w:kern w:val="2"/>
      <w:sz w:val="24"/>
      <w:szCs w:val="24"/>
    </w:rPr>
  </w:style>
  <w:style w:type="paragraph" w:customStyle="1" w:styleId="599">
    <w:name w:val="题注 + 居中!"/>
    <w:basedOn w:val="21"/>
    <w:link w:val="598"/>
    <w:autoRedefine/>
    <w:qFormat/>
    <w:uiPriority w:val="0"/>
    <w:pPr>
      <w:adjustRightInd w:val="0"/>
      <w:spacing w:line="240" w:lineRule="auto"/>
      <w:ind w:firstLine="480" w:firstLineChars="200"/>
      <w:contextualSpacing/>
      <w:jc w:val="center"/>
    </w:pPr>
    <w:rPr>
      <w:rFonts w:ascii="黑体" w:cs="Times New Roman"/>
      <w:sz w:val="24"/>
      <w:szCs w:val="24"/>
    </w:rPr>
  </w:style>
  <w:style w:type="character" w:customStyle="1" w:styleId="600">
    <w:name w:val="texd1"/>
    <w:autoRedefine/>
    <w:qFormat/>
    <w:uiPriority w:val="0"/>
    <w:rPr>
      <w:rFonts w:hint="default"/>
      <w:color w:val="000000"/>
      <w:spacing w:val="480"/>
      <w:w w:val="0"/>
      <w:sz w:val="20"/>
      <w:szCs w:val="20"/>
    </w:rPr>
  </w:style>
  <w:style w:type="character" w:customStyle="1" w:styleId="601">
    <w:name w:val="正文（首行缩进两字） Char1 Char Char"/>
    <w:autoRedefine/>
    <w:qFormat/>
    <w:uiPriority w:val="0"/>
    <w:rPr>
      <w:rFonts w:ascii="Times New Roman" w:hAnsi="Times New Roman" w:eastAsia="宋体" w:cs="Times New Roman"/>
      <w:bCs/>
      <w:snapToGrid/>
      <w:kern w:val="0"/>
      <w:szCs w:val="24"/>
      <w:lang w:val="zh-CN"/>
    </w:rPr>
  </w:style>
  <w:style w:type="character" w:customStyle="1" w:styleId="602">
    <w:name w:val="yyp Char"/>
    <w:link w:val="603"/>
    <w:autoRedefine/>
    <w:qFormat/>
    <w:uiPriority w:val="0"/>
    <w:rPr>
      <w:rFonts w:ascii="Calibri" w:hAnsi="Calibri"/>
      <w:kern w:val="2"/>
      <w:sz w:val="24"/>
      <w:szCs w:val="24"/>
    </w:rPr>
  </w:style>
  <w:style w:type="paragraph" w:customStyle="1" w:styleId="603">
    <w:name w:val="yyp"/>
    <w:basedOn w:val="81"/>
    <w:link w:val="602"/>
    <w:autoRedefine/>
    <w:qFormat/>
    <w:uiPriority w:val="0"/>
    <w:pPr>
      <w:spacing w:line="360" w:lineRule="auto"/>
      <w:ind w:firstLine="480" w:firstLineChars="200"/>
    </w:pPr>
    <w:rPr>
      <w:rFonts w:ascii="Calibri" w:hAnsi="Calibri"/>
      <w:sz w:val="24"/>
    </w:rPr>
  </w:style>
  <w:style w:type="character" w:customStyle="1" w:styleId="604">
    <w:name w:val="正文小四首缩1.3行距 Char"/>
    <w:link w:val="605"/>
    <w:autoRedefine/>
    <w:qFormat/>
    <w:uiPriority w:val="0"/>
    <w:rPr>
      <w:rFonts w:ascii="Calibri" w:hAnsi="Calibri"/>
      <w:kern w:val="2"/>
      <w:sz w:val="24"/>
      <w:szCs w:val="24"/>
    </w:rPr>
  </w:style>
  <w:style w:type="paragraph" w:customStyle="1" w:styleId="605">
    <w:name w:val="正文小四首缩1.3行距"/>
    <w:basedOn w:val="1"/>
    <w:link w:val="604"/>
    <w:autoRedefine/>
    <w:qFormat/>
    <w:uiPriority w:val="0"/>
    <w:pPr>
      <w:spacing w:line="312" w:lineRule="auto"/>
      <w:ind w:firstLine="420" w:firstLineChars="200"/>
    </w:pPr>
    <w:rPr>
      <w:rFonts w:ascii="Calibri" w:hAnsi="Calibri"/>
      <w:sz w:val="24"/>
    </w:rPr>
  </w:style>
  <w:style w:type="character" w:customStyle="1" w:styleId="606">
    <w:name w:val="表、图标题 Char Char"/>
    <w:link w:val="607"/>
    <w:autoRedefine/>
    <w:qFormat/>
    <w:uiPriority w:val="0"/>
    <w:rPr>
      <w:rFonts w:ascii="宋体" w:hAnsi="宋体"/>
      <w:b/>
      <w:bCs/>
      <w:snapToGrid/>
      <w:sz w:val="24"/>
      <w:szCs w:val="21"/>
    </w:rPr>
  </w:style>
  <w:style w:type="paragraph" w:customStyle="1" w:styleId="607">
    <w:name w:val="表、图标题"/>
    <w:basedOn w:val="1"/>
    <w:link w:val="606"/>
    <w:autoRedefine/>
    <w:qFormat/>
    <w:uiPriority w:val="0"/>
    <w:pPr>
      <w:adjustRightInd w:val="0"/>
      <w:snapToGrid w:val="0"/>
      <w:spacing w:line="480" w:lineRule="exact"/>
      <w:jc w:val="center"/>
    </w:pPr>
    <w:rPr>
      <w:rFonts w:ascii="宋体" w:hAnsi="宋体"/>
      <w:b/>
      <w:bCs/>
      <w:snapToGrid w:val="0"/>
      <w:kern w:val="0"/>
      <w:sz w:val="24"/>
    </w:rPr>
  </w:style>
  <w:style w:type="character" w:customStyle="1" w:styleId="608">
    <w:name w:val="Footer1 Char1"/>
    <w:autoRedefine/>
    <w:qFormat/>
    <w:uiPriority w:val="0"/>
    <w:rPr>
      <w:sz w:val="18"/>
      <w:szCs w:val="18"/>
    </w:rPr>
  </w:style>
  <w:style w:type="character" w:customStyle="1" w:styleId="609">
    <w:name w:val="font21"/>
    <w:basedOn w:val="89"/>
    <w:autoRedefine/>
    <w:qFormat/>
    <w:uiPriority w:val="0"/>
    <w:rPr>
      <w:rFonts w:hint="default" w:ascii="Times New Roman" w:hAnsi="Times New Roman" w:cs="Times New Roman"/>
      <w:color w:val="000000"/>
      <w:sz w:val="21"/>
      <w:szCs w:val="21"/>
      <w:u w:val="none"/>
    </w:rPr>
  </w:style>
  <w:style w:type="character" w:customStyle="1" w:styleId="610">
    <w:name w:val="节标题 1.1 Char3"/>
    <w:autoRedefine/>
    <w:qFormat/>
    <w:uiPriority w:val="0"/>
    <w:rPr>
      <w:rFonts w:ascii="Times New Roman" w:hAnsi="Times New Roman" w:eastAsia="宋体" w:cs="Times New Roman"/>
      <w:b/>
      <w:bCs/>
      <w:sz w:val="28"/>
      <w:szCs w:val="32"/>
    </w:rPr>
  </w:style>
  <w:style w:type="character" w:customStyle="1" w:styleId="611">
    <w:name w:val="111正文 Char"/>
    <w:link w:val="612"/>
    <w:autoRedefine/>
    <w:qFormat/>
    <w:uiPriority w:val="0"/>
    <w:rPr>
      <w:rFonts w:ascii="Calibri" w:hAnsi="Calibri"/>
      <w:kern w:val="2"/>
      <w:sz w:val="24"/>
      <w:szCs w:val="22"/>
    </w:rPr>
  </w:style>
  <w:style w:type="paragraph" w:customStyle="1" w:styleId="612">
    <w:name w:val="111正文"/>
    <w:basedOn w:val="1"/>
    <w:link w:val="611"/>
    <w:autoRedefine/>
    <w:qFormat/>
    <w:uiPriority w:val="0"/>
    <w:pPr>
      <w:tabs>
        <w:tab w:val="left" w:pos="600"/>
      </w:tabs>
      <w:spacing w:line="360" w:lineRule="auto"/>
      <w:ind w:firstLine="200" w:firstLineChars="200"/>
    </w:pPr>
    <w:rPr>
      <w:rFonts w:ascii="Calibri" w:hAnsi="Calibri"/>
      <w:sz w:val="24"/>
      <w:szCs w:val="22"/>
    </w:rPr>
  </w:style>
  <w:style w:type="character" w:customStyle="1" w:styleId="613">
    <w:name w:val="表格文字 Char1"/>
    <w:autoRedefine/>
    <w:qFormat/>
    <w:uiPriority w:val="0"/>
    <w:rPr>
      <w:rFonts w:ascii="宋体" w:hAnsi="宋体" w:eastAsia="宋体" w:cs="宋体"/>
      <w:kern w:val="2"/>
      <w:sz w:val="21"/>
      <w:szCs w:val="24"/>
      <w:lang w:val="en-US" w:eastAsia="zh-CN" w:bidi="ar-SA"/>
    </w:rPr>
  </w:style>
  <w:style w:type="character" w:customStyle="1" w:styleId="614">
    <w:name w:val="fontstyle21"/>
    <w:autoRedefine/>
    <w:qFormat/>
    <w:uiPriority w:val="0"/>
    <w:rPr>
      <w:rFonts w:hint="eastAsia" w:ascii="黑体" w:hAnsi="黑体" w:eastAsia="黑体"/>
      <w:color w:val="000000"/>
      <w:sz w:val="32"/>
      <w:szCs w:val="32"/>
    </w:rPr>
  </w:style>
  <w:style w:type="character" w:customStyle="1" w:styleId="615">
    <w:name w:val="fontstyle31"/>
    <w:autoRedefine/>
    <w:qFormat/>
    <w:uiPriority w:val="0"/>
    <w:rPr>
      <w:rFonts w:hint="eastAsia" w:ascii="宋体" w:hAnsi="宋体" w:eastAsia="宋体"/>
      <w:color w:val="000000"/>
      <w:sz w:val="24"/>
      <w:szCs w:val="24"/>
    </w:rPr>
  </w:style>
  <w:style w:type="character" w:customStyle="1" w:styleId="616">
    <w:name w:val="表格标题 Char Char"/>
    <w:autoRedefine/>
    <w:qFormat/>
    <w:uiPriority w:val="0"/>
    <w:rPr>
      <w:rFonts w:eastAsia="黑体"/>
      <w:kern w:val="2"/>
      <w:sz w:val="21"/>
      <w:szCs w:val="24"/>
    </w:rPr>
  </w:style>
  <w:style w:type="character" w:customStyle="1" w:styleId="617">
    <w:name w:val="fontstyle11"/>
    <w:autoRedefine/>
    <w:qFormat/>
    <w:uiPriority w:val="0"/>
    <w:rPr>
      <w:rFonts w:hint="default" w:ascii="TimesNewRomanPS-ItalicMT" w:hAnsi="TimesNewRomanPS-ItalicMT"/>
      <w:i/>
      <w:iCs/>
      <w:color w:val="000000"/>
      <w:sz w:val="24"/>
      <w:szCs w:val="24"/>
    </w:rPr>
  </w:style>
  <w:style w:type="character" w:customStyle="1" w:styleId="618">
    <w:name w:val="未处理的提及1"/>
    <w:autoRedefine/>
    <w:unhideWhenUsed/>
    <w:qFormat/>
    <w:uiPriority w:val="99"/>
    <w:rPr>
      <w:color w:val="808080"/>
      <w:shd w:val="clear" w:color="auto" w:fill="E6E6E6"/>
    </w:rPr>
  </w:style>
  <w:style w:type="character" w:customStyle="1" w:styleId="619">
    <w:name w:val="标题 5 Char"/>
    <w:autoRedefine/>
    <w:semiHidden/>
    <w:qFormat/>
    <w:uiPriority w:val="0"/>
    <w:rPr>
      <w:b/>
      <w:bCs/>
      <w:sz w:val="28"/>
      <w:szCs w:val="28"/>
    </w:rPr>
  </w:style>
  <w:style w:type="character" w:customStyle="1" w:styleId="620">
    <w:name w:val="纯文本 Char"/>
    <w:autoRedefine/>
    <w:semiHidden/>
    <w:qFormat/>
    <w:uiPriority w:val="99"/>
    <w:rPr>
      <w:rFonts w:ascii="宋体" w:hAnsi="Courier New" w:eastAsia="宋体" w:cs="Courier New"/>
      <w:szCs w:val="21"/>
    </w:rPr>
  </w:style>
  <w:style w:type="character" w:customStyle="1" w:styleId="621">
    <w:name w:val="表头 Char"/>
    <w:autoRedefine/>
    <w:semiHidden/>
    <w:qFormat/>
    <w:uiPriority w:val="0"/>
    <w:rPr>
      <w:rFonts w:ascii="Times New Roman" w:hAnsi="Times New Roman" w:eastAsia="宋体" w:cs="宋体"/>
      <w:b/>
      <w:bCs/>
      <w:kern w:val="0"/>
      <w:sz w:val="21"/>
      <w:szCs w:val="21"/>
    </w:rPr>
  </w:style>
  <w:style w:type="character" w:customStyle="1" w:styleId="622">
    <w:name w:val="样式 Arial"/>
    <w:autoRedefine/>
    <w:semiHidden/>
    <w:qFormat/>
    <w:uiPriority w:val="0"/>
    <w:rPr>
      <w:rFonts w:ascii="Arial" w:hAnsi="Arial" w:eastAsia="宋体" w:cs="宋体"/>
      <w:kern w:val="2"/>
      <w:sz w:val="24"/>
      <w:szCs w:val="24"/>
      <w:lang w:val="en-US" w:eastAsia="zh-CN" w:bidi="ar-SA"/>
    </w:rPr>
  </w:style>
  <w:style w:type="character" w:customStyle="1" w:styleId="623">
    <w:name w:val="enas"/>
    <w:autoRedefine/>
    <w:semiHidden/>
    <w:qFormat/>
    <w:uiPriority w:val="0"/>
    <w:rPr>
      <w:rFonts w:ascii="Arial" w:hAnsi="Arial" w:eastAsia="宋体" w:cs="Arial"/>
      <w:color w:val="auto"/>
      <w:kern w:val="2"/>
      <w:sz w:val="20"/>
      <w:szCs w:val="20"/>
      <w:lang w:val="en-US" w:eastAsia="zh-CN" w:bidi="ar-SA"/>
    </w:rPr>
  </w:style>
  <w:style w:type="character" w:customStyle="1" w:styleId="624">
    <w:name w:val="Char Char10"/>
    <w:autoRedefine/>
    <w:semiHidden/>
    <w:qFormat/>
    <w:uiPriority w:val="0"/>
    <w:rPr>
      <w:rFonts w:ascii="宋体" w:hAnsi="宋体" w:eastAsia="宋体" w:cs="宋体"/>
      <w:color w:val="FF0000"/>
      <w:kern w:val="2"/>
      <w:sz w:val="24"/>
      <w:szCs w:val="24"/>
      <w:lang w:val="en-US" w:eastAsia="zh-CN" w:bidi="ar-SA"/>
    </w:rPr>
  </w:style>
  <w:style w:type="character" w:customStyle="1" w:styleId="625">
    <w:name w:val="Char Char7"/>
    <w:autoRedefine/>
    <w:semiHidden/>
    <w:qFormat/>
    <w:uiPriority w:val="0"/>
    <w:rPr>
      <w:rFonts w:ascii="宋体" w:hAnsi="宋体" w:eastAsia="宋体" w:cs="宋体"/>
      <w:kern w:val="2"/>
      <w:sz w:val="18"/>
      <w:szCs w:val="18"/>
      <w:lang w:val="en-US" w:eastAsia="zh-CN" w:bidi="ar-SA"/>
    </w:rPr>
  </w:style>
  <w:style w:type="character" w:customStyle="1" w:styleId="626">
    <w:name w:val="HTML 地址 Char1"/>
    <w:autoRedefine/>
    <w:semiHidden/>
    <w:qFormat/>
    <w:uiPriority w:val="99"/>
    <w:rPr>
      <w:i/>
      <w:iCs/>
    </w:rPr>
  </w:style>
  <w:style w:type="character" w:customStyle="1" w:styleId="627">
    <w:name w:val="信息标题 Char1"/>
    <w:autoRedefine/>
    <w:semiHidden/>
    <w:qFormat/>
    <w:uiPriority w:val="99"/>
    <w:rPr>
      <w:rFonts w:ascii="Calibri Light" w:hAnsi="Calibri Light" w:eastAsia="宋体" w:cs="Times New Roman"/>
      <w:sz w:val="24"/>
      <w:szCs w:val="24"/>
      <w:shd w:val="pct20" w:color="auto" w:fill="auto"/>
    </w:rPr>
  </w:style>
  <w:style w:type="character" w:customStyle="1" w:styleId="628">
    <w:name w:val="z-窗体顶端 Char1"/>
    <w:autoRedefine/>
    <w:semiHidden/>
    <w:qFormat/>
    <w:uiPriority w:val="99"/>
    <w:rPr>
      <w:rFonts w:ascii="Arial" w:hAnsi="Arial" w:cs="Arial"/>
      <w:vanish/>
      <w:sz w:val="16"/>
      <w:szCs w:val="16"/>
    </w:rPr>
  </w:style>
  <w:style w:type="character" w:customStyle="1" w:styleId="629">
    <w:name w:val="访问过的超链接1"/>
    <w:autoRedefine/>
    <w:unhideWhenUsed/>
    <w:qFormat/>
    <w:uiPriority w:val="99"/>
    <w:rPr>
      <w:rFonts w:ascii="宋体" w:hAnsi="宋体" w:eastAsia="宋体" w:cs="宋体"/>
      <w:color w:val="954F72"/>
      <w:kern w:val="2"/>
      <w:sz w:val="24"/>
      <w:szCs w:val="24"/>
      <w:u w:val="single"/>
      <w:lang w:val="en-US" w:eastAsia="zh-CN" w:bidi="ar-SA"/>
    </w:rPr>
  </w:style>
  <w:style w:type="character" w:customStyle="1" w:styleId="630">
    <w:name w:val="ref"/>
    <w:autoRedefine/>
    <w:qFormat/>
    <w:uiPriority w:val="0"/>
  </w:style>
  <w:style w:type="paragraph" w:customStyle="1" w:styleId="631">
    <w:name w:val="fcolor"/>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632">
    <w:name w:val="默认段落字体 Para Char Char Char Char Char Char Char Char Char Char"/>
    <w:basedOn w:val="5"/>
    <w:autoRedefine/>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633">
    <w:name w:val="东明_章"/>
    <w:basedOn w:val="3"/>
    <w:autoRedefine/>
    <w:qFormat/>
    <w:uiPriority w:val="0"/>
    <w:pPr>
      <w:keepLines/>
      <w:pBdr>
        <w:top w:val="single" w:color="808080" w:sz="24" w:space="1"/>
        <w:left w:val="single" w:color="808080" w:sz="24" w:space="4"/>
        <w:bottom w:val="single" w:color="808080" w:sz="24" w:space="1"/>
        <w:right w:val="single" w:color="808080" w:sz="24" w:space="4"/>
      </w:pBdr>
      <w:shd w:val="clear" w:color="auto" w:fill="D9D9D9"/>
      <w:tabs>
        <w:tab w:val="left" w:pos="0"/>
        <w:tab w:val="left" w:pos="1400"/>
        <w:tab w:val="left" w:pos="8280"/>
      </w:tabs>
      <w:overflowPunct/>
      <w:snapToGrid/>
      <w:spacing w:before="600" w:after="0" w:line="578" w:lineRule="auto"/>
      <w:ind w:left="1400" w:hanging="840"/>
      <w:jc w:val="center"/>
    </w:pPr>
    <w:rPr>
      <w:rFonts w:ascii="Arial" w:hAnsi="Arial" w:eastAsia="宋体-方正超大字符集"/>
      <w:color w:val="auto"/>
      <w:sz w:val="36"/>
      <w:szCs w:val="20"/>
    </w:rPr>
  </w:style>
  <w:style w:type="paragraph" w:customStyle="1" w:styleId="634">
    <w:name w:val="样式 标题 4 + 宋体 行距: 1.5 倍行距"/>
    <w:basedOn w:val="6"/>
    <w:autoRedefine/>
    <w:qFormat/>
    <w:uiPriority w:val="0"/>
    <w:pPr>
      <w:snapToGrid w:val="0"/>
      <w:spacing w:before="0" w:beforeLines="50" w:after="0" w:line="360" w:lineRule="auto"/>
      <w:ind w:left="1985" w:hanging="1985"/>
      <w:jc w:val="left"/>
    </w:pPr>
    <w:rPr>
      <w:rFonts w:ascii="宋体" w:hAnsi="宋体" w:cs="宋体"/>
      <w:sz w:val="24"/>
      <w:szCs w:val="20"/>
    </w:rPr>
  </w:style>
  <w:style w:type="paragraph" w:customStyle="1" w:styleId="635">
    <w:name w:val="xl17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636">
    <w:name w:val="其他发布日期"/>
    <w:basedOn w:val="1"/>
    <w:autoRedefine/>
    <w:qFormat/>
    <w:uiPriority w:val="0"/>
    <w:pPr>
      <w:widowControl/>
      <w:numPr>
        <w:ilvl w:val="0"/>
        <w:numId w:val="6"/>
      </w:numPr>
      <w:jc w:val="left"/>
    </w:pPr>
    <w:rPr>
      <w:rFonts w:eastAsia="黑体"/>
      <w:kern w:val="0"/>
      <w:sz w:val="28"/>
      <w:szCs w:val="20"/>
    </w:rPr>
  </w:style>
  <w:style w:type="paragraph" w:customStyle="1" w:styleId="637">
    <w:name w:val="1表格"/>
    <w:basedOn w:val="1"/>
    <w:autoRedefine/>
    <w:qFormat/>
    <w:uiPriority w:val="0"/>
    <w:pPr>
      <w:adjustRightInd w:val="0"/>
      <w:snapToGrid w:val="0"/>
      <w:jc w:val="center"/>
      <w:textAlignment w:val="baseline"/>
    </w:pPr>
    <w:rPr>
      <w:rFonts w:ascii="宋体" w:hAnsi="宋体" w:cs="宋体"/>
      <w:spacing w:val="4"/>
      <w:sz w:val="24"/>
    </w:rPr>
  </w:style>
  <w:style w:type="paragraph" w:customStyle="1" w:styleId="638">
    <w:name w:val="xl160"/>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639">
    <w:name w:val="正文标题"/>
    <w:basedOn w:val="1"/>
    <w:autoRedefine/>
    <w:qFormat/>
    <w:uiPriority w:val="0"/>
    <w:pPr>
      <w:spacing w:line="480" w:lineRule="auto"/>
      <w:ind w:firstLine="472" w:firstLineChars="196"/>
    </w:pPr>
    <w:rPr>
      <w:b/>
      <w:sz w:val="24"/>
    </w:rPr>
  </w:style>
  <w:style w:type="paragraph" w:customStyle="1" w:styleId="640">
    <w:name w:val="四级条标题"/>
    <w:basedOn w:val="641"/>
    <w:next w:val="1"/>
    <w:autoRedefine/>
    <w:qFormat/>
    <w:uiPriority w:val="0"/>
    <w:pPr>
      <w:tabs>
        <w:tab w:val="left" w:pos="360"/>
        <w:tab w:val="left" w:pos="903"/>
      </w:tabs>
      <w:outlineLvl w:val="5"/>
    </w:pPr>
  </w:style>
  <w:style w:type="paragraph" w:customStyle="1" w:styleId="641">
    <w:name w:val="三级条标题"/>
    <w:basedOn w:val="642"/>
    <w:next w:val="1"/>
    <w:autoRedefine/>
    <w:qFormat/>
    <w:uiPriority w:val="0"/>
    <w:pPr>
      <w:tabs>
        <w:tab w:val="left" w:pos="360"/>
        <w:tab w:val="left" w:pos="903"/>
      </w:tabs>
      <w:outlineLvl w:val="4"/>
    </w:pPr>
  </w:style>
  <w:style w:type="paragraph" w:customStyle="1" w:styleId="642">
    <w:name w:val="二级条标题"/>
    <w:basedOn w:val="643"/>
    <w:next w:val="1"/>
    <w:autoRedefine/>
    <w:qFormat/>
    <w:uiPriority w:val="0"/>
    <w:pPr>
      <w:tabs>
        <w:tab w:val="left" w:pos="360"/>
        <w:tab w:val="left" w:pos="903"/>
      </w:tabs>
      <w:outlineLvl w:val="3"/>
    </w:pPr>
  </w:style>
  <w:style w:type="paragraph" w:customStyle="1" w:styleId="643">
    <w:name w:val="一级条标题"/>
    <w:basedOn w:val="644"/>
    <w:next w:val="1"/>
    <w:autoRedefine/>
    <w:qFormat/>
    <w:uiPriority w:val="0"/>
    <w:pPr>
      <w:tabs>
        <w:tab w:val="left" w:pos="360"/>
        <w:tab w:val="left" w:pos="903"/>
      </w:tabs>
      <w:spacing w:before="0" w:after="0"/>
      <w:ind w:left="0" w:firstLine="0"/>
      <w:outlineLvl w:val="2"/>
    </w:pPr>
  </w:style>
  <w:style w:type="paragraph" w:customStyle="1" w:styleId="644">
    <w:name w:val="章标题"/>
    <w:next w:val="1"/>
    <w:autoRedefine/>
    <w:qFormat/>
    <w:uiPriority w:val="0"/>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645">
    <w:name w:val="7"/>
    <w:basedOn w:val="1"/>
    <w:next w:val="8"/>
    <w:autoRedefine/>
    <w:qFormat/>
    <w:uiPriority w:val="0"/>
    <w:pPr>
      <w:adjustRightInd w:val="0"/>
      <w:snapToGrid w:val="0"/>
      <w:spacing w:line="312" w:lineRule="auto"/>
      <w:ind w:firstLine="200" w:firstLineChars="200"/>
    </w:pPr>
    <w:rPr>
      <w:rFonts w:ascii="仿宋_GB2312" w:eastAsia="仿宋_GB2312"/>
      <w:sz w:val="28"/>
    </w:rPr>
  </w:style>
  <w:style w:type="paragraph" w:customStyle="1" w:styleId="646">
    <w:name w:val="样式 标题 3东明_小节H3条标题1.1.1二级节名h33rd level3l3CTHeading 3 - ..."/>
    <w:basedOn w:val="5"/>
    <w:autoRedefine/>
    <w:qFormat/>
    <w:uiPriority w:val="0"/>
    <w:pPr>
      <w:spacing w:before="0" w:after="0" w:line="360" w:lineRule="auto"/>
    </w:pPr>
    <w:rPr>
      <w:rFonts w:eastAsia="黑体" w:cs="宋体"/>
      <w:sz w:val="24"/>
      <w:szCs w:val="20"/>
      <w:lang w:val="zh-CN"/>
    </w:rPr>
  </w:style>
  <w:style w:type="paragraph" w:customStyle="1" w:styleId="647">
    <w:name w:val="扉页 黑体-"/>
    <w:basedOn w:val="1"/>
    <w:autoRedefine/>
    <w:qFormat/>
    <w:uiPriority w:val="0"/>
    <w:pPr>
      <w:spacing w:before="240" w:after="240" w:line="480" w:lineRule="exact"/>
      <w:ind w:firstLine="600" w:firstLineChars="200"/>
      <w:jc w:val="left"/>
    </w:pPr>
    <w:rPr>
      <w:rFonts w:eastAsia="黑体"/>
      <w:sz w:val="30"/>
      <w:szCs w:val="20"/>
    </w:rPr>
  </w:style>
  <w:style w:type="paragraph" w:customStyle="1" w:styleId="648">
    <w:name w:val="xl117"/>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rPr>
  </w:style>
  <w:style w:type="paragraph" w:customStyle="1" w:styleId="649">
    <w:name w:val="样式 题注 + 首行缩进:  2 字符"/>
    <w:basedOn w:val="21"/>
    <w:autoRedefine/>
    <w:qFormat/>
    <w:uiPriority w:val="0"/>
    <w:pPr>
      <w:snapToGrid/>
      <w:spacing w:before="152" w:after="160" w:line="360" w:lineRule="auto"/>
      <w:ind w:firstLine="400" w:firstLineChars="200"/>
      <w:jc w:val="both"/>
    </w:pPr>
    <w:rPr>
      <w:rFonts w:cs="宋体"/>
      <w:sz w:val="21"/>
    </w:rPr>
  </w:style>
  <w:style w:type="paragraph" w:customStyle="1" w:styleId="650">
    <w:name w:val="样式 标题 4 + 左侧:  0 厘米 首行缩进:  0 厘米"/>
    <w:basedOn w:val="6"/>
    <w:autoRedefine/>
    <w:qFormat/>
    <w:uiPriority w:val="0"/>
    <w:pPr>
      <w:spacing w:before="0" w:after="0" w:line="360" w:lineRule="auto"/>
    </w:pPr>
    <w:rPr>
      <w:rFonts w:ascii="黑体" w:hAnsi="宋体" w:eastAsia="黑体" w:cs="宋体"/>
      <w:b w:val="0"/>
      <w:sz w:val="24"/>
      <w:szCs w:val="20"/>
    </w:rPr>
  </w:style>
  <w:style w:type="paragraph" w:customStyle="1" w:styleId="651">
    <w:name w:val="xl73"/>
    <w:basedOn w:val="1"/>
    <w:autoRedefine/>
    <w:qFormat/>
    <w:uiPriority w:val="0"/>
    <w:pPr>
      <w:widowControl/>
      <w:spacing w:before="100" w:beforeAutospacing="1" w:after="100" w:afterAutospacing="1"/>
      <w:jc w:val="center"/>
      <w:textAlignment w:val="bottom"/>
    </w:pPr>
    <w:rPr>
      <w:rFonts w:ascii="宋体" w:hAnsi="宋体"/>
      <w:b/>
      <w:bCs/>
      <w:kern w:val="0"/>
      <w:sz w:val="22"/>
      <w:szCs w:val="22"/>
    </w:rPr>
  </w:style>
  <w:style w:type="paragraph" w:customStyle="1" w:styleId="652">
    <w:name w:val="标题小四"/>
    <w:basedOn w:val="1"/>
    <w:next w:val="1"/>
    <w:autoRedefine/>
    <w:qFormat/>
    <w:uiPriority w:val="0"/>
    <w:pPr>
      <w:spacing w:line="360" w:lineRule="auto"/>
      <w:jc w:val="center"/>
    </w:pPr>
    <w:rPr>
      <w:rFonts w:eastAsia="黑体"/>
      <w:sz w:val="24"/>
    </w:rPr>
  </w:style>
  <w:style w:type="paragraph" w:customStyle="1" w:styleId="653">
    <w:name w:val="Char1 Char Char Char2"/>
    <w:basedOn w:val="1"/>
    <w:autoRedefine/>
    <w:qFormat/>
    <w:uiPriority w:val="0"/>
    <w:pPr>
      <w:spacing w:line="360" w:lineRule="auto"/>
      <w:ind w:firstLine="200" w:firstLineChars="200"/>
    </w:pPr>
    <w:rPr>
      <w:rFonts w:ascii="宋体" w:hAnsi="宋体" w:cs="宋体"/>
      <w:sz w:val="24"/>
    </w:rPr>
  </w:style>
  <w:style w:type="paragraph" w:customStyle="1" w:styleId="654">
    <w:name w:val="二级无标题条"/>
    <w:basedOn w:val="1"/>
    <w:autoRedefine/>
    <w:qFormat/>
    <w:uiPriority w:val="0"/>
  </w:style>
  <w:style w:type="paragraph" w:customStyle="1" w:styleId="655">
    <w:name w:val="版式1-表名 Char Char Char"/>
    <w:basedOn w:val="8"/>
    <w:next w:val="1"/>
    <w:autoRedefine/>
    <w:qFormat/>
    <w:uiPriority w:val="0"/>
    <w:pPr>
      <w:overflowPunct w:val="0"/>
      <w:snapToGrid w:val="0"/>
      <w:spacing w:beforeLines="50" w:afterLines="50" w:line="440" w:lineRule="exact"/>
      <w:ind w:firstLine="0" w:firstLineChars="0"/>
      <w:jc w:val="center"/>
    </w:pPr>
    <w:rPr>
      <w:rFonts w:ascii="华文细黑" w:hAnsi="华文细黑" w:eastAsia="华文细黑"/>
      <w:b/>
      <w:sz w:val="24"/>
    </w:rPr>
  </w:style>
  <w:style w:type="paragraph" w:customStyle="1" w:styleId="656">
    <w:name w:val="xl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rPr>
  </w:style>
  <w:style w:type="paragraph" w:customStyle="1" w:styleId="657">
    <w:name w:val="样式 标题 1章标题 11标题 1H1一、 + 行距: 1.5 倍行距1"/>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658">
    <w:name w:val="4号两端对齐"/>
    <w:autoRedefine/>
    <w:qFormat/>
    <w:uiPriority w:val="0"/>
    <w:pPr>
      <w:widowControl w:val="0"/>
      <w:adjustRightInd w:val="0"/>
      <w:snapToGrid w:val="0"/>
      <w:jc w:val="both"/>
    </w:pPr>
    <w:rPr>
      <w:rFonts w:ascii="宋体" w:hAnsi="Times New Roman" w:eastAsia="宋体" w:cs="Times New Roman"/>
      <w:sz w:val="28"/>
      <w:lang w:val="en-US" w:eastAsia="zh-CN" w:bidi="ar-SA"/>
    </w:rPr>
  </w:style>
  <w:style w:type="paragraph" w:customStyle="1" w:styleId="659">
    <w:name w:val="Char Char"/>
    <w:basedOn w:val="1"/>
    <w:autoRedefine/>
    <w:qFormat/>
    <w:uiPriority w:val="0"/>
    <w:pPr>
      <w:widowControl/>
      <w:spacing w:after="160" w:line="240" w:lineRule="exact"/>
      <w:jc w:val="left"/>
    </w:pPr>
    <w:rPr>
      <w:rFonts w:ascii="Arial" w:hAnsi="Arial"/>
      <w:kern w:val="0"/>
      <w:sz w:val="20"/>
      <w:szCs w:val="20"/>
      <w:lang w:eastAsia="en-US"/>
    </w:rPr>
  </w:style>
  <w:style w:type="paragraph" w:customStyle="1" w:styleId="660">
    <w:name w:val="表目"/>
    <w:basedOn w:val="1"/>
    <w:autoRedefine/>
    <w:qFormat/>
    <w:uiPriority w:val="0"/>
    <w:pPr>
      <w:adjustRightInd w:val="0"/>
      <w:spacing w:line="480" w:lineRule="atLeast"/>
      <w:ind w:left="-105" w:leftChars="-50" w:right="-105" w:rightChars="-50"/>
      <w:jc w:val="center"/>
      <w:textAlignment w:val="baseline"/>
    </w:pPr>
    <w:rPr>
      <w:rFonts w:ascii="Arial" w:hAnsi="Arial" w:eastAsia="仿宋_GB2312" w:cs="Arial"/>
      <w:kern w:val="0"/>
      <w:sz w:val="24"/>
      <w:szCs w:val="20"/>
    </w:rPr>
  </w:style>
  <w:style w:type="paragraph" w:customStyle="1" w:styleId="661">
    <w:name w:val="地理段落"/>
    <w:basedOn w:val="1"/>
    <w:autoRedefine/>
    <w:qFormat/>
    <w:uiPriority w:val="0"/>
    <w:pPr>
      <w:adjustRightInd w:val="0"/>
      <w:snapToGrid w:val="0"/>
      <w:spacing w:line="360" w:lineRule="auto"/>
      <w:ind w:firstLine="200" w:firstLineChars="200"/>
    </w:pPr>
    <w:rPr>
      <w:rFonts w:ascii="仿宋_GB2312" w:eastAsia="仿宋_GB2312"/>
      <w:sz w:val="28"/>
      <w:szCs w:val="28"/>
    </w:rPr>
  </w:style>
  <w:style w:type="paragraph" w:customStyle="1" w:styleId="662">
    <w:name w:val="Char5"/>
    <w:basedOn w:val="1"/>
    <w:autoRedefine/>
    <w:qFormat/>
    <w:uiPriority w:val="0"/>
  </w:style>
  <w:style w:type="paragraph" w:customStyle="1" w:styleId="663">
    <w:name w:val="综述"/>
    <w:autoRedefine/>
    <w:qFormat/>
    <w:uiPriority w:val="0"/>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paragraph" w:customStyle="1" w:styleId="664">
    <w:name w:val="样式 标题 3 + 宋体 四号1"/>
    <w:basedOn w:val="5"/>
    <w:autoRedefine/>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665">
    <w:name w:val="样式 样式 正文文本缩进 + 行距: 固定值 24 磅1 + 首行缩进:  2 字符"/>
    <w:basedOn w:val="1"/>
    <w:autoRedefine/>
    <w:qFormat/>
    <w:uiPriority w:val="0"/>
    <w:pPr>
      <w:spacing w:line="480" w:lineRule="exact"/>
      <w:ind w:firstLine="480" w:firstLineChars="200"/>
    </w:pPr>
    <w:rPr>
      <w:rFonts w:ascii="宋体" w:hAnsi="宋体" w:cs="宋体"/>
      <w:sz w:val="24"/>
      <w:szCs w:val="20"/>
    </w:rPr>
  </w:style>
  <w:style w:type="paragraph" w:customStyle="1" w:styleId="666">
    <w:name w:val="样式 标题 1 + 两端对齐"/>
    <w:basedOn w:val="3"/>
    <w:autoRedefine/>
    <w:qFormat/>
    <w:uiPriority w:val="0"/>
    <w:pPr>
      <w:keepNext w:val="0"/>
      <w:pageBreakBefore/>
      <w:widowControl/>
      <w:tabs>
        <w:tab w:val="left" w:pos="390"/>
        <w:tab w:val="left" w:pos="420"/>
      </w:tabs>
      <w:overflowPunct/>
      <w:adjustRightInd w:val="0"/>
      <w:spacing w:before="0" w:after="0" w:line="300" w:lineRule="auto"/>
      <w:ind w:left="425" w:hanging="425"/>
      <w:jc w:val="center"/>
    </w:pPr>
    <w:rPr>
      <w:rFonts w:ascii="仿宋_GB2312" w:hAnsi="Calibri" w:eastAsia="仿宋_GB2312" w:cs="宋体"/>
      <w:b w:val="0"/>
      <w:bCs w:val="0"/>
      <w:snapToGrid w:val="0"/>
      <w:color w:val="auto"/>
      <w:kern w:val="0"/>
      <w:sz w:val="32"/>
      <w:szCs w:val="32"/>
    </w:rPr>
  </w:style>
  <w:style w:type="paragraph" w:customStyle="1" w:styleId="667">
    <w:name w:val="xl85"/>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8">
    <w:name w:val="xl118"/>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9">
    <w:name w:val="xl134"/>
    <w:basedOn w:val="1"/>
    <w:autoRedefine/>
    <w:qFormat/>
    <w:uiPriority w:val="0"/>
    <w:pPr>
      <w:widowControl/>
      <w:spacing w:before="100" w:beforeAutospacing="1" w:after="100" w:afterAutospacing="1"/>
      <w:jc w:val="left"/>
    </w:pPr>
    <w:rPr>
      <w:rFonts w:ascii="Arial Unicode MS" w:hAnsi="Arial Unicode MS"/>
      <w:kern w:val="0"/>
      <w:sz w:val="20"/>
      <w:szCs w:val="20"/>
    </w:rPr>
  </w:style>
  <w:style w:type="paragraph" w:customStyle="1" w:styleId="670">
    <w:name w:val="xl168"/>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671">
    <w:name w:val="3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672">
    <w:name w:val="xl7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673">
    <w:name w:val="表蕊"/>
    <w:basedOn w:val="1"/>
    <w:autoRedefine/>
    <w:qFormat/>
    <w:uiPriority w:val="0"/>
    <w:pPr>
      <w:adjustRightInd w:val="0"/>
      <w:spacing w:line="280" w:lineRule="atLeast"/>
      <w:jc w:val="left"/>
      <w:textAlignment w:val="baseline"/>
    </w:pPr>
    <w:rPr>
      <w:rFonts w:eastAsia="楷体_GB2312"/>
      <w:color w:val="000000"/>
      <w:spacing w:val="-10"/>
      <w:kern w:val="0"/>
    </w:rPr>
  </w:style>
  <w:style w:type="paragraph" w:customStyle="1" w:styleId="674">
    <w:name w:val="图"/>
    <w:basedOn w:val="475"/>
    <w:autoRedefine/>
    <w:qFormat/>
    <w:uiPriority w:val="0"/>
    <w:pPr>
      <w:spacing w:line="240" w:lineRule="auto"/>
      <w:ind w:firstLine="0" w:firstLineChars="0"/>
      <w:jc w:val="center"/>
    </w:pPr>
  </w:style>
  <w:style w:type="paragraph" w:customStyle="1" w:styleId="675">
    <w:name w:val="Char Char Char Char1"/>
    <w:basedOn w:val="1"/>
    <w:autoRedefine/>
    <w:qFormat/>
    <w:uiPriority w:val="0"/>
  </w:style>
  <w:style w:type="paragraph" w:customStyle="1" w:styleId="676">
    <w:name w:val="xl162"/>
    <w:basedOn w:val="1"/>
    <w:autoRedefine/>
    <w:qFormat/>
    <w:uiPriority w:val="0"/>
    <w:pPr>
      <w:widowControl/>
      <w:pBdr>
        <w:bottom w:val="single" w:color="auto" w:sz="12" w:space="0"/>
        <w:righ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77">
    <w:name w:val="标题-图表"/>
    <w:basedOn w:val="1"/>
    <w:autoRedefine/>
    <w:qFormat/>
    <w:uiPriority w:val="0"/>
    <w:pPr>
      <w:spacing w:line="500" w:lineRule="exact"/>
      <w:jc w:val="center"/>
    </w:pPr>
    <w:rPr>
      <w:rFonts w:ascii="黑体" w:eastAsia="黑体"/>
      <w:sz w:val="24"/>
    </w:rPr>
  </w:style>
  <w:style w:type="paragraph" w:customStyle="1" w:styleId="678">
    <w:name w:val="BG-WZ"/>
    <w:basedOn w:val="1"/>
    <w:autoRedefine/>
    <w:qFormat/>
    <w:uiPriority w:val="0"/>
    <w:pPr>
      <w:adjustRightInd w:val="0"/>
      <w:snapToGrid w:val="0"/>
      <w:ind w:left="-51" w:right="-51"/>
      <w:jc w:val="center"/>
    </w:pPr>
    <w:rPr>
      <w:rFonts w:ascii="宋体" w:hAnsi="宋体"/>
      <w:szCs w:val="20"/>
    </w:rPr>
  </w:style>
  <w:style w:type="paragraph" w:customStyle="1" w:styleId="679">
    <w:name w:val="甲乙酮标题2"/>
    <w:basedOn w:val="4"/>
    <w:autoRedefine/>
    <w:qFormat/>
    <w:uiPriority w:val="0"/>
    <w:pPr>
      <w:tabs>
        <w:tab w:val="left" w:pos="840"/>
      </w:tabs>
      <w:ind w:left="840"/>
    </w:pPr>
    <w:rPr>
      <w:rFonts w:ascii="Times New Roman" w:hAnsi="Times New Roman" w:eastAsia="宋体"/>
      <w:kern w:val="0"/>
    </w:rPr>
  </w:style>
  <w:style w:type="paragraph" w:customStyle="1" w:styleId="680">
    <w:name w:val="char"/>
    <w:basedOn w:val="1"/>
    <w:autoRedefine/>
    <w:qFormat/>
    <w:uiPriority w:val="0"/>
    <w:pPr>
      <w:widowControl/>
      <w:spacing w:after="160"/>
      <w:jc w:val="left"/>
    </w:pPr>
    <w:rPr>
      <w:rFonts w:ascii="宋体" w:hAnsi="宋体" w:cs="宋体"/>
      <w:sz w:val="24"/>
    </w:rPr>
  </w:style>
  <w:style w:type="paragraph" w:customStyle="1" w:styleId="681">
    <w:name w:val="In Table"/>
    <w:basedOn w:val="1"/>
    <w:autoRedefine/>
    <w:qFormat/>
    <w:uiPriority w:val="0"/>
    <w:pPr>
      <w:keepNext/>
      <w:tabs>
        <w:tab w:val="left" w:pos="3960"/>
        <w:tab w:val="left" w:pos="5280"/>
      </w:tabs>
      <w:snapToGrid w:val="0"/>
      <w:spacing w:beforeLines="40" w:afterLines="40" w:line="0" w:lineRule="atLeast"/>
      <w:contextualSpacing/>
      <w:jc w:val="center"/>
    </w:pPr>
    <w:rPr>
      <w:rFonts w:ascii="Tahoma" w:hAnsi="Tahoma" w:eastAsia="华文中宋" w:cs="Arial"/>
      <w:szCs w:val="20"/>
    </w:rPr>
  </w:style>
  <w:style w:type="paragraph" w:customStyle="1" w:styleId="682">
    <w:name w:val="xl49"/>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683">
    <w:name w:val="表的格式（小四）"/>
    <w:basedOn w:val="1"/>
    <w:autoRedefine/>
    <w:qFormat/>
    <w:uiPriority w:val="0"/>
    <w:pPr>
      <w:adjustRightInd w:val="0"/>
      <w:spacing w:line="360" w:lineRule="atLeast"/>
      <w:jc w:val="center"/>
    </w:pPr>
    <w:rPr>
      <w:kern w:val="0"/>
      <w:sz w:val="24"/>
      <w:szCs w:val="20"/>
    </w:rPr>
  </w:style>
  <w:style w:type="paragraph" w:customStyle="1" w:styleId="684">
    <w:name w:val="术语标题"/>
    <w:basedOn w:val="1"/>
    <w:next w:val="1"/>
    <w:autoRedefine/>
    <w:qFormat/>
    <w:uiPriority w:val="0"/>
    <w:pPr>
      <w:ind w:firstLine="425"/>
    </w:pPr>
    <w:rPr>
      <w:rFonts w:ascii="黑体" w:eastAsia="黑体"/>
      <w:szCs w:val="20"/>
    </w:rPr>
  </w:style>
  <w:style w:type="paragraph" w:customStyle="1" w:styleId="685">
    <w:name w:val="东明_正文 Char Char Char"/>
    <w:basedOn w:val="1"/>
    <w:autoRedefine/>
    <w:qFormat/>
    <w:uiPriority w:val="0"/>
    <w:pPr>
      <w:spacing w:before="240" w:after="240" w:line="480" w:lineRule="exact"/>
      <w:ind w:firstLine="560" w:firstLineChars="200"/>
    </w:pPr>
    <w:rPr>
      <w:sz w:val="28"/>
      <w:szCs w:val="20"/>
    </w:rPr>
  </w:style>
  <w:style w:type="paragraph" w:customStyle="1" w:styleId="686">
    <w:name w:val="样式 表标题4.9 + 居中"/>
    <w:basedOn w:val="1"/>
    <w:autoRedefine/>
    <w:qFormat/>
    <w:uiPriority w:val="0"/>
    <w:pPr>
      <w:numPr>
        <w:ilvl w:val="0"/>
        <w:numId w:val="7"/>
      </w:numPr>
      <w:tabs>
        <w:tab w:val="center" w:pos="4060"/>
        <w:tab w:val="right" w:pos="8261"/>
      </w:tabs>
      <w:suppressAutoHyphens/>
      <w:adjustRightInd w:val="0"/>
      <w:spacing w:before="240" w:line="0" w:lineRule="atLeast"/>
      <w:jc w:val="center"/>
    </w:pPr>
    <w:rPr>
      <w:rFonts w:ascii="黑体" w:eastAsia="黑体" w:cs="宋体"/>
      <w:b/>
      <w:bCs/>
      <w:spacing w:val="6"/>
      <w:kern w:val="0"/>
      <w:sz w:val="26"/>
      <w:szCs w:val="20"/>
    </w:rPr>
  </w:style>
  <w:style w:type="paragraph" w:customStyle="1" w:styleId="687">
    <w:name w:val="(文字) (文字)"/>
    <w:basedOn w:val="1"/>
    <w:autoRedefine/>
    <w:qFormat/>
    <w:uiPriority w:val="0"/>
  </w:style>
  <w:style w:type="paragraph" w:customStyle="1" w:styleId="688">
    <w:name w:val="xl170"/>
    <w:basedOn w:val="1"/>
    <w:autoRedefine/>
    <w:qFormat/>
    <w:uiPriority w:val="0"/>
    <w:pPr>
      <w:widowControl/>
      <w:pBdr>
        <w:left w:val="single" w:color="auto" w:sz="4"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89">
    <w:name w:val="xl9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90">
    <w:name w:val="首页脚注"/>
    <w:basedOn w:val="51"/>
    <w:autoRedefine/>
    <w:qFormat/>
    <w:uiPriority w:val="0"/>
    <w:pPr>
      <w:keepLines/>
      <w:widowControl/>
      <w:tabs>
        <w:tab w:val="center" w:pos="4320"/>
        <w:tab w:val="clear" w:pos="4153"/>
        <w:tab w:val="clear" w:pos="8306"/>
      </w:tabs>
      <w:overflowPunct w:val="0"/>
      <w:autoSpaceDE w:val="0"/>
      <w:autoSpaceDN w:val="0"/>
      <w:adjustRightInd w:val="0"/>
      <w:snapToGrid/>
      <w:jc w:val="center"/>
      <w:textAlignment w:val="baseline"/>
    </w:pPr>
    <w:rPr>
      <w:sz w:val="20"/>
    </w:rPr>
  </w:style>
  <w:style w:type="paragraph" w:customStyle="1" w:styleId="691">
    <w:name w:val="文本框文字格式"/>
    <w:basedOn w:val="1"/>
    <w:autoRedefine/>
    <w:qFormat/>
    <w:uiPriority w:val="0"/>
    <w:pPr>
      <w:jc w:val="center"/>
    </w:pPr>
    <w:rPr>
      <w:sz w:val="24"/>
    </w:rPr>
  </w:style>
  <w:style w:type="paragraph" w:customStyle="1" w:styleId="692">
    <w:name w:val="Char Char Char Char Char Char Char Char Char Char Char Char Char Char Char Char Char Char Char1"/>
    <w:basedOn w:val="1"/>
    <w:autoRedefine/>
    <w:qFormat/>
    <w:uiPriority w:val="0"/>
    <w:pPr>
      <w:widowControl/>
      <w:contextualSpacing/>
      <w:jc w:val="left"/>
    </w:pPr>
    <w:rPr>
      <w:rFonts w:cs="宋体"/>
      <w:kern w:val="0"/>
    </w:rPr>
  </w:style>
  <w:style w:type="paragraph" w:customStyle="1" w:styleId="693">
    <w:name w:val="标2"/>
    <w:basedOn w:val="4"/>
    <w:next w:val="294"/>
    <w:autoRedefine/>
    <w:qFormat/>
    <w:uiPriority w:val="0"/>
    <w:pPr>
      <w:tabs>
        <w:tab w:val="left" w:pos="0"/>
      </w:tabs>
      <w:spacing w:before="0" w:after="0" w:line="240" w:lineRule="auto"/>
      <w:ind w:left="576" w:hanging="576"/>
      <w:contextualSpacing/>
      <w:jc w:val="left"/>
    </w:pPr>
    <w:rPr>
      <w:rFonts w:ascii="黑体" w:hAnsi="黑体" w:cs="宋体"/>
      <w:bCs w:val="0"/>
      <w:sz w:val="30"/>
      <w:szCs w:val="20"/>
    </w:rPr>
  </w:style>
  <w:style w:type="paragraph" w:customStyle="1" w:styleId="694">
    <w:name w:val="style12"/>
    <w:basedOn w:val="1"/>
    <w:autoRedefine/>
    <w:qFormat/>
    <w:uiPriority w:val="0"/>
    <w:pPr>
      <w:widowControl/>
      <w:spacing w:before="100" w:beforeAutospacing="1" w:after="100" w:afterAutospacing="1"/>
      <w:jc w:val="left"/>
    </w:pPr>
    <w:rPr>
      <w:rFonts w:ascii="Arial" w:hAnsi="Arial" w:cs="Arial"/>
      <w:color w:val="666666"/>
      <w:kern w:val="0"/>
      <w:sz w:val="18"/>
      <w:szCs w:val="18"/>
    </w:rPr>
  </w:style>
  <w:style w:type="paragraph" w:customStyle="1" w:styleId="695">
    <w:name w:val="xl62"/>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696">
    <w:name w:val="样式6"/>
    <w:basedOn w:val="1"/>
    <w:next w:val="1"/>
    <w:autoRedefine/>
    <w:qFormat/>
    <w:uiPriority w:val="0"/>
    <w:pPr>
      <w:adjustRightInd w:val="0"/>
      <w:jc w:val="center"/>
      <w:textAlignment w:val="center"/>
    </w:pPr>
  </w:style>
  <w:style w:type="paragraph" w:customStyle="1" w:styleId="697">
    <w:name w:val="样式8"/>
    <w:basedOn w:val="1"/>
    <w:next w:val="1"/>
    <w:autoRedefine/>
    <w:qFormat/>
    <w:uiPriority w:val="0"/>
    <w:pPr>
      <w:ind w:firstLine="420"/>
    </w:pPr>
    <w:rPr>
      <w:rFonts w:ascii="宋体" w:hAnsi="Arial Black" w:cs="宋体"/>
      <w:sz w:val="24"/>
    </w:rPr>
  </w:style>
  <w:style w:type="paragraph" w:customStyle="1" w:styleId="698">
    <w:name w:val="工业统一正文"/>
    <w:basedOn w:val="1"/>
    <w:autoRedefine/>
    <w:qFormat/>
    <w:uiPriority w:val="0"/>
    <w:pPr>
      <w:adjustRightInd w:val="0"/>
      <w:snapToGrid w:val="0"/>
      <w:spacing w:line="360" w:lineRule="auto"/>
      <w:ind w:firstLine="200" w:firstLineChars="200"/>
      <w:jc w:val="left"/>
    </w:pPr>
    <w:rPr>
      <w:rFonts w:ascii="宋体"/>
      <w:sz w:val="28"/>
      <w:szCs w:val="20"/>
    </w:rPr>
  </w:style>
  <w:style w:type="paragraph" w:customStyle="1" w:styleId="699">
    <w:name w:val="菏泽-正文 Char Char Char"/>
    <w:basedOn w:val="1"/>
    <w:autoRedefine/>
    <w:qFormat/>
    <w:uiPriority w:val="0"/>
    <w:pPr>
      <w:spacing w:line="440" w:lineRule="exact"/>
      <w:ind w:firstLine="420" w:firstLineChars="200"/>
    </w:pPr>
    <w:rPr>
      <w:rFonts w:ascii="Arial" w:hAnsi="Arial" w:eastAsia="华文细黑"/>
      <w:szCs w:val="20"/>
    </w:rPr>
  </w:style>
  <w:style w:type="paragraph" w:customStyle="1" w:styleId="700">
    <w:name w:val="xl173"/>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701">
    <w:name w:val="pian"/>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702">
    <w:name w:val="缩进"/>
    <w:basedOn w:val="1"/>
    <w:autoRedefine/>
    <w:qFormat/>
    <w:uiPriority w:val="0"/>
    <w:pPr>
      <w:autoSpaceDE w:val="0"/>
      <w:autoSpaceDN w:val="0"/>
      <w:adjustRightInd w:val="0"/>
      <w:spacing w:line="400" w:lineRule="atLeast"/>
      <w:ind w:firstLine="200" w:firstLineChars="200"/>
      <w:textAlignment w:val="baseline"/>
    </w:pPr>
    <w:rPr>
      <w:kern w:val="0"/>
      <w:sz w:val="24"/>
      <w:szCs w:val="20"/>
    </w:rPr>
  </w:style>
  <w:style w:type="paragraph" w:customStyle="1" w:styleId="703">
    <w:name w:val="工艺统一正文"/>
    <w:basedOn w:val="1"/>
    <w:autoRedefine/>
    <w:qFormat/>
    <w:uiPriority w:val="0"/>
    <w:pPr>
      <w:adjustRightInd w:val="0"/>
      <w:snapToGrid w:val="0"/>
      <w:spacing w:line="360" w:lineRule="auto"/>
      <w:ind w:firstLine="578"/>
    </w:pPr>
    <w:rPr>
      <w:rFonts w:ascii="宋体"/>
      <w:sz w:val="28"/>
      <w:szCs w:val="20"/>
    </w:rPr>
  </w:style>
  <w:style w:type="paragraph" w:customStyle="1" w:styleId="704">
    <w:name w:val="样式 楷体_GB2312 居中"/>
    <w:basedOn w:val="1"/>
    <w:autoRedefine/>
    <w:qFormat/>
    <w:uiPriority w:val="0"/>
    <w:pPr>
      <w:spacing w:line="360" w:lineRule="auto"/>
      <w:jc w:val="center"/>
    </w:pPr>
    <w:rPr>
      <w:rFonts w:ascii="楷体_GB2312" w:eastAsia="楷体_GB2312"/>
      <w:szCs w:val="20"/>
      <w:lang w:bidi="ar-OM"/>
    </w:rPr>
  </w:style>
  <w:style w:type="paragraph" w:customStyle="1" w:styleId="705">
    <w:name w:val="居中正文"/>
    <w:basedOn w:val="81"/>
    <w:autoRedefine/>
    <w:qFormat/>
    <w:uiPriority w:val="0"/>
    <w:pPr>
      <w:adjustRightInd w:val="0"/>
      <w:spacing w:before="120" w:after="0" w:line="360" w:lineRule="auto"/>
      <w:ind w:firstLine="0" w:firstLineChars="0"/>
      <w:jc w:val="center"/>
      <w:textAlignment w:val="baseline"/>
    </w:pPr>
    <w:rPr>
      <w:rFonts w:ascii="宋体"/>
      <w:kern w:val="28"/>
      <w:sz w:val="24"/>
      <w:szCs w:val="20"/>
    </w:rPr>
  </w:style>
  <w:style w:type="paragraph" w:customStyle="1" w:styleId="706">
    <w:name w:val="Char4"/>
    <w:basedOn w:val="1"/>
    <w:autoRedefine/>
    <w:qFormat/>
    <w:uiPriority w:val="0"/>
    <w:pPr>
      <w:widowControl/>
      <w:spacing w:after="160"/>
      <w:jc w:val="left"/>
    </w:pPr>
    <w:rPr>
      <w:rFonts w:ascii="Verdana" w:hAnsi="Verdana" w:eastAsia="仿宋_GB2312" w:cs="”“Times New Roman”“"/>
      <w:kern w:val="0"/>
      <w:sz w:val="28"/>
      <w:szCs w:val="28"/>
      <w:lang w:eastAsia="en-US"/>
    </w:rPr>
  </w:style>
  <w:style w:type="paragraph" w:customStyle="1" w:styleId="707">
    <w:name w:val="CM75"/>
    <w:basedOn w:val="1"/>
    <w:next w:val="1"/>
    <w:autoRedefine/>
    <w:qFormat/>
    <w:uiPriority w:val="0"/>
    <w:pPr>
      <w:autoSpaceDE w:val="0"/>
      <w:autoSpaceDN w:val="0"/>
      <w:adjustRightInd w:val="0"/>
      <w:spacing w:after="60"/>
      <w:jc w:val="left"/>
    </w:pPr>
    <w:rPr>
      <w:rFonts w:ascii="Sim Sun+ 2" w:eastAsia="Sim Sun+ 2" w:cs="Sim Sun+ 2"/>
      <w:kern w:val="0"/>
      <w:sz w:val="24"/>
    </w:rPr>
  </w:style>
  <w:style w:type="paragraph" w:customStyle="1" w:styleId="708">
    <w:name w:val="WPS Plain"/>
    <w:autoRedefine/>
    <w:qFormat/>
    <w:uiPriority w:val="0"/>
    <w:rPr>
      <w:rFonts w:ascii="Times New Roman" w:hAnsi="Times New Roman" w:eastAsia="宋体" w:cs="Times New Roman"/>
      <w:lang w:val="en-US" w:eastAsia="zh-CN" w:bidi="ar-SA"/>
    </w:rPr>
  </w:style>
  <w:style w:type="paragraph" w:customStyle="1" w:styleId="709">
    <w:name w:val="xl133"/>
    <w:basedOn w:val="1"/>
    <w:autoRedefine/>
    <w:qFormat/>
    <w:uiPriority w:val="0"/>
    <w:pPr>
      <w:widowControl/>
      <w:pBdr>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10">
    <w:name w:val="xl57"/>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711">
    <w:name w:val="宏福正文-2"/>
    <w:basedOn w:val="81"/>
    <w:autoRedefine/>
    <w:qFormat/>
    <w:uiPriority w:val="0"/>
    <w:pPr>
      <w:snapToGrid w:val="0"/>
      <w:spacing w:before="240" w:after="0" w:line="400" w:lineRule="atLeast"/>
      <w:ind w:firstLine="567" w:firstLineChars="0"/>
    </w:pPr>
    <w:rPr>
      <w:kern w:val="0"/>
      <w:sz w:val="28"/>
    </w:rPr>
  </w:style>
  <w:style w:type="paragraph" w:customStyle="1" w:styleId="712">
    <w:name w:val="正文2"/>
    <w:autoRedefine/>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713">
    <w:name w:val="我的样式（正文）"/>
    <w:basedOn w:val="1"/>
    <w:autoRedefine/>
    <w:qFormat/>
    <w:uiPriority w:val="0"/>
    <w:pPr>
      <w:spacing w:line="440" w:lineRule="exact"/>
    </w:pPr>
    <w:rPr>
      <w:rFonts w:ascii="宋体"/>
      <w:sz w:val="28"/>
      <w:szCs w:val="20"/>
    </w:rPr>
  </w:style>
  <w:style w:type="paragraph" w:customStyle="1" w:styleId="714">
    <w:name w:val="xl36"/>
    <w:basedOn w:val="1"/>
    <w:autoRedefine/>
    <w:qFormat/>
    <w:uiPriority w:val="0"/>
    <w:pPr>
      <w:widowControl/>
      <w:spacing w:before="100" w:beforeAutospacing="1" w:after="100" w:afterAutospacing="1"/>
      <w:jc w:val="left"/>
      <w:textAlignment w:val="bottom"/>
    </w:pPr>
    <w:rPr>
      <w:rFonts w:ascii="Arial" w:hAnsi="Arial" w:cs="Arial"/>
      <w:b/>
      <w:bCs/>
      <w:kern w:val="0"/>
      <w:sz w:val="24"/>
    </w:rPr>
  </w:style>
  <w:style w:type="paragraph" w:customStyle="1" w:styleId="715">
    <w:name w:val="表格文字居中 Char"/>
    <w:basedOn w:val="81"/>
    <w:autoRedefine/>
    <w:qFormat/>
    <w:uiPriority w:val="0"/>
    <w:pPr>
      <w:keepNext/>
      <w:tabs>
        <w:tab w:val="left" w:pos="628"/>
        <w:tab w:val="left" w:pos="1727"/>
        <w:tab w:val="left" w:pos="1884"/>
        <w:tab w:val="left" w:pos="2660"/>
        <w:tab w:val="left" w:pos="5460"/>
      </w:tabs>
      <w:spacing w:before="100" w:beforeAutospacing="1" w:after="0"/>
      <w:ind w:firstLine="0" w:firstLineChars="0"/>
      <w:jc w:val="center"/>
    </w:pPr>
    <w:rPr>
      <w:rFonts w:ascii="宋体"/>
      <w:bCs/>
      <w:color w:val="000000"/>
      <w:kern w:val="0"/>
      <w:sz w:val="24"/>
    </w:rPr>
  </w:style>
  <w:style w:type="paragraph" w:customStyle="1" w:styleId="716">
    <w:name w:val="Char2"/>
    <w:basedOn w:val="1"/>
    <w:autoRedefine/>
    <w:qFormat/>
    <w:uiPriority w:val="0"/>
    <w:pPr>
      <w:spacing w:line="360" w:lineRule="auto"/>
      <w:ind w:firstLine="200" w:firstLineChars="200"/>
    </w:pPr>
    <w:rPr>
      <w:rFonts w:ascii="宋体" w:hAnsi="宋体" w:cs="宋体"/>
      <w:sz w:val="24"/>
    </w:rPr>
  </w:style>
  <w:style w:type="paragraph" w:customStyle="1" w:styleId="717">
    <w:name w:val="xl58"/>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718">
    <w:name w:val="7表格(治)"/>
    <w:autoRedefine/>
    <w:qFormat/>
    <w:uiPriority w:val="0"/>
    <w:pPr>
      <w:jc w:val="center"/>
    </w:pPr>
    <w:rPr>
      <w:rFonts w:ascii="Calibri" w:hAnsi="Calibri" w:eastAsia="楷体_GB2312" w:cs="Times New Roman"/>
      <w:color w:val="000000"/>
      <w:sz w:val="21"/>
      <w:lang w:val="en-US" w:eastAsia="zh-CN" w:bidi="ar-SA"/>
    </w:rPr>
  </w:style>
  <w:style w:type="paragraph" w:customStyle="1" w:styleId="719">
    <w:name w:val="环表"/>
    <w:basedOn w:val="553"/>
    <w:autoRedefine/>
    <w:qFormat/>
    <w:uiPriority w:val="0"/>
    <w:pPr>
      <w:tabs>
        <w:tab w:val="left" w:pos="1464"/>
        <w:tab w:val="left" w:pos="5094"/>
      </w:tabs>
      <w:suppressAutoHyphens w:val="0"/>
      <w:spacing w:before="120" w:after="120" w:line="324" w:lineRule="auto"/>
      <w:ind w:left="7" w:right="29" w:firstLine="539"/>
      <w:jc w:val="center"/>
    </w:pPr>
    <w:rPr>
      <w:rFonts w:hAnsi="Courier New"/>
      <w:sz w:val="21"/>
    </w:rPr>
  </w:style>
  <w:style w:type="paragraph" w:customStyle="1" w:styleId="720">
    <w:name w:val="Char Char Char Char Char Char Char2"/>
    <w:basedOn w:val="1"/>
    <w:autoRedefine/>
    <w:qFormat/>
    <w:uiPriority w:val="0"/>
    <w:pPr>
      <w:widowControl/>
      <w:spacing w:after="160" w:line="240" w:lineRule="exact"/>
      <w:contextualSpacing/>
      <w:jc w:val="left"/>
    </w:pPr>
    <w:rPr>
      <w:rFonts w:ascii="Arial" w:hAnsi="Arial" w:eastAsia="Times New Roman" w:cs="Verdana"/>
      <w:b/>
      <w:kern w:val="0"/>
      <w:lang w:eastAsia="en-US"/>
    </w:rPr>
  </w:style>
  <w:style w:type="paragraph" w:customStyle="1" w:styleId="721">
    <w:name w:val="xl59"/>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22">
    <w:name w:val="w4"/>
    <w:basedOn w:val="1"/>
    <w:autoRedefine/>
    <w:qFormat/>
    <w:uiPriority w:val="0"/>
    <w:pPr>
      <w:widowControl/>
      <w:spacing w:before="100" w:beforeAutospacing="1" w:after="100" w:afterAutospacing="1" w:line="336" w:lineRule="auto"/>
      <w:ind w:firstLine="360"/>
      <w:jc w:val="left"/>
    </w:pPr>
    <w:rPr>
      <w:rFonts w:ascii="Calibri" w:hAnsi="Calibri"/>
      <w:color w:val="8A5E00"/>
      <w:kern w:val="0"/>
      <w:sz w:val="18"/>
      <w:szCs w:val="18"/>
    </w:rPr>
  </w:style>
  <w:style w:type="paragraph" w:customStyle="1" w:styleId="723">
    <w:name w:val="xl176"/>
    <w:basedOn w:val="1"/>
    <w:autoRedefine/>
    <w:qFormat/>
    <w:uiPriority w:val="0"/>
    <w:pPr>
      <w:widowControl/>
      <w:pBdr>
        <w:top w:val="single" w:color="auto" w:sz="12" w:space="0"/>
        <w:left w:val="single" w:color="auto" w:sz="12" w:space="0"/>
      </w:pBdr>
      <w:spacing w:before="100" w:beforeAutospacing="1" w:after="100" w:afterAutospacing="1"/>
      <w:jc w:val="left"/>
    </w:pPr>
    <w:rPr>
      <w:rFonts w:ascii="Arial Unicode MS" w:hAnsi="Arial Unicode MS"/>
      <w:kern w:val="0"/>
    </w:rPr>
  </w:style>
  <w:style w:type="paragraph" w:customStyle="1" w:styleId="724">
    <w:name w:val="表格文字居中"/>
    <w:basedOn w:val="1"/>
    <w:next w:val="81"/>
    <w:autoRedefine/>
    <w:qFormat/>
    <w:uiPriority w:val="0"/>
    <w:pPr>
      <w:keepNext/>
      <w:tabs>
        <w:tab w:val="left" w:pos="628"/>
        <w:tab w:val="left" w:pos="1727"/>
        <w:tab w:val="left" w:pos="1884"/>
      </w:tabs>
      <w:adjustRightInd w:val="0"/>
      <w:snapToGrid w:val="0"/>
      <w:contextualSpacing/>
      <w:jc w:val="center"/>
    </w:pPr>
    <w:rPr>
      <w:bCs/>
      <w:color w:val="000000"/>
      <w:kern w:val="0"/>
    </w:rPr>
  </w:style>
  <w:style w:type="paragraph" w:customStyle="1" w:styleId="725">
    <w:name w:val="缺省文本_宋体"/>
    <w:basedOn w:val="1"/>
    <w:autoRedefine/>
    <w:qFormat/>
    <w:uiPriority w:val="0"/>
    <w:pPr>
      <w:tabs>
        <w:tab w:val="left" w:pos="525"/>
        <w:tab w:val="center" w:pos="5670"/>
        <w:tab w:val="right" w:pos="7655"/>
      </w:tabs>
      <w:spacing w:before="80" w:after="120" w:line="360" w:lineRule="auto"/>
      <w:outlineLvl w:val="7"/>
    </w:pPr>
    <w:rPr>
      <w:spacing w:val="16"/>
      <w:kern w:val="28"/>
      <w:sz w:val="24"/>
      <w:szCs w:val="20"/>
    </w:rPr>
  </w:style>
  <w:style w:type="paragraph" w:customStyle="1" w:styleId="726">
    <w:name w:val="流程图"/>
    <w:basedOn w:val="1"/>
    <w:autoRedefine/>
    <w:qFormat/>
    <w:uiPriority w:val="0"/>
    <w:pPr>
      <w:tabs>
        <w:tab w:val="left" w:pos="0"/>
      </w:tabs>
      <w:autoSpaceDE w:val="0"/>
      <w:autoSpaceDN w:val="0"/>
      <w:adjustRightInd w:val="0"/>
      <w:spacing w:line="240" w:lineRule="atLeast"/>
      <w:jc w:val="center"/>
      <w:textAlignment w:val="bottom"/>
    </w:pPr>
    <w:rPr>
      <w:rFonts w:ascii="宋体"/>
      <w:szCs w:val="20"/>
    </w:rPr>
  </w:style>
  <w:style w:type="paragraph" w:customStyle="1" w:styleId="727">
    <w:name w:val="流程文字"/>
    <w:basedOn w:val="1"/>
    <w:autoRedefine/>
    <w:qFormat/>
    <w:uiPriority w:val="0"/>
    <w:pPr>
      <w:tabs>
        <w:tab w:val="left" w:pos="6480"/>
      </w:tabs>
      <w:topLinePunct/>
      <w:adjustRightInd w:val="0"/>
      <w:snapToGrid w:val="0"/>
      <w:jc w:val="center"/>
    </w:pPr>
    <w:rPr>
      <w:rFonts w:eastAsia="仿宋_GB2312"/>
      <w:szCs w:val="20"/>
    </w:rPr>
  </w:style>
  <w:style w:type="paragraph" w:customStyle="1" w:styleId="728">
    <w:name w:val="表格1"/>
    <w:basedOn w:val="1"/>
    <w:autoRedefine/>
    <w:qFormat/>
    <w:uiPriority w:val="0"/>
    <w:pPr>
      <w:jc w:val="center"/>
    </w:pPr>
  </w:style>
  <w:style w:type="paragraph" w:customStyle="1" w:styleId="729">
    <w:name w:val="xl53"/>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730">
    <w:name w:val="EIA1"/>
    <w:basedOn w:val="3"/>
    <w:autoRedefine/>
    <w:qFormat/>
    <w:uiPriority w:val="0"/>
    <w:pPr>
      <w:tabs>
        <w:tab w:val="left" w:pos="390"/>
      </w:tabs>
      <w:overflowPunct/>
      <w:snapToGrid/>
      <w:spacing w:before="0" w:after="0" w:line="480" w:lineRule="auto"/>
      <w:ind w:left="390" w:firstLine="0"/>
      <w:jc w:val="left"/>
    </w:pPr>
    <w:rPr>
      <w:rFonts w:ascii="Calibri" w:hAnsi="Calibri" w:eastAsia="宋体"/>
      <w:bCs w:val="0"/>
      <w:color w:val="auto"/>
      <w:kern w:val="2"/>
      <w:sz w:val="32"/>
      <w:szCs w:val="20"/>
    </w:rPr>
  </w:style>
  <w:style w:type="paragraph" w:customStyle="1" w:styleId="731">
    <w:name w:val="标准条文"/>
    <w:basedOn w:val="732"/>
    <w:next w:val="732"/>
    <w:autoRedefine/>
    <w:qFormat/>
    <w:uiPriority w:val="0"/>
    <w:rPr>
      <w:rFonts w:ascii="宋体"/>
      <w:color w:val="auto"/>
    </w:rPr>
  </w:style>
  <w:style w:type="paragraph" w:customStyle="1" w:styleId="732">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733">
    <w:name w:val="font5"/>
    <w:basedOn w:val="1"/>
    <w:autoRedefine/>
    <w:qFormat/>
    <w:uiPriority w:val="0"/>
    <w:pPr>
      <w:widowControl/>
      <w:spacing w:before="100" w:beforeAutospacing="1" w:after="100" w:afterAutospacing="1"/>
      <w:jc w:val="left"/>
    </w:pPr>
    <w:rPr>
      <w:rFonts w:hint="eastAsia" w:ascii="宋体" w:hAnsi="宋体"/>
      <w:kern w:val="0"/>
      <w:sz w:val="18"/>
      <w:szCs w:val="18"/>
    </w:rPr>
  </w:style>
  <w:style w:type="paragraph" w:customStyle="1" w:styleId="734">
    <w:name w:val="表格标题2"/>
    <w:basedOn w:val="160"/>
    <w:autoRedefine/>
    <w:qFormat/>
    <w:uiPriority w:val="0"/>
    <w:pPr>
      <w:adjustRightInd/>
      <w:snapToGrid/>
      <w:spacing w:line="360" w:lineRule="auto"/>
      <w:jc w:val="left"/>
      <w:textAlignment w:val="auto"/>
    </w:pPr>
    <w:rPr>
      <w:rFonts w:eastAsia="宋体"/>
      <w:b/>
      <w:color w:val="000000"/>
      <w:sz w:val="24"/>
      <w:szCs w:val="21"/>
    </w:rPr>
  </w:style>
  <w:style w:type="paragraph" w:customStyle="1" w:styleId="735">
    <w:name w:val="图文字"/>
    <w:basedOn w:val="1"/>
    <w:autoRedefine/>
    <w:qFormat/>
    <w:uiPriority w:val="0"/>
    <w:pPr>
      <w:spacing w:line="400" w:lineRule="exact"/>
      <w:jc w:val="center"/>
    </w:pPr>
    <w:rPr>
      <w:rFonts w:ascii="宋体" w:hAnsi="宋体"/>
      <w:kern w:val="44"/>
      <w:sz w:val="24"/>
    </w:rPr>
  </w:style>
  <w:style w:type="paragraph" w:customStyle="1" w:styleId="736">
    <w:name w:val="xl52"/>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37">
    <w:name w:val="xl159"/>
    <w:basedOn w:val="1"/>
    <w:autoRedefine/>
    <w:qFormat/>
    <w:uiPriority w:val="0"/>
    <w:pPr>
      <w:widowControl/>
      <w:pBdr>
        <w:right w:val="single" w:color="auto" w:sz="4" w:space="0"/>
      </w:pBdr>
      <w:spacing w:before="100" w:beforeAutospacing="1" w:after="100" w:afterAutospacing="1"/>
      <w:jc w:val="left"/>
    </w:pPr>
    <w:rPr>
      <w:rFonts w:ascii="Arial Unicode MS" w:hAnsi="Arial Unicode MS"/>
      <w:kern w:val="0"/>
    </w:rPr>
  </w:style>
  <w:style w:type="paragraph" w:customStyle="1" w:styleId="738">
    <w:name w:val="GY6"/>
    <w:basedOn w:val="1"/>
    <w:autoRedefine/>
    <w:qFormat/>
    <w:uiPriority w:val="0"/>
    <w:pPr>
      <w:tabs>
        <w:tab w:val="left" w:pos="840"/>
      </w:tabs>
      <w:adjustRightInd w:val="0"/>
      <w:snapToGrid w:val="0"/>
      <w:spacing w:line="360" w:lineRule="auto"/>
    </w:pPr>
    <w:rPr>
      <w:rFonts w:hint="eastAsia" w:ascii="宋体" w:hAnsi="宋体"/>
      <w:sz w:val="28"/>
      <w:szCs w:val="20"/>
    </w:rPr>
  </w:style>
  <w:style w:type="paragraph" w:customStyle="1" w:styleId="739">
    <w:name w:val="a"/>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740">
    <w:name w:val="甲乙酮标题4"/>
    <w:basedOn w:val="6"/>
    <w:autoRedefine/>
    <w:qFormat/>
    <w:uiPriority w:val="0"/>
    <w:pPr>
      <w:tabs>
        <w:tab w:val="left" w:pos="1680"/>
      </w:tabs>
      <w:spacing w:before="100" w:after="100" w:line="377" w:lineRule="auto"/>
      <w:ind w:left="1680"/>
    </w:pPr>
    <w:rPr>
      <w:rFonts w:ascii="Times New Roman" w:hAnsi="Times New Roman"/>
      <w:sz w:val="24"/>
      <w:szCs w:val="24"/>
    </w:rPr>
  </w:style>
  <w:style w:type="paragraph" w:customStyle="1" w:styleId="741">
    <w:name w:val="样式10"/>
    <w:basedOn w:val="3"/>
    <w:autoRedefine/>
    <w:qFormat/>
    <w:uiPriority w:val="0"/>
    <w:pPr>
      <w:keepLines/>
      <w:tabs>
        <w:tab w:val="left" w:pos="390"/>
      </w:tabs>
      <w:overflowPunct/>
      <w:snapToGrid/>
      <w:spacing w:before="340" w:beforeLines="100" w:after="330" w:afterLines="100" w:line="520" w:lineRule="exact"/>
      <w:ind w:left="390" w:firstLine="0"/>
    </w:pPr>
    <w:rPr>
      <w:rFonts w:ascii="Calibri" w:hAnsi="Calibri" w:eastAsia="宋体"/>
      <w:color w:val="FF0000"/>
    </w:rPr>
  </w:style>
  <w:style w:type="paragraph" w:customStyle="1" w:styleId="742">
    <w:name w:val="xl14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743">
    <w:name w:val="标题 2 + 黑体"/>
    <w:basedOn w:val="4"/>
    <w:autoRedefine/>
    <w:qFormat/>
    <w:uiPriority w:val="0"/>
    <w:pPr>
      <w:keepNext w:val="0"/>
      <w:keepLines w:val="0"/>
      <w:tabs>
        <w:tab w:val="left" w:pos="280"/>
        <w:tab w:val="left" w:pos="1400"/>
      </w:tabs>
      <w:adjustRightInd w:val="0"/>
      <w:snapToGrid w:val="0"/>
      <w:spacing w:before="50" w:after="240" w:line="480" w:lineRule="exact"/>
      <w:ind w:left="1233" w:right="100" w:rightChars="100" w:firstLine="567"/>
      <w:jc w:val="left"/>
    </w:pPr>
    <w:rPr>
      <w:rFonts w:ascii="黑体" w:hAnsi="黑体"/>
      <w:b w:val="0"/>
      <w:bCs w:val="0"/>
      <w:sz w:val="28"/>
      <w:szCs w:val="28"/>
    </w:rPr>
  </w:style>
  <w:style w:type="paragraph" w:customStyle="1" w:styleId="744">
    <w:name w:val="xl96"/>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45">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746">
    <w:name w:val="表后文"/>
    <w:basedOn w:val="1"/>
    <w:autoRedefine/>
    <w:qFormat/>
    <w:uiPriority w:val="0"/>
    <w:pPr>
      <w:adjustRightInd w:val="0"/>
      <w:spacing w:before="120" w:line="400" w:lineRule="exact"/>
      <w:ind w:firstLine="601"/>
      <w:textAlignment w:val="baseline"/>
    </w:pPr>
    <w:rPr>
      <w:rFonts w:eastAsia="楷体_GB2312"/>
      <w:spacing w:val="8"/>
      <w:kern w:val="0"/>
      <w:sz w:val="28"/>
      <w:szCs w:val="20"/>
    </w:rPr>
  </w:style>
  <w:style w:type="paragraph" w:customStyle="1" w:styleId="747">
    <w:name w:val="xl144"/>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48">
    <w:name w:val="图编号"/>
    <w:basedOn w:val="417"/>
    <w:autoRedefine/>
    <w:qFormat/>
    <w:uiPriority w:val="0"/>
    <w:pPr>
      <w:tabs>
        <w:tab w:val="left" w:pos="763"/>
        <w:tab w:val="left" w:pos="1440"/>
      </w:tabs>
      <w:spacing w:before="300" w:after="300" w:line="360" w:lineRule="auto"/>
      <w:ind w:left="400" w:leftChars="400" w:hanging="200" w:hangingChars="200"/>
    </w:pPr>
    <w:rPr>
      <w:rFonts w:ascii="Times New Roman" w:hAnsi="Times New Roman" w:eastAsia="宋体"/>
      <w:kern w:val="0"/>
      <w:sz w:val="20"/>
      <w:szCs w:val="24"/>
    </w:rPr>
  </w:style>
  <w:style w:type="paragraph" w:customStyle="1" w:styleId="749">
    <w:name w:val="xl169"/>
    <w:basedOn w:val="1"/>
    <w:autoRedefine/>
    <w:qFormat/>
    <w:uiPriority w:val="0"/>
    <w:pPr>
      <w:widowControl/>
      <w:pBdr>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750">
    <w:name w:val="样式13"/>
    <w:basedOn w:val="1"/>
    <w:next w:val="28"/>
    <w:autoRedefine/>
    <w:qFormat/>
    <w:uiPriority w:val="0"/>
    <w:pPr>
      <w:adjustRightInd w:val="0"/>
      <w:spacing w:line="500" w:lineRule="exact"/>
      <w:ind w:firstLine="200" w:firstLineChars="200"/>
      <w:textAlignment w:val="baseline"/>
    </w:pPr>
    <w:rPr>
      <w:rFonts w:ascii="仿宋_GB2312" w:hAnsi="宋体" w:eastAsia="仿宋_GB2312"/>
      <w:color w:val="FF0000"/>
      <w:sz w:val="28"/>
      <w:szCs w:val="28"/>
    </w:rPr>
  </w:style>
  <w:style w:type="paragraph" w:customStyle="1" w:styleId="751">
    <w:name w:val="表格03"/>
    <w:basedOn w:val="1"/>
    <w:autoRedefine/>
    <w:qFormat/>
    <w:uiPriority w:val="0"/>
    <w:pPr>
      <w:spacing w:line="400" w:lineRule="exact"/>
      <w:jc w:val="center"/>
    </w:pPr>
    <w:rPr>
      <w:color w:val="000000"/>
      <w:sz w:val="24"/>
    </w:rPr>
  </w:style>
  <w:style w:type="paragraph" w:customStyle="1" w:styleId="752">
    <w:name w:val="xl104"/>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753">
    <w:name w:val="扉页 黑体缩进"/>
    <w:basedOn w:val="1"/>
    <w:autoRedefine/>
    <w:qFormat/>
    <w:uiPriority w:val="0"/>
    <w:pPr>
      <w:spacing w:before="240" w:after="240" w:line="480" w:lineRule="exact"/>
      <w:ind w:firstLine="2240" w:firstLineChars="700"/>
      <w:jc w:val="left"/>
    </w:pPr>
    <w:rPr>
      <w:rFonts w:eastAsia="黑体"/>
      <w:sz w:val="32"/>
      <w:szCs w:val="20"/>
    </w:rPr>
  </w:style>
  <w:style w:type="paragraph" w:customStyle="1" w:styleId="754">
    <w:name w:val="xl33"/>
    <w:basedOn w:val="1"/>
    <w:autoRedefine/>
    <w:qFormat/>
    <w:uiPriority w:val="0"/>
    <w:pPr>
      <w:widowControl/>
      <w:spacing w:before="100" w:beforeAutospacing="1" w:after="100" w:afterAutospacing="1"/>
      <w:jc w:val="left"/>
    </w:pPr>
    <w:rPr>
      <w:rFonts w:ascii="Arial" w:hAnsi="Arial" w:cs="Arial"/>
      <w:kern w:val="0"/>
      <w:sz w:val="22"/>
      <w:szCs w:val="22"/>
    </w:rPr>
  </w:style>
  <w:style w:type="paragraph" w:customStyle="1" w:styleId="755">
    <w:name w:val="正文首行缩进2字"/>
    <w:basedOn w:val="1"/>
    <w:autoRedefine/>
    <w:qFormat/>
    <w:uiPriority w:val="0"/>
    <w:pPr>
      <w:adjustRightInd w:val="0"/>
      <w:snapToGrid w:val="0"/>
      <w:spacing w:line="300" w:lineRule="auto"/>
      <w:ind w:firstLine="563" w:firstLineChars="201"/>
    </w:pPr>
    <w:rPr>
      <w:sz w:val="28"/>
    </w:rPr>
  </w:style>
  <w:style w:type="paragraph" w:customStyle="1" w:styleId="756">
    <w:name w:val="xl82"/>
    <w:basedOn w:val="1"/>
    <w:autoRedefine/>
    <w:qFormat/>
    <w:uiPriority w:val="0"/>
    <w:pPr>
      <w:widowControl/>
      <w:pBdr>
        <w:left w:val="single" w:color="auto" w:sz="12" w:space="0"/>
        <w:bottom w:val="single" w:color="auto" w:sz="12" w:space="0"/>
      </w:pBdr>
      <w:spacing w:before="100" w:beforeAutospacing="1" w:after="100" w:afterAutospacing="1"/>
      <w:jc w:val="right"/>
      <w:textAlignment w:val="center"/>
    </w:pPr>
    <w:rPr>
      <w:rFonts w:ascii="Arial Unicode MS" w:hAnsi="Arial Unicode MS"/>
      <w:kern w:val="0"/>
      <w:sz w:val="12"/>
      <w:szCs w:val="12"/>
    </w:rPr>
  </w:style>
  <w:style w:type="paragraph" w:customStyle="1" w:styleId="757">
    <w:name w:val="1"/>
    <w:basedOn w:val="1"/>
    <w:next w:val="33"/>
    <w:autoRedefine/>
    <w:qFormat/>
    <w:uiPriority w:val="0"/>
    <w:pPr>
      <w:ind w:firstLine="480" w:firstLineChars="200"/>
    </w:pPr>
    <w:rPr>
      <w:sz w:val="24"/>
    </w:rPr>
  </w:style>
  <w:style w:type="paragraph" w:customStyle="1" w:styleId="758">
    <w:name w:val="样式"/>
    <w:basedOn w:val="1"/>
    <w:next w:val="372"/>
    <w:autoRedefine/>
    <w:qFormat/>
    <w:uiPriority w:val="0"/>
    <w:pPr>
      <w:tabs>
        <w:tab w:val="left" w:pos="280"/>
        <w:tab w:val="left" w:pos="620"/>
      </w:tabs>
      <w:adjustRightInd w:val="0"/>
      <w:snapToGrid w:val="0"/>
      <w:spacing w:before="240" w:after="240" w:line="480" w:lineRule="exact"/>
      <w:ind w:left="2098" w:right="392" w:rightChars="140" w:firstLine="454" w:firstLineChars="200"/>
    </w:pPr>
    <w:rPr>
      <w:sz w:val="28"/>
    </w:rPr>
  </w:style>
  <w:style w:type="paragraph" w:customStyle="1" w:styleId="759">
    <w:name w:val="高表标"/>
    <w:basedOn w:val="1"/>
    <w:autoRedefine/>
    <w:qFormat/>
    <w:uiPriority w:val="0"/>
    <w:pPr>
      <w:snapToGrid w:val="0"/>
      <w:spacing w:line="300" w:lineRule="auto"/>
      <w:jc w:val="right"/>
    </w:pPr>
    <w:rPr>
      <w:rFonts w:ascii="Arial" w:hAnsi="Arial" w:eastAsia="黑体"/>
      <w:bCs/>
      <w:sz w:val="24"/>
    </w:rPr>
  </w:style>
  <w:style w:type="paragraph" w:customStyle="1" w:styleId="760">
    <w:name w:val="五级条标题"/>
    <w:basedOn w:val="640"/>
    <w:next w:val="1"/>
    <w:autoRedefine/>
    <w:qFormat/>
    <w:uiPriority w:val="0"/>
    <w:pPr>
      <w:outlineLvl w:val="6"/>
    </w:pPr>
  </w:style>
  <w:style w:type="paragraph" w:customStyle="1" w:styleId="761">
    <w:name w:val="myformat_content Char"/>
    <w:basedOn w:val="1"/>
    <w:autoRedefine/>
    <w:qFormat/>
    <w:uiPriority w:val="0"/>
    <w:pPr>
      <w:spacing w:beforeLines="50" w:afterLines="50" w:line="360" w:lineRule="exact"/>
      <w:ind w:firstLine="480" w:firstLineChars="200"/>
    </w:pPr>
    <w:rPr>
      <w:sz w:val="24"/>
      <w:szCs w:val="20"/>
    </w:rPr>
  </w:style>
  <w:style w:type="paragraph" w:customStyle="1" w:styleId="762">
    <w:name w:val="xl123"/>
    <w:basedOn w:val="1"/>
    <w:autoRedefine/>
    <w:qFormat/>
    <w:uiPriority w:val="0"/>
    <w:pPr>
      <w:widowControl/>
      <w:pBdr>
        <w:top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763">
    <w:name w:val="xl149"/>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rPr>
  </w:style>
  <w:style w:type="paragraph" w:customStyle="1" w:styleId="764">
    <w:name w:val="表样式3"/>
    <w:basedOn w:val="1"/>
    <w:autoRedefine/>
    <w:qFormat/>
    <w:uiPriority w:val="0"/>
    <w:pPr>
      <w:spacing w:beforeLines="50" w:afterLines="50"/>
      <w:jc w:val="center"/>
    </w:pPr>
    <w:rPr>
      <w:rFonts w:ascii="宋体" w:hAnsi="宋体" w:eastAsia="黑体"/>
      <w:color w:val="000000"/>
      <w:szCs w:val="18"/>
    </w:rPr>
  </w:style>
  <w:style w:type="paragraph" w:customStyle="1" w:styleId="765">
    <w:name w:val="word"/>
    <w:basedOn w:val="1"/>
    <w:autoRedefine/>
    <w:qFormat/>
    <w:uiPriority w:val="0"/>
    <w:pPr>
      <w:spacing w:line="360" w:lineRule="auto"/>
      <w:ind w:firstLine="480" w:firstLineChars="200"/>
    </w:pPr>
    <w:rPr>
      <w:sz w:val="24"/>
    </w:rPr>
  </w:style>
  <w:style w:type="paragraph" w:customStyle="1" w:styleId="766">
    <w:name w:val="样式 标题 2 + 行距: 1.5 倍行距"/>
    <w:basedOn w:val="4"/>
    <w:autoRedefine/>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767">
    <w:name w:val="注"/>
    <w:basedOn w:val="1"/>
    <w:next w:val="1"/>
    <w:autoRedefine/>
    <w:qFormat/>
    <w:uiPriority w:val="0"/>
    <w:pPr>
      <w:widowControl/>
      <w:spacing w:before="60" w:after="60" w:line="312" w:lineRule="auto"/>
    </w:pPr>
    <w:rPr>
      <w:rFonts w:eastAsia="黑体"/>
      <w:kern w:val="0"/>
      <w:szCs w:val="20"/>
    </w:rPr>
  </w:style>
  <w:style w:type="paragraph" w:customStyle="1" w:styleId="768">
    <w:name w:val="样式 正文文本 + 左侧:  2 字符 首行缩进:  2 字符"/>
    <w:basedOn w:val="31"/>
    <w:autoRedefine/>
    <w:qFormat/>
    <w:uiPriority w:val="0"/>
    <w:pPr>
      <w:widowControl w:val="0"/>
      <w:adjustRightInd w:val="0"/>
      <w:spacing w:before="0" w:after="0" w:line="360" w:lineRule="auto"/>
      <w:ind w:left="480" w:leftChars="200" w:right="0" w:firstLine="480" w:firstLineChars="200"/>
      <w:jc w:val="left"/>
    </w:pPr>
    <w:rPr>
      <w:rFonts w:ascii="Arial" w:hAnsi="Arial" w:cs="宋体"/>
      <w:kern w:val="2"/>
      <w:sz w:val="24"/>
    </w:rPr>
  </w:style>
  <w:style w:type="paragraph" w:customStyle="1" w:styleId="769">
    <w:name w:val="xl31"/>
    <w:basedOn w:val="1"/>
    <w:autoRedefine/>
    <w:qFormat/>
    <w:uiPriority w:val="0"/>
    <w:pPr>
      <w:widowControl/>
      <w:spacing w:before="100" w:beforeAutospacing="1" w:after="100" w:afterAutospacing="1"/>
      <w:jc w:val="center"/>
      <w:textAlignment w:val="bottom"/>
    </w:pPr>
    <w:rPr>
      <w:rFonts w:ascii="Arial" w:hAnsi="Arial" w:cs="Arial"/>
      <w:b/>
      <w:bCs/>
      <w:kern w:val="0"/>
      <w:sz w:val="28"/>
      <w:szCs w:val="28"/>
    </w:rPr>
  </w:style>
  <w:style w:type="paragraph" w:customStyle="1" w:styleId="770">
    <w:name w:val="表名称"/>
    <w:autoRedefine/>
    <w:semiHidden/>
    <w:qFormat/>
    <w:uiPriority w:val="0"/>
    <w:pPr>
      <w:widowControl w:val="0"/>
      <w:spacing w:before="240" w:line="288" w:lineRule="auto"/>
      <w:jc w:val="both"/>
    </w:pPr>
    <w:rPr>
      <w:rFonts w:ascii="Times New Roman" w:hAnsi="Times New Roman" w:eastAsia="宋体" w:cs="Times New Roman"/>
      <w:kern w:val="2"/>
      <w:sz w:val="24"/>
      <w:szCs w:val="24"/>
      <w:lang w:val="en-US" w:eastAsia="zh-CN" w:bidi="ar-SA"/>
    </w:rPr>
  </w:style>
  <w:style w:type="paragraph" w:customStyle="1" w:styleId="771">
    <w:name w:val="Char Char Char Char Char Char"/>
    <w:basedOn w:val="1"/>
    <w:autoRedefine/>
    <w:qFormat/>
    <w:uiPriority w:val="0"/>
    <w:rPr>
      <w:sz w:val="24"/>
    </w:rPr>
  </w:style>
  <w:style w:type="paragraph" w:customStyle="1" w:styleId="772">
    <w:name w:val="标准"/>
    <w:basedOn w:val="1"/>
    <w:autoRedefine/>
    <w:qFormat/>
    <w:uiPriority w:val="0"/>
    <w:pPr>
      <w:adjustRightInd w:val="0"/>
      <w:spacing w:line="312" w:lineRule="atLeast"/>
      <w:jc w:val="center"/>
      <w:textAlignment w:val="baseline"/>
    </w:pPr>
    <w:rPr>
      <w:kern w:val="0"/>
      <w:szCs w:val="20"/>
    </w:rPr>
  </w:style>
  <w:style w:type="paragraph" w:customStyle="1" w:styleId="773">
    <w:name w:val="样式 样式 正文 首行缩进:  2 字符 + (中文) 楷体_GB2312 + 宋体 首行缩进:  2 字符 段前: 7.8..."/>
    <w:basedOn w:val="411"/>
    <w:autoRedefine/>
    <w:qFormat/>
    <w:uiPriority w:val="0"/>
    <w:rPr>
      <w:rFonts w:eastAsia="宋体"/>
    </w:rPr>
  </w:style>
  <w:style w:type="paragraph" w:customStyle="1" w:styleId="774">
    <w:name w:val="样式 样式 标题 3东明_小节H3条标题1.1.1二级节名h33rd level3l3CTHeading 3 - ... + 段..."/>
    <w:basedOn w:val="646"/>
    <w:autoRedefine/>
    <w:qFormat/>
    <w:uiPriority w:val="0"/>
    <w:pPr>
      <w:spacing w:after="156"/>
    </w:pPr>
  </w:style>
  <w:style w:type="paragraph" w:customStyle="1" w:styleId="775">
    <w:name w:val="首行缩进"/>
    <w:basedOn w:val="1"/>
    <w:autoRedefine/>
    <w:qFormat/>
    <w:uiPriority w:val="0"/>
    <w:pPr>
      <w:spacing w:line="360" w:lineRule="auto"/>
      <w:ind w:firstLine="480" w:firstLineChars="200"/>
    </w:pPr>
    <w:rPr>
      <w:sz w:val="24"/>
    </w:rPr>
  </w:style>
  <w:style w:type="paragraph" w:customStyle="1" w:styleId="776">
    <w:name w:val="Char Char Char Char Char Char Char Char Char Char Char Char Char Char Char Char"/>
    <w:basedOn w:val="1"/>
    <w:autoRedefine/>
    <w:qFormat/>
    <w:uiPriority w:val="0"/>
    <w:rPr>
      <w:rFonts w:cs="宋体"/>
      <w:bCs/>
      <w:color w:val="000000"/>
      <w:szCs w:val="28"/>
    </w:rPr>
  </w:style>
  <w:style w:type="paragraph" w:customStyle="1" w:styleId="777">
    <w:name w:val="修订1"/>
    <w:autoRedefine/>
    <w:semiHidden/>
    <w:qFormat/>
    <w:uiPriority w:val="0"/>
    <w:rPr>
      <w:rFonts w:ascii="Times New Roman" w:hAnsi="Times New Roman" w:eastAsia="宋体" w:cs="Times New Roman"/>
      <w:kern w:val="2"/>
      <w:sz w:val="24"/>
      <w:szCs w:val="21"/>
      <w:lang w:val="en-US" w:eastAsia="zh-CN" w:bidi="ar-SA"/>
    </w:rPr>
  </w:style>
  <w:style w:type="paragraph" w:customStyle="1" w:styleId="778">
    <w:name w:val="文本框"/>
    <w:basedOn w:val="1"/>
    <w:autoRedefine/>
    <w:qFormat/>
    <w:uiPriority w:val="0"/>
    <w:pPr>
      <w:adjustRightInd w:val="0"/>
      <w:snapToGrid w:val="0"/>
      <w:spacing w:line="300" w:lineRule="exact"/>
      <w:jc w:val="center"/>
    </w:pPr>
    <w:rPr>
      <w:sz w:val="24"/>
    </w:rPr>
  </w:style>
  <w:style w:type="paragraph" w:customStyle="1" w:styleId="779">
    <w:name w:val="xl69"/>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780">
    <w:name w:val="五号表格"/>
    <w:next w:val="1"/>
    <w:autoRedefine/>
    <w:qFormat/>
    <w:uiPriority w:val="0"/>
    <w:rPr>
      <w:rFonts w:ascii="宋体" w:hAnsi="Times New Roman" w:eastAsia="宋体" w:cs="Times New Roman"/>
      <w:sz w:val="21"/>
      <w:lang w:val="en-US" w:eastAsia="zh-CN" w:bidi="ar-SA"/>
    </w:rPr>
  </w:style>
  <w:style w:type="paragraph" w:customStyle="1" w:styleId="781">
    <w:name w:val="样式 样式 样式 首行缩进:  2 字符 + 首行缩进:  2 字符 + 首行缩进:  2 字符"/>
    <w:basedOn w:val="1"/>
    <w:autoRedefine/>
    <w:qFormat/>
    <w:uiPriority w:val="0"/>
    <w:pPr>
      <w:spacing w:line="360" w:lineRule="auto"/>
      <w:ind w:firstLine="480" w:firstLineChars="200"/>
    </w:pPr>
    <w:rPr>
      <w:rFonts w:eastAsia="仿宋_GB2312"/>
      <w:sz w:val="24"/>
      <w:szCs w:val="20"/>
    </w:rPr>
  </w:style>
  <w:style w:type="paragraph" w:customStyle="1" w:styleId="782">
    <w:name w:val="xl18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783">
    <w:name w:val="xl88"/>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4">
    <w:name w:val="注释"/>
    <w:basedOn w:val="211"/>
    <w:autoRedefine/>
    <w:qFormat/>
    <w:uiPriority w:val="0"/>
    <w:pPr>
      <w:ind w:firstLine="420"/>
    </w:pPr>
    <w:rPr>
      <w:sz w:val="21"/>
      <w:szCs w:val="24"/>
    </w:rPr>
  </w:style>
  <w:style w:type="paragraph" w:customStyle="1" w:styleId="785">
    <w:name w:val="xl131"/>
    <w:basedOn w:val="1"/>
    <w:autoRedefine/>
    <w:qFormat/>
    <w:uiPriority w:val="0"/>
    <w:pPr>
      <w:widowControl/>
      <w:pBdr>
        <w:left w:val="single" w:color="auto" w:sz="4" w:space="0"/>
        <w:right w:val="single" w:color="auto" w:sz="8" w:space="0"/>
      </w:pBdr>
      <w:spacing w:before="100" w:beforeAutospacing="1" w:after="100" w:afterAutospacing="1"/>
      <w:jc w:val="left"/>
    </w:pPr>
    <w:rPr>
      <w:rFonts w:ascii="Arial Unicode MS" w:hAnsi="Arial Unicode MS"/>
      <w:kern w:val="0"/>
    </w:rPr>
  </w:style>
  <w:style w:type="paragraph" w:customStyle="1" w:styleId="786">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787">
    <w:name w:val="xl80"/>
    <w:basedOn w:val="1"/>
    <w:autoRedefine/>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8">
    <w:name w:val="样式 标题 2东明_节Chapter HeadingHeading 2 HiddenHeading 2 CCBShea..."/>
    <w:basedOn w:val="4"/>
    <w:autoRedefine/>
    <w:qFormat/>
    <w:uiPriority w:val="0"/>
    <w:pPr>
      <w:spacing w:before="0" w:after="0" w:line="360" w:lineRule="auto"/>
    </w:pPr>
    <w:rPr>
      <w:rFonts w:ascii="Times New Roman" w:hAnsi="Times New Roman" w:cs="宋体"/>
      <w:kern w:val="44"/>
      <w:sz w:val="28"/>
      <w:szCs w:val="20"/>
      <w:lang w:val="zh-CN"/>
    </w:rPr>
  </w:style>
  <w:style w:type="paragraph" w:customStyle="1" w:styleId="789">
    <w:name w:val="Char Char Char4 Char Char Char Char Char Char3"/>
    <w:basedOn w:val="1"/>
    <w:autoRedefine/>
    <w:qFormat/>
    <w:uiPriority w:val="0"/>
    <w:rPr>
      <w:rFonts w:ascii="宋体" w:hAnsi="宋体" w:cs="宋体"/>
      <w:sz w:val="24"/>
    </w:rPr>
  </w:style>
  <w:style w:type="paragraph" w:customStyle="1" w:styleId="790">
    <w:name w:val="前言、引言标题"/>
    <w:next w:val="1"/>
    <w:autoRedefine/>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791">
    <w:name w:val="项目编号"/>
    <w:basedOn w:val="1"/>
    <w:next w:val="1"/>
    <w:autoRedefine/>
    <w:qFormat/>
    <w:uiPriority w:val="0"/>
    <w:pPr>
      <w:spacing w:before="120" w:after="120" w:line="360" w:lineRule="auto"/>
    </w:pPr>
    <w:rPr>
      <w:sz w:val="24"/>
      <w:szCs w:val="20"/>
    </w:rPr>
  </w:style>
  <w:style w:type="paragraph" w:customStyle="1" w:styleId="792">
    <w:name w:val="xl38"/>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93">
    <w:name w:val="图目"/>
    <w:basedOn w:val="1"/>
    <w:autoRedefine/>
    <w:qFormat/>
    <w:uiPriority w:val="0"/>
    <w:pPr>
      <w:snapToGrid w:val="0"/>
      <w:spacing w:before="360" w:after="360" w:line="440" w:lineRule="atLeast"/>
      <w:jc w:val="center"/>
    </w:pPr>
    <w:rPr>
      <w:rFonts w:ascii="黑体" w:hAnsi="Arial" w:eastAsia="黑体"/>
      <w:sz w:val="24"/>
      <w:szCs w:val="20"/>
    </w:rPr>
  </w:style>
  <w:style w:type="paragraph" w:customStyle="1" w:styleId="794">
    <w:name w:val="Char Char Char1 Char Char Char Char Char Char Char Char Char Char"/>
    <w:basedOn w:val="1"/>
    <w:autoRedefine/>
    <w:qFormat/>
    <w:uiPriority w:val="0"/>
  </w:style>
  <w:style w:type="paragraph" w:customStyle="1" w:styleId="795">
    <w:name w:val="表居中（中文）"/>
    <w:basedOn w:val="1"/>
    <w:autoRedefine/>
    <w:qFormat/>
    <w:uiPriority w:val="0"/>
    <w:pPr>
      <w:adjustRightInd w:val="0"/>
      <w:spacing w:line="380" w:lineRule="atLeast"/>
      <w:jc w:val="center"/>
      <w:textAlignment w:val="baseline"/>
    </w:pPr>
    <w:rPr>
      <w:rFonts w:eastAsia="楷体_GB2312"/>
      <w:kern w:val="0"/>
      <w:sz w:val="24"/>
      <w:szCs w:val="20"/>
    </w:rPr>
  </w:style>
  <w:style w:type="paragraph" w:customStyle="1" w:styleId="796">
    <w:name w:val="xl18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97">
    <w:name w:val="样式a"/>
    <w:basedOn w:val="1"/>
    <w:autoRedefine/>
    <w:qFormat/>
    <w:uiPriority w:val="0"/>
    <w:pPr>
      <w:adjustRightInd w:val="0"/>
      <w:snapToGrid w:val="0"/>
      <w:spacing w:line="420" w:lineRule="exact"/>
      <w:ind w:firstLine="200" w:firstLineChars="200"/>
      <w:textAlignment w:val="baseline"/>
    </w:pPr>
    <w:rPr>
      <w:kern w:val="0"/>
      <w:sz w:val="24"/>
    </w:rPr>
  </w:style>
  <w:style w:type="paragraph" w:customStyle="1" w:styleId="798">
    <w:name w:val="xl71"/>
    <w:basedOn w:val="1"/>
    <w:autoRedefine/>
    <w:qFormat/>
    <w:uiPriority w:val="0"/>
    <w:pPr>
      <w:widowControl/>
      <w:spacing w:before="100" w:beforeAutospacing="1" w:after="100" w:afterAutospacing="1"/>
      <w:jc w:val="left"/>
    </w:pPr>
    <w:rPr>
      <w:rFonts w:ascii="宋体" w:hAnsi="宋体"/>
      <w:b/>
      <w:bCs/>
      <w:kern w:val="0"/>
      <w:sz w:val="20"/>
      <w:szCs w:val="20"/>
    </w:rPr>
  </w:style>
  <w:style w:type="paragraph" w:customStyle="1" w:styleId="799">
    <w:name w:val="xl98"/>
    <w:basedOn w:val="1"/>
    <w:autoRedefine/>
    <w:qFormat/>
    <w:uiPriority w:val="0"/>
    <w:pPr>
      <w:widowControl/>
      <w:pBdr>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00">
    <w:name w:val="4"/>
    <w:basedOn w:val="1"/>
    <w:autoRedefine/>
    <w:qFormat/>
    <w:uiPriority w:val="0"/>
    <w:rPr>
      <w:sz w:val="28"/>
    </w:rPr>
  </w:style>
  <w:style w:type="paragraph" w:customStyle="1" w:styleId="801">
    <w:name w:val="样式 标题 1章标题 11标题 1H1一、 + 行距: 1.5 倍行距4"/>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802">
    <w:name w:val="样式 列表 2 + 华文仿宋 居中"/>
    <w:basedOn w:val="35"/>
    <w:autoRedefine/>
    <w:qFormat/>
    <w:uiPriority w:val="0"/>
    <w:pPr>
      <w:ind w:left="0" w:leftChars="0" w:firstLine="0" w:firstLineChars="0"/>
      <w:jc w:val="center"/>
    </w:pPr>
    <w:rPr>
      <w:rFonts w:ascii="宋体" w:hAnsi="宋体" w:eastAsia="宋体"/>
      <w:snapToGrid/>
      <w:kern w:val="2"/>
      <w:sz w:val="21"/>
      <w:szCs w:val="21"/>
    </w:rPr>
  </w:style>
  <w:style w:type="paragraph" w:customStyle="1" w:styleId="803">
    <w:name w:val="样式 样式 首行缩进:  0.85 厘米 行距: 1.5 倍行距 + 段后: 0.3 行"/>
    <w:basedOn w:val="804"/>
    <w:autoRedefine/>
    <w:semiHidden/>
    <w:qFormat/>
    <w:uiPriority w:val="0"/>
  </w:style>
  <w:style w:type="paragraph" w:customStyle="1" w:styleId="804">
    <w:name w:val="样式 首行缩进:  0.85 厘米 行距: 1.5 倍行距"/>
    <w:basedOn w:val="1"/>
    <w:autoRedefine/>
    <w:semiHidden/>
    <w:qFormat/>
    <w:uiPriority w:val="0"/>
    <w:pPr>
      <w:snapToGrid w:val="0"/>
      <w:spacing w:beforeLines="50" w:line="360" w:lineRule="auto"/>
      <w:ind w:firstLine="480" w:firstLineChars="200"/>
    </w:pPr>
    <w:rPr>
      <w:sz w:val="24"/>
      <w:szCs w:val="20"/>
    </w:rPr>
  </w:style>
  <w:style w:type="paragraph" w:customStyle="1" w:styleId="805">
    <w:name w:val="正文首行缩进2"/>
    <w:basedOn w:val="1"/>
    <w:autoRedefine/>
    <w:qFormat/>
    <w:uiPriority w:val="0"/>
    <w:pPr>
      <w:snapToGrid w:val="0"/>
      <w:spacing w:line="500" w:lineRule="exact"/>
      <w:ind w:firstLine="480" w:firstLineChars="200"/>
    </w:pPr>
    <w:rPr>
      <w:sz w:val="18"/>
      <w:szCs w:val="20"/>
    </w:rPr>
  </w:style>
  <w:style w:type="paragraph" w:customStyle="1" w:styleId="806">
    <w:name w:val="font6"/>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807">
    <w:name w:val="p6"/>
    <w:basedOn w:val="1"/>
    <w:autoRedefine/>
    <w:qFormat/>
    <w:uiPriority w:val="0"/>
    <w:pPr>
      <w:tabs>
        <w:tab w:val="left" w:pos="4720"/>
      </w:tabs>
      <w:spacing w:line="240" w:lineRule="atLeast"/>
      <w:ind w:left="3280"/>
      <w:jc w:val="left"/>
    </w:pPr>
    <w:rPr>
      <w:rFonts w:ascii="Arial" w:hAnsi="Arial"/>
      <w:snapToGrid w:val="0"/>
      <w:kern w:val="0"/>
      <w:sz w:val="24"/>
      <w:szCs w:val="20"/>
      <w:lang w:eastAsia="en-US"/>
    </w:rPr>
  </w:style>
  <w:style w:type="paragraph" w:customStyle="1" w:styleId="808">
    <w:name w:val="Char Char Char Char3"/>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09">
    <w:name w:val="font11"/>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810">
    <w:name w:val="样式 上标 Char"/>
    <w:basedOn w:val="685"/>
    <w:next w:val="685"/>
    <w:autoRedefine/>
    <w:qFormat/>
    <w:uiPriority w:val="0"/>
    <w:pPr>
      <w:spacing w:before="0" w:after="0" w:line="320" w:lineRule="exact"/>
      <w:ind w:firstLine="200"/>
    </w:pPr>
    <w:rPr>
      <w:caps/>
      <w:szCs w:val="36"/>
    </w:rPr>
  </w:style>
  <w:style w:type="paragraph" w:customStyle="1" w:styleId="811">
    <w:name w:val="样式 样式 首行缩进:  2 字符 + 首行缩进:  2 字符2"/>
    <w:basedOn w:val="1"/>
    <w:autoRedefine/>
    <w:qFormat/>
    <w:uiPriority w:val="0"/>
    <w:pPr>
      <w:spacing w:line="440" w:lineRule="exact"/>
      <w:ind w:firstLine="584" w:firstLineChars="200"/>
    </w:pPr>
    <w:rPr>
      <w:rFonts w:eastAsia="楷体_GB2312" w:cs="宋体"/>
      <w:spacing w:val="6"/>
      <w:kern w:val="0"/>
      <w:sz w:val="28"/>
      <w:szCs w:val="20"/>
    </w:rPr>
  </w:style>
  <w:style w:type="paragraph" w:customStyle="1" w:styleId="812">
    <w:name w:val="xl22"/>
    <w:basedOn w:val="1"/>
    <w:autoRedefine/>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813">
    <w:name w:val="正文缩进3"/>
    <w:basedOn w:val="1"/>
    <w:autoRedefine/>
    <w:qFormat/>
    <w:uiPriority w:val="0"/>
    <w:pPr>
      <w:adjustRightInd w:val="0"/>
      <w:ind w:firstLine="420" w:firstLineChars="200"/>
      <w:textAlignment w:val="baseline"/>
    </w:pPr>
    <w:rPr>
      <w:rFonts w:hint="eastAsia" w:hAnsi="宋体"/>
      <w:sz w:val="24"/>
      <w:szCs w:val="20"/>
    </w:rPr>
  </w:style>
  <w:style w:type="paragraph" w:customStyle="1" w:styleId="814">
    <w:name w:val="样式 标题 2 + 首行缩进:  2.5 字符"/>
    <w:basedOn w:val="4"/>
    <w:autoRedefine/>
    <w:qFormat/>
    <w:uiPriority w:val="0"/>
    <w:pPr>
      <w:keepNext w:val="0"/>
      <w:keepLines w:val="0"/>
      <w:tabs>
        <w:tab w:val="left" w:pos="840"/>
      </w:tabs>
      <w:spacing w:before="0" w:after="0" w:line="240" w:lineRule="auto"/>
      <w:ind w:left="840" w:hanging="420"/>
    </w:pPr>
    <w:rPr>
      <w:rFonts w:ascii="Times New Roman" w:hAnsi="Times New Roman" w:eastAsia="楷体_GB2312" w:cs="宋体"/>
      <w:b w:val="0"/>
      <w:bCs w:val="0"/>
      <w:kern w:val="0"/>
      <w:sz w:val="28"/>
      <w:szCs w:val="20"/>
    </w:rPr>
  </w:style>
  <w:style w:type="paragraph" w:customStyle="1" w:styleId="815">
    <w:name w:val="xl132"/>
    <w:basedOn w:val="1"/>
    <w:autoRedefine/>
    <w:qFormat/>
    <w:uiPriority w:val="0"/>
    <w:pPr>
      <w:widowControl/>
      <w:pBdr>
        <w:top w:val="single" w:color="auto" w:sz="12" w:space="0"/>
        <w:lef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816">
    <w:name w:val="xl66"/>
    <w:basedOn w:val="1"/>
    <w:autoRedefine/>
    <w:qFormat/>
    <w:uiPriority w:val="0"/>
    <w:pPr>
      <w:widowControl/>
      <w:spacing w:before="100" w:beforeAutospacing="1" w:after="100" w:afterAutospacing="1"/>
      <w:jc w:val="center"/>
      <w:textAlignment w:val="bottom"/>
    </w:pPr>
    <w:rPr>
      <w:rFonts w:ascii="宋体" w:hAnsi="宋体"/>
      <w:b/>
      <w:bCs/>
      <w:color w:val="0000FF"/>
      <w:kern w:val="0"/>
      <w:sz w:val="22"/>
      <w:szCs w:val="22"/>
    </w:rPr>
  </w:style>
  <w:style w:type="paragraph" w:customStyle="1" w:styleId="817">
    <w:name w:val="dandan6-13正文 Char Char Char Char Char Char"/>
    <w:basedOn w:val="1"/>
    <w:next w:val="1"/>
    <w:autoRedefine/>
    <w:qFormat/>
    <w:uiPriority w:val="0"/>
    <w:pPr>
      <w:keepNext/>
      <w:keepLines/>
      <w:widowControl/>
      <w:adjustRightInd w:val="0"/>
      <w:spacing w:before="40" w:after="40" w:line="360" w:lineRule="auto"/>
      <w:ind w:firstLine="200" w:firstLineChars="200"/>
      <w:textAlignment w:val="baseline"/>
    </w:pPr>
    <w:rPr>
      <w:szCs w:val="20"/>
    </w:rPr>
  </w:style>
  <w:style w:type="paragraph" w:customStyle="1" w:styleId="818">
    <w:name w:val="xl120"/>
    <w:basedOn w:val="1"/>
    <w:autoRedefine/>
    <w:qFormat/>
    <w:uiPriority w:val="0"/>
    <w:pPr>
      <w:widowControl/>
      <w:spacing w:before="100" w:beforeAutospacing="1" w:after="100" w:afterAutospacing="1"/>
      <w:jc w:val="left"/>
      <w:textAlignment w:val="center"/>
    </w:pPr>
    <w:rPr>
      <w:rFonts w:ascii="Arial Unicode MS" w:hAnsi="Arial Unicode MS"/>
      <w:kern w:val="0"/>
      <w:sz w:val="12"/>
      <w:szCs w:val="12"/>
    </w:rPr>
  </w:style>
  <w:style w:type="paragraph" w:customStyle="1" w:styleId="819">
    <w:name w:val="xl105"/>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20">
    <w:name w:val="目录3"/>
    <w:basedOn w:val="1"/>
    <w:autoRedefine/>
    <w:qFormat/>
    <w:uiPriority w:val="0"/>
    <w:pPr>
      <w:tabs>
        <w:tab w:val="right" w:leader="dot" w:pos="8112"/>
        <w:tab w:val="right" w:leader="dot" w:pos="8160"/>
        <w:tab w:val="right" w:leader="dot" w:pos="8280"/>
      </w:tabs>
      <w:spacing w:line="480" w:lineRule="exact"/>
      <w:ind w:left="1134"/>
      <w:jc w:val="left"/>
    </w:pPr>
    <w:rPr>
      <w:bCs/>
      <w:sz w:val="28"/>
      <w:szCs w:val="20"/>
    </w:rPr>
  </w:style>
  <w:style w:type="paragraph" w:customStyle="1" w:styleId="821">
    <w:name w:val="xl28"/>
    <w:basedOn w:val="1"/>
    <w:autoRedefine/>
    <w:qFormat/>
    <w:uiPriority w:val="0"/>
    <w:pPr>
      <w:widowControl/>
      <w:spacing w:before="100" w:beforeAutospacing="1" w:after="100" w:afterAutospacing="1"/>
      <w:jc w:val="center"/>
      <w:textAlignment w:val="bottom"/>
    </w:pPr>
    <w:rPr>
      <w:rFonts w:ascii="Arial" w:hAnsi="Arial" w:cs="Arial"/>
      <w:b/>
      <w:bCs/>
      <w:kern w:val="0"/>
      <w:sz w:val="24"/>
    </w:rPr>
  </w:style>
  <w:style w:type="paragraph" w:customStyle="1" w:styleId="822">
    <w:name w:val="样式 段前: 3 磅 段后: 3 磅"/>
    <w:basedOn w:val="1"/>
    <w:autoRedefine/>
    <w:qFormat/>
    <w:uiPriority w:val="0"/>
    <w:pPr>
      <w:adjustRightInd w:val="0"/>
      <w:snapToGrid w:val="0"/>
      <w:spacing w:line="360" w:lineRule="auto"/>
      <w:ind w:firstLine="480" w:firstLineChars="200"/>
    </w:pPr>
    <w:rPr>
      <w:rFonts w:ascii="宋体" w:hAnsi="宋体" w:cs="宋体"/>
      <w:snapToGrid w:val="0"/>
      <w:color w:val="000000"/>
      <w:kern w:val="0"/>
      <w:sz w:val="24"/>
    </w:rPr>
  </w:style>
  <w:style w:type="paragraph" w:customStyle="1" w:styleId="823">
    <w:name w:val="xl15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824">
    <w:name w:val="Char Char Char Char4"/>
    <w:basedOn w:val="1"/>
    <w:autoRedefine/>
    <w:qFormat/>
    <w:uiPriority w:val="0"/>
    <w:pPr>
      <w:snapToGrid w:val="0"/>
      <w:ind w:firstLine="200" w:firstLineChars="200"/>
    </w:pPr>
  </w:style>
  <w:style w:type="paragraph" w:customStyle="1" w:styleId="825">
    <w:name w:val="p0"/>
    <w:basedOn w:val="1"/>
    <w:autoRedefine/>
    <w:qFormat/>
    <w:uiPriority w:val="0"/>
    <w:pPr>
      <w:widowControl/>
    </w:pPr>
    <w:rPr>
      <w:kern w:val="0"/>
    </w:rPr>
  </w:style>
  <w:style w:type="paragraph" w:customStyle="1" w:styleId="826">
    <w:name w:val="xl166"/>
    <w:basedOn w:val="1"/>
    <w:autoRedefine/>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27">
    <w:name w:val="xl46"/>
    <w:basedOn w:val="1"/>
    <w:autoRedefine/>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 w:val="24"/>
    </w:rPr>
  </w:style>
  <w:style w:type="paragraph" w:customStyle="1" w:styleId="828">
    <w:name w:val="xl25"/>
    <w:basedOn w:val="1"/>
    <w:autoRedefine/>
    <w:qFormat/>
    <w:uiPriority w:val="0"/>
    <w:pPr>
      <w:widowControl/>
      <w:pBdr>
        <w:bottom w:val="single" w:color="auto" w:sz="4" w:space="0"/>
        <w:right w:val="single" w:color="auto" w:sz="4" w:space="0"/>
      </w:pBdr>
      <w:spacing w:before="100" w:beforeAutospacing="1" w:after="100" w:afterAutospacing="1"/>
      <w:jc w:val="center"/>
      <w:textAlignment w:val="top"/>
    </w:pPr>
    <w:rPr>
      <w:kern w:val="0"/>
    </w:rPr>
  </w:style>
  <w:style w:type="paragraph" w:customStyle="1" w:styleId="829">
    <w:name w:val="正文可研"/>
    <w:basedOn w:val="1"/>
    <w:autoRedefine/>
    <w:qFormat/>
    <w:uiPriority w:val="0"/>
    <w:pPr>
      <w:autoSpaceDE w:val="0"/>
      <w:autoSpaceDN w:val="0"/>
      <w:adjustRightInd w:val="0"/>
      <w:spacing w:line="360" w:lineRule="auto"/>
      <w:ind w:firstLine="480" w:firstLineChars="200"/>
      <w:textAlignment w:val="baseline"/>
    </w:pPr>
    <w:rPr>
      <w:rFonts w:ascii="宋体" w:hAnsi="Tms Rmn" w:cs="宋体"/>
      <w:kern w:val="0"/>
      <w:sz w:val="24"/>
      <w:szCs w:val="20"/>
    </w:rPr>
  </w:style>
  <w:style w:type="paragraph" w:customStyle="1" w:styleId="830">
    <w:name w:val="正文样式3"/>
    <w:basedOn w:val="1"/>
    <w:autoRedefine/>
    <w:qFormat/>
    <w:uiPriority w:val="0"/>
    <w:pPr>
      <w:keepLines/>
      <w:adjustRightInd w:val="0"/>
      <w:spacing w:line="20" w:lineRule="atLeast"/>
      <w:ind w:firstLine="200" w:firstLineChars="200"/>
      <w:jc w:val="center"/>
      <w:textAlignment w:val="baseline"/>
    </w:pPr>
    <w:rPr>
      <w:rFonts w:eastAsia="仿宋_GB2312"/>
      <w:kern w:val="0"/>
      <w:sz w:val="24"/>
      <w:szCs w:val="20"/>
    </w:rPr>
  </w:style>
  <w:style w:type="paragraph" w:customStyle="1" w:styleId="831">
    <w:name w:val="Date1"/>
    <w:basedOn w:val="1"/>
    <w:next w:val="1"/>
    <w:autoRedefine/>
    <w:qFormat/>
    <w:uiPriority w:val="0"/>
    <w:pPr>
      <w:adjustRightInd w:val="0"/>
      <w:textAlignment w:val="baseline"/>
    </w:pPr>
  </w:style>
  <w:style w:type="paragraph" w:customStyle="1" w:styleId="832">
    <w:name w:val="表格中"/>
    <w:basedOn w:val="1"/>
    <w:autoRedefine/>
    <w:qFormat/>
    <w:uiPriority w:val="0"/>
    <w:rPr>
      <w:rFonts w:ascii="宋体"/>
    </w:rPr>
  </w:style>
  <w:style w:type="paragraph" w:customStyle="1" w:styleId="833">
    <w:name w:val="Char31"/>
    <w:basedOn w:val="1"/>
    <w:autoRedefine/>
    <w:qFormat/>
    <w:uiPriority w:val="0"/>
    <w:pPr>
      <w:spacing w:line="360" w:lineRule="auto"/>
      <w:ind w:firstLine="200" w:firstLineChars="200"/>
    </w:pPr>
    <w:rPr>
      <w:rFonts w:ascii="宋体" w:hAnsi="宋体" w:cs="宋体"/>
      <w:sz w:val="24"/>
    </w:rPr>
  </w:style>
  <w:style w:type="paragraph" w:customStyle="1" w:styleId="834">
    <w:name w:val="式中："/>
    <w:basedOn w:val="286"/>
    <w:autoRedefine/>
    <w:qFormat/>
    <w:uiPriority w:val="0"/>
    <w:pPr>
      <w:spacing w:after="0"/>
      <w:ind w:left="500" w:leftChars="500" w:firstLine="0" w:firstLineChars="0"/>
      <w:jc w:val="left"/>
    </w:pPr>
  </w:style>
  <w:style w:type="paragraph" w:customStyle="1" w:styleId="835">
    <w:name w:val="xl161"/>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36">
    <w:name w:val="defaultfon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837">
    <w:name w:val="普通文字 Char Char"/>
    <w:basedOn w:val="1"/>
    <w:next w:val="77"/>
    <w:autoRedefine/>
    <w:qFormat/>
    <w:uiPriority w:val="0"/>
    <w:rPr>
      <w:sz w:val="24"/>
    </w:rPr>
  </w:style>
  <w:style w:type="paragraph" w:customStyle="1" w:styleId="838">
    <w:name w:val="xl44"/>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39">
    <w:name w:val="xl142"/>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40">
    <w:name w:val="_Style 1"/>
    <w:basedOn w:val="1"/>
    <w:next w:val="8"/>
    <w:autoRedefine/>
    <w:qFormat/>
    <w:uiPriority w:val="0"/>
    <w:pPr>
      <w:adjustRightInd w:val="0"/>
      <w:spacing w:line="288" w:lineRule="auto"/>
      <w:ind w:firstLine="480"/>
      <w:textAlignment w:val="baseline"/>
    </w:pPr>
    <w:rPr>
      <w:rFonts w:ascii="宋体" w:hAnsi="宋体" w:cs="宋体"/>
      <w:sz w:val="24"/>
    </w:rPr>
  </w:style>
  <w:style w:type="paragraph" w:customStyle="1" w:styleId="841">
    <w:name w:val="xl56"/>
    <w:basedOn w:val="1"/>
    <w:autoRedefine/>
    <w:qFormat/>
    <w:uiPriority w:val="0"/>
    <w:pPr>
      <w:widowControl/>
      <w:spacing w:before="100" w:beforeAutospacing="1" w:after="100" w:afterAutospacing="1"/>
      <w:jc w:val="right"/>
    </w:pPr>
    <w:rPr>
      <w:rFonts w:ascii="Arial" w:hAnsi="Arial" w:cs="Arial"/>
      <w:b/>
      <w:bCs/>
      <w:i/>
      <w:iCs/>
      <w:kern w:val="0"/>
      <w:sz w:val="22"/>
      <w:szCs w:val="22"/>
    </w:rPr>
  </w:style>
  <w:style w:type="paragraph" w:customStyle="1" w:styleId="842">
    <w:name w:val="样式 样式 左侧:  2 字符 + 首行缩进:  2 字符 Char"/>
    <w:basedOn w:val="1"/>
    <w:autoRedefine/>
    <w:qFormat/>
    <w:uiPriority w:val="0"/>
    <w:pPr>
      <w:tabs>
        <w:tab w:val="left" w:pos="540"/>
      </w:tabs>
      <w:spacing w:line="360" w:lineRule="auto"/>
      <w:ind w:firstLine="478" w:firstLineChars="199"/>
    </w:pPr>
    <w:rPr>
      <w:rFonts w:ascii="宋体" w:hAnsi="宋体"/>
      <w:bCs/>
      <w:sz w:val="24"/>
    </w:rPr>
  </w:style>
  <w:style w:type="paragraph" w:customStyle="1" w:styleId="843">
    <w:name w:val="样式 标题 2 + 左侧:  0厘米 首行缩进:  0 厘米 右侧:  1 字符"/>
    <w:basedOn w:val="4"/>
    <w:autoRedefine/>
    <w:qFormat/>
    <w:uiPriority w:val="0"/>
    <w:pPr>
      <w:keepNext w:val="0"/>
      <w:keepLines w:val="0"/>
      <w:tabs>
        <w:tab w:val="left" w:pos="280"/>
        <w:tab w:val="left" w:pos="1400"/>
      </w:tabs>
      <w:adjustRightInd w:val="0"/>
      <w:snapToGrid w:val="0"/>
      <w:spacing w:before="50" w:after="240" w:line="480" w:lineRule="exact"/>
      <w:ind w:left="1233" w:right="280" w:rightChars="100" w:firstLine="567"/>
      <w:jc w:val="left"/>
    </w:pPr>
    <w:rPr>
      <w:rFonts w:ascii="Times New Roman" w:hAnsi="Times New Roman" w:eastAsia="宋体"/>
      <w:b w:val="0"/>
      <w:bCs w:val="0"/>
      <w:sz w:val="28"/>
      <w:szCs w:val="20"/>
    </w:rPr>
  </w:style>
  <w:style w:type="paragraph" w:customStyle="1" w:styleId="844">
    <w:name w:val="表格（大）"/>
    <w:basedOn w:val="1"/>
    <w:autoRedefine/>
    <w:qFormat/>
    <w:uiPriority w:val="0"/>
    <w:pPr>
      <w:jc w:val="center"/>
    </w:pPr>
    <w:rPr>
      <w:rFonts w:ascii="仿宋_GB2312" w:eastAsia="仿宋_GB2312"/>
      <w:color w:val="000000"/>
      <w:sz w:val="24"/>
      <w:szCs w:val="20"/>
    </w:rPr>
  </w:style>
  <w:style w:type="paragraph" w:customStyle="1" w:styleId="845">
    <w:name w:val="表格注释"/>
    <w:basedOn w:val="1"/>
    <w:next w:val="685"/>
    <w:autoRedefine/>
    <w:qFormat/>
    <w:uiPriority w:val="0"/>
    <w:pPr>
      <w:spacing w:before="240" w:after="240" w:line="480" w:lineRule="exact"/>
      <w:jc w:val="center"/>
    </w:pPr>
    <w:rPr>
      <w:sz w:val="24"/>
      <w:szCs w:val="20"/>
    </w:rPr>
  </w:style>
  <w:style w:type="paragraph" w:customStyle="1" w:styleId="846">
    <w:name w:val="标题16.1.1.1"/>
    <w:basedOn w:val="6"/>
    <w:autoRedefine/>
    <w:qFormat/>
    <w:uiPriority w:val="0"/>
    <w:pPr>
      <w:tabs>
        <w:tab w:val="left" w:pos="360"/>
      </w:tabs>
      <w:spacing w:before="120" w:after="120" w:line="312" w:lineRule="auto"/>
      <w:ind w:left="864" w:hanging="864"/>
      <w:contextualSpacing/>
    </w:pPr>
    <w:rPr>
      <w:rFonts w:ascii="Arial" w:hAnsi="Arial" w:eastAsia="黑体"/>
      <w:sz w:val="21"/>
      <w:szCs w:val="24"/>
    </w:rPr>
  </w:style>
  <w:style w:type="paragraph" w:customStyle="1" w:styleId="847">
    <w:name w:val="xl151"/>
    <w:basedOn w:val="1"/>
    <w:autoRedefine/>
    <w:qFormat/>
    <w:uiPriority w:val="0"/>
    <w:pPr>
      <w:widowControl/>
      <w:spacing w:before="100" w:beforeAutospacing="1" w:after="100" w:afterAutospacing="1"/>
      <w:jc w:val="left"/>
    </w:pPr>
    <w:rPr>
      <w:kern w:val="0"/>
      <w:sz w:val="16"/>
      <w:szCs w:val="16"/>
    </w:rPr>
  </w:style>
  <w:style w:type="paragraph" w:customStyle="1" w:styleId="848">
    <w:name w:val="样式 表格正文样式A-MHZ-居中定表长格文本 + 五号"/>
    <w:basedOn w:val="1"/>
    <w:autoRedefine/>
    <w:qFormat/>
    <w:uiPriority w:val="0"/>
    <w:pPr>
      <w:spacing w:line="360" w:lineRule="auto"/>
      <w:jc w:val="center"/>
    </w:pPr>
    <w:rPr>
      <w:rFonts w:cs="宋体"/>
      <w:kern w:val="24"/>
      <w:sz w:val="24"/>
    </w:rPr>
  </w:style>
  <w:style w:type="paragraph" w:customStyle="1" w:styleId="849">
    <w:name w:val="xl27"/>
    <w:basedOn w:val="1"/>
    <w:autoRedefine/>
    <w:qFormat/>
    <w:uiPriority w:val="0"/>
    <w:pPr>
      <w:widowControl/>
      <w:pBdr>
        <w:bottom w:val="single" w:color="auto" w:sz="12" w:space="0"/>
      </w:pBdr>
      <w:spacing w:before="100" w:after="100"/>
      <w:jc w:val="center"/>
    </w:pPr>
    <w:rPr>
      <w:rFonts w:ascii="宋体" w:hAnsi="宋体"/>
      <w:kern w:val="0"/>
      <w:szCs w:val="20"/>
    </w:rPr>
  </w:style>
  <w:style w:type="paragraph" w:customStyle="1" w:styleId="850">
    <w:name w:val="注："/>
    <w:next w:val="1"/>
    <w:autoRedefine/>
    <w:qFormat/>
    <w:uiPriority w:val="0"/>
    <w:pPr>
      <w:spacing w:line="300" w:lineRule="exact"/>
    </w:pPr>
    <w:rPr>
      <w:rFonts w:ascii="Times New Roman" w:hAnsi="Times New Roman" w:eastAsia="宋体" w:cs="宋体"/>
      <w:bCs/>
      <w:kern w:val="2"/>
      <w:sz w:val="18"/>
      <w:lang w:val="en-US" w:eastAsia="zh-CN" w:bidi="ar-SA"/>
    </w:rPr>
  </w:style>
  <w:style w:type="paragraph" w:customStyle="1" w:styleId="851">
    <w:name w:val="xl167"/>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52">
    <w:name w:val="正文表标题"/>
    <w:next w:val="1"/>
    <w:autoRedefine/>
    <w:qFormat/>
    <w:uiPriority w:val="0"/>
    <w:pPr>
      <w:numPr>
        <w:ilvl w:val="0"/>
        <w:numId w:val="8"/>
      </w:numPr>
      <w:spacing w:beforeLines="50" w:afterLines="50"/>
      <w:jc w:val="center"/>
    </w:pPr>
    <w:rPr>
      <w:rFonts w:ascii="黑体" w:hAnsi="Times New Roman" w:eastAsia="黑体" w:cs="Times New Roman"/>
      <w:sz w:val="21"/>
      <w:lang w:val="en-US" w:eastAsia="zh-CN" w:bidi="ar-SA"/>
    </w:rPr>
  </w:style>
  <w:style w:type="paragraph" w:customStyle="1" w:styleId="853">
    <w:name w:val="样式 样式 标题 4 + 宋体 行距: 1.5 倍行距 + 段前: 0.5 行"/>
    <w:basedOn w:val="634"/>
    <w:autoRedefine/>
    <w:qFormat/>
    <w:uiPriority w:val="0"/>
    <w:pPr>
      <w:snapToGrid/>
      <w:spacing w:beforeLines="0"/>
      <w:ind w:left="1984" w:hanging="1984"/>
      <w:jc w:val="both"/>
    </w:pPr>
    <w:rPr>
      <w:rFonts w:ascii="Times New Roman" w:eastAsia="黑体" w:cs="Times New Roman"/>
    </w:rPr>
  </w:style>
  <w:style w:type="paragraph" w:customStyle="1" w:styleId="854">
    <w:name w:val="小四表文左齐"/>
    <w:basedOn w:val="1"/>
    <w:autoRedefine/>
    <w:qFormat/>
    <w:uiPriority w:val="0"/>
    <w:pPr>
      <w:jc w:val="center"/>
    </w:pPr>
    <w:rPr>
      <w:rFonts w:ascii="仿宋_GB2312" w:hAnsi="宋体" w:eastAsia="仿宋_GB2312"/>
    </w:rPr>
  </w:style>
  <w:style w:type="paragraph" w:customStyle="1" w:styleId="855">
    <w:name w:val="TOC 标题2"/>
    <w:basedOn w:val="3"/>
    <w:next w:val="1"/>
    <w:autoRedefine/>
    <w:unhideWhenUsed/>
    <w:qFormat/>
    <w:uiPriority w:val="39"/>
    <w:pPr>
      <w:keepLines/>
      <w:widowControl/>
      <w:overflowPunct/>
      <w:snapToGrid/>
      <w:spacing w:before="240" w:after="0"/>
      <w:ind w:left="0" w:firstLine="0"/>
      <w:jc w:val="left"/>
      <w:outlineLvl w:val="9"/>
    </w:pPr>
    <w:rPr>
      <w:rFonts w:ascii="Cambria" w:hAnsi="Cambria" w:eastAsia="宋体"/>
      <w:b w:val="0"/>
      <w:bCs w:val="0"/>
      <w:color w:val="365F91"/>
      <w:kern w:val="0"/>
      <w:sz w:val="32"/>
      <w:szCs w:val="32"/>
    </w:rPr>
  </w:style>
  <w:style w:type="paragraph" w:customStyle="1" w:styleId="856">
    <w:name w:val="项目段落"/>
    <w:basedOn w:val="1"/>
    <w:autoRedefine/>
    <w:qFormat/>
    <w:uiPriority w:val="0"/>
    <w:pPr>
      <w:spacing w:before="60" w:line="360" w:lineRule="auto"/>
      <w:ind w:left="476" w:firstLine="482"/>
    </w:pPr>
    <w:rPr>
      <w:rFonts w:ascii="Arial" w:hAnsi="Arial" w:eastAsia="仿宋_GB2312"/>
      <w:kern w:val="0"/>
      <w:sz w:val="24"/>
      <w:szCs w:val="20"/>
    </w:rPr>
  </w:style>
  <w:style w:type="paragraph" w:customStyle="1" w:styleId="857">
    <w:name w:val="Char Char Char Char Char Char Char Char Char1 Char Char Char Char Char Char Char Char1 Char Char Char"/>
    <w:basedOn w:val="1"/>
    <w:autoRedefine/>
    <w:qFormat/>
    <w:uiPriority w:val="0"/>
    <w:pPr>
      <w:snapToGrid w:val="0"/>
      <w:spacing w:line="360" w:lineRule="auto"/>
      <w:ind w:firstLine="200" w:firstLineChars="200"/>
    </w:pPr>
    <w:rPr>
      <w:rFonts w:eastAsia="仿宋_GB2312"/>
      <w:sz w:val="24"/>
    </w:rPr>
  </w:style>
  <w:style w:type="paragraph" w:customStyle="1" w:styleId="858">
    <w:name w:val="默认段落字体 Para Char Char Char1 Char Char"/>
    <w:basedOn w:val="1"/>
    <w:autoRedefine/>
    <w:qFormat/>
    <w:uiPriority w:val="0"/>
    <w:rPr>
      <w:sz w:val="24"/>
    </w:rPr>
  </w:style>
  <w:style w:type="paragraph" w:customStyle="1" w:styleId="859">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60">
    <w:name w:val="xl48"/>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61">
    <w:name w:val="1正文段落"/>
    <w:basedOn w:val="1"/>
    <w:autoRedefine/>
    <w:qFormat/>
    <w:uiPriority w:val="0"/>
    <w:pPr>
      <w:spacing w:line="360" w:lineRule="auto"/>
      <w:ind w:firstLine="480" w:firstLineChars="200"/>
      <w:jc w:val="left"/>
    </w:pPr>
    <w:rPr>
      <w:snapToGrid w:val="0"/>
      <w:kern w:val="0"/>
      <w:sz w:val="24"/>
    </w:rPr>
  </w:style>
  <w:style w:type="paragraph" w:customStyle="1" w:styleId="862">
    <w:name w:val="五号字表格"/>
    <w:basedOn w:val="728"/>
    <w:autoRedefine/>
    <w:qFormat/>
    <w:uiPriority w:val="0"/>
    <w:pPr>
      <w:adjustRightInd w:val="0"/>
      <w:textAlignment w:val="baseline"/>
    </w:pPr>
    <w:rPr>
      <w:rFonts w:ascii="宋体"/>
      <w:kern w:val="0"/>
      <w:szCs w:val="20"/>
    </w:rPr>
  </w:style>
  <w:style w:type="paragraph" w:customStyle="1" w:styleId="863">
    <w:name w:val="样式 首行缩进:  2 字符"/>
    <w:basedOn w:val="1"/>
    <w:autoRedefine/>
    <w:qFormat/>
    <w:uiPriority w:val="0"/>
    <w:pPr>
      <w:snapToGrid w:val="0"/>
      <w:spacing w:line="500" w:lineRule="exact"/>
      <w:ind w:firstLine="480" w:firstLineChars="200"/>
      <w:jc w:val="left"/>
    </w:pPr>
    <w:rPr>
      <w:rFonts w:cs="宋体"/>
      <w:sz w:val="24"/>
      <w:szCs w:val="20"/>
    </w:rPr>
  </w:style>
  <w:style w:type="paragraph" w:customStyle="1" w:styleId="864">
    <w:name w:val="标题6"/>
    <w:basedOn w:val="1"/>
    <w:next w:val="81"/>
    <w:autoRedefine/>
    <w:qFormat/>
    <w:uiPriority w:val="0"/>
    <w:pPr>
      <w:keepNext/>
      <w:spacing w:line="360" w:lineRule="auto"/>
      <w:ind w:firstLine="567"/>
      <w:jc w:val="left"/>
      <w:outlineLvl w:val="5"/>
    </w:pPr>
    <w:rPr>
      <w:sz w:val="28"/>
    </w:rPr>
  </w:style>
  <w:style w:type="paragraph" w:customStyle="1" w:styleId="865">
    <w:name w:val="图标题"/>
    <w:basedOn w:val="424"/>
    <w:autoRedefine/>
    <w:qFormat/>
    <w:uiPriority w:val="0"/>
    <w:pPr>
      <w:adjustRightInd/>
      <w:snapToGrid/>
      <w:spacing w:before="0" w:after="0" w:line="300" w:lineRule="exact"/>
      <w:jc w:val="both"/>
    </w:pPr>
    <w:rPr>
      <w:rFonts w:ascii="仿宋_GB2312" w:eastAsia="仿宋_GB2312"/>
      <w:kern w:val="0"/>
      <w:szCs w:val="24"/>
    </w:rPr>
  </w:style>
  <w:style w:type="paragraph" w:customStyle="1" w:styleId="866">
    <w:name w:val="1条目"/>
    <w:basedOn w:val="743"/>
    <w:autoRedefine/>
    <w:qFormat/>
    <w:uiPriority w:val="0"/>
    <w:pPr>
      <w:ind w:left="851"/>
    </w:pPr>
    <w:rPr>
      <w:rFonts w:ascii="宋体" w:hAnsi="宋体"/>
      <w:b/>
      <w:sz w:val="30"/>
      <w:szCs w:val="30"/>
    </w:rPr>
  </w:style>
  <w:style w:type="paragraph" w:customStyle="1" w:styleId="867">
    <w:name w:val="源程序"/>
    <w:autoRedefine/>
    <w:qFormat/>
    <w:uiPriority w:val="0"/>
    <w:pPr>
      <w:widowControl w:val="0"/>
      <w:kinsoku w:val="0"/>
      <w:wordWrap w:val="0"/>
      <w:overflowPunct w:val="0"/>
      <w:autoSpaceDE w:val="0"/>
      <w:autoSpaceDN w:val="0"/>
      <w:adjustRightInd w:val="0"/>
      <w:ind w:left="482"/>
    </w:pPr>
    <w:rPr>
      <w:rFonts w:ascii="Courier New" w:hAnsi="Courier New" w:eastAsia="仿宋_GB2312" w:cs="Times New Roman"/>
      <w:snapToGrid w:val="0"/>
      <w:sz w:val="24"/>
      <w:lang w:val="en-US" w:eastAsia="zh-CN" w:bidi="ar-SA"/>
    </w:rPr>
  </w:style>
  <w:style w:type="paragraph" w:customStyle="1" w:styleId="868">
    <w:name w:val="三级标题 大王 20100426"/>
    <w:basedOn w:val="1"/>
    <w:autoRedefine/>
    <w:qFormat/>
    <w:uiPriority w:val="0"/>
    <w:pPr>
      <w:numPr>
        <w:ilvl w:val="3"/>
        <w:numId w:val="4"/>
      </w:numPr>
      <w:spacing w:beforeLines="20" w:afterLines="50"/>
      <w:ind w:left="0" w:firstLine="0"/>
      <w:outlineLvl w:val="2"/>
    </w:pPr>
    <w:rPr>
      <w:rFonts w:eastAsia="黑体"/>
      <w:sz w:val="28"/>
      <w:szCs w:val="28"/>
    </w:rPr>
  </w:style>
  <w:style w:type="paragraph" w:customStyle="1" w:styleId="869">
    <w:name w:val="xl78"/>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70">
    <w:name w:val="h"/>
    <w:basedOn w:val="1"/>
    <w:autoRedefine/>
    <w:qFormat/>
    <w:uiPriority w:val="0"/>
    <w:pPr>
      <w:spacing w:before="60"/>
      <w:ind w:firstLine="482"/>
    </w:pPr>
    <w:rPr>
      <w:rFonts w:ascii="Arial" w:hAnsi="Arial" w:eastAsia="仿宋_GB2312"/>
      <w:kern w:val="0"/>
      <w:sz w:val="24"/>
      <w:szCs w:val="20"/>
    </w:rPr>
  </w:style>
  <w:style w:type="paragraph" w:customStyle="1" w:styleId="871">
    <w:name w:val="xl43"/>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72">
    <w:name w:val="Char Char Char Char Char Char1"/>
    <w:basedOn w:val="1"/>
    <w:autoRedefine/>
    <w:qFormat/>
    <w:uiPriority w:val="0"/>
    <w:rPr>
      <w:sz w:val="24"/>
    </w:rPr>
  </w:style>
  <w:style w:type="paragraph" w:customStyle="1" w:styleId="873">
    <w:name w:val="xl106"/>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4">
    <w:name w:val="列出段落1"/>
    <w:basedOn w:val="1"/>
    <w:autoRedefine/>
    <w:qFormat/>
    <w:uiPriority w:val="34"/>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875">
    <w:name w:val="GY3"/>
    <w:basedOn w:val="1"/>
    <w:autoRedefine/>
    <w:qFormat/>
    <w:uiPriority w:val="0"/>
    <w:pPr>
      <w:adjustRightInd w:val="0"/>
      <w:snapToGrid w:val="0"/>
      <w:spacing w:line="360" w:lineRule="auto"/>
    </w:pPr>
    <w:rPr>
      <w:rFonts w:ascii="黑体" w:hAnsi="宋体" w:eastAsia="黑体"/>
      <w:sz w:val="28"/>
      <w:szCs w:val="20"/>
    </w:rPr>
  </w:style>
  <w:style w:type="paragraph" w:customStyle="1" w:styleId="876">
    <w:name w:val="xl108"/>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7">
    <w:name w:val="Char Char Char Char Char Char2"/>
    <w:basedOn w:val="1"/>
    <w:autoRedefine/>
    <w:qFormat/>
    <w:uiPriority w:val="0"/>
    <w:rPr>
      <w:sz w:val="24"/>
    </w:rPr>
  </w:style>
  <w:style w:type="paragraph" w:customStyle="1" w:styleId="878">
    <w:name w:val="样式2.2.5"/>
    <w:basedOn w:val="1"/>
    <w:autoRedefine/>
    <w:qFormat/>
    <w:uiPriority w:val="0"/>
    <w:pPr>
      <w:spacing w:beforeLines="50" w:line="360" w:lineRule="auto"/>
      <w:outlineLvl w:val="3"/>
    </w:pPr>
    <w:rPr>
      <w:b/>
      <w:sz w:val="24"/>
    </w:rPr>
  </w:style>
  <w:style w:type="paragraph" w:customStyle="1" w:styleId="879">
    <w:name w:val="xl54"/>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880">
    <w:name w:val="扉页 黑体"/>
    <w:basedOn w:val="1"/>
    <w:autoRedefine/>
    <w:qFormat/>
    <w:uiPriority w:val="0"/>
    <w:pPr>
      <w:spacing w:before="240" w:after="240" w:line="480" w:lineRule="exact"/>
      <w:ind w:firstLine="640" w:firstLineChars="200"/>
      <w:jc w:val="left"/>
    </w:pPr>
    <w:rPr>
      <w:rFonts w:eastAsia="黑体"/>
      <w:bCs/>
      <w:sz w:val="32"/>
      <w:szCs w:val="20"/>
    </w:rPr>
  </w:style>
  <w:style w:type="paragraph" w:customStyle="1" w:styleId="881">
    <w:name w:val="图文框"/>
    <w:basedOn w:val="1"/>
    <w:autoRedefine/>
    <w:qFormat/>
    <w:uiPriority w:val="0"/>
    <w:pPr>
      <w:widowControl/>
      <w:spacing w:line="240" w:lineRule="exact"/>
      <w:jc w:val="center"/>
    </w:pPr>
    <w:rPr>
      <w:rFonts w:ascii="仿宋_GB2312" w:hAnsi="宋体" w:eastAsia="仿宋_GB2312"/>
      <w:spacing w:val="-14"/>
      <w:kern w:val="0"/>
      <w:sz w:val="18"/>
      <w:szCs w:val="20"/>
    </w:rPr>
  </w:style>
  <w:style w:type="paragraph" w:customStyle="1" w:styleId="882">
    <w:name w:val="样式 样式3 + 首行缩进:  2 字符"/>
    <w:basedOn w:val="1"/>
    <w:autoRedefine/>
    <w:qFormat/>
    <w:uiPriority w:val="0"/>
    <w:pPr>
      <w:widowControl/>
      <w:spacing w:line="440" w:lineRule="exact"/>
      <w:ind w:firstLine="560" w:firstLineChars="200"/>
      <w:contextualSpacing/>
      <w:jc w:val="left"/>
    </w:pPr>
    <w:rPr>
      <w:rFonts w:cs="宋体"/>
      <w:kern w:val="0"/>
    </w:rPr>
  </w:style>
  <w:style w:type="paragraph" w:customStyle="1" w:styleId="883">
    <w:name w:val="纯文本2"/>
    <w:basedOn w:val="1"/>
    <w:autoRedefine/>
    <w:qFormat/>
    <w:uiPriority w:val="0"/>
    <w:pPr>
      <w:autoSpaceDE w:val="0"/>
      <w:autoSpaceDN w:val="0"/>
      <w:adjustRightInd w:val="0"/>
      <w:textAlignment w:val="baseline"/>
    </w:pPr>
    <w:rPr>
      <w:rFonts w:ascii="宋体"/>
      <w:szCs w:val="20"/>
    </w:rPr>
  </w:style>
  <w:style w:type="paragraph" w:customStyle="1" w:styleId="884">
    <w:name w:val="样式 标题 1章标题 1H11.1标题 111标题 1 + 行距: 固定值 30 磅"/>
    <w:basedOn w:val="3"/>
    <w:autoRedefine/>
    <w:qFormat/>
    <w:uiPriority w:val="0"/>
    <w:pPr>
      <w:keepNext w:val="0"/>
      <w:pageBreakBefore/>
      <w:tabs>
        <w:tab w:val="left" w:pos="390"/>
      </w:tabs>
      <w:overflowPunct/>
      <w:snapToGrid/>
      <w:spacing w:after="120" w:line="600" w:lineRule="exact"/>
      <w:ind w:left="390" w:firstLine="0"/>
      <w:jc w:val="center"/>
    </w:pPr>
    <w:rPr>
      <w:rFonts w:ascii="黑体" w:hAnsi="Calibri" w:cs="宋体"/>
      <w:color w:val="auto"/>
      <w:sz w:val="44"/>
      <w:szCs w:val="20"/>
    </w:rPr>
  </w:style>
  <w:style w:type="paragraph" w:customStyle="1" w:styleId="885">
    <w:name w:val="样式 样式 样式 标题 3东明_小节H3条标题1.1.1二级节名h33rd level3l3CTHeading 3 - ... ...1"/>
    <w:basedOn w:val="774"/>
    <w:autoRedefine/>
    <w:qFormat/>
    <w:uiPriority w:val="0"/>
    <w:pPr>
      <w:spacing w:after="0"/>
    </w:pPr>
  </w:style>
  <w:style w:type="paragraph" w:customStyle="1" w:styleId="886">
    <w:name w:val="Char Char Char Char Char Char Char Char Char Char Char Char1 Char Char Char Char"/>
    <w:basedOn w:val="1"/>
    <w:next w:val="1"/>
    <w:autoRedefine/>
    <w:semiHidden/>
    <w:qFormat/>
    <w:uiPriority w:val="0"/>
    <w:pPr>
      <w:spacing w:line="336" w:lineRule="auto"/>
      <w:ind w:firstLine="200" w:firstLineChars="200"/>
    </w:pPr>
    <w:rPr>
      <w:rFonts w:ascii="宋体" w:hAnsi="宋体" w:eastAsia="汉鼎简书宋" w:cs="宋体"/>
      <w:sz w:val="24"/>
    </w:rPr>
  </w:style>
  <w:style w:type="paragraph" w:customStyle="1" w:styleId="887">
    <w:name w:val="Char"/>
    <w:basedOn w:val="1"/>
    <w:autoRedefine/>
    <w:qFormat/>
    <w:uiPriority w:val="0"/>
  </w:style>
  <w:style w:type="paragraph" w:customStyle="1" w:styleId="888">
    <w:name w:val="Char Char Char Char"/>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89">
    <w:name w:val="5"/>
    <w:autoRedefine/>
    <w:qFormat/>
    <w:uiPriority w:val="0"/>
    <w:rPr>
      <w:rFonts w:ascii="Calibri" w:hAnsi="Calibri" w:eastAsia="宋体" w:cs="Times New Roman"/>
      <w:kern w:val="2"/>
      <w:sz w:val="21"/>
      <w:szCs w:val="22"/>
      <w:lang w:val="en-US" w:eastAsia="zh-CN" w:bidi="ar-SA"/>
    </w:rPr>
  </w:style>
  <w:style w:type="paragraph" w:customStyle="1" w:styleId="890">
    <w:name w:val="字元 字元"/>
    <w:basedOn w:val="1"/>
    <w:autoRedefine/>
    <w:qFormat/>
    <w:uiPriority w:val="0"/>
  </w:style>
  <w:style w:type="paragraph" w:customStyle="1" w:styleId="891">
    <w:name w:val="样式 样式 样式 标题 3 + 两端对齐 + 段后: 0.1 行 +"/>
    <w:basedOn w:val="1"/>
    <w:autoRedefine/>
    <w:semiHidden/>
    <w:qFormat/>
    <w:uiPriority w:val="0"/>
    <w:pPr>
      <w:keepNext/>
      <w:keepLines/>
      <w:widowControl/>
      <w:tabs>
        <w:tab w:val="left" w:pos="0"/>
        <w:tab w:val="left" w:pos="2700"/>
      </w:tabs>
      <w:spacing w:line="320" w:lineRule="exact"/>
      <w:contextualSpacing/>
      <w:jc w:val="center"/>
    </w:pPr>
    <w:rPr>
      <w:rFonts w:cs="宋体"/>
      <w:bCs/>
      <w:kern w:val="0"/>
    </w:rPr>
  </w:style>
  <w:style w:type="paragraph" w:customStyle="1" w:styleId="892">
    <w:name w:val="xl126"/>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893">
    <w:name w:val="xl47"/>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94">
    <w:name w:val="法规"/>
    <w:basedOn w:val="1"/>
    <w:autoRedefine/>
    <w:qFormat/>
    <w:uiPriority w:val="0"/>
    <w:pPr>
      <w:tabs>
        <w:tab w:val="left" w:pos="400"/>
      </w:tabs>
      <w:spacing w:line="440" w:lineRule="exact"/>
      <w:ind w:firstLine="400"/>
    </w:pPr>
    <w:rPr>
      <w:sz w:val="25"/>
      <w:szCs w:val="20"/>
    </w:rPr>
  </w:style>
  <w:style w:type="paragraph" w:customStyle="1" w:styleId="895">
    <w:name w:val="正文首行缩进1"/>
    <w:basedOn w:val="1"/>
    <w:next w:val="1"/>
    <w:autoRedefine/>
    <w:qFormat/>
    <w:uiPriority w:val="0"/>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textAlignment w:val="baseline"/>
    </w:pPr>
    <w:rPr>
      <w:kern w:val="0"/>
      <w:sz w:val="28"/>
    </w:rPr>
  </w:style>
  <w:style w:type="paragraph" w:customStyle="1" w:styleId="896">
    <w:name w:val="样式 标题 2东明_节 + 行距: 1.5 倍行距"/>
    <w:basedOn w:val="4"/>
    <w:autoRedefine/>
    <w:qFormat/>
    <w:uiPriority w:val="0"/>
    <w:pPr>
      <w:keepLines w:val="0"/>
      <w:widowControl/>
      <w:spacing w:before="240" w:after="60" w:line="360" w:lineRule="auto"/>
      <w:jc w:val="left"/>
    </w:pPr>
    <w:rPr>
      <w:rFonts w:ascii="Cambria" w:hAnsi="Cambria" w:eastAsia="宋体" w:cs="宋体"/>
      <w:kern w:val="0"/>
      <w:sz w:val="30"/>
      <w:szCs w:val="20"/>
      <w:lang w:eastAsia="en-US" w:bidi="en-US"/>
    </w:rPr>
  </w:style>
  <w:style w:type="paragraph" w:customStyle="1" w:styleId="897">
    <w:name w:val="xl30"/>
    <w:basedOn w:val="1"/>
    <w:autoRedefine/>
    <w:qFormat/>
    <w:uiPriority w:val="0"/>
    <w:pPr>
      <w:widowControl/>
      <w:pBdr>
        <w:bottom w:val="single" w:color="auto" w:sz="4" w:space="0"/>
        <w:right w:val="single" w:color="auto" w:sz="4" w:space="0"/>
      </w:pBdr>
      <w:spacing w:before="100" w:beforeAutospacing="1" w:after="100" w:afterAutospacing="1"/>
    </w:pPr>
    <w:rPr>
      <w:rFonts w:hint="eastAsia" w:ascii="宋体" w:hAnsi="宋体"/>
      <w:kern w:val="0"/>
    </w:rPr>
  </w:style>
  <w:style w:type="paragraph" w:customStyle="1" w:styleId="898">
    <w:name w:val="样式38"/>
    <w:basedOn w:val="3"/>
    <w:autoRedefine/>
    <w:qFormat/>
    <w:uiPriority w:val="0"/>
    <w:pPr>
      <w:tabs>
        <w:tab w:val="left" w:pos="720"/>
      </w:tabs>
      <w:overflowPunct/>
      <w:snapToGrid/>
      <w:spacing w:before="340" w:beforeLines="100" w:after="330" w:afterLines="100" w:line="360" w:lineRule="auto"/>
      <w:ind w:left="0" w:firstLine="0"/>
      <w:jc w:val="center"/>
    </w:pPr>
    <w:rPr>
      <w:rFonts w:ascii="黑体" w:hAnsi="Calibri"/>
      <w:b w:val="0"/>
      <w:bCs w:val="0"/>
      <w:color w:val="auto"/>
      <w:kern w:val="2"/>
      <w:sz w:val="32"/>
      <w:szCs w:val="32"/>
    </w:rPr>
  </w:style>
  <w:style w:type="paragraph" w:customStyle="1" w:styleId="899">
    <w:name w:val="样式 Char"/>
    <w:basedOn w:val="1"/>
    <w:next w:val="685"/>
    <w:autoRedefine/>
    <w:qFormat/>
    <w:uiPriority w:val="0"/>
    <w:pPr>
      <w:numPr>
        <w:ilvl w:val="0"/>
        <w:numId w:val="9"/>
      </w:numPr>
      <w:adjustRightInd w:val="0"/>
      <w:snapToGrid w:val="0"/>
      <w:spacing w:before="240" w:after="240" w:line="480" w:lineRule="exact"/>
    </w:pPr>
    <w:rPr>
      <w:sz w:val="28"/>
    </w:rPr>
  </w:style>
  <w:style w:type="paragraph" w:customStyle="1" w:styleId="900">
    <w:name w:val="样式28"/>
    <w:basedOn w:val="901"/>
    <w:autoRedefine/>
    <w:qFormat/>
    <w:uiPriority w:val="0"/>
    <w:pPr>
      <w:spacing w:beforeLines="50" w:afterLines="50"/>
      <w:ind w:firstLine="0" w:firstLineChars="0"/>
      <w:jc w:val="center"/>
    </w:pPr>
    <w:rPr>
      <w:rFonts w:ascii="宋体" w:eastAsia="宋体"/>
      <w:b/>
      <w:snapToGrid w:val="0"/>
      <w:color w:val="000000"/>
      <w:szCs w:val="28"/>
    </w:rPr>
  </w:style>
  <w:style w:type="paragraph" w:customStyle="1" w:styleId="901">
    <w:name w:val="样式17"/>
    <w:basedOn w:val="1"/>
    <w:autoRedefine/>
    <w:qFormat/>
    <w:uiPriority w:val="0"/>
    <w:pPr>
      <w:ind w:firstLine="560" w:firstLineChars="200"/>
    </w:pPr>
    <w:rPr>
      <w:rFonts w:ascii="黑体" w:hAnsi="宋体" w:eastAsia="黑体"/>
      <w:sz w:val="28"/>
      <w:szCs w:val="20"/>
    </w:rPr>
  </w:style>
  <w:style w:type="paragraph" w:customStyle="1" w:styleId="902">
    <w:name w:val="font10"/>
    <w:basedOn w:val="1"/>
    <w:autoRedefine/>
    <w:qFormat/>
    <w:uiPriority w:val="0"/>
    <w:pPr>
      <w:widowControl/>
      <w:spacing w:before="100" w:beforeAutospacing="1" w:after="100" w:afterAutospacing="1"/>
      <w:jc w:val="left"/>
    </w:pPr>
    <w:rPr>
      <w:rFonts w:ascii="Arial" w:hAnsi="Arial" w:cs="Arial"/>
      <w:kern w:val="0"/>
      <w:sz w:val="20"/>
      <w:szCs w:val="20"/>
    </w:rPr>
  </w:style>
  <w:style w:type="paragraph" w:customStyle="1" w:styleId="903">
    <w:name w:val="东明_表格"/>
    <w:basedOn w:val="904"/>
    <w:autoRedefine/>
    <w:qFormat/>
    <w:uiPriority w:val="0"/>
    <w:pPr>
      <w:spacing w:before="100" w:beforeAutospacing="1" w:after="100" w:afterAutospacing="1" w:line="240" w:lineRule="auto"/>
    </w:pPr>
    <w:rPr>
      <w:rFonts w:ascii="黑体" w:hAnsi="黑体" w:eastAsia="黑体"/>
      <w:szCs w:val="24"/>
    </w:rPr>
  </w:style>
  <w:style w:type="paragraph" w:customStyle="1" w:styleId="904">
    <w:name w:val="表格正文"/>
    <w:basedOn w:val="1"/>
    <w:autoRedefine/>
    <w:qFormat/>
    <w:uiPriority w:val="0"/>
    <w:pPr>
      <w:spacing w:line="360" w:lineRule="exact"/>
      <w:jc w:val="center"/>
    </w:pPr>
    <w:rPr>
      <w:szCs w:val="20"/>
    </w:rPr>
  </w:style>
  <w:style w:type="paragraph" w:customStyle="1" w:styleId="905">
    <w:name w:val="xl122"/>
    <w:basedOn w:val="1"/>
    <w:autoRedefine/>
    <w:qFormat/>
    <w:uiPriority w:val="0"/>
    <w:pPr>
      <w:widowControl/>
      <w:pBdr>
        <w:lef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06">
    <w:name w:val="正文文字 3"/>
    <w:basedOn w:val="1"/>
    <w:autoRedefine/>
    <w:qFormat/>
    <w:uiPriority w:val="0"/>
    <w:pPr>
      <w:spacing w:line="280" w:lineRule="exact"/>
      <w:jc w:val="center"/>
    </w:pPr>
    <w:rPr>
      <w:rFonts w:ascii="仿宋_GB2312" w:hAnsi="Arial Black" w:eastAsia="仿宋_GB2312" w:cs="仿宋_GB2312"/>
    </w:rPr>
  </w:style>
  <w:style w:type="paragraph" w:customStyle="1" w:styleId="907">
    <w:name w:val="文本居中"/>
    <w:basedOn w:val="1"/>
    <w:autoRedefine/>
    <w:qFormat/>
    <w:uiPriority w:val="0"/>
    <w:pPr>
      <w:adjustRightInd w:val="0"/>
      <w:spacing w:line="360" w:lineRule="auto"/>
      <w:jc w:val="center"/>
    </w:pPr>
    <w:rPr>
      <w:sz w:val="28"/>
    </w:rPr>
  </w:style>
  <w:style w:type="paragraph" w:customStyle="1" w:styleId="908">
    <w:name w:val="xl112"/>
    <w:basedOn w:val="1"/>
    <w:autoRedefine/>
    <w:qFormat/>
    <w:uiPriority w:val="0"/>
    <w:pPr>
      <w:widowControl/>
      <w:pBdr>
        <w:righ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909">
    <w:name w:val="Char Char Char Char Char Char Char Char Char Char1 Char Char Char Char Char Char"/>
    <w:basedOn w:val="1"/>
    <w:autoRedefine/>
    <w:qFormat/>
    <w:uiPriority w:val="0"/>
    <w:pPr>
      <w:widowControl/>
      <w:contextualSpacing/>
      <w:jc w:val="left"/>
    </w:pPr>
    <w:rPr>
      <w:rFonts w:cs="宋体"/>
      <w:kern w:val="0"/>
    </w:rPr>
  </w:style>
  <w:style w:type="paragraph" w:customStyle="1" w:styleId="910">
    <w:name w:val="xl103"/>
    <w:basedOn w:val="1"/>
    <w:autoRedefine/>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11">
    <w:name w:val="yz"/>
    <w:basedOn w:val="31"/>
    <w:autoRedefine/>
    <w:qFormat/>
    <w:uiPriority w:val="0"/>
    <w:pPr>
      <w:widowControl w:val="0"/>
      <w:tabs>
        <w:tab w:val="left" w:pos="900"/>
      </w:tabs>
      <w:adjustRightInd w:val="0"/>
      <w:snapToGrid/>
      <w:spacing w:before="0" w:after="0" w:line="240" w:lineRule="auto"/>
      <w:ind w:right="0" w:firstLine="200" w:firstLineChars="200"/>
      <w:textAlignment w:val="baseline"/>
    </w:pPr>
    <w:rPr>
      <w:rFonts w:hint="eastAsia" w:ascii="宋体" w:hAnsi="宋体"/>
      <w:sz w:val="24"/>
      <w:szCs w:val="24"/>
    </w:rPr>
  </w:style>
  <w:style w:type="paragraph" w:customStyle="1" w:styleId="912">
    <w:name w:val="标准符号 行距1倍"/>
    <w:basedOn w:val="1"/>
    <w:autoRedefine/>
    <w:qFormat/>
    <w:uiPriority w:val="0"/>
    <w:pPr>
      <w:adjustRightInd w:val="0"/>
      <w:snapToGrid w:val="0"/>
      <w:spacing w:beforeLines="50"/>
      <w:jc w:val="center"/>
      <w:textAlignment w:val="center"/>
    </w:pPr>
    <w:rPr>
      <w:rFonts w:ascii="黑体" w:eastAsia="黑体" w:cs="宋体"/>
      <w:color w:val="000000"/>
      <w:kern w:val="0"/>
      <w:sz w:val="24"/>
    </w:rPr>
  </w:style>
  <w:style w:type="paragraph" w:customStyle="1" w:styleId="913">
    <w:name w:val="2.2.1"/>
    <w:basedOn w:val="6"/>
    <w:autoRedefine/>
    <w:qFormat/>
    <w:uiPriority w:val="0"/>
    <w:pPr>
      <w:tabs>
        <w:tab w:val="left" w:pos="864"/>
      </w:tabs>
      <w:spacing w:before="0" w:after="0" w:line="360" w:lineRule="auto"/>
      <w:ind w:left="864" w:hanging="864"/>
      <w:jc w:val="left"/>
    </w:pPr>
    <w:rPr>
      <w:rFonts w:ascii="宋体" w:hAnsi="Arial"/>
      <w:b w:val="0"/>
      <w:color w:val="000000"/>
      <w:sz w:val="24"/>
    </w:rPr>
  </w:style>
  <w:style w:type="paragraph" w:customStyle="1" w:styleId="914">
    <w:name w:val="Char1 Char Char Char"/>
    <w:basedOn w:val="1"/>
    <w:autoRedefine/>
    <w:qFormat/>
    <w:uiPriority w:val="0"/>
    <w:pPr>
      <w:spacing w:line="360" w:lineRule="auto"/>
      <w:ind w:firstLine="200" w:firstLineChars="200"/>
    </w:pPr>
    <w:rPr>
      <w:rFonts w:ascii="宋体" w:hAnsi="宋体" w:cs="宋体"/>
      <w:sz w:val="24"/>
    </w:rPr>
  </w:style>
  <w:style w:type="paragraph" w:customStyle="1" w:styleId="915">
    <w:name w:val="TOC 标题1"/>
    <w:basedOn w:val="3"/>
    <w:next w:val="1"/>
    <w:autoRedefine/>
    <w:qFormat/>
    <w:uiPriority w:val="39"/>
    <w:pPr>
      <w:keepLines/>
      <w:widowControl/>
      <w:tabs>
        <w:tab w:val="left" w:pos="390"/>
      </w:tabs>
      <w:overflowPunct/>
      <w:snapToGrid/>
      <w:spacing w:before="480" w:after="0" w:line="276" w:lineRule="auto"/>
      <w:ind w:left="390" w:firstLine="0"/>
      <w:jc w:val="left"/>
      <w:outlineLvl w:val="9"/>
    </w:pPr>
    <w:rPr>
      <w:rFonts w:ascii="Cambria" w:hAnsi="Cambria" w:eastAsia="宋体"/>
      <w:color w:val="365F91"/>
      <w:kern w:val="0"/>
      <w:sz w:val="28"/>
      <w:szCs w:val="28"/>
    </w:rPr>
  </w:style>
  <w:style w:type="paragraph" w:customStyle="1" w:styleId="916">
    <w:name w:val="小节标题"/>
    <w:basedOn w:val="1"/>
    <w:autoRedefine/>
    <w:qFormat/>
    <w:uiPriority w:val="0"/>
    <w:pPr>
      <w:widowControl/>
      <w:spacing w:before="175" w:after="102" w:line="351" w:lineRule="atLeast"/>
      <w:contextualSpacing/>
      <w:textAlignment w:val="baseline"/>
    </w:pPr>
    <w:rPr>
      <w:rFonts w:eastAsia="黑体"/>
      <w:color w:val="000000"/>
      <w:kern w:val="0"/>
      <w:szCs w:val="20"/>
      <w:u w:color="000000"/>
    </w:rPr>
  </w:style>
  <w:style w:type="paragraph" w:customStyle="1" w:styleId="917">
    <w:name w:val="高表内"/>
    <w:basedOn w:val="43"/>
    <w:autoRedefine/>
    <w:qFormat/>
    <w:uiPriority w:val="0"/>
    <w:pPr>
      <w:autoSpaceDE w:val="0"/>
      <w:adjustRightInd w:val="0"/>
      <w:snapToGrid w:val="0"/>
      <w:jc w:val="center"/>
      <w:textAlignment w:val="baseline"/>
    </w:pPr>
    <w:rPr>
      <w:rFonts w:ascii="Arial" w:hAnsi="Arial" w:eastAsia="楷体_GB2312" w:cs="Times New Roman"/>
      <w:kern w:val="0"/>
      <w:sz w:val="24"/>
      <w:szCs w:val="24"/>
    </w:rPr>
  </w:style>
  <w:style w:type="paragraph" w:customStyle="1" w:styleId="918">
    <w:name w:val="正文 + 宋体"/>
    <w:basedOn w:val="1"/>
    <w:autoRedefine/>
    <w:qFormat/>
    <w:uiPriority w:val="0"/>
    <w:pPr>
      <w:tabs>
        <w:tab w:val="left" w:pos="6120"/>
      </w:tabs>
      <w:adjustRightInd w:val="0"/>
      <w:spacing w:line="500" w:lineRule="exact"/>
      <w:ind w:firstLine="420" w:firstLineChars="150"/>
      <w:jc w:val="left"/>
    </w:pPr>
    <w:rPr>
      <w:rFonts w:ascii="宋体" w:hAnsi="宋体"/>
      <w:sz w:val="28"/>
      <w:szCs w:val="28"/>
    </w:rPr>
  </w:style>
  <w:style w:type="paragraph" w:customStyle="1" w:styleId="919">
    <w:name w:val="xl165"/>
    <w:basedOn w:val="1"/>
    <w:autoRedefine/>
    <w:qFormat/>
    <w:uiPriority w:val="0"/>
    <w:pPr>
      <w:widowControl/>
      <w:pBdr>
        <w:top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20">
    <w:name w:val="样式 标题 1 + (中文) 宋体 小三 行距: 多倍行距 1.35 字行"/>
    <w:basedOn w:val="3"/>
    <w:autoRedefine/>
    <w:qFormat/>
    <w:uiPriority w:val="0"/>
    <w:pPr>
      <w:keepLines/>
      <w:tabs>
        <w:tab w:val="left" w:pos="390"/>
        <w:tab w:val="left" w:pos="432"/>
      </w:tabs>
      <w:overflowPunct/>
      <w:spacing w:before="0" w:after="0" w:line="360" w:lineRule="auto"/>
    </w:pPr>
    <w:rPr>
      <w:rFonts w:ascii="宋体" w:hAnsi="宋体" w:eastAsia="宋体"/>
      <w:color w:val="auto"/>
      <w:sz w:val="32"/>
      <w:szCs w:val="32"/>
    </w:rPr>
  </w:style>
  <w:style w:type="paragraph" w:customStyle="1" w:styleId="921">
    <w:name w:val="表字1"/>
    <w:basedOn w:val="1"/>
    <w:autoRedefine/>
    <w:qFormat/>
    <w:uiPriority w:val="0"/>
    <w:pPr>
      <w:adjustRightInd w:val="0"/>
      <w:spacing w:line="360" w:lineRule="auto"/>
      <w:jc w:val="center"/>
      <w:textAlignment w:val="baseline"/>
    </w:pPr>
    <w:rPr>
      <w:rFonts w:ascii="宋体"/>
      <w:kern w:val="0"/>
      <w:szCs w:val="20"/>
    </w:rPr>
  </w:style>
  <w:style w:type="paragraph" w:customStyle="1" w:styleId="922">
    <w:name w:val="xl42"/>
    <w:basedOn w:val="1"/>
    <w:autoRedefine/>
    <w:qFormat/>
    <w:uiPriority w:val="0"/>
    <w:pPr>
      <w:widowControl/>
      <w:pBdr>
        <w:bottom w:val="dotted" w:color="auto" w:sz="4" w:space="0"/>
        <w:right w:val="dotted" w:color="auto" w:sz="4" w:space="0"/>
      </w:pBdr>
      <w:spacing w:before="100" w:beforeAutospacing="1" w:after="100" w:afterAutospacing="1"/>
      <w:jc w:val="center"/>
    </w:pPr>
    <w:rPr>
      <w:kern w:val="0"/>
    </w:rPr>
  </w:style>
  <w:style w:type="paragraph" w:customStyle="1" w:styleId="923">
    <w:name w:val="Char Char Char Char Char Char Char Char Char Char Char Char1 Char Char Char Char1"/>
    <w:basedOn w:val="1"/>
    <w:autoRedefine/>
    <w:qFormat/>
    <w:uiPriority w:val="0"/>
    <w:pPr>
      <w:widowControl/>
      <w:contextualSpacing/>
      <w:jc w:val="left"/>
    </w:pPr>
    <w:rPr>
      <w:rFonts w:cs="宋体"/>
      <w:kern w:val="0"/>
    </w:rPr>
  </w:style>
  <w:style w:type="paragraph" w:customStyle="1" w:styleId="924">
    <w:name w:val="1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925">
    <w:name w:val="样式 正文001 + 首行缩进:  2 字符1"/>
    <w:basedOn w:val="1"/>
    <w:autoRedefine/>
    <w:qFormat/>
    <w:uiPriority w:val="0"/>
    <w:pPr>
      <w:spacing w:before="60" w:line="460" w:lineRule="exact"/>
      <w:ind w:firstLine="480" w:firstLineChars="200"/>
    </w:pPr>
    <w:rPr>
      <w:sz w:val="24"/>
      <w:szCs w:val="20"/>
    </w:rPr>
  </w:style>
  <w:style w:type="paragraph" w:customStyle="1" w:styleId="926">
    <w:name w:val="样式 标题 1章标题 11标题 1H1一、 + 行距: 1.5 倍行距"/>
    <w:basedOn w:val="3"/>
    <w:autoRedefine/>
    <w:qFormat/>
    <w:uiPriority w:val="0"/>
    <w:pPr>
      <w:keepLines/>
      <w:overflowPunct/>
      <w:spacing w:before="340" w:after="330" w:line="360" w:lineRule="auto"/>
      <w:ind w:left="3845" w:hanging="3845"/>
      <w:jc w:val="center"/>
    </w:pPr>
    <w:rPr>
      <w:rFonts w:cs="宋体"/>
      <w:color w:val="auto"/>
      <w:sz w:val="44"/>
      <w:szCs w:val="20"/>
    </w:rPr>
  </w:style>
  <w:style w:type="paragraph" w:customStyle="1" w:styleId="927">
    <w:name w:val="1 Char"/>
    <w:basedOn w:val="1"/>
    <w:autoRedefine/>
    <w:qFormat/>
    <w:uiPriority w:val="0"/>
    <w:pPr>
      <w:spacing w:line="360" w:lineRule="auto"/>
      <w:ind w:firstLine="200" w:firstLineChars="200"/>
    </w:pPr>
    <w:rPr>
      <w:rFonts w:ascii="宋体" w:hAnsi="宋体" w:cs="宋体"/>
      <w:sz w:val="24"/>
    </w:rPr>
  </w:style>
  <w:style w:type="paragraph" w:customStyle="1" w:styleId="928">
    <w:name w:val="工艺正文"/>
    <w:basedOn w:val="1"/>
    <w:autoRedefine/>
    <w:qFormat/>
    <w:uiPriority w:val="0"/>
    <w:pPr>
      <w:adjustRightInd w:val="0"/>
      <w:snapToGrid w:val="0"/>
      <w:spacing w:line="360" w:lineRule="auto"/>
      <w:ind w:firstLine="580"/>
    </w:pPr>
    <w:rPr>
      <w:rFonts w:ascii="宋体"/>
      <w:sz w:val="28"/>
      <w:szCs w:val="20"/>
    </w:rPr>
  </w:style>
  <w:style w:type="paragraph" w:customStyle="1" w:styleId="929">
    <w:name w:val="正文 黑体"/>
    <w:basedOn w:val="1"/>
    <w:autoRedefine/>
    <w:qFormat/>
    <w:uiPriority w:val="0"/>
    <w:pPr>
      <w:spacing w:before="240" w:after="240" w:line="480" w:lineRule="exact"/>
      <w:ind w:firstLine="560" w:firstLineChars="200"/>
    </w:pPr>
    <w:rPr>
      <w:rFonts w:eastAsia="黑体"/>
      <w:sz w:val="28"/>
      <w:szCs w:val="20"/>
    </w:rPr>
  </w:style>
  <w:style w:type="paragraph" w:customStyle="1" w:styleId="930">
    <w:name w:val="xl175"/>
    <w:basedOn w:val="1"/>
    <w:autoRedefine/>
    <w:qFormat/>
    <w:uiPriority w:val="0"/>
    <w:pPr>
      <w:widowControl/>
      <w:pBdr>
        <w:left w:val="single" w:color="auto" w:sz="12" w:space="0"/>
        <w:right w:val="single" w:color="auto" w:sz="4" w:space="0"/>
      </w:pBdr>
      <w:spacing w:before="100" w:beforeAutospacing="1" w:after="100" w:afterAutospacing="1"/>
      <w:jc w:val="left"/>
    </w:pPr>
    <w:rPr>
      <w:rFonts w:ascii="Arial Unicode MS" w:hAnsi="Arial Unicode MS"/>
      <w:kern w:val="0"/>
    </w:rPr>
  </w:style>
  <w:style w:type="paragraph" w:customStyle="1" w:styleId="931">
    <w:name w:val="xl140"/>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32">
    <w:name w:val="z-窗体底端1"/>
    <w:basedOn w:val="1"/>
    <w:next w:val="1"/>
    <w:autoRedefine/>
    <w:qFormat/>
    <w:uiPriority w:val="0"/>
    <w:pPr>
      <w:widowControl/>
      <w:pBdr>
        <w:top w:val="single" w:color="auto" w:sz="6" w:space="1"/>
      </w:pBdr>
      <w:jc w:val="center"/>
    </w:pPr>
    <w:rPr>
      <w:rFonts w:ascii="Arial" w:hAnsi="Arial" w:cs="Arial"/>
      <w:vanish/>
      <w:kern w:val="0"/>
      <w:sz w:val="16"/>
      <w:szCs w:val="16"/>
    </w:rPr>
  </w:style>
  <w:style w:type="paragraph" w:customStyle="1" w:styleId="933">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34">
    <w:name w:val="正文 黑体 Char"/>
    <w:basedOn w:val="685"/>
    <w:next w:val="685"/>
    <w:autoRedefine/>
    <w:qFormat/>
    <w:uiPriority w:val="0"/>
    <w:rPr>
      <w:rFonts w:eastAsia="黑体"/>
    </w:rPr>
  </w:style>
  <w:style w:type="paragraph" w:customStyle="1" w:styleId="935">
    <w:name w:val="xl24"/>
    <w:basedOn w:val="1"/>
    <w:autoRedefine/>
    <w:qFormat/>
    <w:uiPriority w:val="0"/>
    <w:pPr>
      <w:widowControl/>
      <w:spacing w:before="100" w:after="100"/>
      <w:jc w:val="center"/>
    </w:pPr>
    <w:rPr>
      <w:rFonts w:ascii="宋体" w:hAnsi="宋体"/>
      <w:kern w:val="0"/>
      <w:sz w:val="24"/>
      <w:szCs w:val="20"/>
    </w:rPr>
  </w:style>
  <w:style w:type="paragraph" w:customStyle="1" w:styleId="936">
    <w:name w:val="表中"/>
    <w:autoRedefine/>
    <w:qFormat/>
    <w:uiPriority w:val="0"/>
    <w:pPr>
      <w:adjustRightInd w:val="0"/>
      <w:snapToGrid w:val="0"/>
      <w:jc w:val="right"/>
    </w:pPr>
    <w:rPr>
      <w:rFonts w:ascii="Times New Roman" w:hAnsi="Times New Roman" w:eastAsia="宋体" w:cs="Times New Roman"/>
      <w:kern w:val="44"/>
      <w:sz w:val="18"/>
      <w:lang w:val="en-US" w:eastAsia="zh-CN" w:bidi="ar-SA"/>
    </w:rPr>
  </w:style>
  <w:style w:type="paragraph" w:customStyle="1" w:styleId="937">
    <w:name w:val="编制说明"/>
    <w:basedOn w:val="1"/>
    <w:autoRedefine/>
    <w:qFormat/>
    <w:uiPriority w:val="0"/>
    <w:pPr>
      <w:topLinePunct/>
      <w:adjustRightInd w:val="0"/>
      <w:snapToGrid w:val="0"/>
      <w:ind w:firstLine="420"/>
      <w:contextualSpacing/>
    </w:pPr>
    <w:rPr>
      <w:rFonts w:eastAsia="仿宋_GB2312"/>
      <w:szCs w:val="20"/>
    </w:rPr>
  </w:style>
  <w:style w:type="paragraph" w:customStyle="1" w:styleId="938">
    <w:name w:val="Char Char1"/>
    <w:basedOn w:val="1"/>
    <w:autoRedefine/>
    <w:qFormat/>
    <w:uiPriority w:val="0"/>
    <w:pPr>
      <w:spacing w:line="360" w:lineRule="auto"/>
      <w:ind w:firstLine="200" w:firstLineChars="200"/>
      <w:jc w:val="left"/>
    </w:pPr>
    <w:rPr>
      <w:rFonts w:ascii="宋体" w:hAnsi="宋体" w:cs="宋体"/>
      <w:sz w:val="24"/>
    </w:rPr>
  </w:style>
  <w:style w:type="paragraph" w:customStyle="1" w:styleId="939">
    <w:name w:val="xl14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0">
    <w:name w:val="xl79"/>
    <w:basedOn w:val="1"/>
    <w:autoRedefine/>
    <w:qFormat/>
    <w:uiPriority w:val="0"/>
    <w:pPr>
      <w:widowControl/>
      <w:pBdr>
        <w:bottom w:val="single" w:color="auto" w:sz="12" w:space="0"/>
      </w:pBdr>
      <w:spacing w:before="100" w:beforeAutospacing="1" w:after="100" w:afterAutospacing="1"/>
      <w:jc w:val="left"/>
      <w:textAlignment w:val="center"/>
    </w:pPr>
    <w:rPr>
      <w:kern w:val="0"/>
      <w:sz w:val="12"/>
      <w:szCs w:val="12"/>
    </w:rPr>
  </w:style>
  <w:style w:type="paragraph" w:customStyle="1" w:styleId="941">
    <w:name w:val="xl153"/>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42">
    <w:name w:val="xl145"/>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3">
    <w:name w:val="xl163"/>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944">
    <w:name w:val="图号"/>
    <w:basedOn w:val="1"/>
    <w:autoRedefine/>
    <w:qFormat/>
    <w:uiPriority w:val="0"/>
    <w:pPr>
      <w:tabs>
        <w:tab w:val="left" w:pos="8160"/>
      </w:tabs>
      <w:adjustRightInd w:val="0"/>
      <w:spacing w:before="120" w:after="120" w:line="320" w:lineRule="exact"/>
      <w:jc w:val="center"/>
      <w:textAlignment w:val="baseline"/>
    </w:pPr>
    <w:rPr>
      <w:rFonts w:ascii="黑体" w:hAnsi="宋体" w:eastAsia="黑体"/>
      <w:spacing w:val="6"/>
      <w:sz w:val="24"/>
    </w:rPr>
  </w:style>
  <w:style w:type="paragraph" w:customStyle="1" w:styleId="945">
    <w:name w:val="样式 标题 2节H2（一）Underrubrik1prop2Heading 2 HiddenHeading 2 C..."/>
    <w:basedOn w:val="4"/>
    <w:autoRedefine/>
    <w:qFormat/>
    <w:uiPriority w:val="0"/>
    <w:pPr>
      <w:tabs>
        <w:tab w:val="left" w:pos="840"/>
      </w:tabs>
      <w:spacing w:before="240" w:after="240" w:line="480" w:lineRule="exact"/>
      <w:ind w:left="840"/>
    </w:pPr>
    <w:rPr>
      <w:rFonts w:cs="宋体"/>
      <w:b w:val="0"/>
      <w:kern w:val="0"/>
      <w:szCs w:val="20"/>
    </w:rPr>
  </w:style>
  <w:style w:type="paragraph" w:customStyle="1" w:styleId="946">
    <w:name w:val="unnamed11"/>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947">
    <w:name w:val="Char2 Char Char Char Char Char Char Char Char Char"/>
    <w:basedOn w:val="1"/>
    <w:autoRedefine/>
    <w:qFormat/>
    <w:uiPriority w:val="0"/>
    <w:rPr>
      <w:sz w:val="24"/>
    </w:rPr>
  </w:style>
  <w:style w:type="paragraph" w:customStyle="1" w:styleId="948">
    <w:name w:val="工业统一题目"/>
    <w:basedOn w:val="1"/>
    <w:autoRedefine/>
    <w:qFormat/>
    <w:uiPriority w:val="0"/>
    <w:pPr>
      <w:adjustRightInd w:val="0"/>
      <w:snapToGrid w:val="0"/>
      <w:spacing w:line="360" w:lineRule="auto"/>
      <w:jc w:val="left"/>
    </w:pPr>
    <w:rPr>
      <w:rFonts w:ascii="宋体"/>
      <w:b/>
      <w:sz w:val="28"/>
      <w:szCs w:val="20"/>
    </w:rPr>
  </w:style>
  <w:style w:type="paragraph" w:customStyle="1" w:styleId="949">
    <w:name w:val="Char Char Char Char Char Char Char Char Char Char Char Char Char Char Char Char Char Char Char"/>
    <w:basedOn w:val="1"/>
    <w:autoRedefine/>
    <w:qFormat/>
    <w:uiPriority w:val="0"/>
  </w:style>
  <w:style w:type="paragraph" w:customStyle="1" w:styleId="950">
    <w:name w:val="Table Paragraph"/>
    <w:basedOn w:val="1"/>
    <w:autoRedefine/>
    <w:unhideWhenUsed/>
    <w:qFormat/>
    <w:uiPriority w:val="1"/>
    <w:pPr>
      <w:widowControl/>
      <w:adjustRightInd w:val="0"/>
      <w:snapToGrid w:val="0"/>
      <w:spacing w:after="200"/>
      <w:jc w:val="left"/>
    </w:pPr>
    <w:rPr>
      <w:rFonts w:ascii="Tahoma" w:hAnsi="Tahoma" w:eastAsia="微软雅黑"/>
      <w:kern w:val="0"/>
      <w:sz w:val="22"/>
      <w:szCs w:val="22"/>
    </w:rPr>
  </w:style>
  <w:style w:type="paragraph" w:customStyle="1" w:styleId="951">
    <w:name w:val="款"/>
    <w:basedOn w:val="1"/>
    <w:autoRedefine/>
    <w:qFormat/>
    <w:uiPriority w:val="0"/>
    <w:pPr>
      <w:spacing w:line="360" w:lineRule="auto"/>
    </w:pPr>
    <w:rPr>
      <w:szCs w:val="20"/>
    </w:rPr>
  </w:style>
  <w:style w:type="paragraph" w:customStyle="1" w:styleId="952">
    <w:name w:val="xl19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53">
    <w:name w:val="备注"/>
    <w:basedOn w:val="475"/>
    <w:autoRedefine/>
    <w:qFormat/>
    <w:uiPriority w:val="0"/>
    <w:pPr>
      <w:spacing w:line="360" w:lineRule="exact"/>
    </w:pPr>
    <w:rPr>
      <w:sz w:val="21"/>
    </w:rPr>
  </w:style>
  <w:style w:type="paragraph" w:customStyle="1" w:styleId="954">
    <w:name w:val="font0"/>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955">
    <w:name w:val="+正文 Char Char"/>
    <w:basedOn w:val="1"/>
    <w:autoRedefine/>
    <w:qFormat/>
    <w:uiPriority w:val="0"/>
    <w:pPr>
      <w:spacing w:line="360" w:lineRule="auto"/>
      <w:ind w:firstLine="200" w:firstLineChars="200"/>
    </w:pPr>
    <w:rPr>
      <w:sz w:val="24"/>
      <w:szCs w:val="28"/>
    </w:rPr>
  </w:style>
  <w:style w:type="paragraph" w:customStyle="1" w:styleId="956">
    <w:name w:val="font13"/>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957">
    <w:name w:val="xl190"/>
    <w:basedOn w:val="1"/>
    <w:autoRedefine/>
    <w:qFormat/>
    <w:uiPriority w:val="0"/>
    <w:pPr>
      <w:widowControl/>
      <w:pBdr>
        <w:top w:val="single" w:color="auto" w:sz="12" w:space="0"/>
      </w:pBdr>
      <w:spacing w:before="100" w:beforeAutospacing="1" w:after="100" w:afterAutospacing="1"/>
      <w:jc w:val="left"/>
      <w:textAlignment w:val="center"/>
    </w:pPr>
    <w:rPr>
      <w:rFonts w:ascii="Arial Unicode MS" w:hAnsi="Arial Unicode MS"/>
      <w:kern w:val="0"/>
      <w:sz w:val="12"/>
      <w:szCs w:val="12"/>
    </w:rPr>
  </w:style>
  <w:style w:type="paragraph" w:customStyle="1" w:styleId="958">
    <w:name w:val="xl17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59">
    <w:name w:val="B1"/>
    <w:basedOn w:val="1"/>
    <w:next w:val="1"/>
    <w:autoRedefine/>
    <w:qFormat/>
    <w:uiPriority w:val="0"/>
    <w:pPr>
      <w:keepNext/>
      <w:tabs>
        <w:tab w:val="left" w:pos="624"/>
      </w:tabs>
      <w:adjustRightInd w:val="0"/>
      <w:spacing w:before="240" w:line="360" w:lineRule="auto"/>
      <w:ind w:left="624" w:hanging="624"/>
      <w:textAlignment w:val="baseline"/>
    </w:pPr>
    <w:rPr>
      <w:kern w:val="24"/>
      <w:sz w:val="28"/>
      <w:szCs w:val="20"/>
    </w:rPr>
  </w:style>
  <w:style w:type="paragraph" w:customStyle="1" w:styleId="960">
    <w:name w:val="表格0"/>
    <w:next w:val="1"/>
    <w:autoRedefine/>
    <w:qFormat/>
    <w:uiPriority w:val="99"/>
    <w:pPr>
      <w:adjustRightInd w:val="0"/>
      <w:snapToGrid w:val="0"/>
      <w:jc w:val="center"/>
    </w:pPr>
    <w:rPr>
      <w:rFonts w:ascii="Times New Roman" w:hAnsi="Times New Roman" w:eastAsia="宋体" w:cs="Times New Roman"/>
      <w:sz w:val="21"/>
      <w:lang w:val="en-US" w:eastAsia="zh-CN" w:bidi="ar-SA"/>
    </w:rPr>
  </w:style>
  <w:style w:type="paragraph" w:customStyle="1" w:styleId="961">
    <w:name w:val="目录2"/>
    <w:basedOn w:val="70"/>
    <w:next w:val="42"/>
    <w:autoRedefine/>
    <w:qFormat/>
    <w:uiPriority w:val="0"/>
    <w:pPr>
      <w:keepNext/>
      <w:widowControl/>
      <w:tabs>
        <w:tab w:val="right" w:leader="dot" w:pos="8160"/>
        <w:tab w:val="right" w:leader="dot" w:pos="8640"/>
        <w:tab w:val="right" w:leader="dot" w:pos="8820"/>
      </w:tabs>
      <w:spacing w:beforeLines="50" w:afterLines="50" w:line="480" w:lineRule="exact"/>
      <w:ind w:left="567"/>
      <w:jc w:val="both"/>
    </w:pPr>
    <w:rPr>
      <w:rFonts w:ascii="Calibri" w:hAnsi="Calibri"/>
      <w:kern w:val="0"/>
      <w:sz w:val="28"/>
      <w:szCs w:val="24"/>
      <w:lang w:bidi="en-US"/>
    </w:rPr>
  </w:style>
  <w:style w:type="paragraph" w:customStyle="1" w:styleId="962">
    <w:name w:val="xl51"/>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963">
    <w:name w:val="新正文样式"/>
    <w:basedOn w:val="1"/>
    <w:autoRedefine/>
    <w:qFormat/>
    <w:uiPriority w:val="0"/>
    <w:pPr>
      <w:tabs>
        <w:tab w:val="left" w:pos="567"/>
      </w:tabs>
      <w:spacing w:line="360" w:lineRule="auto"/>
      <w:ind w:firstLine="567"/>
    </w:pPr>
    <w:rPr>
      <w:spacing w:val="20"/>
      <w:sz w:val="24"/>
      <w:szCs w:val="20"/>
    </w:rPr>
  </w:style>
  <w:style w:type="paragraph" w:customStyle="1" w:styleId="964">
    <w:name w:val="表格编号"/>
    <w:basedOn w:val="1"/>
    <w:autoRedefine/>
    <w:qFormat/>
    <w:uiPriority w:val="0"/>
    <w:pPr>
      <w:snapToGrid w:val="0"/>
      <w:spacing w:before="300" w:after="200" w:line="500" w:lineRule="exact"/>
      <w:jc w:val="left"/>
    </w:pPr>
    <w:rPr>
      <w:sz w:val="24"/>
    </w:rPr>
  </w:style>
  <w:style w:type="paragraph" w:customStyle="1" w:styleId="965">
    <w:name w:val="Char Char Char Char Char Char Char Char Char Char1"/>
    <w:basedOn w:val="1"/>
    <w:autoRedefine/>
    <w:qFormat/>
    <w:uiPriority w:val="0"/>
    <w:pPr>
      <w:widowControl/>
      <w:contextualSpacing/>
      <w:jc w:val="left"/>
    </w:pPr>
    <w:rPr>
      <w:rFonts w:cs="宋体"/>
      <w:kern w:val="0"/>
    </w:rPr>
  </w:style>
  <w:style w:type="paragraph" w:customStyle="1" w:styleId="966">
    <w:name w:val="正文001"/>
    <w:basedOn w:val="1"/>
    <w:autoRedefine/>
    <w:qFormat/>
    <w:uiPriority w:val="0"/>
    <w:pPr>
      <w:spacing w:before="60" w:line="460" w:lineRule="exact"/>
      <w:ind w:firstLine="200" w:firstLineChars="200"/>
    </w:pPr>
    <w:rPr>
      <w:sz w:val="24"/>
      <w:szCs w:val="20"/>
    </w:rPr>
  </w:style>
  <w:style w:type="paragraph" w:customStyle="1" w:styleId="967">
    <w:name w:val="正文图标题"/>
    <w:next w:val="1"/>
    <w:autoRedefine/>
    <w:qFormat/>
    <w:uiPriority w:val="0"/>
    <w:pPr>
      <w:numPr>
        <w:ilvl w:val="0"/>
        <w:numId w:val="10"/>
      </w:numPr>
      <w:tabs>
        <w:tab w:val="left" w:pos="360"/>
      </w:tabs>
      <w:spacing w:beforeLines="50" w:afterLines="50"/>
      <w:jc w:val="center"/>
    </w:pPr>
    <w:rPr>
      <w:rFonts w:ascii="黑体" w:hAnsi="Times New Roman" w:eastAsia="黑体" w:cs="Times New Roman"/>
      <w:sz w:val="21"/>
      <w:lang w:val="en-US" w:eastAsia="zh-CN" w:bidi="ar-SA"/>
    </w:rPr>
  </w:style>
  <w:style w:type="paragraph" w:customStyle="1" w:styleId="968">
    <w:name w:val="Char Char Char Char Char Char Char1"/>
    <w:basedOn w:val="1"/>
    <w:autoRedefine/>
    <w:qFormat/>
    <w:uiPriority w:val="0"/>
    <w:pPr>
      <w:widowControl/>
      <w:contextualSpacing/>
      <w:jc w:val="left"/>
    </w:pPr>
    <w:rPr>
      <w:rFonts w:cs="宋体"/>
      <w:kern w:val="0"/>
    </w:rPr>
  </w:style>
  <w:style w:type="paragraph" w:customStyle="1" w:styleId="969">
    <w:name w:val="xl111"/>
    <w:basedOn w:val="1"/>
    <w:autoRedefine/>
    <w:qFormat/>
    <w:uiPriority w:val="0"/>
    <w:pPr>
      <w:widowControl/>
      <w:pBdr>
        <w:top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70">
    <w:name w:val="xl3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971">
    <w:name w:val="表内4号居中"/>
    <w:autoRedefine/>
    <w:qFormat/>
    <w:uiPriority w:val="0"/>
    <w:pPr>
      <w:adjustRightInd w:val="0"/>
      <w:snapToGrid w:val="0"/>
      <w:spacing w:line="360" w:lineRule="auto"/>
      <w:jc w:val="center"/>
    </w:pPr>
    <w:rPr>
      <w:rFonts w:ascii="Arial" w:hAnsi="Arial" w:eastAsia="宋体" w:cs="Times New Roman"/>
      <w:spacing w:val="20"/>
      <w:sz w:val="21"/>
      <w:lang w:val="en-US" w:eastAsia="zh-CN" w:bidi="ar-SA"/>
    </w:rPr>
  </w:style>
  <w:style w:type="paragraph" w:customStyle="1" w:styleId="972">
    <w:name w:val="xl128"/>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73">
    <w:name w:val="样式 标题 3 + (西文) Times New Roman (中文) 宋体 小四 加粗"/>
    <w:basedOn w:val="5"/>
    <w:autoRedefine/>
    <w:qFormat/>
    <w:uiPriority w:val="0"/>
    <w:pPr>
      <w:tabs>
        <w:tab w:val="left" w:pos="1021"/>
      </w:tabs>
      <w:spacing w:before="156" w:after="0" w:afterLines="50" w:line="360" w:lineRule="auto"/>
      <w:ind w:left="1021" w:hanging="1021"/>
    </w:pPr>
    <w:rPr>
      <w:rFonts w:ascii="宋体" w:hAnsi="宋体"/>
      <w:b w:val="0"/>
      <w:snapToGrid w:val="0"/>
      <w:sz w:val="28"/>
      <w:szCs w:val="28"/>
    </w:rPr>
  </w:style>
  <w:style w:type="paragraph" w:customStyle="1" w:styleId="974">
    <w:name w:val="默认段落字体 Para Char Char Char Char Char Char"/>
    <w:basedOn w:val="1"/>
    <w:autoRedefine/>
    <w:qFormat/>
    <w:uiPriority w:val="0"/>
  </w:style>
  <w:style w:type="paragraph" w:customStyle="1" w:styleId="975">
    <w:name w:val="xl158"/>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976">
    <w:name w:val="表样式2"/>
    <w:basedOn w:val="1"/>
    <w:autoRedefine/>
    <w:qFormat/>
    <w:uiPriority w:val="0"/>
    <w:pPr>
      <w:jc w:val="center"/>
    </w:pPr>
    <w:rPr>
      <w:kern w:val="0"/>
    </w:rPr>
  </w:style>
  <w:style w:type="paragraph" w:customStyle="1" w:styleId="977">
    <w:name w:val="xl95"/>
    <w:basedOn w:val="1"/>
    <w:autoRedefine/>
    <w:qFormat/>
    <w:uiPriority w:val="0"/>
    <w:pPr>
      <w:widowControl/>
      <w:spacing w:before="100" w:beforeAutospacing="1" w:after="100" w:afterAutospacing="1"/>
      <w:jc w:val="right"/>
    </w:pPr>
    <w:rPr>
      <w:rFonts w:ascii="Arial Unicode MS" w:hAnsi="Arial Unicode MS"/>
      <w:kern w:val="0"/>
      <w:sz w:val="12"/>
      <w:szCs w:val="12"/>
    </w:rPr>
  </w:style>
  <w:style w:type="paragraph" w:customStyle="1" w:styleId="978">
    <w:name w:val="xl100"/>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979">
    <w:name w:val="Char Char Char Char Char Char Char Char Char Char Char Char Char"/>
    <w:basedOn w:val="1"/>
    <w:autoRedefine/>
    <w:qFormat/>
    <w:uiPriority w:val="0"/>
    <w:pPr>
      <w:widowControl/>
      <w:spacing w:after="160" w:line="240" w:lineRule="exact"/>
      <w:jc w:val="left"/>
    </w:pPr>
  </w:style>
  <w:style w:type="paragraph" w:customStyle="1" w:styleId="980">
    <w:name w:val="font1"/>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981">
    <w:name w:val="CM88"/>
    <w:basedOn w:val="732"/>
    <w:next w:val="732"/>
    <w:autoRedefine/>
    <w:qFormat/>
    <w:uiPriority w:val="0"/>
    <w:pPr>
      <w:spacing w:after="175"/>
    </w:pPr>
    <w:rPr>
      <w:rFonts w:ascii="黑体" w:eastAsia="黑体"/>
      <w:color w:val="auto"/>
    </w:rPr>
  </w:style>
  <w:style w:type="paragraph" w:customStyle="1" w:styleId="982">
    <w:name w:val="font14"/>
    <w:basedOn w:val="1"/>
    <w:autoRedefine/>
    <w:qFormat/>
    <w:uiPriority w:val="0"/>
    <w:pPr>
      <w:widowControl/>
      <w:spacing w:before="100" w:beforeAutospacing="1" w:after="100" w:afterAutospacing="1"/>
      <w:jc w:val="left"/>
    </w:pPr>
    <w:rPr>
      <w:rFonts w:ascii="宋体" w:hAnsi="宋体"/>
      <w:b/>
      <w:bCs/>
      <w:i/>
      <w:iCs/>
      <w:kern w:val="0"/>
      <w:sz w:val="22"/>
      <w:szCs w:val="22"/>
    </w:rPr>
  </w:style>
  <w:style w:type="paragraph" w:customStyle="1" w:styleId="983">
    <w:name w:val="xl67"/>
    <w:basedOn w:val="1"/>
    <w:autoRedefine/>
    <w:qFormat/>
    <w:uiPriority w:val="0"/>
    <w:pPr>
      <w:widowControl/>
      <w:spacing w:before="100" w:beforeAutospacing="1" w:after="100" w:afterAutospacing="1"/>
      <w:jc w:val="center"/>
    </w:pPr>
    <w:rPr>
      <w:rFonts w:ascii="宋体" w:hAnsi="宋体"/>
      <w:b/>
      <w:bCs/>
      <w:kern w:val="0"/>
      <w:sz w:val="22"/>
      <w:szCs w:val="22"/>
    </w:rPr>
  </w:style>
  <w:style w:type="paragraph" w:customStyle="1" w:styleId="984">
    <w:name w:val="xl89"/>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985">
    <w:name w:val="Char Char 字元 字元 字元 Char Char Char Char"/>
    <w:basedOn w:val="1"/>
    <w:autoRedefine/>
    <w:qFormat/>
    <w:uiPriority w:val="0"/>
    <w:pPr>
      <w:adjustRightInd w:val="0"/>
      <w:spacing w:line="360" w:lineRule="auto"/>
    </w:pPr>
  </w:style>
  <w:style w:type="paragraph" w:customStyle="1" w:styleId="986">
    <w:name w:val="Char Char8 Char"/>
    <w:basedOn w:val="5"/>
    <w:autoRedefine/>
    <w:semiHidden/>
    <w:qFormat/>
    <w:uiPriority w:val="0"/>
    <w:pPr>
      <w:tabs>
        <w:tab w:val="left" w:pos="360"/>
        <w:tab w:val="left" w:pos="900"/>
      </w:tabs>
      <w:spacing w:before="0" w:after="120" w:line="360" w:lineRule="auto"/>
      <w:ind w:left="542" w:leftChars="-12" w:firstLine="200" w:firstLineChars="200"/>
    </w:pPr>
    <w:rPr>
      <w:rFonts w:ascii="宋体" w:hAnsi="宋体" w:cs="宋体"/>
      <w:b w:val="0"/>
      <w:bCs w:val="0"/>
      <w:sz w:val="24"/>
      <w:szCs w:val="24"/>
    </w:rPr>
  </w:style>
  <w:style w:type="paragraph" w:customStyle="1" w:styleId="987">
    <w:name w:val="xl29"/>
    <w:basedOn w:val="1"/>
    <w:autoRedefine/>
    <w:qFormat/>
    <w:uiPriority w:val="0"/>
    <w:pPr>
      <w:widowControl/>
      <w:spacing w:before="100" w:beforeAutospacing="1" w:after="100" w:afterAutospacing="1"/>
      <w:jc w:val="left"/>
      <w:textAlignment w:val="bottom"/>
    </w:pPr>
    <w:rPr>
      <w:rFonts w:ascii="Arial" w:hAnsi="Arial" w:cs="Arial"/>
      <w:b/>
      <w:bCs/>
      <w:kern w:val="0"/>
      <w:sz w:val="22"/>
      <w:szCs w:val="22"/>
    </w:rPr>
  </w:style>
  <w:style w:type="paragraph" w:customStyle="1" w:styleId="988">
    <w:name w:val="封面"/>
    <w:basedOn w:val="1"/>
    <w:autoRedefine/>
    <w:qFormat/>
    <w:uiPriority w:val="0"/>
    <w:pPr>
      <w:adjustRightInd w:val="0"/>
      <w:spacing w:before="60" w:line="360" w:lineRule="auto"/>
      <w:ind w:firstLine="482"/>
      <w:jc w:val="center"/>
      <w:textAlignment w:val="baseline"/>
    </w:pPr>
    <w:rPr>
      <w:rFonts w:ascii="Arial" w:hAnsi="Arial" w:eastAsia="仿宋_GB2312"/>
      <w:b/>
      <w:kern w:val="0"/>
      <w:sz w:val="30"/>
      <w:szCs w:val="20"/>
    </w:rPr>
  </w:style>
  <w:style w:type="paragraph" w:customStyle="1" w:styleId="989">
    <w:name w:val="Char21"/>
    <w:basedOn w:val="1"/>
    <w:autoRedefine/>
    <w:qFormat/>
    <w:uiPriority w:val="0"/>
    <w:pPr>
      <w:spacing w:line="360" w:lineRule="auto"/>
      <w:ind w:firstLine="200" w:firstLineChars="200"/>
    </w:pPr>
    <w:rPr>
      <w:rFonts w:ascii="宋体" w:hAnsi="宋体" w:cs="宋体"/>
      <w:sz w:val="24"/>
    </w:rPr>
  </w:style>
  <w:style w:type="paragraph" w:customStyle="1" w:styleId="990">
    <w:name w:val="简单回函地址"/>
    <w:basedOn w:val="1"/>
    <w:autoRedefine/>
    <w:qFormat/>
    <w:uiPriority w:val="0"/>
  </w:style>
  <w:style w:type="paragraph" w:customStyle="1" w:styleId="991">
    <w:name w:val="页眉左"/>
    <w:basedOn w:val="53"/>
    <w:autoRedefine/>
    <w:qFormat/>
    <w:uiPriority w:val="0"/>
    <w:pPr>
      <w:pBdr>
        <w:bottom w:val="none" w:color="auto" w:sz="0" w:space="0"/>
      </w:pBdr>
      <w:adjustRightInd w:val="0"/>
      <w:snapToGrid/>
      <w:spacing w:before="60" w:after="60" w:line="240" w:lineRule="atLeast"/>
      <w:jc w:val="left"/>
      <w:textAlignment w:val="baseline"/>
    </w:pPr>
    <w:rPr>
      <w:sz w:val="22"/>
      <w:lang w:val="en-GB"/>
    </w:rPr>
  </w:style>
  <w:style w:type="paragraph" w:customStyle="1" w:styleId="992">
    <w:name w:val="样式 四号"/>
    <w:basedOn w:val="1"/>
    <w:autoRedefine/>
    <w:qFormat/>
    <w:uiPriority w:val="0"/>
    <w:pPr>
      <w:spacing w:line="360" w:lineRule="auto"/>
      <w:ind w:firstLine="480" w:firstLineChars="200"/>
    </w:pPr>
    <w:rPr>
      <w:rFonts w:ascii="宋体" w:hAnsi="宋体"/>
      <w:snapToGrid w:val="0"/>
      <w:kern w:val="0"/>
      <w:sz w:val="24"/>
    </w:rPr>
  </w:style>
  <w:style w:type="paragraph" w:customStyle="1" w:styleId="993">
    <w:name w:val="Char12"/>
    <w:basedOn w:val="1"/>
    <w:autoRedefine/>
    <w:qFormat/>
    <w:uiPriority w:val="0"/>
  </w:style>
  <w:style w:type="paragraph" w:customStyle="1" w:styleId="994">
    <w:name w:val="样式 标题 3 + 段前: 0.5 行 段后: 0.2 行"/>
    <w:basedOn w:val="5"/>
    <w:autoRedefine/>
    <w:qFormat/>
    <w:uiPriority w:val="0"/>
    <w:pPr>
      <w:spacing w:before="0" w:beforeLines="30" w:after="0" w:line="600" w:lineRule="exact"/>
      <w:ind w:firstLine="480" w:firstLineChars="200"/>
    </w:pPr>
    <w:rPr>
      <w:rFonts w:eastAsia="黑体" w:cs="宋体"/>
      <w:b w:val="0"/>
      <w:sz w:val="26"/>
      <w:szCs w:val="20"/>
    </w:rPr>
  </w:style>
  <w:style w:type="paragraph" w:customStyle="1" w:styleId="995">
    <w:name w:val="目录"/>
    <w:basedOn w:val="4"/>
    <w:next w:val="1"/>
    <w:autoRedefine/>
    <w:qFormat/>
    <w:uiPriority w:val="0"/>
    <w:pPr>
      <w:keepLines w:val="0"/>
      <w:widowControl/>
      <w:tabs>
        <w:tab w:val="left" w:pos="0"/>
        <w:tab w:val="left" w:pos="8280"/>
      </w:tabs>
      <w:spacing w:before="480" w:after="60" w:line="480" w:lineRule="exact"/>
      <w:ind w:right="50" w:rightChars="50"/>
      <w:jc w:val="left"/>
    </w:pPr>
    <w:rPr>
      <w:b w:val="0"/>
      <w:iCs/>
      <w:kern w:val="44"/>
      <w:szCs w:val="28"/>
      <w:lang w:eastAsia="en-US" w:bidi="en-US"/>
    </w:rPr>
  </w:style>
  <w:style w:type="paragraph" w:customStyle="1" w:styleId="996">
    <w:name w:val="默认段落字体 Para Char Char Char Char Char Char Char"/>
    <w:basedOn w:val="1"/>
    <w:autoRedefine/>
    <w:qFormat/>
    <w:uiPriority w:val="0"/>
    <w:pPr>
      <w:adjustRightInd w:val="0"/>
      <w:spacing w:line="360" w:lineRule="auto"/>
      <w:textAlignment w:val="baseline"/>
    </w:pPr>
    <w:rPr>
      <w:kern w:val="0"/>
      <w:sz w:val="24"/>
      <w:szCs w:val="20"/>
    </w:rPr>
  </w:style>
  <w:style w:type="paragraph" w:customStyle="1" w:styleId="997">
    <w:name w:val="封面 宋体"/>
    <w:basedOn w:val="998"/>
    <w:autoRedefine/>
    <w:qFormat/>
    <w:uiPriority w:val="0"/>
    <w:rPr>
      <w:rFonts w:ascii="宋体-方正超大字符集" w:hAnsi="宋体-方正超大字符集" w:eastAsia="宋体-方正超大字符集"/>
      <w:b w:val="0"/>
      <w:bCs/>
      <w:sz w:val="32"/>
    </w:rPr>
  </w:style>
  <w:style w:type="paragraph" w:customStyle="1" w:styleId="998">
    <w:name w:val="封面 黑体"/>
    <w:basedOn w:val="1"/>
    <w:autoRedefine/>
    <w:qFormat/>
    <w:uiPriority w:val="0"/>
    <w:pPr>
      <w:spacing w:before="240" w:after="240" w:line="480" w:lineRule="exact"/>
      <w:jc w:val="center"/>
    </w:pPr>
    <w:rPr>
      <w:b/>
      <w:sz w:val="30"/>
    </w:rPr>
  </w:style>
  <w:style w:type="paragraph" w:customStyle="1" w:styleId="999">
    <w:name w:val="表格段落1"/>
    <w:basedOn w:val="1"/>
    <w:autoRedefine/>
    <w:qFormat/>
    <w:uiPriority w:val="0"/>
    <w:pPr>
      <w:adjustRightInd w:val="0"/>
      <w:snapToGrid w:val="0"/>
      <w:spacing w:line="320" w:lineRule="exact"/>
      <w:jc w:val="center"/>
    </w:pPr>
  </w:style>
  <w:style w:type="paragraph" w:customStyle="1" w:styleId="1000">
    <w:name w:val="小五表文"/>
    <w:autoRedefine/>
    <w:qFormat/>
    <w:uiPriority w:val="0"/>
    <w:pPr>
      <w:jc w:val="center"/>
    </w:pPr>
    <w:rPr>
      <w:rFonts w:ascii="Times New Roman" w:hAnsi="Times New Roman" w:eastAsia="仿宋_GB2312" w:cs="Times New Roman"/>
      <w:sz w:val="18"/>
      <w:lang w:val="en-US" w:eastAsia="zh-CN" w:bidi="ar-SA"/>
    </w:rPr>
  </w:style>
  <w:style w:type="paragraph" w:customStyle="1" w:styleId="1001">
    <w:name w:val="xl83"/>
    <w:basedOn w:val="1"/>
    <w:autoRedefine/>
    <w:qFormat/>
    <w:uiPriority w:val="0"/>
    <w:pPr>
      <w:widowControl/>
      <w:pBdr>
        <w:top w:val="single" w:color="auto" w:sz="12" w:space="0"/>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02">
    <w:name w:val="style23"/>
    <w:basedOn w:val="1"/>
    <w:autoRedefine/>
    <w:qFormat/>
    <w:uiPriority w:val="0"/>
    <w:pPr>
      <w:widowControl/>
      <w:spacing w:before="100" w:beforeAutospacing="1" w:after="100" w:afterAutospacing="1"/>
      <w:jc w:val="left"/>
    </w:pPr>
    <w:rPr>
      <w:rFonts w:ascii="宋体" w:hAnsi="宋体"/>
      <w:b/>
      <w:bCs/>
      <w:color w:val="990000"/>
      <w:kern w:val="0"/>
    </w:rPr>
  </w:style>
  <w:style w:type="paragraph" w:customStyle="1" w:styleId="1003">
    <w:name w:val="说明书"/>
    <w:basedOn w:val="1"/>
    <w:autoRedefine/>
    <w:qFormat/>
    <w:uiPriority w:val="0"/>
    <w:pPr>
      <w:widowControl/>
      <w:adjustRightInd w:val="0"/>
      <w:spacing w:line="500" w:lineRule="exact"/>
      <w:ind w:firstLine="624"/>
      <w:contextualSpacing/>
      <w:jc w:val="left"/>
      <w:textAlignment w:val="baseline"/>
    </w:pPr>
    <w:rPr>
      <w:rFonts w:ascii="Arial" w:hAnsi="Arial" w:cs="宋体"/>
      <w:kern w:val="0"/>
      <w:sz w:val="28"/>
      <w:szCs w:val="20"/>
    </w:rPr>
  </w:style>
  <w:style w:type="paragraph" w:customStyle="1" w:styleId="1004">
    <w:name w:val="xl194"/>
    <w:basedOn w:val="1"/>
    <w:autoRedefine/>
    <w:qFormat/>
    <w:uiPriority w:val="0"/>
    <w:pPr>
      <w:widowControl/>
      <w:spacing w:before="100" w:beforeAutospacing="1" w:after="100" w:afterAutospacing="1"/>
      <w:jc w:val="center"/>
    </w:pPr>
    <w:rPr>
      <w:kern w:val="0"/>
      <w:sz w:val="16"/>
      <w:szCs w:val="16"/>
    </w:rPr>
  </w:style>
  <w:style w:type="paragraph" w:customStyle="1" w:styleId="1005">
    <w:name w:val="Char Char Char Char Char Char1 Char Char Char Char Char Char Char"/>
    <w:basedOn w:val="1"/>
    <w:autoRedefine/>
    <w:qFormat/>
    <w:uiPriority w:val="0"/>
  </w:style>
  <w:style w:type="paragraph" w:customStyle="1" w:styleId="1006">
    <w:name w:val="样式111"/>
    <w:basedOn w:val="691"/>
    <w:autoRedefine/>
    <w:qFormat/>
    <w:uiPriority w:val="0"/>
    <w:rPr>
      <w:sz w:val="21"/>
    </w:rPr>
  </w:style>
  <w:style w:type="paragraph" w:customStyle="1" w:styleId="1007">
    <w:name w:val="xl138"/>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kern w:val="0"/>
      <w:sz w:val="12"/>
      <w:szCs w:val="12"/>
    </w:rPr>
  </w:style>
  <w:style w:type="paragraph" w:customStyle="1" w:styleId="1008">
    <w:name w:val="样式11"/>
    <w:basedOn w:val="486"/>
    <w:autoRedefine/>
    <w:qFormat/>
    <w:uiPriority w:val="0"/>
    <w:pPr>
      <w:adjustRightInd w:val="0"/>
      <w:spacing w:line="240" w:lineRule="auto"/>
      <w:textAlignment w:val="baseline"/>
    </w:pPr>
    <w:rPr>
      <w:rFonts w:ascii="仿宋_GB2312" w:eastAsia="仿宋_GB2312"/>
      <w:color w:val="000000"/>
      <w:sz w:val="24"/>
      <w:szCs w:val="24"/>
    </w:rPr>
  </w:style>
  <w:style w:type="paragraph" w:customStyle="1" w:styleId="1009">
    <w:name w:val="dash6b63-6587"/>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010">
    <w:name w:val="font9"/>
    <w:basedOn w:val="1"/>
    <w:autoRedefine/>
    <w:qFormat/>
    <w:uiPriority w:val="0"/>
    <w:pPr>
      <w:widowControl/>
      <w:spacing w:before="100" w:beforeAutospacing="1" w:after="100" w:afterAutospacing="1"/>
      <w:jc w:val="left"/>
    </w:pPr>
    <w:rPr>
      <w:rFonts w:ascii="Arial" w:hAnsi="Arial" w:cs="Arial"/>
      <w:b/>
      <w:bCs/>
      <w:kern w:val="0"/>
      <w:sz w:val="28"/>
      <w:szCs w:val="28"/>
    </w:rPr>
  </w:style>
  <w:style w:type="paragraph" w:customStyle="1" w:styleId="1011">
    <w:name w:val="Char Char Char Char Char Char Char Char Char Char Char Char Char Char Char Char1"/>
    <w:basedOn w:val="1"/>
    <w:autoRedefine/>
    <w:qFormat/>
    <w:uiPriority w:val="0"/>
  </w:style>
  <w:style w:type="paragraph" w:customStyle="1" w:styleId="1012">
    <w:name w:val="xl41"/>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13">
    <w:name w:val="xl137"/>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2"/>
      <w:szCs w:val="12"/>
    </w:rPr>
  </w:style>
  <w:style w:type="paragraph" w:customStyle="1" w:styleId="1014">
    <w:name w:val="title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015">
    <w:name w:val="表中居中文字"/>
    <w:basedOn w:val="1"/>
    <w:autoRedefine/>
    <w:qFormat/>
    <w:uiPriority w:val="0"/>
    <w:pPr>
      <w:numPr>
        <w:ilvl w:val="3"/>
        <w:numId w:val="11"/>
      </w:numPr>
      <w:tabs>
        <w:tab w:val="clear" w:pos="2249"/>
      </w:tabs>
      <w:ind w:left="0" w:firstLine="0"/>
    </w:pPr>
    <w:rPr>
      <w:rFonts w:ascii="宋体" w:hAnsi="宋体" w:cs="Arial"/>
      <w:bCs/>
      <w:color w:val="FF0000"/>
      <w:sz w:val="24"/>
      <w:szCs w:val="18"/>
    </w:rPr>
  </w:style>
  <w:style w:type="paragraph" w:customStyle="1" w:styleId="1016">
    <w:name w:val="高段文"/>
    <w:basedOn w:val="1"/>
    <w:autoRedefine/>
    <w:qFormat/>
    <w:uiPriority w:val="0"/>
    <w:pPr>
      <w:spacing w:line="300" w:lineRule="auto"/>
      <w:ind w:firstLine="200" w:firstLineChars="200"/>
    </w:pPr>
    <w:rPr>
      <w:rFonts w:ascii="Arial" w:hAnsi="Arial" w:eastAsia="楷体_GB2312"/>
      <w:sz w:val="28"/>
      <w:szCs w:val="28"/>
    </w:rPr>
  </w:style>
  <w:style w:type="paragraph" w:customStyle="1" w:styleId="1017">
    <w:name w:val="6"/>
    <w:basedOn w:val="1"/>
    <w:next w:val="72"/>
    <w:autoRedefine/>
    <w:qFormat/>
    <w:uiPriority w:val="0"/>
    <w:pPr>
      <w:spacing w:after="120" w:line="480" w:lineRule="auto"/>
    </w:pPr>
  </w:style>
  <w:style w:type="paragraph" w:customStyle="1" w:styleId="1018">
    <w:name w:val="封面 名称"/>
    <w:basedOn w:val="998"/>
    <w:next w:val="998"/>
    <w:autoRedefine/>
    <w:qFormat/>
    <w:uiPriority w:val="0"/>
    <w:pPr>
      <w:spacing w:line="640" w:lineRule="exact"/>
    </w:pPr>
    <w:rPr>
      <w:rFonts w:eastAsia="宋体-方正超大字符集"/>
      <w:spacing w:val="40"/>
      <w:sz w:val="44"/>
      <w:szCs w:val="44"/>
    </w:rPr>
  </w:style>
  <w:style w:type="paragraph" w:customStyle="1" w:styleId="1019">
    <w:name w:val="EIA正文"/>
    <w:basedOn w:val="1"/>
    <w:autoRedefine/>
    <w:qFormat/>
    <w:uiPriority w:val="0"/>
    <w:pPr>
      <w:ind w:firstLine="200" w:firstLineChars="200"/>
    </w:pPr>
    <w:rPr>
      <w:color w:val="000000"/>
      <w:sz w:val="24"/>
      <w:szCs w:val="20"/>
    </w:rPr>
  </w:style>
  <w:style w:type="paragraph" w:customStyle="1" w:styleId="1020">
    <w:name w:val="MTDisplayEquation"/>
    <w:basedOn w:val="1"/>
    <w:next w:val="1"/>
    <w:autoRedefine/>
    <w:qFormat/>
    <w:uiPriority w:val="0"/>
    <w:pPr>
      <w:tabs>
        <w:tab w:val="center" w:pos="4540"/>
        <w:tab w:val="right" w:pos="9080"/>
      </w:tabs>
      <w:snapToGrid w:val="0"/>
      <w:spacing w:line="360" w:lineRule="auto"/>
    </w:pPr>
    <w:rPr>
      <w:i/>
    </w:rPr>
  </w:style>
  <w:style w:type="paragraph" w:customStyle="1" w:styleId="1021">
    <w:name w:val="Plain Text1"/>
    <w:basedOn w:val="1"/>
    <w:autoRedefine/>
    <w:qFormat/>
    <w:uiPriority w:val="0"/>
    <w:pPr>
      <w:widowControl/>
      <w:autoSpaceDE w:val="0"/>
      <w:autoSpaceDN w:val="0"/>
      <w:adjustRightInd w:val="0"/>
      <w:contextualSpacing/>
      <w:jc w:val="left"/>
    </w:pPr>
    <w:rPr>
      <w:rFonts w:cs="宋体"/>
      <w:kern w:val="0"/>
      <w:szCs w:val="20"/>
    </w:rPr>
  </w:style>
  <w:style w:type="paragraph" w:customStyle="1" w:styleId="1022">
    <w:name w:val="样式3"/>
    <w:basedOn w:val="1"/>
    <w:autoRedefine/>
    <w:qFormat/>
    <w:uiPriority w:val="0"/>
    <w:pPr>
      <w:widowControl/>
      <w:jc w:val="left"/>
    </w:pPr>
    <w:rPr>
      <w:spacing w:val="-4"/>
      <w:sz w:val="24"/>
    </w:rPr>
  </w:style>
  <w:style w:type="paragraph" w:customStyle="1" w:styleId="1023">
    <w:name w:val="xl188"/>
    <w:basedOn w:val="1"/>
    <w:autoRedefine/>
    <w:qFormat/>
    <w:uiPriority w:val="0"/>
    <w:pPr>
      <w:widowControl/>
      <w:spacing w:before="100" w:beforeAutospacing="1" w:after="100" w:afterAutospacing="1"/>
      <w:jc w:val="left"/>
      <w:textAlignment w:val="center"/>
    </w:pPr>
    <w:rPr>
      <w:kern w:val="0"/>
      <w:sz w:val="12"/>
      <w:szCs w:val="12"/>
    </w:rPr>
  </w:style>
  <w:style w:type="paragraph" w:customStyle="1" w:styleId="1024">
    <w:name w:val="xl183"/>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25">
    <w:name w:val="xl197"/>
    <w:basedOn w:val="1"/>
    <w:autoRedefine/>
    <w:qFormat/>
    <w:uiPriority w:val="0"/>
    <w:pPr>
      <w:widowControl/>
      <w:pBdr>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kern w:val="0"/>
    </w:rPr>
  </w:style>
  <w:style w:type="paragraph" w:customStyle="1" w:styleId="1026">
    <w:name w:val="样式 四号 首行缩进:  2 字符"/>
    <w:basedOn w:val="1"/>
    <w:autoRedefine/>
    <w:qFormat/>
    <w:uiPriority w:val="0"/>
    <w:pPr>
      <w:spacing w:line="480" w:lineRule="atLeast"/>
      <w:ind w:firstLine="200" w:firstLineChars="200"/>
    </w:pPr>
    <w:rPr>
      <w:sz w:val="24"/>
    </w:rPr>
  </w:style>
  <w:style w:type="paragraph" w:customStyle="1" w:styleId="1027">
    <w:name w:val="Char3"/>
    <w:basedOn w:val="1"/>
    <w:autoRedefine/>
    <w:qFormat/>
    <w:uiPriority w:val="0"/>
    <w:pPr>
      <w:spacing w:before="60" w:line="360" w:lineRule="auto"/>
      <w:ind w:firstLine="200" w:firstLineChars="200"/>
    </w:pPr>
    <w:rPr>
      <w:rFonts w:eastAsia="黑体"/>
      <w:sz w:val="30"/>
    </w:rPr>
  </w:style>
  <w:style w:type="paragraph" w:customStyle="1" w:styleId="1028">
    <w:name w:val="unnamed1"/>
    <w:basedOn w:val="1"/>
    <w:autoRedefine/>
    <w:qFormat/>
    <w:uiPriority w:val="0"/>
    <w:pPr>
      <w:widowControl/>
      <w:spacing w:before="100" w:beforeAutospacing="1" w:after="100" w:afterAutospacing="1" w:line="345" w:lineRule="atLeast"/>
      <w:jc w:val="left"/>
    </w:pPr>
    <w:rPr>
      <w:rFonts w:ascii="ˎ̥" w:hAnsi="ˎ̥" w:cs="宋体"/>
      <w:color w:val="000000"/>
      <w:kern w:val="0"/>
      <w:sz w:val="18"/>
      <w:szCs w:val="18"/>
    </w:rPr>
  </w:style>
  <w:style w:type="paragraph" w:customStyle="1" w:styleId="1029">
    <w:name w:val="xl97"/>
    <w:basedOn w:val="1"/>
    <w:autoRedefine/>
    <w:qFormat/>
    <w:uiPriority w:val="0"/>
    <w:pPr>
      <w:widowControl/>
      <w:pBdr>
        <w:top w:val="single" w:color="auto" w:sz="12"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30">
    <w:name w:val="00000000000000"/>
    <w:basedOn w:val="1"/>
    <w:autoRedefine/>
    <w:qFormat/>
    <w:uiPriority w:val="0"/>
    <w:pPr>
      <w:adjustRightInd w:val="0"/>
      <w:snapToGrid w:val="0"/>
      <w:spacing w:line="360" w:lineRule="auto"/>
      <w:ind w:firstLine="480" w:firstLineChars="200"/>
    </w:pPr>
    <w:rPr>
      <w:rFonts w:ascii="宋体" w:hAnsi="宋体"/>
      <w:bCs/>
      <w:kern w:val="18"/>
      <w:sz w:val="24"/>
    </w:rPr>
  </w:style>
  <w:style w:type="paragraph" w:customStyle="1" w:styleId="1031">
    <w:name w:val="五号 居中"/>
    <w:basedOn w:val="1"/>
    <w:autoRedefine/>
    <w:qFormat/>
    <w:uiPriority w:val="0"/>
    <w:pPr>
      <w:snapToGrid w:val="0"/>
      <w:spacing w:line="500" w:lineRule="exact"/>
      <w:jc w:val="center"/>
    </w:pPr>
    <w:rPr>
      <w:rFonts w:cs="宋体"/>
      <w:kern w:val="0"/>
      <w:szCs w:val="20"/>
    </w:rPr>
  </w:style>
  <w:style w:type="paragraph" w:customStyle="1" w:styleId="1032">
    <w:name w:val="xl114"/>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33">
    <w:name w:val="xl93"/>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34">
    <w:name w:val="样式 标题 21.1标题 21.1标题2标题 2 Char1节_Heading 2标2 + 段前: 0.5 行..."/>
    <w:basedOn w:val="4"/>
    <w:autoRedefine/>
    <w:qFormat/>
    <w:uiPriority w:val="0"/>
    <w:pPr>
      <w:keepNext w:val="0"/>
      <w:adjustRightInd w:val="0"/>
      <w:snapToGrid w:val="0"/>
      <w:spacing w:before="120" w:beforeLines="50" w:after="120" w:afterLines="50" w:line="240" w:lineRule="auto"/>
      <w:ind w:left="576" w:hanging="576"/>
      <w:contextualSpacing/>
      <w:jc w:val="left"/>
    </w:pPr>
    <w:rPr>
      <w:rFonts w:ascii="宋体" w:hAnsi="宋体" w:eastAsia="宋体" w:cs="宋体"/>
      <w:bCs w:val="0"/>
      <w:color w:val="000000"/>
      <w:sz w:val="24"/>
      <w:szCs w:val="20"/>
    </w:rPr>
  </w:style>
  <w:style w:type="paragraph" w:customStyle="1" w:styleId="1035">
    <w:name w:val="样式 样式 首行缩进:  2 字符1 + 首行缩进:  2 字符"/>
    <w:basedOn w:val="1"/>
    <w:autoRedefine/>
    <w:qFormat/>
    <w:uiPriority w:val="0"/>
    <w:pPr>
      <w:adjustRightInd w:val="0"/>
      <w:spacing w:line="360" w:lineRule="auto"/>
      <w:ind w:firstLine="519" w:firstLineChars="200"/>
    </w:pPr>
    <w:rPr>
      <w:rFonts w:cs="宋体"/>
      <w:snapToGrid w:val="0"/>
      <w:kern w:val="0"/>
      <w:sz w:val="28"/>
      <w:szCs w:val="28"/>
    </w:rPr>
  </w:style>
  <w:style w:type="paragraph" w:customStyle="1" w:styleId="1036">
    <w:name w:val="Char Char1 Char"/>
    <w:basedOn w:val="1"/>
    <w:autoRedefine/>
    <w:qFormat/>
    <w:uiPriority w:val="0"/>
    <w:pPr>
      <w:spacing w:line="360" w:lineRule="auto"/>
      <w:ind w:firstLine="200" w:firstLineChars="200"/>
    </w:pPr>
  </w:style>
  <w:style w:type="paragraph" w:customStyle="1" w:styleId="1037">
    <w:name w:val="xl6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38">
    <w:name w:val="xl147"/>
    <w:basedOn w:val="1"/>
    <w:autoRedefine/>
    <w:qFormat/>
    <w:uiPriority w:val="0"/>
    <w:pPr>
      <w:widowControl/>
      <w:spacing w:before="100" w:beforeAutospacing="1" w:after="100" w:afterAutospacing="1"/>
      <w:jc w:val="center"/>
    </w:pPr>
    <w:rPr>
      <w:rFonts w:ascii="Arial Unicode MS" w:hAnsi="Arial Unicode MS"/>
      <w:kern w:val="0"/>
    </w:rPr>
  </w:style>
  <w:style w:type="paragraph" w:customStyle="1" w:styleId="1039">
    <w:name w:val="图框"/>
    <w:basedOn w:val="1"/>
    <w:autoRedefine/>
    <w:qFormat/>
    <w:uiPriority w:val="0"/>
    <w:pPr>
      <w:jc w:val="center"/>
    </w:pPr>
    <w:rPr>
      <w:szCs w:val="15"/>
    </w:rPr>
  </w:style>
  <w:style w:type="paragraph" w:customStyle="1" w:styleId="1040">
    <w:name w:val="xl63"/>
    <w:basedOn w:val="1"/>
    <w:autoRedefine/>
    <w:qFormat/>
    <w:uiPriority w:val="0"/>
    <w:pPr>
      <w:widowControl/>
      <w:spacing w:before="100" w:after="100"/>
      <w:jc w:val="center"/>
      <w:textAlignment w:val="center"/>
    </w:pPr>
    <w:rPr>
      <w:rFonts w:hint="eastAsia" w:ascii="黑体" w:hAnsi="宋体" w:eastAsia="黑体"/>
      <w:kern w:val="0"/>
      <w:sz w:val="24"/>
      <w:szCs w:val="20"/>
    </w:rPr>
  </w:style>
  <w:style w:type="paragraph" w:customStyle="1" w:styleId="1041">
    <w:name w:val="样式1"/>
    <w:basedOn w:val="7"/>
    <w:autoRedefine/>
    <w:qFormat/>
    <w:uiPriority w:val="0"/>
    <w:pPr>
      <w:keepNext w:val="0"/>
      <w:keepLines w:val="0"/>
      <w:tabs>
        <w:tab w:val="clear" w:pos="1008"/>
      </w:tabs>
      <w:spacing w:before="0" w:after="0" w:line="360" w:lineRule="exact"/>
      <w:ind w:left="0" w:firstLine="0"/>
      <w:jc w:val="center"/>
      <w:outlineLvl w:val="9"/>
    </w:pPr>
    <w:rPr>
      <w:rFonts w:ascii="宋体" w:hAnsi="宋体"/>
      <w:b w:val="0"/>
      <w:sz w:val="18"/>
      <w:szCs w:val="21"/>
    </w:rPr>
  </w:style>
  <w:style w:type="paragraph" w:styleId="1042">
    <w:name w:val="List Paragraph"/>
    <w:basedOn w:val="1"/>
    <w:autoRedefine/>
    <w:qFormat/>
    <w:uiPriority w:val="34"/>
    <w:pPr>
      <w:ind w:firstLine="420" w:firstLineChars="200"/>
    </w:pPr>
    <w:rPr>
      <w:szCs w:val="20"/>
    </w:rPr>
  </w:style>
  <w:style w:type="paragraph" w:customStyle="1" w:styleId="1043">
    <w:name w:val="xl101"/>
    <w:basedOn w:val="1"/>
    <w:autoRedefine/>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44">
    <w:name w:val="纯文本 + Times New Roman"/>
    <w:basedOn w:val="43"/>
    <w:autoRedefine/>
    <w:qFormat/>
    <w:uiPriority w:val="0"/>
    <w:pPr>
      <w:pBdr>
        <w:bottom w:val="single" w:color="auto" w:sz="6" w:space="1"/>
      </w:pBdr>
      <w:jc w:val="center"/>
    </w:pPr>
    <w:rPr>
      <w:rFonts w:ascii="Times New Roman" w:hAnsi="Times New Roman" w:cs="Times New Roman"/>
    </w:rPr>
  </w:style>
  <w:style w:type="paragraph" w:customStyle="1" w:styleId="1045">
    <w:name w:val="font12"/>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046">
    <w:name w:val="xl40"/>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047">
    <w:name w:val="xl150"/>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48">
    <w:name w:val="main"/>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1049">
    <w:name w:val="工艺1"/>
    <w:basedOn w:val="1"/>
    <w:autoRedefine/>
    <w:qFormat/>
    <w:uiPriority w:val="0"/>
    <w:pPr>
      <w:adjustRightInd w:val="0"/>
      <w:snapToGrid w:val="0"/>
      <w:spacing w:line="360" w:lineRule="auto"/>
    </w:pPr>
    <w:rPr>
      <w:rFonts w:hint="eastAsia" w:ascii="宋体"/>
      <w:b/>
      <w:sz w:val="28"/>
      <w:szCs w:val="20"/>
    </w:rPr>
  </w:style>
  <w:style w:type="paragraph" w:customStyle="1" w:styleId="1050">
    <w:name w:val="默认段落字体 Para Char Char Char Char Char Char Char Char Char Char Char Char Char"/>
    <w:basedOn w:val="1"/>
    <w:autoRedefine/>
    <w:qFormat/>
    <w:uiPriority w:val="0"/>
  </w:style>
  <w:style w:type="paragraph" w:customStyle="1" w:styleId="1051">
    <w:name w:val="图注"/>
    <w:basedOn w:val="1"/>
    <w:next w:val="1"/>
    <w:autoRedefine/>
    <w:qFormat/>
    <w:uiPriority w:val="0"/>
    <w:pPr>
      <w:spacing w:before="120" w:line="320" w:lineRule="atLeast"/>
      <w:ind w:left="7" w:leftChars="-27" w:hanging="72" w:hangingChars="30"/>
      <w:jc w:val="center"/>
    </w:pPr>
    <w:rPr>
      <w:rFonts w:ascii="宋体" w:hAnsi="宋体"/>
      <w:bCs/>
      <w:color w:val="000000"/>
      <w:kern w:val="0"/>
      <w:sz w:val="24"/>
    </w:rPr>
  </w:style>
  <w:style w:type="paragraph" w:customStyle="1" w:styleId="1052">
    <w:name w:val="表格文字-居中"/>
    <w:basedOn w:val="1"/>
    <w:next w:val="1"/>
    <w:autoRedefine/>
    <w:qFormat/>
    <w:uiPriority w:val="0"/>
    <w:pPr>
      <w:jc w:val="center"/>
    </w:pPr>
    <w:rPr>
      <w:rFonts w:ascii="宋体"/>
      <w:sz w:val="24"/>
    </w:rPr>
  </w:style>
  <w:style w:type="paragraph" w:customStyle="1" w:styleId="1053">
    <w:name w:val="报告标题2"/>
    <w:basedOn w:val="4"/>
    <w:autoRedefine/>
    <w:qFormat/>
    <w:uiPriority w:val="0"/>
    <w:pPr>
      <w:tabs>
        <w:tab w:val="left" w:pos="840"/>
      </w:tabs>
      <w:spacing w:line="360" w:lineRule="auto"/>
      <w:ind w:left="840"/>
    </w:pPr>
    <w:rPr>
      <w:rFonts w:ascii="Times New Roman" w:hAnsi="Times New Roman" w:eastAsia="宋体"/>
      <w:kern w:val="0"/>
    </w:rPr>
  </w:style>
  <w:style w:type="paragraph" w:customStyle="1" w:styleId="1054">
    <w:name w:val="xl72"/>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1055">
    <w:name w:val="表格内容 + 左对齐"/>
    <w:basedOn w:val="324"/>
    <w:autoRedefine/>
    <w:qFormat/>
    <w:uiPriority w:val="0"/>
    <w:rPr>
      <w:rFonts w:cs="宋体"/>
      <w:szCs w:val="20"/>
    </w:rPr>
  </w:style>
  <w:style w:type="paragraph" w:customStyle="1" w:styleId="1056">
    <w:name w:val="样式 四号 首行缩进:  2 字符 段前: 5 磅 段后: 5 磅 行距: 单倍行距"/>
    <w:basedOn w:val="1"/>
    <w:autoRedefine/>
    <w:qFormat/>
    <w:uiPriority w:val="0"/>
    <w:pPr>
      <w:spacing w:before="100" w:beforeAutospacing="1" w:after="100" w:afterAutospacing="1"/>
      <w:ind w:firstLine="200" w:firstLineChars="200"/>
    </w:pPr>
    <w:rPr>
      <w:rFonts w:cs="宋体"/>
      <w:sz w:val="28"/>
      <w:szCs w:val="20"/>
    </w:rPr>
  </w:style>
  <w:style w:type="paragraph" w:customStyle="1" w:styleId="1057">
    <w:name w:val="xl37"/>
    <w:basedOn w:val="1"/>
    <w:autoRedefine/>
    <w:qFormat/>
    <w:uiPriority w:val="0"/>
    <w:pPr>
      <w:widowControl/>
      <w:spacing w:before="100" w:beforeAutospacing="1" w:after="100" w:afterAutospacing="1"/>
      <w:jc w:val="left"/>
    </w:pPr>
    <w:rPr>
      <w:rFonts w:ascii="Arial" w:hAnsi="Arial" w:cs="Arial"/>
      <w:kern w:val="0"/>
      <w:sz w:val="24"/>
    </w:rPr>
  </w:style>
  <w:style w:type="paragraph" w:customStyle="1" w:styleId="1058">
    <w:name w:val="xl70"/>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059">
    <w:name w:val="样式36"/>
    <w:basedOn w:val="1060"/>
    <w:autoRedefine/>
    <w:qFormat/>
    <w:uiPriority w:val="0"/>
    <w:pPr>
      <w:tabs>
        <w:tab w:val="left" w:pos="540"/>
        <w:tab w:val="left" w:pos="5250"/>
      </w:tabs>
      <w:ind w:firstLine="554" w:firstLineChars="198"/>
    </w:pPr>
    <w:rPr>
      <w:bCs w:val="0"/>
      <w:szCs w:val="28"/>
    </w:rPr>
  </w:style>
  <w:style w:type="paragraph" w:customStyle="1" w:styleId="1060">
    <w:name w:val="样式29"/>
    <w:basedOn w:val="1"/>
    <w:autoRedefine/>
    <w:qFormat/>
    <w:uiPriority w:val="0"/>
    <w:pPr>
      <w:tabs>
        <w:tab w:val="left" w:pos="540"/>
      </w:tabs>
      <w:ind w:firstLine="560" w:firstLineChars="200"/>
    </w:pPr>
    <w:rPr>
      <w:rFonts w:ascii="宋体" w:hAnsi="宋体"/>
      <w:bCs/>
      <w:color w:val="000000"/>
      <w:sz w:val="28"/>
    </w:rPr>
  </w:style>
  <w:style w:type="paragraph" w:customStyle="1" w:styleId="1061">
    <w:name w:val="宏福4"/>
    <w:basedOn w:val="1"/>
    <w:autoRedefine/>
    <w:qFormat/>
    <w:uiPriority w:val="0"/>
    <w:pPr>
      <w:adjustRightInd w:val="0"/>
      <w:spacing w:line="400" w:lineRule="atLeast"/>
      <w:ind w:firstLine="567"/>
      <w:jc w:val="left"/>
      <w:textAlignment w:val="baseline"/>
    </w:pPr>
    <w:rPr>
      <w:sz w:val="28"/>
      <w:szCs w:val="28"/>
    </w:rPr>
  </w:style>
  <w:style w:type="paragraph" w:customStyle="1" w:styleId="1062">
    <w:name w:val="样式 调研标题2 + 非加粗"/>
    <w:basedOn w:val="1"/>
    <w:autoRedefine/>
    <w:qFormat/>
    <w:uiPriority w:val="0"/>
    <w:pPr>
      <w:keepNext/>
      <w:keepLines/>
      <w:snapToGrid w:val="0"/>
      <w:spacing w:before="240" w:after="120" w:line="360" w:lineRule="exact"/>
      <w:outlineLvl w:val="1"/>
    </w:pPr>
    <w:rPr>
      <w:rFonts w:ascii="Arial" w:hAnsi="Arial" w:cs="宋体"/>
      <w:b/>
      <w:bCs/>
      <w:color w:val="000000"/>
      <w:sz w:val="28"/>
      <w:szCs w:val="32"/>
    </w:rPr>
  </w:style>
  <w:style w:type="paragraph" w:customStyle="1" w:styleId="1063">
    <w:name w:val="style2"/>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64">
    <w:name w:val="1.1.1.1"/>
    <w:basedOn w:val="1"/>
    <w:autoRedefine/>
    <w:qFormat/>
    <w:uiPriority w:val="0"/>
    <w:pPr>
      <w:spacing w:line="600" w:lineRule="exact"/>
      <w:outlineLvl w:val="0"/>
    </w:pPr>
    <w:rPr>
      <w:rFonts w:ascii="黑体" w:eastAsia="黑体"/>
      <w:sz w:val="24"/>
    </w:rPr>
  </w:style>
  <w:style w:type="paragraph" w:customStyle="1" w:styleId="1065">
    <w:name w:val="xl15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066">
    <w:name w:val="封面标准号1"/>
    <w:autoRedefine/>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1067">
    <w:name w:val="font15"/>
    <w:basedOn w:val="1"/>
    <w:autoRedefine/>
    <w:qFormat/>
    <w:uiPriority w:val="0"/>
    <w:pPr>
      <w:widowControl/>
      <w:spacing w:before="100" w:beforeAutospacing="1" w:after="100" w:afterAutospacing="1"/>
      <w:jc w:val="left"/>
    </w:pPr>
    <w:rPr>
      <w:rFonts w:ascii="Tahoma" w:hAnsi="Tahoma" w:cs="Tahoma"/>
      <w:b/>
      <w:bCs/>
      <w:color w:val="000000"/>
      <w:kern w:val="0"/>
      <w:sz w:val="16"/>
      <w:szCs w:val="16"/>
    </w:rPr>
  </w:style>
  <w:style w:type="paragraph" w:customStyle="1" w:styleId="1068">
    <w:name w:val="Char6"/>
    <w:basedOn w:val="1"/>
    <w:autoRedefine/>
    <w:qFormat/>
    <w:uiPriority w:val="0"/>
  </w:style>
  <w:style w:type="paragraph" w:customStyle="1" w:styleId="1069">
    <w:name w:val=".66l.66l"/>
    <w:basedOn w:val="1"/>
    <w:autoRedefine/>
    <w:semiHidden/>
    <w:qFormat/>
    <w:uiPriority w:val="0"/>
    <w:pPr>
      <w:autoSpaceDE w:val="0"/>
      <w:autoSpaceDN w:val="0"/>
      <w:adjustRightInd w:val="0"/>
      <w:spacing w:line="312" w:lineRule="atLeast"/>
      <w:ind w:firstLine="570"/>
      <w:textAlignment w:val="baseline"/>
    </w:pPr>
    <w:rPr>
      <w:rFonts w:ascii="宋体"/>
      <w:kern w:val="0"/>
      <w:sz w:val="28"/>
      <w:szCs w:val="20"/>
    </w:rPr>
  </w:style>
  <w:style w:type="paragraph" w:customStyle="1" w:styleId="1070">
    <w:name w:val="环表头"/>
    <w:basedOn w:val="1"/>
    <w:autoRedefine/>
    <w:qFormat/>
    <w:uiPriority w:val="0"/>
    <w:pPr>
      <w:widowControl/>
      <w:tabs>
        <w:tab w:val="left" w:pos="0"/>
      </w:tabs>
      <w:adjustRightInd w:val="0"/>
      <w:spacing w:beforeLines="50" w:afterLines="50" w:line="400" w:lineRule="exact"/>
      <w:ind w:right="-266"/>
      <w:jc w:val="center"/>
      <w:textAlignment w:val="baseline"/>
    </w:pPr>
    <w:rPr>
      <w:rFonts w:ascii="宋体" w:hAnsi="宋体"/>
      <w:b/>
      <w:kern w:val="0"/>
      <w:sz w:val="24"/>
    </w:rPr>
  </w:style>
  <w:style w:type="paragraph" w:customStyle="1" w:styleId="1071">
    <w:name w:val="Char Char Char Char Char Char Char Char Char Char Char Char Char2"/>
    <w:basedOn w:val="1"/>
    <w:autoRedefine/>
    <w:qFormat/>
    <w:uiPriority w:val="0"/>
    <w:pPr>
      <w:spacing w:line="360" w:lineRule="auto"/>
      <w:ind w:firstLine="200" w:firstLineChars="200"/>
    </w:pPr>
    <w:rPr>
      <w:rFonts w:ascii="宋体" w:hAnsi="宋体" w:cs="宋体"/>
      <w:sz w:val="24"/>
    </w:rPr>
  </w:style>
  <w:style w:type="paragraph" w:customStyle="1" w:styleId="1072">
    <w:name w:val="xl84"/>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3">
    <w:name w:val="样式 标题 1 + 首行缩进:  2.5 字符"/>
    <w:basedOn w:val="3"/>
    <w:autoRedefine/>
    <w:qFormat/>
    <w:uiPriority w:val="0"/>
    <w:pPr>
      <w:keepNext w:val="0"/>
      <w:tabs>
        <w:tab w:val="left" w:pos="390"/>
      </w:tabs>
      <w:overflowPunct/>
      <w:snapToGrid/>
      <w:spacing w:before="100" w:after="100" w:line="240" w:lineRule="auto"/>
      <w:ind w:left="390" w:hanging="390" w:firstLineChars="200"/>
    </w:pPr>
    <w:rPr>
      <w:rFonts w:ascii="Calibri" w:hAnsi="Calibri" w:eastAsia="楷体_GB2312"/>
      <w:color w:val="auto"/>
      <w:sz w:val="28"/>
      <w:szCs w:val="28"/>
    </w:rPr>
  </w:style>
  <w:style w:type="paragraph" w:customStyle="1" w:styleId="1074">
    <w:name w:val="xl64"/>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75">
    <w:name w:val="xl94"/>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6">
    <w:name w:val="unnamed2"/>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77">
    <w:name w:val="封面正文"/>
    <w:autoRedefine/>
    <w:qFormat/>
    <w:uiPriority w:val="0"/>
    <w:pPr>
      <w:jc w:val="both"/>
    </w:pPr>
    <w:rPr>
      <w:rFonts w:ascii="Times New Roman" w:hAnsi="Times New Roman" w:eastAsia="宋体" w:cs="Times New Roman"/>
      <w:lang w:val="en-US" w:eastAsia="zh-CN" w:bidi="ar-SA"/>
    </w:rPr>
  </w:style>
  <w:style w:type="paragraph" w:customStyle="1" w:styleId="1078">
    <w:name w:val="样式 样式 样式 标题 3东明_小节H3条标题1.1.1二级节名h33rd level3l3CTHeading 3 - ... ..."/>
    <w:basedOn w:val="774"/>
    <w:autoRedefine/>
    <w:qFormat/>
    <w:uiPriority w:val="0"/>
    <w:pPr>
      <w:spacing w:after="0"/>
    </w:pPr>
  </w:style>
  <w:style w:type="paragraph" w:customStyle="1" w:styleId="1079">
    <w:name w:val="样式 标题 4 + 黑色 左侧:  -0.01 厘米 首行缩进:  0.01 厘米"/>
    <w:basedOn w:val="6"/>
    <w:autoRedefine/>
    <w:qFormat/>
    <w:uiPriority w:val="0"/>
    <w:pPr>
      <w:tabs>
        <w:tab w:val="left" w:pos="1080"/>
        <w:tab w:val="left" w:pos="1680"/>
      </w:tabs>
      <w:spacing w:before="0" w:beforeLines="50" w:after="0" w:line="312" w:lineRule="auto"/>
      <w:ind w:left="864" w:hanging="864" w:firstLineChars="250"/>
      <w:jc w:val="left"/>
    </w:pPr>
    <w:rPr>
      <w:rFonts w:ascii="仿宋_GB2312" w:hAnsi="Arial" w:eastAsia="仿宋_GB2312" w:cs="宋体"/>
      <w:b w:val="0"/>
      <w:bCs w:val="0"/>
      <w:color w:val="000000"/>
      <w:szCs w:val="20"/>
    </w:rPr>
  </w:style>
  <w:style w:type="paragraph" w:customStyle="1" w:styleId="1080">
    <w:name w:val="徐正文"/>
    <w:basedOn w:val="1"/>
    <w:autoRedefine/>
    <w:qFormat/>
    <w:uiPriority w:val="0"/>
    <w:pPr>
      <w:adjustRightInd w:val="0"/>
      <w:snapToGrid w:val="0"/>
      <w:spacing w:line="500" w:lineRule="atLeast"/>
      <w:ind w:firstLine="200" w:firstLineChars="200"/>
    </w:pPr>
    <w:rPr>
      <w:rFonts w:ascii="宋体" w:hAnsi="宋体"/>
      <w:bCs/>
      <w:sz w:val="24"/>
    </w:rPr>
  </w:style>
  <w:style w:type="paragraph" w:customStyle="1" w:styleId="1081">
    <w:name w:val="样式110"/>
    <w:basedOn w:val="1082"/>
    <w:autoRedefine/>
    <w:qFormat/>
    <w:uiPriority w:val="0"/>
    <w:pPr>
      <w:adjustRightInd w:val="0"/>
    </w:pPr>
  </w:style>
  <w:style w:type="paragraph" w:customStyle="1" w:styleId="1082">
    <w:name w:val="图框文字"/>
    <w:basedOn w:val="1"/>
    <w:autoRedefine/>
    <w:qFormat/>
    <w:uiPriority w:val="0"/>
    <w:pPr>
      <w:jc w:val="center"/>
      <w:textAlignment w:val="center"/>
    </w:pPr>
  </w:style>
  <w:style w:type="paragraph" w:customStyle="1" w:styleId="1083">
    <w:name w:val="xl86"/>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84">
    <w:name w:val="xl189"/>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1085">
    <w:name w:val="xl74"/>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86">
    <w:name w:val="font8"/>
    <w:basedOn w:val="1"/>
    <w:autoRedefine/>
    <w:qFormat/>
    <w:uiPriority w:val="0"/>
    <w:pPr>
      <w:widowControl/>
      <w:spacing w:before="100" w:beforeAutospacing="1" w:after="100" w:afterAutospacing="1"/>
      <w:jc w:val="left"/>
    </w:pPr>
    <w:rPr>
      <w:rFonts w:ascii="Arial" w:hAnsi="Arial" w:cs="Arial"/>
      <w:b/>
      <w:bCs/>
      <w:kern w:val="0"/>
      <w:sz w:val="24"/>
    </w:rPr>
  </w:style>
  <w:style w:type="paragraph" w:customStyle="1" w:styleId="1087">
    <w:name w:val="Char1 Char Char Char Char Char Char"/>
    <w:basedOn w:val="1"/>
    <w:autoRedefine/>
    <w:qFormat/>
    <w:uiPriority w:val="0"/>
    <w:pPr>
      <w:widowControl/>
      <w:contextualSpacing/>
      <w:jc w:val="left"/>
    </w:pPr>
    <w:rPr>
      <w:rFonts w:cs="宋体"/>
      <w:kern w:val="0"/>
    </w:rPr>
  </w:style>
  <w:style w:type="paragraph" w:customStyle="1" w:styleId="1088">
    <w:name w:val="xl185"/>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89">
    <w:name w:val="表格文字-左对齐"/>
    <w:basedOn w:val="1"/>
    <w:next w:val="1"/>
    <w:autoRedefine/>
    <w:qFormat/>
    <w:uiPriority w:val="0"/>
    <w:rPr>
      <w:rFonts w:ascii="宋体"/>
      <w:sz w:val="24"/>
    </w:rPr>
  </w:style>
  <w:style w:type="paragraph" w:customStyle="1" w:styleId="1090">
    <w:name w:val="目录1"/>
    <w:basedOn w:val="57"/>
    <w:autoRedefine/>
    <w:qFormat/>
    <w:uiPriority w:val="0"/>
    <w:pPr>
      <w:keepNext/>
      <w:widowControl/>
      <w:tabs>
        <w:tab w:val="right" w:leader="dot" w:pos="8160"/>
        <w:tab w:val="right" w:leader="dot" w:pos="8280"/>
        <w:tab w:val="right" w:leader="dot" w:pos="8820"/>
      </w:tabs>
      <w:snapToGrid/>
      <w:spacing w:beforeLines="50" w:afterLines="50" w:line="480" w:lineRule="exact"/>
    </w:pPr>
    <w:rPr>
      <w:rFonts w:ascii="宋体" w:hAnsi="宋体"/>
      <w:b w:val="0"/>
      <w:bCs w:val="0"/>
      <w:kern w:val="0"/>
      <w:sz w:val="30"/>
      <w:szCs w:val="24"/>
      <w:lang w:val="zh-CN" w:bidi="en-US"/>
    </w:rPr>
  </w:style>
  <w:style w:type="paragraph" w:customStyle="1" w:styleId="1091">
    <w:name w:val="默认段落字体 Para Char"/>
    <w:basedOn w:val="1"/>
    <w:next w:val="1"/>
    <w:autoRedefine/>
    <w:qFormat/>
    <w:uiPriority w:val="0"/>
    <w:pPr>
      <w:spacing w:line="360" w:lineRule="auto"/>
      <w:ind w:firstLine="200" w:firstLineChars="200"/>
    </w:pPr>
    <w:rPr>
      <w:rFonts w:ascii="宋体" w:hAnsi="宋体" w:cs="宋体"/>
      <w:sz w:val="24"/>
    </w:rPr>
  </w:style>
  <w:style w:type="paragraph" w:customStyle="1" w:styleId="1092">
    <w:name w:val="菏泽-标题 3"/>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093">
    <w:name w:val="xl171"/>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1094">
    <w:name w:val="heading"/>
    <w:basedOn w:val="1"/>
    <w:next w:val="1"/>
    <w:autoRedefine/>
    <w:qFormat/>
    <w:uiPriority w:val="0"/>
    <w:pPr>
      <w:keepNext/>
      <w:keepLines/>
      <w:tabs>
        <w:tab w:val="left" w:pos="576"/>
      </w:tabs>
      <w:spacing w:line="360" w:lineRule="auto"/>
      <w:ind w:left="576"/>
      <w:outlineLvl w:val="1"/>
    </w:pPr>
    <w:rPr>
      <w:rFonts w:ascii="宋体" w:hAnsi="Arial Black" w:cs="宋体"/>
      <w:sz w:val="24"/>
    </w:rPr>
  </w:style>
  <w:style w:type="paragraph" w:customStyle="1" w:styleId="1095">
    <w:name w:val="页脚2"/>
    <w:basedOn w:val="51"/>
    <w:autoRedefine/>
    <w:qFormat/>
    <w:uiPriority w:val="0"/>
    <w:pPr>
      <w:pBdr>
        <w:top w:val="single" w:color="auto" w:sz="4" w:space="1"/>
      </w:pBdr>
      <w:wordWrap w:val="0"/>
      <w:snapToGrid/>
      <w:ind w:right="190"/>
      <w:jc w:val="right"/>
    </w:pPr>
    <w:rPr>
      <w:rFonts w:ascii="宋体" w:hAnsi="宋体"/>
      <w:kern w:val="2"/>
      <w:szCs w:val="18"/>
    </w:rPr>
  </w:style>
  <w:style w:type="paragraph" w:customStyle="1" w:styleId="1096">
    <w:name w:val="甲乙酮2"/>
    <w:basedOn w:val="393"/>
    <w:next w:val="1"/>
    <w:autoRedefine/>
    <w:qFormat/>
    <w:uiPriority w:val="0"/>
  </w:style>
  <w:style w:type="paragraph" w:customStyle="1" w:styleId="1097">
    <w:name w:val="xl18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098">
    <w:name w:val="表格式"/>
    <w:basedOn w:val="64"/>
    <w:autoRedefine/>
    <w:qFormat/>
    <w:uiPriority w:val="0"/>
    <w:pPr>
      <w:snapToGrid/>
      <w:spacing w:line="340" w:lineRule="exact"/>
      <w:jc w:val="center"/>
    </w:pPr>
    <w:rPr>
      <w:rFonts w:ascii="Courier New" w:hAnsi="Courier New"/>
    </w:rPr>
  </w:style>
  <w:style w:type="paragraph" w:customStyle="1" w:styleId="1099">
    <w:name w:val="xl68"/>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100">
    <w:name w:val="xl119"/>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101">
    <w:name w:val="Char1 Char Char Char Char Char Char Char Char Char"/>
    <w:basedOn w:val="1"/>
    <w:autoRedefine/>
    <w:qFormat/>
    <w:uiPriority w:val="0"/>
    <w:rPr>
      <w:sz w:val="24"/>
    </w:rPr>
  </w:style>
  <w:style w:type="paragraph" w:customStyle="1" w:styleId="1102">
    <w:name w:val="xl136"/>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103">
    <w:name w:val="Char Char Char Char Char Char1 Char Char Char Char"/>
    <w:basedOn w:val="1"/>
    <w:autoRedefine/>
    <w:qFormat/>
    <w:uiPriority w:val="0"/>
    <w:rPr>
      <w:sz w:val="24"/>
    </w:rPr>
  </w:style>
  <w:style w:type="paragraph" w:customStyle="1" w:styleId="1104">
    <w:name w:val="xl39"/>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05">
    <w:name w:val="节标题"/>
    <w:basedOn w:val="1"/>
    <w:next w:val="1"/>
    <w:autoRedefine/>
    <w:qFormat/>
    <w:uiPriority w:val="0"/>
    <w:pPr>
      <w:widowControl/>
      <w:spacing w:line="578" w:lineRule="atLeast"/>
      <w:jc w:val="center"/>
      <w:textAlignment w:val="baseline"/>
    </w:pPr>
    <w:rPr>
      <w:color w:val="000000"/>
      <w:kern w:val="0"/>
      <w:sz w:val="28"/>
      <w:szCs w:val="20"/>
      <w:u w:color="000000"/>
    </w:rPr>
  </w:style>
  <w:style w:type="paragraph" w:customStyle="1" w:styleId="1106">
    <w:name w:val="表格内容2"/>
    <w:basedOn w:val="324"/>
    <w:autoRedefine/>
    <w:qFormat/>
    <w:uiPriority w:val="0"/>
    <w:pPr>
      <w:overflowPunct w:val="0"/>
      <w:autoSpaceDE/>
      <w:autoSpaceDN/>
      <w:snapToGrid w:val="0"/>
      <w:textAlignment w:val="baseline"/>
    </w:pPr>
    <w:rPr>
      <w:rFonts w:cs="Arial"/>
      <w:color w:val="000000"/>
      <w:szCs w:val="24"/>
    </w:rPr>
  </w:style>
  <w:style w:type="paragraph" w:customStyle="1" w:styleId="1107">
    <w:name w:val="bh1"/>
    <w:basedOn w:val="1"/>
    <w:autoRedefine/>
    <w:qFormat/>
    <w:uiPriority w:val="0"/>
    <w:pPr>
      <w:widowControl/>
      <w:jc w:val="left"/>
    </w:pPr>
    <w:rPr>
      <w:rFonts w:ascii="宋体" w:hAnsi="宋体" w:cs="宋体"/>
      <w:kern w:val="0"/>
      <w:sz w:val="24"/>
    </w:rPr>
  </w:style>
  <w:style w:type="paragraph" w:customStyle="1" w:styleId="1108">
    <w:name w:val="xl127"/>
    <w:basedOn w:val="1"/>
    <w:autoRedefine/>
    <w:qFormat/>
    <w:uiPriority w:val="0"/>
    <w:pPr>
      <w:widowControl/>
      <w:pBdr>
        <w:top w:val="single" w:color="auto" w:sz="8"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09">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1110">
    <w:name w:val="xl12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111">
    <w:name w:val="样式 上标"/>
    <w:basedOn w:val="685"/>
    <w:next w:val="685"/>
    <w:autoRedefine/>
    <w:qFormat/>
    <w:uiPriority w:val="0"/>
    <w:pPr>
      <w:spacing w:before="0" w:after="0" w:line="320" w:lineRule="exact"/>
      <w:ind w:firstLine="200"/>
    </w:pPr>
    <w:rPr>
      <w:caps/>
      <w:szCs w:val="36"/>
    </w:rPr>
  </w:style>
  <w:style w:type="paragraph" w:customStyle="1" w:styleId="1112">
    <w:name w:val="表内5S"/>
    <w:basedOn w:val="1"/>
    <w:autoRedefine/>
    <w:qFormat/>
    <w:uiPriority w:val="0"/>
    <w:pPr>
      <w:spacing w:line="300" w:lineRule="atLeast"/>
      <w:jc w:val="center"/>
    </w:pPr>
    <w:rPr>
      <w:rFonts w:eastAsia="方正宋三简体"/>
      <w:szCs w:val="20"/>
    </w:rPr>
  </w:style>
  <w:style w:type="paragraph" w:customStyle="1" w:styleId="1113">
    <w:name w:val="xl178"/>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1114">
    <w:name w:val="表格内容格式"/>
    <w:basedOn w:val="1"/>
    <w:autoRedefine/>
    <w:qFormat/>
    <w:uiPriority w:val="0"/>
    <w:pPr>
      <w:adjustRightInd w:val="0"/>
      <w:spacing w:line="240" w:lineRule="atLeast"/>
      <w:jc w:val="center"/>
      <w:textAlignment w:val="baseline"/>
    </w:pPr>
    <w:rPr>
      <w:snapToGrid w:val="0"/>
      <w:color w:val="000000"/>
      <w:kern w:val="0"/>
      <w:szCs w:val="20"/>
    </w:rPr>
  </w:style>
  <w:style w:type="paragraph" w:customStyle="1" w:styleId="1115">
    <w:name w:val="xl187"/>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116">
    <w:name w:val="标题四"/>
    <w:basedOn w:val="5"/>
    <w:autoRedefine/>
    <w:qFormat/>
    <w:uiPriority w:val="0"/>
    <w:pPr>
      <w:tabs>
        <w:tab w:val="left" w:pos="0"/>
        <w:tab w:val="left" w:pos="1260"/>
      </w:tabs>
      <w:spacing w:before="0" w:after="0" w:line="240" w:lineRule="auto"/>
      <w:ind w:left="1260" w:hanging="420"/>
      <w:contextualSpacing/>
    </w:pPr>
    <w:rPr>
      <w:rFonts w:ascii="黑体" w:eastAsia="黑体"/>
      <w:sz w:val="28"/>
      <w:szCs w:val="28"/>
    </w:rPr>
  </w:style>
  <w:style w:type="paragraph" w:customStyle="1" w:styleId="1117">
    <w:name w:val="正文居中"/>
    <w:basedOn w:val="57"/>
    <w:autoRedefine/>
    <w:qFormat/>
    <w:uiPriority w:val="0"/>
    <w:pPr>
      <w:tabs>
        <w:tab w:val="left" w:pos="244"/>
        <w:tab w:val="left" w:pos="720"/>
      </w:tabs>
      <w:adjustRightInd w:val="0"/>
      <w:snapToGrid/>
      <w:jc w:val="center"/>
    </w:pPr>
    <w:rPr>
      <w:rFonts w:ascii="宋体" w:hAnsi="Arial"/>
      <w:b w:val="0"/>
      <w:bCs w:val="0"/>
      <w:caps w:val="0"/>
      <w:sz w:val="28"/>
      <w:szCs w:val="28"/>
    </w:rPr>
  </w:style>
  <w:style w:type="paragraph" w:customStyle="1" w:styleId="1118">
    <w:name w:val="正文文字"/>
    <w:basedOn w:val="33"/>
    <w:autoRedefine/>
    <w:qFormat/>
    <w:uiPriority w:val="0"/>
    <w:pPr>
      <w:widowControl/>
      <w:spacing w:after="0" w:line="360" w:lineRule="auto"/>
      <w:ind w:left="0" w:leftChars="0" w:firstLine="200" w:firstLineChars="200"/>
      <w:jc w:val="left"/>
    </w:pPr>
    <w:rPr>
      <w:rFonts w:ascii="Calibri" w:hAnsi="Calibri" w:eastAsia="仿宋_GB2312"/>
      <w:color w:val="000000"/>
      <w:szCs w:val="24"/>
      <w:lang w:eastAsia="en-US" w:bidi="en-US"/>
    </w:rPr>
  </w:style>
  <w:style w:type="paragraph" w:customStyle="1" w:styleId="1119">
    <w:name w:val="Char1"/>
    <w:basedOn w:val="1"/>
    <w:autoRedefine/>
    <w:qFormat/>
    <w:uiPriority w:val="0"/>
    <w:pPr>
      <w:spacing w:line="240" w:lineRule="exact"/>
      <w:ind w:firstLine="200" w:firstLineChars="200"/>
    </w:pPr>
    <w:rPr>
      <w:sz w:val="28"/>
      <w:szCs w:val="28"/>
    </w:rPr>
  </w:style>
  <w:style w:type="paragraph" w:customStyle="1" w:styleId="1120">
    <w:name w:val="正文 首行缩进:  2 字符 Char Char"/>
    <w:basedOn w:val="1"/>
    <w:autoRedefine/>
    <w:qFormat/>
    <w:uiPriority w:val="0"/>
    <w:pPr>
      <w:spacing w:before="240" w:after="240" w:line="480" w:lineRule="exact"/>
      <w:ind w:firstLine="560" w:firstLineChars="200"/>
    </w:pPr>
    <w:rPr>
      <w:sz w:val="28"/>
      <w:szCs w:val="20"/>
    </w:rPr>
  </w:style>
  <w:style w:type="paragraph" w:customStyle="1" w:styleId="1121">
    <w:name w:val="Char Char Char Char Char Char Char Char Char Char Char Char Char1"/>
    <w:basedOn w:val="1"/>
    <w:autoRedefine/>
    <w:qFormat/>
    <w:uiPriority w:val="0"/>
    <w:pPr>
      <w:jc w:val="center"/>
    </w:pPr>
    <w:rPr>
      <w:rFonts w:ascii="宋体"/>
    </w:rPr>
  </w:style>
  <w:style w:type="paragraph" w:customStyle="1" w:styleId="1122">
    <w:name w:val="样式27"/>
    <w:basedOn w:val="3"/>
    <w:autoRedefine/>
    <w:qFormat/>
    <w:uiPriority w:val="0"/>
    <w:pPr>
      <w:keepNext w:val="0"/>
      <w:tabs>
        <w:tab w:val="left" w:pos="390"/>
      </w:tabs>
      <w:overflowPunct/>
      <w:snapToGrid/>
      <w:spacing w:before="340" w:beforeLines="100" w:after="330" w:afterLines="100" w:line="360" w:lineRule="auto"/>
      <w:ind w:left="390" w:firstLine="0"/>
      <w:jc w:val="center"/>
      <w:outlineLvl w:val="9"/>
    </w:pPr>
    <w:rPr>
      <w:rFonts w:ascii="黑体" w:hAnsi="Calibri" w:cs="Arial Unicode MS"/>
      <w:b w:val="0"/>
      <w:bCs w:val="0"/>
      <w:color w:val="auto"/>
      <w:kern w:val="2"/>
      <w:sz w:val="32"/>
      <w:szCs w:val="32"/>
    </w:rPr>
  </w:style>
  <w:style w:type="paragraph" w:customStyle="1" w:styleId="1123">
    <w:name w:val="ST20_32"/>
    <w:basedOn w:val="51"/>
    <w:autoRedefine/>
    <w:qFormat/>
    <w:uiPriority w:val="0"/>
    <w:pPr>
      <w:contextualSpacing/>
    </w:pPr>
    <w:rPr>
      <w:kern w:val="2"/>
      <w:sz w:val="21"/>
      <w:szCs w:val="21"/>
    </w:rPr>
  </w:style>
  <w:style w:type="paragraph" w:customStyle="1" w:styleId="1124">
    <w:name w:val="xl34"/>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kern w:val="0"/>
      <w:sz w:val="20"/>
      <w:szCs w:val="20"/>
    </w:rPr>
  </w:style>
  <w:style w:type="paragraph" w:customStyle="1" w:styleId="1125">
    <w:name w:val="Char Char3 Char Char"/>
    <w:basedOn w:val="1"/>
    <w:autoRedefine/>
    <w:qFormat/>
    <w:uiPriority w:val="0"/>
    <w:pPr>
      <w:spacing w:line="360" w:lineRule="auto"/>
      <w:ind w:firstLine="200" w:firstLineChars="200"/>
    </w:pPr>
    <w:rPr>
      <w:rFonts w:ascii="宋体" w:hAnsi="宋体" w:cs="宋体"/>
      <w:sz w:val="24"/>
    </w:rPr>
  </w:style>
  <w:style w:type="paragraph" w:customStyle="1" w:styleId="1126">
    <w:name w:val="Char Char Char Char2"/>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127">
    <w:name w:val="列出段落11"/>
    <w:basedOn w:val="1"/>
    <w:autoRedefine/>
    <w:qFormat/>
    <w:uiPriority w:val="0"/>
    <w:pPr>
      <w:spacing w:line="360" w:lineRule="auto"/>
      <w:ind w:firstLine="420" w:firstLineChars="200"/>
    </w:pPr>
    <w:rPr>
      <w:sz w:val="24"/>
    </w:rPr>
  </w:style>
  <w:style w:type="paragraph" w:customStyle="1" w:styleId="1128">
    <w:name w:val="样式44"/>
    <w:basedOn w:val="1"/>
    <w:autoRedefine/>
    <w:qFormat/>
    <w:uiPriority w:val="0"/>
    <w:pPr>
      <w:spacing w:line="500" w:lineRule="exact"/>
      <w:ind w:firstLine="594" w:firstLineChars="212"/>
    </w:pPr>
    <w:rPr>
      <w:rFonts w:ascii="宋体" w:hAnsi="宋体"/>
      <w:sz w:val="28"/>
      <w:szCs w:val="20"/>
    </w:rPr>
  </w:style>
  <w:style w:type="paragraph" w:customStyle="1" w:styleId="1129">
    <w:name w:val="正文4"/>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130">
    <w:name w:val="样式 列表 + 左侧:  0 厘米 悬挂缩进: 2 字符"/>
    <w:basedOn w:val="64"/>
    <w:autoRedefine/>
    <w:qFormat/>
    <w:uiPriority w:val="0"/>
    <w:pPr>
      <w:tabs>
        <w:tab w:val="center" w:pos="4153"/>
        <w:tab w:val="right" w:pos="8306"/>
      </w:tabs>
      <w:spacing w:line="240" w:lineRule="auto"/>
      <w:jc w:val="center"/>
    </w:pPr>
    <w:rPr>
      <w:rFonts w:eastAsia="方正仿宋_GBK" w:cs="宋体"/>
      <w:szCs w:val="21"/>
    </w:rPr>
  </w:style>
  <w:style w:type="paragraph" w:customStyle="1" w:styleId="1131">
    <w:name w:val="Char Char Char Char Char Char1 Char Char Char Char Char Char Char1"/>
    <w:basedOn w:val="1"/>
    <w:autoRedefine/>
    <w:qFormat/>
    <w:uiPriority w:val="0"/>
  </w:style>
  <w:style w:type="paragraph" w:customStyle="1" w:styleId="1132">
    <w:name w:val="文字"/>
    <w:basedOn w:val="1"/>
    <w:next w:val="1"/>
    <w:autoRedefine/>
    <w:qFormat/>
    <w:uiPriority w:val="0"/>
    <w:pPr>
      <w:autoSpaceDE w:val="0"/>
      <w:autoSpaceDN w:val="0"/>
      <w:adjustRightInd w:val="0"/>
      <w:contextualSpacing/>
      <w:jc w:val="left"/>
    </w:pPr>
    <w:rPr>
      <w:rFonts w:ascii="Fang Song" w:eastAsia="Fang Song"/>
      <w:kern w:val="0"/>
    </w:rPr>
  </w:style>
  <w:style w:type="paragraph" w:customStyle="1" w:styleId="1133">
    <w:name w:val="正文无空格"/>
    <w:basedOn w:val="1"/>
    <w:autoRedefine/>
    <w:qFormat/>
    <w:uiPriority w:val="0"/>
    <w:pPr>
      <w:spacing w:line="360" w:lineRule="auto"/>
      <w:jc w:val="left"/>
    </w:pPr>
    <w:rPr>
      <w:rFonts w:ascii="宋体" w:hAnsi="宋体"/>
      <w:sz w:val="28"/>
      <w:szCs w:val="28"/>
    </w:rPr>
  </w:style>
  <w:style w:type="paragraph" w:customStyle="1" w:styleId="1134">
    <w:name w:val="框图"/>
    <w:basedOn w:val="1"/>
    <w:autoRedefine/>
    <w:qFormat/>
    <w:uiPriority w:val="0"/>
    <w:pPr>
      <w:adjustRightInd w:val="0"/>
      <w:snapToGrid w:val="0"/>
      <w:jc w:val="center"/>
    </w:pPr>
    <w:rPr>
      <w:rFonts w:hAnsi="宋体"/>
      <w:b/>
    </w:rPr>
  </w:style>
  <w:style w:type="paragraph" w:customStyle="1" w:styleId="1135">
    <w:name w:val="表格文字2"/>
    <w:basedOn w:val="1"/>
    <w:autoRedefine/>
    <w:semiHidden/>
    <w:qFormat/>
    <w:uiPriority w:val="0"/>
    <w:pPr>
      <w:tabs>
        <w:tab w:val="left" w:pos="277"/>
        <w:tab w:val="left" w:pos="600"/>
        <w:tab w:val="left" w:pos="780"/>
        <w:tab w:val="left" w:pos="2517"/>
      </w:tabs>
      <w:adjustRightInd w:val="0"/>
      <w:spacing w:before="60"/>
      <w:jc w:val="center"/>
      <w:textAlignment w:val="baseline"/>
    </w:pPr>
    <w:rPr>
      <w:rFonts w:eastAsia="楷体_GB2312"/>
      <w:kern w:val="0"/>
      <w:sz w:val="24"/>
      <w:szCs w:val="20"/>
    </w:rPr>
  </w:style>
  <w:style w:type="paragraph" w:customStyle="1" w:styleId="1136">
    <w:name w:val="CM31"/>
    <w:basedOn w:val="1"/>
    <w:next w:val="1"/>
    <w:autoRedefine/>
    <w:qFormat/>
    <w:uiPriority w:val="0"/>
    <w:pPr>
      <w:autoSpaceDE w:val="0"/>
      <w:autoSpaceDN w:val="0"/>
      <w:adjustRightInd w:val="0"/>
      <w:spacing w:line="468" w:lineRule="atLeast"/>
      <w:jc w:val="left"/>
    </w:pPr>
    <w:rPr>
      <w:rFonts w:ascii="黑体" w:eastAsia="黑体"/>
      <w:kern w:val="0"/>
      <w:sz w:val="24"/>
    </w:rPr>
  </w:style>
  <w:style w:type="paragraph" w:customStyle="1" w:styleId="1137">
    <w:name w:val="表样式1"/>
    <w:basedOn w:val="1"/>
    <w:autoRedefine/>
    <w:qFormat/>
    <w:uiPriority w:val="0"/>
    <w:pPr>
      <w:spacing w:line="320" w:lineRule="exact"/>
      <w:ind w:firstLine="200" w:firstLineChars="200"/>
    </w:pPr>
    <w:rPr>
      <w:rFonts w:ascii="宋体" w:hAnsi="宋体"/>
      <w:color w:val="000000"/>
      <w:sz w:val="24"/>
      <w:szCs w:val="18"/>
    </w:rPr>
  </w:style>
  <w:style w:type="paragraph" w:customStyle="1" w:styleId="1138">
    <w:name w:val="表题"/>
    <w:basedOn w:val="8"/>
    <w:autoRedefine/>
    <w:semiHidden/>
    <w:qFormat/>
    <w:uiPriority w:val="0"/>
    <w:pPr>
      <w:spacing w:line="100" w:lineRule="atLeast"/>
      <w:ind w:firstLine="0"/>
      <w:jc w:val="center"/>
    </w:pPr>
    <w:rPr>
      <w:sz w:val="24"/>
    </w:rPr>
  </w:style>
  <w:style w:type="paragraph" w:customStyle="1" w:styleId="1139">
    <w:name w:val="样式23"/>
    <w:basedOn w:val="1"/>
    <w:autoRedefine/>
    <w:qFormat/>
    <w:uiPriority w:val="0"/>
    <w:pPr>
      <w:spacing w:beforeLines="50" w:afterLines="100"/>
      <w:ind w:right="141" w:rightChars="67" w:firstLine="480" w:firstLineChars="200"/>
    </w:pPr>
    <w:rPr>
      <w:rFonts w:ascii="黑体" w:eastAsia="黑体"/>
      <w:sz w:val="24"/>
      <w:szCs w:val="20"/>
    </w:rPr>
  </w:style>
  <w:style w:type="paragraph" w:customStyle="1" w:styleId="1140">
    <w:name w:val="title2"/>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141">
    <w:name w:val="xl110"/>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rPr>
  </w:style>
  <w:style w:type="paragraph" w:customStyle="1" w:styleId="1142">
    <w:name w:val="xl19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143">
    <w:name w:val="表格文字中对齐"/>
    <w:basedOn w:val="1"/>
    <w:autoRedefine/>
    <w:qFormat/>
    <w:uiPriority w:val="0"/>
    <w:pPr>
      <w:spacing w:line="320" w:lineRule="exact"/>
      <w:jc w:val="center"/>
    </w:pPr>
    <w:rPr>
      <w:rFonts w:ascii="宋体" w:hAnsi="宋体"/>
      <w:color w:val="000000"/>
      <w:kern w:val="0"/>
    </w:rPr>
  </w:style>
  <w:style w:type="paragraph" w:customStyle="1" w:styleId="1144">
    <w:name w:val="引用文章"/>
    <w:basedOn w:val="1"/>
    <w:autoRedefine/>
    <w:qFormat/>
    <w:uiPriority w:val="0"/>
    <w:pPr>
      <w:spacing w:line="360" w:lineRule="auto"/>
      <w:ind w:firstLine="420" w:firstLineChars="200"/>
    </w:pPr>
    <w:rPr>
      <w:rFonts w:eastAsia="楷体_GB2312" w:cs="宋体"/>
      <w:sz w:val="24"/>
      <w:szCs w:val="20"/>
    </w:rPr>
  </w:style>
  <w:style w:type="paragraph" w:customStyle="1" w:styleId="1145">
    <w:name w:val="p17"/>
    <w:basedOn w:val="1"/>
    <w:autoRedefine/>
    <w:qFormat/>
    <w:uiPriority w:val="0"/>
    <w:pPr>
      <w:widowControl/>
      <w:snapToGrid w:val="0"/>
      <w:spacing w:line="480" w:lineRule="atLeast"/>
      <w:ind w:firstLine="482"/>
    </w:pPr>
    <w:rPr>
      <w:kern w:val="0"/>
      <w:sz w:val="24"/>
    </w:rPr>
  </w:style>
  <w:style w:type="paragraph" w:customStyle="1" w:styleId="1146">
    <w:name w:val="Char2 Char Char Char1"/>
    <w:basedOn w:val="1"/>
    <w:autoRedefine/>
    <w:qFormat/>
    <w:uiPriority w:val="0"/>
    <w:pPr>
      <w:spacing w:line="360" w:lineRule="auto"/>
      <w:ind w:firstLine="200" w:firstLineChars="200"/>
    </w:pPr>
    <w:rPr>
      <w:rFonts w:ascii="宋体" w:hAnsi="宋体" w:cs="宋体"/>
      <w:sz w:val="24"/>
    </w:rPr>
  </w:style>
  <w:style w:type="paragraph" w:customStyle="1" w:styleId="1147">
    <w:name w:val="报告标题1"/>
    <w:basedOn w:val="3"/>
    <w:autoRedefine/>
    <w:qFormat/>
    <w:uiPriority w:val="0"/>
    <w:pPr>
      <w:keepLines/>
      <w:tabs>
        <w:tab w:val="left" w:pos="390"/>
      </w:tabs>
      <w:overflowPunct/>
      <w:snapToGrid/>
      <w:spacing w:before="200" w:after="200" w:line="360" w:lineRule="auto"/>
      <w:ind w:left="390" w:firstLine="0"/>
    </w:pPr>
    <w:rPr>
      <w:rFonts w:ascii="Calibri" w:hAnsi="Calibri" w:eastAsia="宋体"/>
      <w:color w:val="auto"/>
      <w:sz w:val="44"/>
      <w:szCs w:val="44"/>
    </w:rPr>
  </w:style>
  <w:style w:type="paragraph" w:customStyle="1" w:styleId="1148">
    <w:name w:val="表格项目"/>
    <w:basedOn w:val="904"/>
    <w:next w:val="904"/>
    <w:autoRedefine/>
    <w:semiHidden/>
    <w:qFormat/>
    <w:uiPriority w:val="0"/>
    <w:pPr>
      <w:spacing w:before="100" w:beforeAutospacing="1" w:after="100" w:afterAutospacing="1" w:line="240" w:lineRule="auto"/>
    </w:pPr>
    <w:rPr>
      <w:b/>
      <w:bCs/>
      <w:caps/>
      <w:szCs w:val="21"/>
    </w:rPr>
  </w:style>
  <w:style w:type="paragraph" w:customStyle="1" w:styleId="1149">
    <w:name w:val="1.1"/>
    <w:basedOn w:val="1"/>
    <w:autoRedefine/>
    <w:qFormat/>
    <w:uiPriority w:val="0"/>
    <w:pPr>
      <w:spacing w:line="600" w:lineRule="exact"/>
      <w:outlineLvl w:val="0"/>
    </w:pPr>
    <w:rPr>
      <w:rFonts w:eastAsia="黑体"/>
      <w:sz w:val="32"/>
    </w:rPr>
  </w:style>
  <w:style w:type="paragraph" w:customStyle="1" w:styleId="1150">
    <w:name w:val="表格标题栏文字"/>
    <w:basedOn w:val="1"/>
    <w:next w:val="1"/>
    <w:autoRedefine/>
    <w:qFormat/>
    <w:uiPriority w:val="0"/>
    <w:pPr>
      <w:jc w:val="center"/>
    </w:pPr>
    <w:rPr>
      <w:rFonts w:ascii="黑体" w:eastAsia="黑体"/>
      <w:caps/>
      <w:sz w:val="24"/>
    </w:rPr>
  </w:style>
  <w:style w:type="paragraph" w:customStyle="1" w:styleId="1151">
    <w:name w:val="Char1 Char Char Char1"/>
    <w:basedOn w:val="1"/>
    <w:autoRedefine/>
    <w:qFormat/>
    <w:uiPriority w:val="0"/>
    <w:pPr>
      <w:spacing w:line="360" w:lineRule="auto"/>
      <w:ind w:firstLine="200" w:firstLineChars="200"/>
    </w:pPr>
    <w:rPr>
      <w:rFonts w:ascii="宋体" w:hAnsi="宋体" w:cs="宋体"/>
      <w:sz w:val="24"/>
    </w:rPr>
  </w:style>
  <w:style w:type="paragraph" w:customStyle="1" w:styleId="1152">
    <w:name w:val="正文-1"/>
    <w:basedOn w:val="1"/>
    <w:autoRedefine/>
    <w:qFormat/>
    <w:uiPriority w:val="0"/>
    <w:pPr>
      <w:adjustRightInd w:val="0"/>
      <w:spacing w:line="440" w:lineRule="exact"/>
      <w:ind w:firstLine="200" w:firstLineChars="200"/>
    </w:pPr>
    <w:rPr>
      <w:sz w:val="24"/>
      <w:szCs w:val="20"/>
    </w:rPr>
  </w:style>
  <w:style w:type="paragraph" w:customStyle="1" w:styleId="1153">
    <w:name w:val="Char Char Char Char Char Char Char Char Char Char Char Char Char Char Char Char Char Char Char Char Char Char Char Char"/>
    <w:basedOn w:val="1"/>
    <w:autoRedefine/>
    <w:qFormat/>
    <w:uiPriority w:val="0"/>
    <w:pPr>
      <w:widowControl/>
      <w:contextualSpacing/>
      <w:jc w:val="left"/>
    </w:pPr>
    <w:rPr>
      <w:rFonts w:cs="宋体"/>
      <w:kern w:val="0"/>
    </w:rPr>
  </w:style>
  <w:style w:type="paragraph" w:customStyle="1" w:styleId="1154">
    <w:name w:val="xl177"/>
    <w:basedOn w:val="1"/>
    <w:autoRedefine/>
    <w:qFormat/>
    <w:uiPriority w:val="0"/>
    <w:pPr>
      <w:widowControl/>
      <w:pBdr>
        <w:lef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155">
    <w:name w:val="k4"/>
    <w:basedOn w:val="31"/>
    <w:autoRedefine/>
    <w:qFormat/>
    <w:uiPriority w:val="0"/>
    <w:pPr>
      <w:widowControl w:val="0"/>
      <w:numPr>
        <w:ilvl w:val="0"/>
        <w:numId w:val="12"/>
      </w:numPr>
      <w:tabs>
        <w:tab w:val="left" w:pos="360"/>
        <w:tab w:val="clear" w:pos="504"/>
      </w:tabs>
      <w:snapToGrid/>
      <w:spacing w:before="0" w:after="0" w:line="360" w:lineRule="auto"/>
      <w:ind w:left="0" w:right="0" w:firstLine="480"/>
    </w:pPr>
    <w:rPr>
      <w:rFonts w:ascii="宋体" w:hAnsi="Courier New"/>
      <w:b/>
      <w:kern w:val="2"/>
      <w:sz w:val="28"/>
    </w:rPr>
  </w:style>
  <w:style w:type="paragraph" w:customStyle="1" w:styleId="1156">
    <w:name w:val="cdb"/>
    <w:basedOn w:val="1"/>
    <w:autoRedefine/>
    <w:qFormat/>
    <w:uiPriority w:val="0"/>
    <w:pPr>
      <w:spacing w:before="120"/>
      <w:ind w:left="851" w:firstLine="482"/>
    </w:pPr>
    <w:rPr>
      <w:szCs w:val="20"/>
    </w:rPr>
  </w:style>
  <w:style w:type="paragraph" w:customStyle="1" w:styleId="1157">
    <w:name w:val="东明_a"/>
    <w:basedOn w:val="1"/>
    <w:autoRedefine/>
    <w:qFormat/>
    <w:uiPriority w:val="0"/>
    <w:pPr>
      <w:spacing w:before="240" w:after="240" w:line="480" w:lineRule="exact"/>
      <w:ind w:left="560"/>
    </w:pPr>
    <w:rPr>
      <w:b/>
      <w:bCs/>
      <w:sz w:val="28"/>
      <w:szCs w:val="20"/>
    </w:rPr>
  </w:style>
  <w:style w:type="paragraph" w:customStyle="1" w:styleId="1158">
    <w:name w:val="样式 标题 1章标题 11标题 1H1一、 + 行距: 1.5 倍行距5"/>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159">
    <w:name w:val="图 标题"/>
    <w:basedOn w:val="286"/>
    <w:autoRedefine/>
    <w:qFormat/>
    <w:uiPriority w:val="0"/>
    <w:pPr>
      <w:spacing w:line="240" w:lineRule="auto"/>
      <w:ind w:firstLine="0" w:firstLineChars="0"/>
      <w:jc w:val="center"/>
    </w:pPr>
    <w:rPr>
      <w:b/>
      <w:color w:val="FF0000"/>
    </w:rPr>
  </w:style>
  <w:style w:type="paragraph" w:customStyle="1" w:styleId="1160">
    <w:name w:val="表中文字1"/>
    <w:autoRedefine/>
    <w:qFormat/>
    <w:uiPriority w:val="0"/>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1161">
    <w:name w:val="流程"/>
    <w:basedOn w:val="1"/>
    <w:autoRedefine/>
    <w:qFormat/>
    <w:uiPriority w:val="0"/>
    <w:pPr>
      <w:topLinePunct/>
      <w:adjustRightInd w:val="0"/>
      <w:snapToGrid w:val="0"/>
      <w:jc w:val="center"/>
    </w:pPr>
    <w:rPr>
      <w:rFonts w:cs="宋体"/>
      <w:bCs/>
      <w:color w:val="000000"/>
      <w:szCs w:val="20"/>
    </w:rPr>
  </w:style>
  <w:style w:type="paragraph" w:customStyle="1" w:styleId="1162">
    <w:name w:val="样式12"/>
    <w:basedOn w:val="1082"/>
    <w:autoRedefine/>
    <w:qFormat/>
    <w:uiPriority w:val="0"/>
    <w:pPr>
      <w:adjustRightInd w:val="0"/>
    </w:pPr>
    <w:rPr>
      <w:rFonts w:ascii="仿宋_GB2312" w:hAnsi="宋体" w:eastAsia="仿宋_GB2312"/>
      <w:b/>
      <w:color w:val="FF0000"/>
      <w:szCs w:val="30"/>
    </w:rPr>
  </w:style>
  <w:style w:type="paragraph" w:customStyle="1" w:styleId="1163">
    <w:name w:val="样式32"/>
    <w:basedOn w:val="1"/>
    <w:autoRedefine/>
    <w:qFormat/>
    <w:uiPriority w:val="0"/>
    <w:pPr>
      <w:spacing w:line="360" w:lineRule="auto"/>
      <w:ind w:firstLine="480" w:firstLineChars="200"/>
    </w:pPr>
    <w:rPr>
      <w:rFonts w:ascii="宋体" w:hAnsi="宋体"/>
      <w:spacing w:val="-20"/>
      <w:sz w:val="28"/>
      <w:szCs w:val="28"/>
    </w:rPr>
  </w:style>
  <w:style w:type="paragraph" w:customStyle="1" w:styleId="1164">
    <w:name w:val="样式 正文（首行缩进两字） + 宋体 小四 加粗 行距: 固定值 24 磅"/>
    <w:basedOn w:val="8"/>
    <w:autoRedefine/>
    <w:qFormat/>
    <w:uiPriority w:val="0"/>
    <w:pPr>
      <w:tabs>
        <w:tab w:val="left" w:pos="5940"/>
      </w:tabs>
      <w:adjustRightInd w:val="0"/>
      <w:spacing w:line="480" w:lineRule="exact"/>
      <w:ind w:firstLine="0" w:firstLineChars="0"/>
      <w:jc w:val="center"/>
      <w:textAlignment w:val="baseline"/>
    </w:pPr>
    <w:rPr>
      <w:sz w:val="24"/>
    </w:rPr>
  </w:style>
  <w:style w:type="paragraph" w:customStyle="1" w:styleId="1165">
    <w:name w:val="碳酸钙标题3"/>
    <w:basedOn w:val="5"/>
    <w:autoRedefine/>
    <w:qFormat/>
    <w:uiPriority w:val="0"/>
    <w:pPr>
      <w:tabs>
        <w:tab w:val="left" w:pos="1260"/>
        <w:tab w:val="left" w:pos="2126"/>
      </w:tabs>
      <w:spacing w:line="360" w:lineRule="auto"/>
      <w:ind w:left="1701" w:firstLine="435"/>
    </w:pPr>
    <w:rPr>
      <w:color w:val="000000"/>
      <w:kern w:val="0"/>
      <w:sz w:val="24"/>
    </w:rPr>
  </w:style>
  <w:style w:type="paragraph" w:customStyle="1" w:styleId="1166">
    <w:name w:val="样式 标题 2节 + 段前: 1 行 段后: 0.5 行1"/>
    <w:basedOn w:val="1"/>
    <w:autoRedefine/>
    <w:qFormat/>
    <w:uiPriority w:val="0"/>
    <w:pPr>
      <w:numPr>
        <w:ilvl w:val="1"/>
        <w:numId w:val="13"/>
      </w:numPr>
    </w:pPr>
  </w:style>
  <w:style w:type="paragraph" w:customStyle="1" w:styleId="1167">
    <w:name w:val="Char Char1 Char Char Char Char Char Char Char Char Char Char Char Char Char Char Char Char Char Char Char Char1 Char1"/>
    <w:basedOn w:val="1"/>
    <w:autoRedefine/>
    <w:qFormat/>
    <w:uiPriority w:val="0"/>
    <w:pPr>
      <w:spacing w:line="360" w:lineRule="auto"/>
      <w:ind w:firstLine="200" w:firstLineChars="200"/>
    </w:pPr>
    <w:rPr>
      <w:szCs w:val="20"/>
    </w:rPr>
  </w:style>
  <w:style w:type="paragraph" w:customStyle="1" w:styleId="1168">
    <w:name w:val="xl55"/>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169">
    <w:name w:val="一级标题 大王 20100426"/>
    <w:basedOn w:val="1"/>
    <w:autoRedefine/>
    <w:qFormat/>
    <w:uiPriority w:val="0"/>
    <w:pPr>
      <w:numPr>
        <w:ilvl w:val="1"/>
        <w:numId w:val="4"/>
      </w:numPr>
      <w:tabs>
        <w:tab w:val="left" w:pos="284"/>
      </w:tabs>
      <w:spacing w:beforeLines="20" w:afterLines="50"/>
      <w:ind w:left="425" w:hanging="425"/>
      <w:outlineLvl w:val="0"/>
    </w:pPr>
    <w:rPr>
      <w:rFonts w:eastAsia="黑体"/>
      <w:b/>
      <w:sz w:val="30"/>
      <w:szCs w:val="30"/>
    </w:rPr>
  </w:style>
  <w:style w:type="paragraph" w:customStyle="1" w:styleId="1170">
    <w:name w:val="xl18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71">
    <w:name w:val="表内正文"/>
    <w:basedOn w:val="1"/>
    <w:autoRedefine/>
    <w:qFormat/>
    <w:uiPriority w:val="0"/>
    <w:rPr>
      <w:sz w:val="24"/>
    </w:rPr>
  </w:style>
  <w:style w:type="paragraph" w:customStyle="1" w:styleId="1172">
    <w:name w:val="图名文字"/>
    <w:autoRedefine/>
    <w:qFormat/>
    <w:uiPriority w:val="0"/>
    <w:pPr>
      <w:adjustRightInd w:val="0"/>
      <w:spacing w:after="60"/>
      <w:jc w:val="center"/>
    </w:pPr>
    <w:rPr>
      <w:rFonts w:ascii="Times New Roman" w:hAnsi="Times New Roman" w:eastAsia="黑体" w:cs="Times New Roman"/>
      <w:sz w:val="21"/>
      <w:lang w:val="en-US" w:eastAsia="zh-CN" w:bidi="ar-SA"/>
    </w:rPr>
  </w:style>
  <w:style w:type="paragraph" w:customStyle="1" w:styleId="1173">
    <w:name w:val="标准正文"/>
    <w:basedOn w:val="1"/>
    <w:autoRedefine/>
    <w:qFormat/>
    <w:uiPriority w:val="0"/>
    <w:pPr>
      <w:spacing w:line="500" w:lineRule="exact"/>
      <w:ind w:firstLine="200" w:firstLineChars="200"/>
      <w:jc w:val="left"/>
    </w:pPr>
    <w:rPr>
      <w:rFonts w:ascii="Calibri" w:hAnsi="Calibri"/>
      <w:kern w:val="0"/>
      <w:sz w:val="24"/>
      <w:szCs w:val="20"/>
    </w:rPr>
  </w:style>
  <w:style w:type="paragraph" w:customStyle="1" w:styleId="1174">
    <w:name w:val="样式 样式 首行缩进:  0.77 厘米 行距: 固定值 20 磅 + 居中 首行缩进:  0 厘米 行距: 单倍行距"/>
    <w:basedOn w:val="1"/>
    <w:autoRedefine/>
    <w:qFormat/>
    <w:uiPriority w:val="0"/>
    <w:pPr>
      <w:spacing w:line="240" w:lineRule="atLeast"/>
      <w:jc w:val="center"/>
    </w:pPr>
    <w:rPr>
      <w:color w:val="000000"/>
    </w:rPr>
  </w:style>
  <w:style w:type="paragraph" w:customStyle="1" w:styleId="1175">
    <w:name w:val="font7"/>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176">
    <w:name w:val="xl61"/>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177">
    <w:name w:val="表内5号居中"/>
    <w:autoRedefine/>
    <w:qFormat/>
    <w:uiPriority w:val="0"/>
    <w:pPr>
      <w:widowControl w:val="0"/>
      <w:adjustRightInd w:val="0"/>
      <w:snapToGrid w:val="0"/>
      <w:jc w:val="center"/>
      <w:textAlignment w:val="baseline"/>
    </w:pPr>
    <w:rPr>
      <w:rFonts w:ascii="Times New Roman" w:hAnsi="Times New Roman" w:eastAsia="宋体" w:cs="Times New Roman"/>
      <w:b/>
      <w:bCs/>
      <w:sz w:val="24"/>
      <w:lang w:val="en-US" w:eastAsia="zh-CN" w:bidi="ar-SA"/>
    </w:rPr>
  </w:style>
  <w:style w:type="paragraph" w:customStyle="1" w:styleId="1178">
    <w:name w:val="工业统一表格文字"/>
    <w:basedOn w:val="1"/>
    <w:autoRedefine/>
    <w:qFormat/>
    <w:uiPriority w:val="0"/>
    <w:pPr>
      <w:adjustRightInd w:val="0"/>
      <w:snapToGrid w:val="0"/>
      <w:spacing w:beforeLines="20" w:afterLines="20"/>
      <w:ind w:left="-20" w:leftChars="-20" w:right="-20" w:rightChars="-20"/>
      <w:jc w:val="center"/>
    </w:pPr>
    <w:rPr>
      <w:rFonts w:ascii="宋体"/>
      <w:szCs w:val="20"/>
    </w:rPr>
  </w:style>
  <w:style w:type="paragraph" w:customStyle="1" w:styleId="1179">
    <w:name w:val="注解"/>
    <w:autoRedefine/>
    <w:qFormat/>
    <w:uiPriority w:val="0"/>
    <w:pPr>
      <w:widowControl w:val="0"/>
      <w:jc w:val="center"/>
    </w:pPr>
    <w:rPr>
      <w:rFonts w:ascii="宋体" w:hAnsi="Arial Black" w:eastAsia="宋体" w:cs="Times New Roman"/>
      <w:kern w:val="2"/>
      <w:sz w:val="18"/>
      <w:lang w:val="en-US" w:eastAsia="zh-CN" w:bidi="ar-SA"/>
    </w:rPr>
  </w:style>
  <w:style w:type="paragraph" w:customStyle="1" w:styleId="1180">
    <w:name w:val="表格内容1"/>
    <w:basedOn w:val="324"/>
    <w:autoRedefine/>
    <w:qFormat/>
    <w:uiPriority w:val="0"/>
    <w:pPr>
      <w:autoSpaceDE/>
      <w:autoSpaceDN/>
      <w:adjustRightInd/>
    </w:pPr>
    <w:rPr>
      <w:rFonts w:cs="宋体"/>
      <w:kern w:val="2"/>
      <w:szCs w:val="20"/>
    </w:rPr>
  </w:style>
  <w:style w:type="paragraph" w:customStyle="1" w:styleId="1181">
    <w:name w:val="表1"/>
    <w:basedOn w:val="1"/>
    <w:autoRedefine/>
    <w:qFormat/>
    <w:uiPriority w:val="0"/>
    <w:pPr>
      <w:jc w:val="center"/>
    </w:pPr>
    <w:rPr>
      <w:rFonts w:ascii="宋体" w:hAnsi="宋体"/>
      <w:color w:val="000000"/>
    </w:rPr>
  </w:style>
  <w:style w:type="paragraph" w:customStyle="1" w:styleId="1182">
    <w:name w:val="Char Char1 Char Char Char Char Char Char Char Char Char Char Char Char Char Char Char Char Char Char Char Char1 Char"/>
    <w:basedOn w:val="1"/>
    <w:autoRedefine/>
    <w:qFormat/>
    <w:uiPriority w:val="0"/>
    <w:pPr>
      <w:adjustRightInd w:val="0"/>
      <w:snapToGrid w:val="0"/>
      <w:spacing w:line="360" w:lineRule="auto"/>
      <w:ind w:firstLine="200" w:firstLineChars="200"/>
    </w:pPr>
    <w:rPr>
      <w:rFonts w:ascii="仿宋_GB2312" w:eastAsia="仿宋_GB2312"/>
      <w:sz w:val="28"/>
    </w:rPr>
  </w:style>
  <w:style w:type="paragraph" w:customStyle="1" w:styleId="1183">
    <w:name w:val="默认段落字体 Para Char Char Char Char Char Char Char Char Char1 Char Char Char Char Char Char Char Char Char Char"/>
    <w:basedOn w:val="1"/>
    <w:autoRedefine/>
    <w:qFormat/>
    <w:uiPriority w:val="0"/>
    <w:pPr>
      <w:shd w:val="clear" w:color="auto" w:fill="000080"/>
    </w:pPr>
    <w:rPr>
      <w:rFonts w:ascii="Tahoma" w:hAnsi="Tahoma"/>
      <w:kern w:val="0"/>
      <w:sz w:val="20"/>
    </w:rPr>
  </w:style>
  <w:style w:type="paragraph" w:customStyle="1" w:styleId="1184">
    <w:name w:val="样式 行距: 1.5 倍行距 首行缩进:  2.25 字符"/>
    <w:basedOn w:val="1"/>
    <w:autoRedefine/>
    <w:qFormat/>
    <w:uiPriority w:val="0"/>
    <w:pPr>
      <w:spacing w:afterLines="100" w:line="360" w:lineRule="auto"/>
    </w:pPr>
    <w:rPr>
      <w:rFonts w:ascii="宋体" w:hAnsi="宋体" w:cs="宋体"/>
      <w:sz w:val="24"/>
      <w:szCs w:val="20"/>
    </w:rPr>
  </w:style>
  <w:style w:type="paragraph" w:customStyle="1" w:styleId="1185">
    <w:name w:val="Char Char Char Char Char Char Char Char Char1"/>
    <w:basedOn w:val="1"/>
    <w:autoRedefine/>
    <w:qFormat/>
    <w:uiPriority w:val="0"/>
    <w:pPr>
      <w:widowControl/>
      <w:spacing w:after="160" w:line="240" w:lineRule="exact"/>
      <w:jc w:val="left"/>
    </w:pPr>
    <w:rPr>
      <w:rFonts w:ascii="Calibri" w:hAnsi="Calibri"/>
      <w:szCs w:val="22"/>
    </w:rPr>
  </w:style>
  <w:style w:type="paragraph" w:customStyle="1" w:styleId="1186">
    <w:name w:val="xl125"/>
    <w:basedOn w:val="1"/>
    <w:autoRedefine/>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187">
    <w:name w:val="正文表格5号"/>
    <w:basedOn w:val="1"/>
    <w:autoRedefine/>
    <w:qFormat/>
    <w:uiPriority w:val="0"/>
    <w:pPr>
      <w:adjustRightInd w:val="0"/>
      <w:spacing w:line="460" w:lineRule="exact"/>
      <w:textAlignment w:val="baseline"/>
    </w:pPr>
    <w:rPr>
      <w:rFonts w:ascii="宋体"/>
      <w:kern w:val="0"/>
      <w:szCs w:val="20"/>
    </w:rPr>
  </w:style>
  <w:style w:type="paragraph" w:customStyle="1" w:styleId="1188">
    <w:name w:val="Char Char Char Char Char Char Char Char Char Char3"/>
    <w:basedOn w:val="1"/>
    <w:autoRedefine/>
    <w:qFormat/>
    <w:uiPriority w:val="0"/>
  </w:style>
  <w:style w:type="paragraph" w:customStyle="1" w:styleId="1189">
    <w:name w:val="Char2 Char Char Char"/>
    <w:basedOn w:val="1"/>
    <w:autoRedefine/>
    <w:semiHidden/>
    <w:qFormat/>
    <w:uiPriority w:val="0"/>
    <w:pPr>
      <w:spacing w:line="360" w:lineRule="auto"/>
      <w:ind w:firstLine="200" w:firstLineChars="200"/>
    </w:pPr>
    <w:rPr>
      <w:rFonts w:ascii="宋体" w:hAnsi="宋体" w:cs="宋体"/>
      <w:sz w:val="24"/>
    </w:rPr>
  </w:style>
  <w:style w:type="paragraph" w:customStyle="1" w:styleId="1190">
    <w:name w:val="字元"/>
    <w:basedOn w:val="1"/>
    <w:autoRedefine/>
    <w:qFormat/>
    <w:uiPriority w:val="0"/>
    <w:pPr>
      <w:widowControl/>
      <w:jc w:val="left"/>
    </w:pPr>
    <w:rPr>
      <w:rFonts w:eastAsia="仿宋_GB2312"/>
      <w:kern w:val="0"/>
      <w:sz w:val="24"/>
      <w:szCs w:val="20"/>
    </w:rPr>
  </w:style>
  <w:style w:type="paragraph" w:customStyle="1" w:styleId="1191">
    <w:name w:val="默认段落字体 Para Char Char Char1 Char Char Char Char Char Char Char Char Char Char"/>
    <w:basedOn w:val="1"/>
    <w:autoRedefine/>
    <w:qFormat/>
    <w:uiPriority w:val="0"/>
    <w:rPr>
      <w:sz w:val="24"/>
    </w:rPr>
  </w:style>
  <w:style w:type="paragraph" w:customStyle="1" w:styleId="1192">
    <w:name w:val="样式 样式 题注 + (西文) 宋体 + 段后: 1 行"/>
    <w:basedOn w:val="1"/>
    <w:autoRedefine/>
    <w:qFormat/>
    <w:uiPriority w:val="0"/>
    <w:pPr>
      <w:keepNext/>
      <w:spacing w:line="360" w:lineRule="auto"/>
      <w:ind w:firstLine="200" w:firstLineChars="200"/>
      <w:jc w:val="left"/>
    </w:pPr>
    <w:rPr>
      <w:rFonts w:ascii="宋体" w:hAnsi="宋体" w:cs="宋体"/>
      <w:color w:val="000000"/>
      <w:sz w:val="28"/>
      <w:szCs w:val="20"/>
    </w:rPr>
  </w:style>
  <w:style w:type="paragraph" w:customStyle="1" w:styleId="1193">
    <w:name w:val="表头0"/>
    <w:autoRedefine/>
    <w:qFormat/>
    <w:uiPriority w:val="0"/>
    <w:pPr>
      <w:adjustRightInd w:val="0"/>
      <w:snapToGrid w:val="0"/>
      <w:spacing w:beforeLines="10" w:line="360" w:lineRule="auto"/>
      <w:jc w:val="center"/>
    </w:pPr>
    <w:rPr>
      <w:rFonts w:ascii="Times New Roman" w:hAnsi="Times New Roman" w:eastAsia="宋体" w:cs="Times New Roman"/>
      <w:b/>
      <w:sz w:val="21"/>
      <w:lang w:val="en-US" w:eastAsia="zh-CN" w:bidi="ar-SA"/>
    </w:rPr>
  </w:style>
  <w:style w:type="paragraph" w:customStyle="1" w:styleId="1194">
    <w:name w:val="表字"/>
    <w:basedOn w:val="1"/>
    <w:autoRedefine/>
    <w:qFormat/>
    <w:uiPriority w:val="0"/>
    <w:pPr>
      <w:jc w:val="center"/>
    </w:pPr>
    <w:rPr>
      <w:rFonts w:ascii="宋体"/>
      <w:szCs w:val="20"/>
    </w:rPr>
  </w:style>
  <w:style w:type="paragraph" w:customStyle="1" w:styleId="1195">
    <w:name w:val="xl135"/>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196">
    <w:name w:val="xl60"/>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97">
    <w:name w:val="样式 样式 样式 默认段落字体 Para Char Char Char Char + 字距调整二号 + +"/>
    <w:basedOn w:val="1"/>
    <w:autoRedefine/>
    <w:qFormat/>
    <w:uiPriority w:val="0"/>
    <w:pPr>
      <w:spacing w:beforeLines="50" w:afterLines="50" w:line="360" w:lineRule="auto"/>
      <w:jc w:val="center"/>
    </w:pPr>
    <w:rPr>
      <w:rFonts w:eastAsia="黑体"/>
      <w:kern w:val="44"/>
      <w:sz w:val="32"/>
    </w:rPr>
  </w:style>
  <w:style w:type="paragraph" w:customStyle="1" w:styleId="1198">
    <w:name w:val="Char Char Char2 Char"/>
    <w:basedOn w:val="1"/>
    <w:autoRedefine/>
    <w:qFormat/>
    <w:uiPriority w:val="0"/>
    <w:pPr>
      <w:spacing w:line="360" w:lineRule="auto"/>
      <w:ind w:firstLine="200" w:firstLineChars="200"/>
    </w:pPr>
    <w:rPr>
      <w:rFonts w:ascii="宋体" w:hAnsi="宋体" w:cs="宋体"/>
      <w:sz w:val="24"/>
    </w:rPr>
  </w:style>
  <w:style w:type="paragraph" w:customStyle="1" w:styleId="1199">
    <w:name w:val="Char Char2 Char Char"/>
    <w:basedOn w:val="1"/>
    <w:autoRedefine/>
    <w:qFormat/>
    <w:uiPriority w:val="0"/>
  </w:style>
  <w:style w:type="paragraph" w:customStyle="1" w:styleId="1200">
    <w:name w:val="默认段落字体 Para Char Char Char1 Char Char Char Char"/>
    <w:basedOn w:val="1"/>
    <w:autoRedefine/>
    <w:qFormat/>
    <w:uiPriority w:val="0"/>
    <w:pPr>
      <w:tabs>
        <w:tab w:val="left" w:pos="360"/>
      </w:tabs>
    </w:pPr>
    <w:rPr>
      <w:szCs w:val="20"/>
    </w:rPr>
  </w:style>
  <w:style w:type="paragraph" w:customStyle="1" w:styleId="1201">
    <w:name w:val="Char Char3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1202">
    <w:name w:val="- 页码 -"/>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1203">
    <w:name w:val="xl87"/>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204">
    <w:name w:val="样式 标题 2 + 行距: 1.5 倍行距2"/>
    <w:basedOn w:val="4"/>
    <w:autoRedefine/>
    <w:semiHidden/>
    <w:qFormat/>
    <w:uiPriority w:val="0"/>
    <w:pPr>
      <w:snapToGrid w:val="0"/>
      <w:spacing w:before="120" w:beforeLines="100" w:after="120" w:afterLines="100" w:line="240" w:lineRule="auto"/>
      <w:ind w:left="1134" w:hanging="992"/>
      <w:jc w:val="left"/>
    </w:pPr>
    <w:rPr>
      <w:rFonts w:ascii="Times New Roman" w:hAnsi="Times New Roman" w:cs="宋体"/>
      <w:sz w:val="28"/>
      <w:szCs w:val="28"/>
    </w:rPr>
  </w:style>
  <w:style w:type="paragraph" w:customStyle="1" w:styleId="1205">
    <w:name w:val="xl19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06">
    <w:name w:val="东明_正文 Char"/>
    <w:basedOn w:val="1"/>
    <w:autoRedefine/>
    <w:qFormat/>
    <w:uiPriority w:val="0"/>
    <w:pPr>
      <w:spacing w:before="240" w:after="240" w:line="480" w:lineRule="exact"/>
      <w:ind w:firstLine="560" w:firstLineChars="200"/>
    </w:pPr>
    <w:rPr>
      <w:sz w:val="28"/>
      <w:szCs w:val="20"/>
    </w:rPr>
  </w:style>
  <w:style w:type="paragraph" w:customStyle="1" w:styleId="1207">
    <w:name w:val="样式15"/>
    <w:basedOn w:val="1"/>
    <w:autoRedefine/>
    <w:qFormat/>
    <w:uiPriority w:val="0"/>
    <w:pPr>
      <w:numPr>
        <w:ilvl w:val="0"/>
        <w:numId w:val="14"/>
      </w:numPr>
      <w:tabs>
        <w:tab w:val="left" w:pos="432"/>
      </w:tabs>
    </w:pPr>
    <w:rPr>
      <w:sz w:val="24"/>
    </w:rPr>
  </w:style>
  <w:style w:type="paragraph" w:customStyle="1" w:styleId="1208">
    <w:name w:val="样式 标题 1章标题 11标题 1H1一、 + 行距: 单倍行距"/>
    <w:basedOn w:val="3"/>
    <w:autoRedefine/>
    <w:semiHidden/>
    <w:qFormat/>
    <w:uiPriority w:val="0"/>
    <w:pPr>
      <w:keepLines/>
      <w:overflowPunct/>
      <w:spacing w:before="340" w:after="330" w:line="240" w:lineRule="auto"/>
      <w:ind w:left="3845" w:hanging="3845"/>
      <w:jc w:val="center"/>
    </w:pPr>
    <w:rPr>
      <w:rFonts w:cs="宋体"/>
      <w:color w:val="auto"/>
      <w:sz w:val="44"/>
      <w:szCs w:val="20"/>
    </w:rPr>
  </w:style>
  <w:style w:type="paragraph" w:customStyle="1" w:styleId="1209">
    <w:name w:val="xl113"/>
    <w:basedOn w:val="1"/>
    <w:autoRedefine/>
    <w:qFormat/>
    <w:uiPriority w:val="0"/>
    <w:pPr>
      <w:widowControl/>
      <w:pBdr>
        <w:top w:val="single" w:color="auto" w:sz="8"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210">
    <w:name w:val="封面标准文稿编辑信息"/>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211">
    <w:name w:val="xl152"/>
    <w:basedOn w:val="1"/>
    <w:autoRedefine/>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212">
    <w:name w:val="Char Char Char Char Char Char Char Char Char Char1 Char Char Char"/>
    <w:basedOn w:val="1"/>
    <w:autoRedefine/>
    <w:qFormat/>
    <w:uiPriority w:val="0"/>
    <w:pPr>
      <w:widowControl/>
      <w:contextualSpacing/>
      <w:jc w:val="left"/>
    </w:pPr>
    <w:rPr>
      <w:rFonts w:cs="宋体"/>
      <w:kern w:val="0"/>
    </w:rPr>
  </w:style>
  <w:style w:type="paragraph" w:customStyle="1" w:styleId="1213">
    <w:name w:val="表头样式1"/>
    <w:basedOn w:val="1"/>
    <w:autoRedefine/>
    <w:qFormat/>
    <w:uiPriority w:val="0"/>
    <w:pPr>
      <w:widowControl/>
      <w:tabs>
        <w:tab w:val="left" w:pos="2310"/>
      </w:tabs>
      <w:autoSpaceDE w:val="0"/>
      <w:autoSpaceDN w:val="0"/>
      <w:adjustRightInd w:val="0"/>
      <w:spacing w:line="480" w:lineRule="exact"/>
      <w:contextualSpacing/>
      <w:jc w:val="center"/>
    </w:pPr>
    <w:rPr>
      <w:rFonts w:cs="宋体"/>
      <w:b/>
      <w:bCs/>
      <w:kern w:val="0"/>
    </w:rPr>
  </w:style>
  <w:style w:type="paragraph" w:customStyle="1" w:styleId="1214">
    <w:name w:val="xl75"/>
    <w:basedOn w:val="1"/>
    <w:autoRedefine/>
    <w:qFormat/>
    <w:uiPriority w:val="0"/>
    <w:pPr>
      <w:widowControl/>
      <w:spacing w:before="100" w:beforeAutospacing="1" w:after="100" w:afterAutospacing="1"/>
      <w:jc w:val="left"/>
    </w:pPr>
    <w:rPr>
      <w:kern w:val="0"/>
      <w:sz w:val="12"/>
      <w:szCs w:val="12"/>
    </w:rPr>
  </w:style>
  <w:style w:type="paragraph" w:customStyle="1" w:styleId="1215">
    <w:name w:val="CM18"/>
    <w:basedOn w:val="1"/>
    <w:next w:val="1"/>
    <w:autoRedefine/>
    <w:qFormat/>
    <w:uiPriority w:val="0"/>
    <w:pPr>
      <w:autoSpaceDE w:val="0"/>
      <w:autoSpaceDN w:val="0"/>
      <w:adjustRightInd w:val="0"/>
      <w:spacing w:line="468" w:lineRule="atLeast"/>
      <w:contextualSpacing/>
      <w:jc w:val="left"/>
    </w:pPr>
    <w:rPr>
      <w:rFonts w:ascii="黑体" w:eastAsia="黑体"/>
      <w:kern w:val="0"/>
    </w:rPr>
  </w:style>
  <w:style w:type="paragraph" w:customStyle="1" w:styleId="1216">
    <w:name w:val="xl109"/>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17">
    <w:name w:val="菏泽-标题4"/>
    <w:basedOn w:val="1"/>
    <w:autoRedefine/>
    <w:qFormat/>
    <w:uiPriority w:val="0"/>
    <w:pPr>
      <w:spacing w:line="440" w:lineRule="exact"/>
      <w:ind w:firstLine="420" w:firstLineChars="200"/>
    </w:pPr>
    <w:rPr>
      <w:rFonts w:ascii="华文细黑" w:hAnsi="华文细黑" w:eastAsia="华文细黑"/>
      <w:b/>
      <w:szCs w:val="20"/>
    </w:rPr>
  </w:style>
  <w:style w:type="paragraph" w:customStyle="1" w:styleId="1218">
    <w:name w:val="xl99"/>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19">
    <w:name w:val="IDC A-Head (2nd Line)"/>
    <w:basedOn w:val="1"/>
    <w:next w:val="1"/>
    <w:autoRedefine/>
    <w:qFormat/>
    <w:uiPriority w:val="0"/>
    <w:pPr>
      <w:widowControl/>
      <w:jc w:val="center"/>
    </w:pPr>
    <w:rPr>
      <w:caps/>
      <w:kern w:val="0"/>
      <w:sz w:val="24"/>
      <w:szCs w:val="20"/>
    </w:rPr>
  </w:style>
  <w:style w:type="paragraph" w:customStyle="1" w:styleId="1220">
    <w:name w:val="样式 正文文本 + 首行缩进:  2 字符 段前: 0.5 行"/>
    <w:basedOn w:val="1"/>
    <w:autoRedefine/>
    <w:qFormat/>
    <w:uiPriority w:val="0"/>
    <w:pPr>
      <w:widowControl/>
      <w:spacing w:line="360" w:lineRule="auto"/>
      <w:ind w:firstLine="480" w:firstLineChars="200"/>
    </w:pPr>
    <w:rPr>
      <w:rFonts w:ascii="宋体" w:hAnsi="宋体" w:cs="宋体"/>
      <w:color w:val="000000"/>
      <w:sz w:val="24"/>
    </w:rPr>
  </w:style>
  <w:style w:type="paragraph" w:customStyle="1" w:styleId="1221">
    <w:name w:val="CM22"/>
    <w:basedOn w:val="732"/>
    <w:next w:val="732"/>
    <w:autoRedefine/>
    <w:qFormat/>
    <w:uiPriority w:val="0"/>
    <w:pPr>
      <w:spacing w:after="145"/>
    </w:pPr>
    <w:rPr>
      <w:color w:val="auto"/>
    </w:rPr>
  </w:style>
  <w:style w:type="paragraph" w:customStyle="1" w:styleId="1222">
    <w:name w:val="xl148"/>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rPr>
  </w:style>
  <w:style w:type="paragraph" w:customStyle="1" w:styleId="1223">
    <w:name w:val="正文表"/>
    <w:basedOn w:val="1"/>
    <w:autoRedefine/>
    <w:qFormat/>
    <w:uiPriority w:val="0"/>
    <w:pPr>
      <w:tabs>
        <w:tab w:val="left" w:pos="2451"/>
        <w:tab w:val="left" w:pos="4614"/>
        <w:tab w:val="left" w:pos="6777"/>
        <w:tab w:val="left" w:pos="8940"/>
      </w:tabs>
      <w:autoSpaceDE w:val="0"/>
      <w:autoSpaceDN w:val="0"/>
      <w:adjustRightInd w:val="0"/>
      <w:contextualSpacing/>
      <w:jc w:val="center"/>
      <w:textAlignment w:val="bottom"/>
    </w:pPr>
    <w:rPr>
      <w:color w:val="000000"/>
      <w:kern w:val="0"/>
      <w:sz w:val="28"/>
      <w:szCs w:val="20"/>
    </w:rPr>
  </w:style>
  <w:style w:type="paragraph" w:customStyle="1" w:styleId="1224">
    <w:name w:val="p15"/>
    <w:basedOn w:val="1"/>
    <w:autoRedefine/>
    <w:qFormat/>
    <w:uiPriority w:val="0"/>
    <w:pPr>
      <w:widowControl/>
      <w:jc w:val="left"/>
    </w:pPr>
    <w:rPr>
      <w:rFonts w:ascii="宋体" w:hAnsi="宋体" w:cs="宋体"/>
      <w:kern w:val="0"/>
      <w:sz w:val="24"/>
    </w:rPr>
  </w:style>
  <w:style w:type="paragraph" w:customStyle="1" w:styleId="1225">
    <w:name w:val="样式9"/>
    <w:basedOn w:val="3"/>
    <w:autoRedefine/>
    <w:qFormat/>
    <w:uiPriority w:val="0"/>
    <w:pPr>
      <w:keepLines/>
      <w:tabs>
        <w:tab w:val="left" w:pos="390"/>
      </w:tabs>
      <w:overflowPunct/>
      <w:snapToGrid/>
      <w:spacing w:before="340" w:beforeLines="200" w:after="330" w:afterLines="200" w:line="520" w:lineRule="exact"/>
      <w:ind w:left="390" w:firstLine="0"/>
    </w:pPr>
    <w:rPr>
      <w:rFonts w:ascii="Calibri" w:hAnsi="Calibri" w:eastAsia="宋体"/>
      <w:color w:val="auto"/>
      <w:sz w:val="44"/>
      <w:szCs w:val="44"/>
    </w:rPr>
  </w:style>
  <w:style w:type="paragraph" w:customStyle="1" w:styleId="1226">
    <w:name w:val="环评正文"/>
    <w:basedOn w:val="3"/>
    <w:autoRedefine/>
    <w:qFormat/>
    <w:uiPriority w:val="0"/>
    <w:pPr>
      <w:keepNext w:val="0"/>
      <w:overflowPunct/>
      <w:snapToGrid/>
      <w:spacing w:before="60" w:after="60" w:line="400" w:lineRule="exact"/>
      <w:ind w:left="0" w:firstLine="480" w:firstLineChars="200"/>
      <w:outlineLvl w:val="9"/>
    </w:pPr>
    <w:rPr>
      <w:rFonts w:eastAsia="仿宋_GB2312"/>
      <w:b w:val="0"/>
      <w:color w:val="auto"/>
      <w:sz w:val="24"/>
      <w:szCs w:val="28"/>
    </w:rPr>
  </w:style>
  <w:style w:type="paragraph" w:customStyle="1" w:styleId="1227">
    <w:name w:val="xl129"/>
    <w:basedOn w:val="1"/>
    <w:autoRedefine/>
    <w:qFormat/>
    <w:uiPriority w:val="0"/>
    <w:pPr>
      <w:widowControl/>
      <w:pBdr>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28">
    <w:name w:val="text4"/>
    <w:basedOn w:val="1"/>
    <w:autoRedefine/>
    <w:qFormat/>
    <w:uiPriority w:val="0"/>
    <w:pPr>
      <w:widowControl/>
      <w:spacing w:after="150" w:line="336" w:lineRule="auto"/>
      <w:ind w:firstLine="400"/>
      <w:jc w:val="left"/>
    </w:pPr>
    <w:rPr>
      <w:rFonts w:ascii="Arial Unicode MS" w:hAnsi="Arial Unicode MS"/>
      <w:color w:val="333300"/>
      <w:kern w:val="0"/>
      <w:sz w:val="20"/>
      <w:szCs w:val="20"/>
    </w:rPr>
  </w:style>
  <w:style w:type="paragraph" w:customStyle="1" w:styleId="1229">
    <w:name w:val="xl164"/>
    <w:basedOn w:val="1"/>
    <w:autoRedefine/>
    <w:qFormat/>
    <w:uiPriority w:val="0"/>
    <w:pPr>
      <w:widowControl/>
      <w:pBdr>
        <w:left w:val="single" w:color="auto" w:sz="12" w:space="0"/>
        <w:bottom w:val="single" w:color="auto" w:sz="12" w:space="0"/>
      </w:pBdr>
      <w:spacing w:before="100" w:beforeAutospacing="1" w:after="100" w:afterAutospacing="1"/>
      <w:jc w:val="center"/>
    </w:pPr>
    <w:rPr>
      <w:rFonts w:ascii="Arial Unicode MS" w:hAnsi="Arial Unicode MS"/>
      <w:kern w:val="0"/>
    </w:rPr>
  </w:style>
  <w:style w:type="paragraph" w:customStyle="1" w:styleId="1230">
    <w:name w:val="Char Char Char Char Char Char Char Char Char Char2"/>
    <w:basedOn w:val="1"/>
    <w:autoRedefine/>
    <w:qFormat/>
    <w:uiPriority w:val="0"/>
    <w:pPr>
      <w:widowControl/>
      <w:contextualSpacing/>
      <w:jc w:val="left"/>
    </w:pPr>
    <w:rPr>
      <w:rFonts w:cs="宋体"/>
      <w:kern w:val="0"/>
    </w:rPr>
  </w:style>
  <w:style w:type="paragraph" w:customStyle="1" w:styleId="1231">
    <w:name w:val="样式 标题 4东明_小节2Char Char Char Char Char Char Char Char Char Char..."/>
    <w:basedOn w:val="6"/>
    <w:autoRedefine/>
    <w:semiHidden/>
    <w:qFormat/>
    <w:uiPriority w:val="0"/>
    <w:pPr>
      <w:snapToGrid w:val="0"/>
      <w:spacing w:before="0" w:after="0" w:line="600" w:lineRule="exact"/>
      <w:ind w:left="2884" w:hanging="1984"/>
    </w:pPr>
    <w:rPr>
      <w:rFonts w:ascii="Times New Roman" w:hAnsi="Times New Roman" w:eastAsia="黑体" w:cs="宋体"/>
      <w:b w:val="0"/>
      <w:sz w:val="24"/>
      <w:szCs w:val="20"/>
    </w:rPr>
  </w:style>
  <w:style w:type="paragraph" w:customStyle="1" w:styleId="1232">
    <w:name w:val="表标题7.2"/>
    <w:basedOn w:val="1"/>
    <w:autoRedefine/>
    <w:qFormat/>
    <w:uiPriority w:val="0"/>
    <w:pPr>
      <w:numPr>
        <w:ilvl w:val="0"/>
        <w:numId w:val="15"/>
      </w:numPr>
      <w:tabs>
        <w:tab w:val="left" w:pos="3765"/>
        <w:tab w:val="center" w:pos="4060"/>
        <w:tab w:val="right" w:pos="8261"/>
        <w:tab w:val="clear" w:pos="726"/>
      </w:tabs>
      <w:suppressAutoHyphens/>
      <w:adjustRightInd w:val="0"/>
      <w:spacing w:beforeLines="100" w:line="0" w:lineRule="atLeast"/>
      <w:ind w:left="3041"/>
      <w:jc w:val="center"/>
    </w:pPr>
    <w:rPr>
      <w:rFonts w:ascii="黑体" w:eastAsia="黑体" w:cs="宋体"/>
      <w:b/>
      <w:bCs/>
      <w:spacing w:val="6"/>
      <w:kern w:val="0"/>
      <w:sz w:val="24"/>
    </w:rPr>
  </w:style>
  <w:style w:type="paragraph" w:customStyle="1" w:styleId="1233">
    <w:name w:val="xl107"/>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34">
    <w:name w:val="样式 标题 4 + (符号) 宋体 段前: 6 磅"/>
    <w:basedOn w:val="6"/>
    <w:autoRedefine/>
    <w:qFormat/>
    <w:uiPriority w:val="0"/>
    <w:pPr>
      <w:snapToGrid w:val="0"/>
      <w:spacing w:before="0" w:after="0" w:line="540" w:lineRule="exact"/>
      <w:ind w:left="2884" w:hanging="1984"/>
      <w:jc w:val="left"/>
    </w:pPr>
    <w:rPr>
      <w:rFonts w:ascii="Times New Roman" w:hAnsi="宋体" w:cs="宋体"/>
      <w:sz w:val="24"/>
      <w:szCs w:val="20"/>
    </w:rPr>
  </w:style>
  <w:style w:type="paragraph" w:customStyle="1" w:styleId="1235">
    <w:name w:val="Char11"/>
    <w:basedOn w:val="1"/>
    <w:autoRedefine/>
    <w:qFormat/>
    <w:uiPriority w:val="0"/>
    <w:pPr>
      <w:snapToGrid w:val="0"/>
      <w:spacing w:line="500" w:lineRule="exact"/>
      <w:contextualSpacing/>
    </w:pPr>
    <w:rPr>
      <w:rFonts w:eastAsia="仿宋_GB2312"/>
    </w:rPr>
  </w:style>
  <w:style w:type="paragraph" w:customStyle="1" w:styleId="1236">
    <w:name w:val="表体"/>
    <w:basedOn w:val="160"/>
    <w:autoRedefine/>
    <w:semiHidden/>
    <w:qFormat/>
    <w:uiPriority w:val="0"/>
    <w:pPr>
      <w:overflowPunct w:val="0"/>
      <w:autoSpaceDE w:val="0"/>
      <w:autoSpaceDN w:val="0"/>
      <w:snapToGrid/>
      <w:spacing w:line="300" w:lineRule="atLeast"/>
      <w:jc w:val="left"/>
    </w:pPr>
    <w:rPr>
      <w:rFonts w:eastAsia="宋体"/>
      <w:color w:val="000000"/>
      <w:spacing w:val="0"/>
      <w:kern w:val="24"/>
      <w:sz w:val="18"/>
    </w:rPr>
  </w:style>
  <w:style w:type="paragraph" w:customStyle="1" w:styleId="1237">
    <w:name w:val="wj12"/>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238">
    <w:name w:val="xl156"/>
    <w:basedOn w:val="1"/>
    <w:autoRedefine/>
    <w:qFormat/>
    <w:uiPriority w:val="0"/>
    <w:pPr>
      <w:widowControl/>
      <w:pBdr>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239">
    <w:name w:val="样式 标题 51)项标5 +"/>
    <w:basedOn w:val="7"/>
    <w:autoRedefine/>
    <w:qFormat/>
    <w:uiPriority w:val="0"/>
    <w:pPr>
      <w:keepNext w:val="0"/>
      <w:keepLines w:val="0"/>
      <w:tabs>
        <w:tab w:val="left" w:pos="987"/>
        <w:tab w:val="clear" w:pos="1008"/>
      </w:tabs>
      <w:spacing w:before="0" w:after="0" w:line="360" w:lineRule="auto"/>
      <w:ind w:left="987" w:hanging="420"/>
      <w:contextualSpacing/>
    </w:pPr>
    <w:rPr>
      <w:rFonts w:hAnsi="Arial"/>
      <w:b w:val="0"/>
      <w:bCs/>
      <w:color w:val="000000"/>
      <w:spacing w:val="3"/>
      <w:szCs w:val="28"/>
    </w:rPr>
  </w:style>
  <w:style w:type="paragraph" w:customStyle="1" w:styleId="1240">
    <w:name w:val="xl81"/>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241">
    <w:name w:val="菏泽-正文 Char"/>
    <w:basedOn w:val="1"/>
    <w:autoRedefine/>
    <w:qFormat/>
    <w:uiPriority w:val="0"/>
    <w:pPr>
      <w:spacing w:line="440" w:lineRule="exact"/>
      <w:ind w:firstLine="420" w:firstLineChars="200"/>
    </w:pPr>
    <w:rPr>
      <w:rFonts w:ascii="Arial" w:hAnsi="Arial" w:eastAsia="华文细黑"/>
    </w:rPr>
  </w:style>
  <w:style w:type="paragraph" w:customStyle="1" w:styleId="1242">
    <w:name w:val="小Ꮄ"/>
    <w:basedOn w:val="1"/>
    <w:autoRedefine/>
    <w:qFormat/>
    <w:uiPriority w:val="0"/>
    <w:pPr>
      <w:spacing w:before="60" w:after="60" w:line="360" w:lineRule="auto"/>
    </w:pPr>
  </w:style>
  <w:style w:type="paragraph" w:customStyle="1" w:styleId="1243">
    <w:name w:val="xl130"/>
    <w:basedOn w:val="1"/>
    <w:autoRedefine/>
    <w:qFormat/>
    <w:uiPriority w:val="0"/>
    <w:pPr>
      <w:widowControl/>
      <w:pBdr>
        <w:left w:val="single" w:color="auto" w:sz="4" w:space="0"/>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44">
    <w:name w:val="样式 样式 样式 标题 4 + 宋体 行距: 1.5 倍行距 + 段前: 0.5 行 + Times New Roman"/>
    <w:basedOn w:val="853"/>
    <w:autoRedefine/>
    <w:qFormat/>
    <w:uiPriority w:val="0"/>
    <w:pPr>
      <w:snapToGrid w:val="0"/>
      <w:spacing w:beforeLines="50" w:after="120"/>
      <w:ind w:left="2884" w:hanging="2884"/>
      <w:jc w:val="left"/>
    </w:pPr>
    <w:rPr>
      <w:rFonts w:hAnsi="Times New Roman"/>
      <w:b w:val="0"/>
    </w:rPr>
  </w:style>
  <w:style w:type="paragraph" w:customStyle="1" w:styleId="1245">
    <w:name w:val="xl174"/>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246">
    <w:name w:val="样式 样式 样式 首行缩进:  2 字符 + 首行缩进:  2 字符 + 居中 行距: 单倍行距"/>
    <w:basedOn w:val="1"/>
    <w:autoRedefine/>
    <w:qFormat/>
    <w:uiPriority w:val="0"/>
    <w:pPr>
      <w:jc w:val="center"/>
    </w:pPr>
    <w:rPr>
      <w:rFonts w:eastAsia="仿宋_GB2312"/>
      <w:sz w:val="24"/>
      <w:szCs w:val="20"/>
    </w:rPr>
  </w:style>
  <w:style w:type="paragraph" w:customStyle="1" w:styleId="1247">
    <w:name w:val="xl4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248">
    <w:name w:val="表格 左侧"/>
    <w:basedOn w:val="200"/>
    <w:autoRedefine/>
    <w:qFormat/>
    <w:uiPriority w:val="0"/>
    <w:pPr>
      <w:widowControl/>
      <w:adjustRightInd/>
      <w:snapToGrid/>
      <w:spacing w:beforeLines="0" w:afterLines="0" w:line="240" w:lineRule="auto"/>
      <w:jc w:val="left"/>
    </w:pPr>
    <w:rPr>
      <w:rFonts w:ascii="Times New Roman"/>
      <w:b/>
      <w:bCs/>
      <w:snapToGrid w:val="0"/>
      <w:kern w:val="18"/>
      <w:szCs w:val="21"/>
    </w:rPr>
  </w:style>
  <w:style w:type="paragraph" w:customStyle="1" w:styleId="1249">
    <w:name w:val="xl91"/>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50">
    <w:name w:val="xl139"/>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251">
    <w:name w:val="font_mid"/>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1252">
    <w:name w:val="表格的文字"/>
    <w:basedOn w:val="1"/>
    <w:autoRedefine/>
    <w:qFormat/>
    <w:uiPriority w:val="0"/>
    <w:pPr>
      <w:spacing w:line="300" w:lineRule="exact"/>
      <w:jc w:val="center"/>
    </w:pPr>
    <w:rPr>
      <w:rFonts w:ascii="仿宋_GB2312" w:eastAsia="仿宋_GB2312"/>
      <w:bCs/>
      <w:szCs w:val="20"/>
    </w:rPr>
  </w:style>
  <w:style w:type="paragraph" w:customStyle="1" w:styleId="1253">
    <w:name w:val="新正文"/>
    <w:basedOn w:val="1"/>
    <w:autoRedefine/>
    <w:qFormat/>
    <w:uiPriority w:val="0"/>
    <w:pPr>
      <w:spacing w:line="480" w:lineRule="exact"/>
      <w:ind w:firstLine="567"/>
    </w:pPr>
    <w:rPr>
      <w:rFonts w:ascii="仿宋_GB2312" w:eastAsia="仿宋_GB2312"/>
      <w:bCs/>
      <w:kern w:val="0"/>
      <w:sz w:val="28"/>
      <w:szCs w:val="20"/>
    </w:rPr>
  </w:style>
  <w:style w:type="paragraph" w:customStyle="1" w:styleId="1254">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1255">
    <w:name w:val="xl196"/>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256">
    <w:name w:val="zw"/>
    <w:basedOn w:val="1"/>
    <w:autoRedefine/>
    <w:qFormat/>
    <w:uiPriority w:val="0"/>
    <w:pPr>
      <w:widowControl/>
      <w:spacing w:before="100" w:beforeAutospacing="1" w:after="100" w:afterAutospacing="1" w:line="400" w:lineRule="atLeast"/>
      <w:jc w:val="left"/>
    </w:pPr>
    <w:rPr>
      <w:rFonts w:hint="eastAsia" w:ascii="宋体" w:hAnsi="宋体"/>
      <w:kern w:val="0"/>
      <w:sz w:val="22"/>
      <w:szCs w:val="22"/>
    </w:rPr>
  </w:style>
  <w:style w:type="paragraph" w:customStyle="1" w:styleId="1257">
    <w:name w:val="3级标题"/>
    <w:basedOn w:val="1"/>
    <w:autoRedefine/>
    <w:qFormat/>
    <w:uiPriority w:val="0"/>
    <w:pPr>
      <w:spacing w:before="300" w:line="460" w:lineRule="exact"/>
      <w:outlineLvl w:val="2"/>
    </w:pPr>
    <w:rPr>
      <w:b/>
      <w:sz w:val="24"/>
      <w:szCs w:val="20"/>
    </w:rPr>
  </w:style>
  <w:style w:type="paragraph" w:customStyle="1" w:styleId="1258">
    <w:name w:val="Char51"/>
    <w:basedOn w:val="1"/>
    <w:autoRedefine/>
    <w:qFormat/>
    <w:uiPriority w:val="0"/>
  </w:style>
  <w:style w:type="paragraph" w:customStyle="1" w:styleId="1259">
    <w:name w:val="xl180"/>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60">
    <w:name w:val="样式 标题 2 + 段前: 0.1 行 段后: 0.1 行"/>
    <w:basedOn w:val="4"/>
    <w:autoRedefine/>
    <w:qFormat/>
    <w:uiPriority w:val="0"/>
    <w:pPr>
      <w:spacing w:before="120" w:beforeLines="100" w:after="120" w:afterLines="100" w:line="240" w:lineRule="auto"/>
      <w:ind w:left="1134" w:hanging="992"/>
    </w:pPr>
    <w:rPr>
      <w:rFonts w:ascii="Times New Roman" w:hAnsi="Times New Roman" w:cs="宋体"/>
      <w:sz w:val="30"/>
      <w:szCs w:val="20"/>
    </w:rPr>
  </w:style>
  <w:style w:type="paragraph" w:customStyle="1" w:styleId="1261">
    <w:name w:val="copyright"/>
    <w:basedOn w:val="1"/>
    <w:autoRedefine/>
    <w:qFormat/>
    <w:uiPriority w:val="0"/>
    <w:pPr>
      <w:widowControl/>
      <w:spacing w:before="100" w:beforeAutospacing="1" w:after="100" w:afterAutospacing="1"/>
      <w:ind w:firstLine="401"/>
      <w:jc w:val="left"/>
    </w:pPr>
    <w:rPr>
      <w:rFonts w:ascii="宋体" w:hAnsi="宋体" w:cs="宋体"/>
      <w:color w:val="000000"/>
      <w:kern w:val="0"/>
      <w:sz w:val="20"/>
      <w:szCs w:val="20"/>
    </w:rPr>
  </w:style>
  <w:style w:type="paragraph" w:customStyle="1" w:styleId="1262">
    <w:name w:val="样式 标题 4 + (西文) Times New Roman (中文) 宋体 小四"/>
    <w:basedOn w:val="6"/>
    <w:autoRedefine/>
    <w:qFormat/>
    <w:uiPriority w:val="0"/>
    <w:pPr>
      <w:tabs>
        <w:tab w:val="left" w:pos="1247"/>
      </w:tabs>
      <w:spacing w:before="0" w:beforeLines="25" w:after="0" w:afterLines="25" w:line="360" w:lineRule="auto"/>
      <w:ind w:left="964" w:hanging="964"/>
    </w:pPr>
    <w:rPr>
      <w:rFonts w:ascii="宋体" w:hAnsi="宋体"/>
      <w:b w:val="0"/>
      <w:bCs w:val="0"/>
      <w:sz w:val="24"/>
      <w:szCs w:val="24"/>
    </w:rPr>
  </w:style>
  <w:style w:type="paragraph" w:customStyle="1" w:styleId="1263">
    <w:name w:val="Char Char Char"/>
    <w:basedOn w:val="1"/>
    <w:autoRedefine/>
    <w:qFormat/>
    <w:uiPriority w:val="0"/>
    <w:rPr>
      <w:sz w:val="24"/>
    </w:rPr>
  </w:style>
  <w:style w:type="paragraph" w:customStyle="1" w:styleId="1264">
    <w:name w:val="东明_正文"/>
    <w:basedOn w:val="1"/>
    <w:autoRedefine/>
    <w:qFormat/>
    <w:uiPriority w:val="0"/>
    <w:pPr>
      <w:spacing w:before="240" w:after="240" w:line="480" w:lineRule="exact"/>
      <w:ind w:firstLine="560" w:firstLineChars="200"/>
    </w:pPr>
    <w:rPr>
      <w:sz w:val="28"/>
      <w:szCs w:val="20"/>
    </w:rPr>
  </w:style>
  <w:style w:type="paragraph" w:customStyle="1" w:styleId="1265">
    <w:name w:val="表格文本 小五 居中"/>
    <w:basedOn w:val="1"/>
    <w:autoRedefine/>
    <w:qFormat/>
    <w:uiPriority w:val="0"/>
    <w:pPr>
      <w:adjustRightInd w:val="0"/>
      <w:snapToGrid w:val="0"/>
      <w:jc w:val="center"/>
    </w:pPr>
    <w:rPr>
      <w:rFonts w:cs="宋体"/>
    </w:rPr>
  </w:style>
  <w:style w:type="paragraph" w:customStyle="1" w:styleId="1266">
    <w:name w:val="xl116"/>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67">
    <w:name w:val="表格样式"/>
    <w:basedOn w:val="1"/>
    <w:autoRedefine/>
    <w:qFormat/>
    <w:uiPriority w:val="0"/>
    <w:pPr>
      <w:widowControl/>
    </w:pPr>
    <w:rPr>
      <w:sz w:val="24"/>
    </w:rPr>
  </w:style>
  <w:style w:type="paragraph" w:customStyle="1" w:styleId="1268">
    <w:name w:val="表格文字中 Char Char"/>
    <w:basedOn w:val="1"/>
    <w:autoRedefine/>
    <w:qFormat/>
    <w:uiPriority w:val="0"/>
    <w:pPr>
      <w:keepNext/>
      <w:widowControl/>
      <w:spacing w:line="160" w:lineRule="atLeast"/>
      <w:contextualSpacing/>
      <w:jc w:val="center"/>
    </w:pPr>
    <w:rPr>
      <w:rFonts w:cs="宋体"/>
      <w:color w:val="000000"/>
      <w:kern w:val="0"/>
      <w:szCs w:val="20"/>
    </w:rPr>
  </w:style>
  <w:style w:type="paragraph" w:customStyle="1" w:styleId="1269">
    <w:name w:val="表文"/>
    <w:basedOn w:val="1"/>
    <w:autoRedefine/>
    <w:qFormat/>
    <w:uiPriority w:val="0"/>
    <w:pPr>
      <w:keepNext/>
      <w:adjustRightInd w:val="0"/>
      <w:spacing w:before="40" w:line="288" w:lineRule="auto"/>
      <w:jc w:val="center"/>
      <w:textAlignment w:val="baseline"/>
    </w:pPr>
    <w:rPr>
      <w:kern w:val="0"/>
      <w:sz w:val="24"/>
      <w:szCs w:val="20"/>
    </w:rPr>
  </w:style>
  <w:style w:type="paragraph" w:customStyle="1" w:styleId="1270">
    <w:name w:val="菏泽-标题 3 Char Char Char"/>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271">
    <w:name w:val="样式 标题 1章标题 11标题 1H1一、 + 行距: 1.5 倍行距3"/>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72">
    <w:name w:val="5 Char"/>
    <w:basedOn w:val="1"/>
    <w:autoRedefine/>
    <w:qFormat/>
    <w:uiPriority w:val="0"/>
    <w:rPr>
      <w:sz w:val="24"/>
    </w:rPr>
  </w:style>
  <w:style w:type="paragraph" w:customStyle="1" w:styleId="1273">
    <w:name w:val="正文内容"/>
    <w:basedOn w:val="1"/>
    <w:autoRedefine/>
    <w:qFormat/>
    <w:uiPriority w:val="0"/>
    <w:pPr>
      <w:adjustRightInd w:val="0"/>
      <w:snapToGrid w:val="0"/>
      <w:spacing w:line="360" w:lineRule="auto"/>
      <w:ind w:firstLine="510"/>
    </w:pPr>
    <w:rPr>
      <w:rFonts w:ascii="宋体" w:hAnsi="宋体"/>
      <w:snapToGrid w:val="0"/>
      <w:spacing w:val="4"/>
      <w:kern w:val="0"/>
      <w:sz w:val="24"/>
      <w:szCs w:val="20"/>
    </w:rPr>
  </w:style>
  <w:style w:type="paragraph" w:customStyle="1" w:styleId="1274">
    <w:name w:val="xl26"/>
    <w:basedOn w:val="1"/>
    <w:autoRedefine/>
    <w:qFormat/>
    <w:uiPriority w:val="0"/>
    <w:pPr>
      <w:widowControl/>
      <w:pBdr>
        <w:bottom w:val="single" w:color="auto" w:sz="4" w:space="0"/>
        <w:right w:val="single" w:color="auto" w:sz="4" w:space="0"/>
      </w:pBdr>
      <w:spacing w:before="100" w:after="100"/>
      <w:jc w:val="center"/>
      <w:textAlignment w:val="top"/>
    </w:pPr>
    <w:rPr>
      <w:kern w:val="0"/>
      <w:szCs w:val="20"/>
    </w:rPr>
  </w:style>
  <w:style w:type="paragraph" w:customStyle="1" w:styleId="1275">
    <w:name w:val="样式 标题 2 + 行距: 1.5 倍行距1"/>
    <w:basedOn w:val="4"/>
    <w:autoRedefine/>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1276">
    <w:name w:val="标题21"/>
    <w:basedOn w:val="1"/>
    <w:autoRedefine/>
    <w:qFormat/>
    <w:uiPriority w:val="0"/>
    <w:pPr>
      <w:suppressLineNumbers/>
      <w:spacing w:line="360" w:lineRule="auto"/>
      <w:outlineLvl w:val="1"/>
    </w:pPr>
    <w:rPr>
      <w:rFonts w:eastAsia="黑体"/>
      <w:sz w:val="36"/>
      <w:szCs w:val="36"/>
    </w:rPr>
  </w:style>
  <w:style w:type="paragraph" w:customStyle="1" w:styleId="1277">
    <w:name w:val="普通 (Web)"/>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278">
    <w:name w:val="样式 样式 样式 正文 首行缩进:  2 字符 SL CON + 首行缩进:  2 字符 + (符号) 宋体 + 字距调整小四"/>
    <w:basedOn w:val="1"/>
    <w:autoRedefine/>
    <w:qFormat/>
    <w:uiPriority w:val="0"/>
    <w:pPr>
      <w:widowControl/>
      <w:numPr>
        <w:ilvl w:val="0"/>
        <w:numId w:val="4"/>
      </w:numPr>
      <w:tabs>
        <w:tab w:val="left" w:pos="377"/>
      </w:tabs>
      <w:spacing w:line="360" w:lineRule="auto"/>
      <w:ind w:left="0" w:firstLine="480" w:firstLineChars="200"/>
    </w:pPr>
    <w:rPr>
      <w:rFonts w:ascii="宋体" w:hAnsi="宋体" w:cs="宋体"/>
      <w:kern w:val="24"/>
      <w:sz w:val="24"/>
    </w:rPr>
  </w:style>
  <w:style w:type="paragraph" w:customStyle="1" w:styleId="1279">
    <w:name w:val="样式 题注 + (西文) Arial (中文) 黑体 小四 Char Char"/>
    <w:basedOn w:val="21"/>
    <w:autoRedefine/>
    <w:qFormat/>
    <w:uiPriority w:val="0"/>
    <w:pPr>
      <w:keepNext/>
      <w:numPr>
        <w:ilvl w:val="0"/>
        <w:numId w:val="16"/>
      </w:numPr>
      <w:tabs>
        <w:tab w:val="left" w:pos="1620"/>
      </w:tabs>
      <w:adjustRightInd w:val="0"/>
      <w:spacing w:line="240" w:lineRule="auto"/>
      <w:ind w:left="1620" w:leftChars="600" w:hanging="360" w:hangingChars="200"/>
      <w:jc w:val="center"/>
    </w:pPr>
    <w:rPr>
      <w:sz w:val="24"/>
      <w:szCs w:val="28"/>
    </w:rPr>
  </w:style>
  <w:style w:type="paragraph" w:customStyle="1" w:styleId="1280">
    <w:name w:val="标题正4"/>
    <w:basedOn w:val="1"/>
    <w:autoRedefine/>
    <w:qFormat/>
    <w:uiPriority w:val="0"/>
    <w:pPr>
      <w:jc w:val="center"/>
    </w:pPr>
    <w:rPr>
      <w:rFonts w:ascii="仿宋_GB2312" w:eastAsia="仿宋_GB2312"/>
      <w:color w:val="000000"/>
    </w:rPr>
  </w:style>
  <w:style w:type="paragraph" w:customStyle="1" w:styleId="1281">
    <w:name w:val="xl19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282">
    <w:name w:val="表序号"/>
    <w:basedOn w:val="7"/>
    <w:autoRedefine/>
    <w:qFormat/>
    <w:uiPriority w:val="0"/>
    <w:pPr>
      <w:tabs>
        <w:tab w:val="left" w:pos="3093"/>
        <w:tab w:val="clear" w:pos="1008"/>
      </w:tabs>
      <w:spacing w:before="0" w:after="0" w:line="360" w:lineRule="auto"/>
      <w:ind w:left="3093" w:hanging="420"/>
      <w:jc w:val="center"/>
    </w:pPr>
    <w:rPr>
      <w:rFonts w:ascii="宋体" w:hAnsi="Arial"/>
      <w:kern w:val="0"/>
      <w:sz w:val="24"/>
    </w:rPr>
  </w:style>
  <w:style w:type="paragraph" w:customStyle="1" w:styleId="1283">
    <w:name w:val="ST20_1"/>
    <w:basedOn w:val="1"/>
    <w:autoRedefine/>
    <w:qFormat/>
    <w:uiPriority w:val="0"/>
    <w:pPr>
      <w:autoSpaceDE w:val="0"/>
      <w:autoSpaceDN w:val="0"/>
      <w:adjustRightInd w:val="0"/>
      <w:spacing w:line="312" w:lineRule="atLeast"/>
      <w:jc w:val="center"/>
      <w:textAlignment w:val="baseline"/>
    </w:pPr>
    <w:rPr>
      <w:rFonts w:ascii="宋体" w:hAnsi="Tms Rmn"/>
      <w:kern w:val="0"/>
      <w:sz w:val="24"/>
      <w:szCs w:val="20"/>
    </w:rPr>
  </w:style>
  <w:style w:type="paragraph" w:customStyle="1" w:styleId="1284">
    <w:name w:val="xl32"/>
    <w:basedOn w:val="1"/>
    <w:autoRedefine/>
    <w:qFormat/>
    <w:uiPriority w:val="0"/>
    <w:pPr>
      <w:widowControl/>
      <w:pBdr>
        <w:right w:val="single" w:color="auto" w:sz="4" w:space="0"/>
      </w:pBdr>
      <w:spacing w:before="100" w:beforeAutospacing="1" w:after="100" w:afterAutospacing="1"/>
      <w:jc w:val="center"/>
      <w:textAlignment w:val="bottom"/>
    </w:pPr>
    <w:rPr>
      <w:rFonts w:ascii="Arial" w:hAnsi="Arial" w:cs="Arial"/>
      <w:kern w:val="0"/>
      <w:sz w:val="28"/>
      <w:szCs w:val="28"/>
    </w:rPr>
  </w:style>
  <w:style w:type="paragraph" w:customStyle="1" w:styleId="1285">
    <w:name w:val="样式 小四 首行缩进:  1.01 厘米 行距: 1.5 倍行距"/>
    <w:basedOn w:val="1"/>
    <w:autoRedefine/>
    <w:qFormat/>
    <w:uiPriority w:val="0"/>
    <w:pPr>
      <w:spacing w:line="360" w:lineRule="auto"/>
    </w:pPr>
    <w:rPr>
      <w:rFonts w:ascii="宋体" w:hAnsi="宋体" w:cs="宋体"/>
      <w:sz w:val="24"/>
    </w:rPr>
  </w:style>
  <w:style w:type="paragraph" w:customStyle="1" w:styleId="1286">
    <w:name w:val="表头及图标"/>
    <w:basedOn w:val="411"/>
    <w:autoRedefine/>
    <w:qFormat/>
    <w:uiPriority w:val="0"/>
    <w:pPr>
      <w:ind w:firstLine="0" w:firstLineChars="0"/>
      <w:jc w:val="center"/>
    </w:pPr>
    <w:rPr>
      <w:b/>
      <w:bCs/>
      <w:sz w:val="21"/>
      <w:szCs w:val="20"/>
    </w:rPr>
  </w:style>
  <w:style w:type="paragraph" w:customStyle="1" w:styleId="1287">
    <w:name w:val="公式样式1"/>
    <w:basedOn w:val="1"/>
    <w:autoRedefine/>
    <w:qFormat/>
    <w:uiPriority w:val="0"/>
    <w:pPr>
      <w:spacing w:line="360" w:lineRule="auto"/>
      <w:ind w:firstLine="235" w:firstLineChars="100"/>
    </w:pPr>
    <w:rPr>
      <w:rFonts w:ascii="宋体" w:hAnsi="Arial Black"/>
      <w:szCs w:val="20"/>
    </w:rPr>
  </w:style>
  <w:style w:type="paragraph" w:customStyle="1" w:styleId="1288">
    <w:name w:val="样式 正文文本 + 宋体 行距: 1.5 倍行距"/>
    <w:basedOn w:val="31"/>
    <w:autoRedefine/>
    <w:qFormat/>
    <w:uiPriority w:val="0"/>
    <w:pPr>
      <w:widowControl w:val="0"/>
      <w:snapToGrid/>
      <w:spacing w:before="0" w:after="120" w:line="360" w:lineRule="auto"/>
      <w:ind w:right="0" w:firstLine="480" w:firstLineChars="200"/>
    </w:pPr>
    <w:rPr>
      <w:rFonts w:cs="宋体"/>
      <w:sz w:val="24"/>
    </w:rPr>
  </w:style>
  <w:style w:type="paragraph" w:customStyle="1" w:styleId="1289">
    <w:name w:val="样式 正文缩进正文（首行缩进两字）正文（首行缩进两字） Char Char Char Char Char Char Char..."/>
    <w:basedOn w:val="8"/>
    <w:autoRedefine/>
    <w:qFormat/>
    <w:uiPriority w:val="0"/>
    <w:pPr>
      <w:spacing w:line="312" w:lineRule="auto"/>
      <w:ind w:firstLine="539" w:firstLineChars="0"/>
    </w:pPr>
    <w:rPr>
      <w:kern w:val="0"/>
      <w:sz w:val="28"/>
      <w:szCs w:val="20"/>
    </w:rPr>
  </w:style>
  <w:style w:type="paragraph" w:customStyle="1" w:styleId="1290">
    <w:name w:val="论文正文"/>
    <w:basedOn w:val="8"/>
    <w:autoRedefine/>
    <w:qFormat/>
    <w:uiPriority w:val="0"/>
    <w:pPr>
      <w:ind w:firstLine="480"/>
    </w:pPr>
    <w:rPr>
      <w:rFonts w:ascii="宋体" w:hAnsi="宋体"/>
      <w:kern w:val="0"/>
      <w:sz w:val="28"/>
    </w:rPr>
  </w:style>
  <w:style w:type="paragraph" w:customStyle="1" w:styleId="1291">
    <w:name w:val="样式 样式 标题 2节 + (西文) Times New Roman (中文) 宋体 四号 段前: 0.5 行 段后: 0......"/>
    <w:basedOn w:val="1"/>
    <w:autoRedefine/>
    <w:qFormat/>
    <w:uiPriority w:val="0"/>
    <w:pPr>
      <w:keepNext/>
      <w:keepLines/>
      <w:adjustRightInd w:val="0"/>
      <w:snapToGrid w:val="0"/>
      <w:spacing w:beforeLines="90" w:afterLines="90" w:line="300" w:lineRule="auto"/>
      <w:ind w:left="992" w:hanging="992"/>
      <w:outlineLvl w:val="1"/>
    </w:pPr>
    <w:rPr>
      <w:rFonts w:ascii="宋体" w:hAnsi="宋体"/>
      <w:bCs/>
      <w:sz w:val="30"/>
      <w:szCs w:val="30"/>
    </w:rPr>
  </w:style>
  <w:style w:type="paragraph" w:customStyle="1" w:styleId="1292">
    <w:name w:val="CM28"/>
    <w:basedOn w:val="1"/>
    <w:next w:val="1"/>
    <w:autoRedefine/>
    <w:qFormat/>
    <w:uiPriority w:val="0"/>
    <w:pPr>
      <w:autoSpaceDE w:val="0"/>
      <w:autoSpaceDN w:val="0"/>
      <w:adjustRightInd w:val="0"/>
      <w:spacing w:line="468" w:lineRule="atLeast"/>
      <w:jc w:val="left"/>
    </w:pPr>
    <w:rPr>
      <w:rFonts w:ascii="宋体" w:cs="宋体"/>
      <w:kern w:val="0"/>
      <w:sz w:val="24"/>
    </w:rPr>
  </w:style>
  <w:style w:type="paragraph" w:customStyle="1" w:styleId="1293">
    <w:name w:val="样式 标题 1章标题 11标题 1H1一、 + 行距: 1.5 倍行距2"/>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94">
    <w:name w:val="xl154"/>
    <w:basedOn w:val="1"/>
    <w:autoRedefine/>
    <w:qFormat/>
    <w:uiPriority w:val="0"/>
    <w:pPr>
      <w:widowControl/>
      <w:pBdr>
        <w:left w:val="single" w:color="auto" w:sz="12" w:space="0"/>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1295">
    <w:name w:val="我的正文"/>
    <w:basedOn w:val="1"/>
    <w:autoRedefine/>
    <w:qFormat/>
    <w:uiPriority w:val="0"/>
    <w:pPr>
      <w:spacing w:line="360" w:lineRule="auto"/>
      <w:ind w:firstLine="480" w:firstLineChars="200"/>
    </w:pPr>
    <w:rPr>
      <w:rFonts w:cs="宋体"/>
      <w:sz w:val="24"/>
    </w:rPr>
  </w:style>
  <w:style w:type="paragraph" w:customStyle="1" w:styleId="1296">
    <w:name w:val="xl90"/>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97">
    <w:name w:val="正文1.1"/>
    <w:basedOn w:val="1"/>
    <w:autoRedefine/>
    <w:qFormat/>
    <w:uiPriority w:val="0"/>
    <w:pPr>
      <w:tabs>
        <w:tab w:val="left" w:pos="495"/>
      </w:tabs>
      <w:snapToGrid w:val="0"/>
      <w:spacing w:beforeLines="50" w:afterLines="50" w:line="360" w:lineRule="auto"/>
      <w:ind w:left="495" w:hanging="495"/>
      <w:outlineLvl w:val="2"/>
    </w:pPr>
    <w:rPr>
      <w:rFonts w:hAnsi="宋体"/>
      <w:b/>
      <w:sz w:val="30"/>
      <w:szCs w:val="30"/>
    </w:rPr>
  </w:style>
  <w:style w:type="paragraph" w:customStyle="1" w:styleId="1298">
    <w:name w:val="xl102"/>
    <w:basedOn w:val="1"/>
    <w:autoRedefine/>
    <w:qFormat/>
    <w:uiPriority w:val="0"/>
    <w:pPr>
      <w:widowControl/>
      <w:pBdr>
        <w:left w:val="single" w:color="auto" w:sz="4" w:space="0"/>
        <w:bottom w:val="single" w:color="auto" w:sz="12" w:space="0"/>
        <w:right w:val="single" w:color="auto" w:sz="12" w:space="0"/>
      </w:pBdr>
      <w:spacing w:before="100" w:beforeAutospacing="1" w:after="100" w:afterAutospacing="1"/>
      <w:jc w:val="center"/>
      <w:textAlignment w:val="center"/>
    </w:pPr>
    <w:rPr>
      <w:kern w:val="0"/>
      <w:sz w:val="12"/>
      <w:szCs w:val="12"/>
    </w:rPr>
  </w:style>
  <w:style w:type="paragraph" w:customStyle="1" w:styleId="1299">
    <w:name w:val="xl23"/>
    <w:basedOn w:val="1"/>
    <w:autoRedefine/>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宋体" w:eastAsia="仿宋_GB2312"/>
      <w:kern w:val="0"/>
      <w:sz w:val="24"/>
    </w:rPr>
  </w:style>
  <w:style w:type="paragraph" w:customStyle="1" w:styleId="1300">
    <w:name w:val="font16"/>
    <w:basedOn w:val="1"/>
    <w:autoRedefine/>
    <w:qFormat/>
    <w:uiPriority w:val="0"/>
    <w:pPr>
      <w:widowControl/>
      <w:spacing w:before="100" w:beforeAutospacing="1" w:after="100" w:afterAutospacing="1"/>
      <w:jc w:val="left"/>
    </w:pPr>
    <w:rPr>
      <w:rFonts w:ascii="Tahoma" w:hAnsi="Tahoma" w:cs="Tahoma"/>
      <w:color w:val="000000"/>
      <w:kern w:val="0"/>
      <w:sz w:val="16"/>
      <w:szCs w:val="16"/>
    </w:rPr>
  </w:style>
  <w:style w:type="paragraph" w:customStyle="1" w:styleId="1301">
    <w:name w:val="xl198"/>
    <w:basedOn w:val="1"/>
    <w:autoRedefine/>
    <w:qFormat/>
    <w:uiPriority w:val="0"/>
    <w:pPr>
      <w:widowControl/>
      <w:pBdr>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302">
    <w:name w:val="xl124"/>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303">
    <w:name w:val="标准公文"/>
    <w:autoRedefine/>
    <w:qFormat/>
    <w:uiPriority w:val="0"/>
    <w:pPr>
      <w:widowControl w:val="0"/>
      <w:spacing w:line="520" w:lineRule="exact"/>
      <w:ind w:firstLine="560" w:firstLineChars="200"/>
      <w:jc w:val="both"/>
    </w:pPr>
    <w:rPr>
      <w:rFonts w:ascii="宋体" w:hAnsi="宋体" w:eastAsia="宋体" w:cs="Times New Roman"/>
      <w:sz w:val="28"/>
      <w:szCs w:val="34"/>
      <w:lang w:val="en-US" w:eastAsia="zh-CN" w:bidi="ar-SA"/>
    </w:rPr>
  </w:style>
  <w:style w:type="paragraph" w:customStyle="1" w:styleId="1304">
    <w:name w:val="xl77"/>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305">
    <w:name w:val="样式 标题 3 + 宋体 四号"/>
    <w:basedOn w:val="5"/>
    <w:autoRedefine/>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1306">
    <w:name w:val="Body Text 21"/>
    <w:basedOn w:val="1"/>
    <w:autoRedefine/>
    <w:qFormat/>
    <w:uiPriority w:val="0"/>
    <w:pPr>
      <w:adjustRightInd w:val="0"/>
      <w:textAlignment w:val="baseline"/>
    </w:pPr>
    <w:rPr>
      <w:color w:val="000000"/>
      <w:sz w:val="24"/>
      <w:szCs w:val="20"/>
    </w:rPr>
  </w:style>
  <w:style w:type="paragraph" w:customStyle="1" w:styleId="1307">
    <w:name w:val="CM74"/>
    <w:basedOn w:val="1"/>
    <w:next w:val="1"/>
    <w:autoRedefine/>
    <w:qFormat/>
    <w:uiPriority w:val="0"/>
    <w:pPr>
      <w:autoSpaceDE w:val="0"/>
      <w:autoSpaceDN w:val="0"/>
      <w:adjustRightInd w:val="0"/>
      <w:spacing w:after="180"/>
      <w:jc w:val="left"/>
    </w:pPr>
    <w:rPr>
      <w:rFonts w:ascii="Sim Sun+ 2" w:eastAsia="Sim Sun+ 2" w:cs="Sim Sun+ 2"/>
      <w:kern w:val="0"/>
      <w:sz w:val="24"/>
    </w:rPr>
  </w:style>
  <w:style w:type="paragraph" w:customStyle="1" w:styleId="1308">
    <w:name w:val="前言"/>
    <w:basedOn w:val="1"/>
    <w:autoRedefine/>
    <w:qFormat/>
    <w:uiPriority w:val="0"/>
    <w:pPr>
      <w:spacing w:line="560" w:lineRule="exact"/>
      <w:jc w:val="center"/>
    </w:pPr>
    <w:rPr>
      <w:rFonts w:cs="宋体"/>
      <w:b/>
      <w:sz w:val="30"/>
      <w:szCs w:val="20"/>
    </w:rPr>
  </w:style>
  <w:style w:type="paragraph" w:customStyle="1" w:styleId="1309">
    <w:name w:val="CM4"/>
    <w:basedOn w:val="1"/>
    <w:next w:val="1"/>
    <w:autoRedefine/>
    <w:qFormat/>
    <w:uiPriority w:val="0"/>
    <w:pPr>
      <w:autoSpaceDE w:val="0"/>
      <w:autoSpaceDN w:val="0"/>
      <w:adjustRightInd w:val="0"/>
      <w:spacing w:line="520" w:lineRule="atLeast"/>
      <w:jc w:val="left"/>
    </w:pPr>
    <w:rPr>
      <w:rFonts w:ascii="宋体"/>
      <w:kern w:val="0"/>
      <w:sz w:val="24"/>
    </w:rPr>
  </w:style>
  <w:style w:type="paragraph" w:customStyle="1" w:styleId="1310">
    <w:name w:val="xl143"/>
    <w:basedOn w:val="1"/>
    <w:autoRedefine/>
    <w:qFormat/>
    <w:uiPriority w:val="0"/>
    <w:pPr>
      <w:widowControl/>
      <w:pBdr>
        <w:top w:val="single" w:color="auto" w:sz="8" w:space="0"/>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311">
    <w:name w:val="Char Char Char Char Char Char Char Char Char Char Char Char Char Char Char Char2"/>
    <w:basedOn w:val="1"/>
    <w:autoRedefine/>
    <w:qFormat/>
    <w:uiPriority w:val="0"/>
    <w:pPr>
      <w:widowControl/>
      <w:contextualSpacing/>
      <w:jc w:val="left"/>
    </w:pPr>
    <w:rPr>
      <w:rFonts w:cs="宋体"/>
      <w:kern w:val="0"/>
    </w:rPr>
  </w:style>
  <w:style w:type="paragraph" w:customStyle="1" w:styleId="1312">
    <w:name w:val="msoplaintextcxspmiddle"/>
    <w:basedOn w:val="1"/>
    <w:autoRedefine/>
    <w:qFormat/>
    <w:uiPriority w:val="0"/>
    <w:pPr>
      <w:widowControl/>
      <w:spacing w:before="100" w:beforeAutospacing="1" w:after="100" w:afterAutospacing="1"/>
      <w:contextualSpacing/>
      <w:jc w:val="left"/>
    </w:pPr>
    <w:rPr>
      <w:rFonts w:cs="宋体"/>
      <w:kern w:val="0"/>
    </w:rPr>
  </w:style>
  <w:style w:type="paragraph" w:customStyle="1" w:styleId="1313">
    <w:name w:val="聪表标题"/>
    <w:basedOn w:val="1"/>
    <w:autoRedefine/>
    <w:qFormat/>
    <w:uiPriority w:val="0"/>
    <w:pPr>
      <w:spacing w:line="360" w:lineRule="auto"/>
      <w:jc w:val="center"/>
    </w:pPr>
    <w:rPr>
      <w:rFonts w:ascii="黑体" w:hAnsi="黑体" w:eastAsia="黑体"/>
      <w:sz w:val="24"/>
    </w:rPr>
  </w:style>
  <w:style w:type="paragraph" w:customStyle="1" w:styleId="1314">
    <w:name w:val="Style"/>
    <w:autoRedefine/>
    <w:qFormat/>
    <w:uiPriority w:val="99"/>
    <w:pPr>
      <w:widowControl w:val="0"/>
      <w:autoSpaceDE w:val="0"/>
      <w:autoSpaceDN w:val="0"/>
      <w:adjustRightInd w:val="0"/>
    </w:pPr>
    <w:rPr>
      <w:rFonts w:ascii="TimesNewRomanPSMT" w:hAnsi="TimesNewRomanPSMT" w:eastAsia="宋体" w:cs="TimesNewRomanPSMT"/>
      <w:sz w:val="24"/>
      <w:szCs w:val="24"/>
      <w:lang w:val="zh" w:eastAsia="zh-CN" w:bidi="ar-SA"/>
    </w:rPr>
  </w:style>
  <w:style w:type="table" w:customStyle="1" w:styleId="1315">
    <w:name w:val="表格aaa1"/>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16">
    <w:name w:val="环评用表4"/>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7">
    <w:name w:val="环评用表6"/>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8">
    <w:name w:val="网格型12"/>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9">
    <w:name w:val="网格型11"/>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0">
    <w:name w:val="表格样式pp1"/>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21">
    <w:name w:val="网格型8"/>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2">
    <w:name w:val="网格型 52"/>
    <w:basedOn w:val="8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3">
    <w:name w:val="网格型4"/>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4">
    <w:name w:val="无格式表格 41"/>
    <w:basedOn w:val="83"/>
    <w:autoRedefine/>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1325">
    <w:name w:val="网格型 51"/>
    <w:basedOn w:val="8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6">
    <w:name w:val="网格型浅色1"/>
    <w:basedOn w:val="83"/>
    <w:autoRedefine/>
    <w:qFormat/>
    <w:uiPriority w:val="40"/>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1327">
    <w:name w:val="无格式表格 31"/>
    <w:basedOn w:val="83"/>
    <w:autoRedefine/>
    <w:qFormat/>
    <w:uiPriority w:val="43"/>
    <w:tblStylePr w:type="firstRow">
      <w:rPr>
        <w:b/>
        <w:bCs/>
        <w:caps/>
      </w:rPr>
      <w:tcPr>
        <w:tcBorders>
          <w:top w:val="nil"/>
          <w:left w:val="single" w:color="7F7F7F" w:sz="4" w:space="0"/>
          <w:bottom w:val="nil"/>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1328">
    <w:name w:val="网格型14"/>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9">
    <w:name w:val="环评用表10"/>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0">
    <w:name w:val="网格型6"/>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1">
    <w:name w:val="无格式表格 21"/>
    <w:basedOn w:val="83"/>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1332">
    <w:name w:val="环评用表41"/>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3">
    <w:name w:val="正文+宋体13"/>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4">
    <w:name w:val="环评用表42"/>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5">
    <w:name w:val="环评用表8"/>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6">
    <w:name w:val="表格主题（安）1"/>
    <w:basedOn w:val="83"/>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7">
    <w:name w:val="网格型 11"/>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38">
    <w:name w:val="网格型2"/>
    <w:basedOn w:val="8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9">
    <w:name w:val="网格型 13"/>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0">
    <w:name w:val="环评用表5"/>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1">
    <w:name w:val="表格样式12"/>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42">
    <w:name w:val="环评用表1"/>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3">
    <w:name w:val="网格型（pxg）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4">
    <w:name w:val="专业型2"/>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45">
    <w:name w:val="环评用表3"/>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6">
    <w:name w:val="网格型 12"/>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7">
    <w:name w:val="网格型1"/>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8">
    <w:name w:val="正文+宋体1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9">
    <w:name w:val="表格样式-tjgsqiu"/>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0">
    <w:name w:val="网格型 111"/>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51">
    <w:name w:val="表格样式-tjgsqiu2"/>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2">
    <w:name w:val="表格样式-tjgsqiu1"/>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3">
    <w:name w:val="环评用表7"/>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54">
    <w:name w:val="正文+宋体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5">
    <w:name w:val="表格aaa"/>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56">
    <w:name w:val="网格型（pxg）2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7">
    <w:name w:val="网格型5"/>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8">
    <w:name w:val="网格型（pxg）1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9">
    <w:name w:val="表格样式pp"/>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60">
    <w:name w:val="环评用表9"/>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1">
    <w:name w:val="环评用表2"/>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2">
    <w:name w:val="表格样式11"/>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63">
    <w:name w:val="网格型7"/>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4">
    <w:name w:val="网格型 14"/>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5">
    <w:name w:val="环评用表11"/>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6">
    <w:name w:val="网格型13"/>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7">
    <w:name w:val="网格型 113"/>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8">
    <w:name w:val="专业型3"/>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69">
    <w:name w:val="表格aaa2"/>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70">
    <w:name w:val="网格型 112"/>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71">
    <w:name w:val="正文+宋体1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2">
    <w:name w:val="表格主题（安）2"/>
    <w:basedOn w:val="83"/>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3">
    <w:name w:val="表格样式13"/>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4">
    <w:name w:val="网格型（pxg）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5">
    <w:name w:val="网格型（pxg）2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6">
    <w:name w:val="专业型1"/>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77">
    <w:name w:val="表格样式1"/>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8">
    <w:name w:val="表格样式pp3"/>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79">
    <w:name w:val="无格式表格 51"/>
    <w:basedOn w:val="83"/>
    <w:autoRedefine/>
    <w:qFormat/>
    <w:uiPriority w:val="45"/>
    <w:tblStylePr w:type="firstRow">
      <w:rPr>
        <w:rFonts w:ascii="MS Mincho" w:hAnsi="MS Mincho" w:eastAsia="Verdana" w:cs="Times New Roman"/>
        <w:i/>
        <w:iCs/>
        <w:sz w:val="26"/>
      </w:rPr>
      <w:tcPr>
        <w:tcBorders>
          <w:top w:val="nil"/>
          <w:left w:val="single" w:color="7F7F7F" w:sz="4" w:space="0"/>
          <w:bottom w:val="nil"/>
          <w:right w:val="nil"/>
          <w:insideH w:val="nil"/>
          <w:insideV w:val="nil"/>
          <w:tl2br w:val="nil"/>
          <w:tr2bl w:val="nil"/>
        </w:tcBorders>
        <w:shd w:val="clear" w:color="auto" w:fill="FFFFFF"/>
      </w:tcPr>
    </w:tblStylePr>
    <w:tblStylePr w:type="lastRow">
      <w:rPr>
        <w:rFonts w:ascii="MS Mincho" w:hAnsi="MS Mincho" w:eastAsia="Verdana" w:cs="Times New Roman"/>
        <w:i/>
        <w:iCs/>
        <w:sz w:val="26"/>
      </w:rPr>
      <w:tcPr>
        <w:tcBorders>
          <w:top w:val="single" w:color="7F7F7F" w:sz="4" w:space="0"/>
          <w:left w:val="nil"/>
          <w:bottom w:val="nil"/>
          <w:right w:val="nil"/>
          <w:insideH w:val="nil"/>
          <w:insideV w:val="nil"/>
          <w:tl2br w:val="nil"/>
          <w:tr2bl w:val="nil"/>
        </w:tcBorders>
        <w:shd w:val="clear" w:color="auto" w:fill="FFFFFF"/>
      </w:tcPr>
    </w:tblStylePr>
    <w:tblStylePr w:type="firstCol">
      <w:pPr>
        <w:jc w:val="right"/>
      </w:pPr>
      <w:rPr>
        <w:rFonts w:ascii="MS Mincho" w:hAnsi="MS Mincho" w:eastAsia="Verdana" w:cs="Times New Roman"/>
        <w:i/>
        <w:iCs/>
        <w:sz w:val="26"/>
      </w:rPr>
      <w:tcPr>
        <w:tcBorders>
          <w:top w:val="nil"/>
          <w:left w:val="nil"/>
          <w:bottom w:val="nil"/>
          <w:right w:val="single" w:color="7F7F7F" w:sz="4" w:space="0"/>
          <w:insideH w:val="nil"/>
          <w:insideV w:val="nil"/>
          <w:tl2br w:val="nil"/>
          <w:tr2bl w:val="nil"/>
        </w:tcBorders>
        <w:shd w:val="clear" w:color="auto" w:fill="FFFFFF"/>
      </w:tcPr>
    </w:tblStylePr>
    <w:tblStylePr w:type="lastCol">
      <w:rPr>
        <w:rFonts w:ascii="MS Mincho" w:hAnsi="MS Mincho" w:eastAsia="Verdana" w:cs="Times New Roman"/>
        <w:i/>
        <w:iCs/>
        <w:sz w:val="26"/>
      </w:rPr>
      <w:tcPr>
        <w:tcBorders>
          <w:top w:val="nil"/>
          <w:left w:val="nil"/>
          <w:bottom w:val="single" w:color="7F7F7F" w:sz="4" w:space="0"/>
          <w:right w:val="nil"/>
          <w:insideH w:val="nil"/>
          <w:insideV w:val="nil"/>
          <w:tl2br w:val="nil"/>
          <w:tr2bl w:val="nil"/>
        </w:tcBorders>
        <w:shd w:val="clear" w:color="auto" w:fill="FFFFFF"/>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tcPr>
        <w:tcBorders>
          <w:top w:val="nil"/>
          <w:left w:val="nil"/>
          <w:bottom w:val="nil"/>
          <w:right w:val="nil"/>
          <w:insideH w:val="nil"/>
          <w:insideV w:val="nil"/>
          <w:tl2br w:val="nil"/>
          <w:tr2bl w:val="nil"/>
        </w:tcBorders>
      </w:tcPr>
    </w:tblStylePr>
  </w:style>
  <w:style w:type="table" w:customStyle="1" w:styleId="1380">
    <w:name w:val="表格样式pp2"/>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81">
    <w:name w:val="网格型（pxg）1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2">
    <w:name w:val="网格型3"/>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3">
    <w:name w:val="表格主题（安）3"/>
    <w:basedOn w:val="83"/>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4">
    <w:name w:val="网格型（pxg）23"/>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5">
    <w:name w:val="表格aaa3"/>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86">
    <w:name w:val="表格样式-tjgsqiu3"/>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87">
    <w:name w:val="网格型 53"/>
    <w:basedOn w:val="8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88">
    <w:name w:val="网格型（pxg）13"/>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89">
    <w:name w:val="环保表内字（五号）"/>
    <w:basedOn w:val="1"/>
    <w:autoRedefine/>
    <w:qFormat/>
    <w:uiPriority w:val="0"/>
    <w:pPr>
      <w:adjustRightInd w:val="0"/>
      <w:snapToGrid w:val="0"/>
      <w:spacing w:line="360" w:lineRule="auto"/>
      <w:ind w:firstLine="720" w:firstLineChars="200"/>
    </w:pPr>
    <w:rPr>
      <w:snapToGrid w:val="0"/>
      <w:kern w:val="0"/>
    </w:rPr>
  </w:style>
  <w:style w:type="table" w:customStyle="1" w:styleId="1390">
    <w:name w:val="Table Normal"/>
    <w:autoRedefine/>
    <w:semiHidden/>
    <w:unhideWhenUsed/>
    <w:qFormat/>
    <w:uiPriority w:val="0"/>
    <w:tblPr>
      <w:tblCellMar>
        <w:top w:w="0" w:type="dxa"/>
        <w:left w:w="0" w:type="dxa"/>
        <w:bottom w:w="0" w:type="dxa"/>
        <w:right w:w="0" w:type="dxa"/>
      </w:tblCellMar>
    </w:tblPr>
  </w:style>
  <w:style w:type="paragraph" w:customStyle="1" w:styleId="1391">
    <w:name w:val="正文11"/>
    <w:basedOn w:val="1"/>
    <w:autoRedefine/>
    <w:qFormat/>
    <w:uiPriority w:val="0"/>
    <w:pPr>
      <w:adjustRightInd w:val="0"/>
      <w:snapToGrid w:val="0"/>
      <w:spacing w:line="360" w:lineRule="auto"/>
      <w:ind w:firstLine="539"/>
    </w:pPr>
    <w:rPr>
      <w:rFonts w:ascii="宋体" w:hAnsi="宋体"/>
      <w:bCs/>
      <w:color w:val="FF0000"/>
      <w:spacing w:val="6"/>
      <w:kern w:val="0"/>
      <w:sz w:val="24"/>
    </w:rPr>
  </w:style>
  <w:style w:type="paragraph" w:customStyle="1" w:styleId="1392">
    <w:name w:val="新格式表"/>
    <w:basedOn w:val="1"/>
    <w:qFormat/>
    <w:uiPriority w:val="0"/>
    <w:pPr>
      <w:adjustRightInd w:val="0"/>
      <w:snapToGrid w:val="0"/>
      <w:spacing w:line="0" w:lineRule="atLeast"/>
      <w:jc w:val="center"/>
    </w:pPr>
    <w:rPr>
      <w:color w:val="000000"/>
      <w:kern w:val="0"/>
      <w:sz w:val="30"/>
      <w:szCs w:val="21"/>
    </w:rPr>
  </w:style>
  <w:style w:type="paragraph" w:customStyle="1" w:styleId="1393">
    <w:name w:val="Table Text"/>
    <w:basedOn w:val="1"/>
    <w:semiHidden/>
    <w:qFormat/>
    <w:uiPriority w:val="0"/>
    <w:rPr>
      <w:rFonts w:ascii="宋体" w:hAnsi="宋体" w:eastAsia="宋体" w:cs="宋体"/>
      <w:sz w:val="24"/>
      <w:szCs w:val="24"/>
      <w:lang w:val="en-US" w:eastAsia="en-US" w:bidi="ar-SA"/>
    </w:rPr>
  </w:style>
  <w:style w:type="paragraph" w:customStyle="1" w:styleId="1394">
    <w:name w:val="正文首行缩进 221"/>
    <w:basedOn w:val="33"/>
    <w:next w:val="1"/>
    <w:autoRedefine/>
    <w:qFormat/>
    <w:uiPriority w:val="0"/>
    <w:pPr>
      <w:spacing w:before="100" w:beforeAutospacing="1" w:line="360" w:lineRule="auto"/>
      <w:ind w:firstLine="420"/>
    </w:pPr>
    <w:rPr>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header" Target="header1.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customXml" Target="../customXml/item2.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42.jpe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jpeg"/><Relationship Id="rId51" Type="http://schemas.openxmlformats.org/officeDocument/2006/relationships/image" Target="media/image38.png"/><Relationship Id="rId50" Type="http://schemas.openxmlformats.org/officeDocument/2006/relationships/image" Target="media/image37.jpeg"/><Relationship Id="rId5" Type="http://schemas.openxmlformats.org/officeDocument/2006/relationships/footer" Target="footer3.xml"/><Relationship Id="rId49" Type="http://schemas.openxmlformats.org/officeDocument/2006/relationships/image" Target="media/image36.emf"/><Relationship Id="rId48" Type="http://schemas.openxmlformats.org/officeDocument/2006/relationships/oleObject" Target="embeddings/oleObject5.bin"/><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jpe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jpeg"/><Relationship Id="rId3" Type="http://schemas.openxmlformats.org/officeDocument/2006/relationships/footer" Target="foot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emf"/><Relationship Id="rId18" Type="http://schemas.openxmlformats.org/officeDocument/2006/relationships/oleObject" Target="embeddings/oleObject4.bin"/><Relationship Id="rId17" Type="http://schemas.openxmlformats.org/officeDocument/2006/relationships/image" Target="media/image6.emf"/><Relationship Id="rId16" Type="http://schemas.openxmlformats.org/officeDocument/2006/relationships/oleObject" Target="embeddings/oleObject3.bin"/><Relationship Id="rId15" Type="http://schemas.openxmlformats.org/officeDocument/2006/relationships/image" Target="media/image5.emf"/><Relationship Id="rId14" Type="http://schemas.openxmlformats.org/officeDocument/2006/relationships/oleObject" Target="embeddings/oleObject2.bin"/><Relationship Id="rId13" Type="http://schemas.openxmlformats.org/officeDocument/2006/relationships/image" Target="media/image4.emf"/><Relationship Id="rId12" Type="http://schemas.openxmlformats.org/officeDocument/2006/relationships/oleObject" Target="embeddings/oleObject1.bin"/><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91aca25f-0bce-4d14-8ceb-9b0428bb5df6</errorID>
      <errorWord>[2014]138号</errorWord>
      <group>L1_Knowledge</group>
      <groupName>知识性问题</groupName>
      <ability>L2_Knowledge</ability>
      <abilityName>其他知识</abilityName>
      <candidateList>
        <item>〔2014〕138号</item>
      </candidateList>
      <explain>发文字号格式错误。</explain>
      <paraID> 1FA6802</paraID>
      <start>13</start>
      <end>23</end>
      <status>unmodified</status>
      <modifiedWord/>
      <trackRevisions>false</trackRevisions>
    </reviewItem>
    <reviewItem>
      <errorID>ab3ac82b-a7e7-4a35-8711-ae273da87329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4974EEF5</paraID>
      <start>0</start>
      <end>2</end>
      <status>unmodified</status>
      <modifiedWord/>
      <trackRevisions>false</trackRevisions>
    </reviewItem>
    <reviewItem>
      <errorID>5f0a8caa-e4a3-4fcd-8911-0eeef6686bdf</errorID>
      <errorWord>《产业结构调整指导目录》（2024年）</errorWord>
      <group>L1_Knowledge</group>
      <groupName>知识性问题</groupName>
      <ability>L2_Knowledge</ability>
      <abilityName>其他知识</abilityName>
      <candidateList>
        <item>《产业结构调整指导目录（2024年）》</item>
      </candidateList>
      <explain>疑似政策文件、法律法规名称等书写不规范，请注意检查。</explain>
      <paraID>21B5D3AE</paraID>
      <start>6</start>
      <end>25</end>
      <status>modified</status>
      <modifiedWord>《产业结构调整指导目录（2024年）》</modifiedWord>
      <trackRevisions>false</trackRevisions>
    </reviewItem>
    <reviewItem>
      <errorID>913960be-f70e-4626-96e0-ce1e3f7067ee</errorID>
      <errorWord>&lt;</errorWord>
      <group>L1_Format</group>
      <groupName>格式问题</groupName>
      <ability>L2_HalfPunc</ability>
      <abilityName>全半角检查</abilityName>
      <candidateList>
        <item>〈</item>
      </candidateList>
      <explain>文本全半角错误。</explain>
      <paraID> 63A29A7</paraID>
      <start>34</start>
      <end>35</end>
      <status>unmodified</status>
      <modifiedWord/>
      <trackRevisions>false</trackRevisions>
    </reviewItem>
    <reviewItem>
      <errorID>20d80f4d-e05c-4d10-adce-db2d3ea58168</errorID>
      <errorWord>&gt;的通知》</errorWord>
      <group>L1_Punc</group>
      <groupName>标点问题</groupName>
      <ability>L2_Punc</ability>
      <abilityName>标点符号检查</abilityName>
      <candidateList>
        <item>〉的通知》</item>
      </candidateList>
      <explain/>
      <paraID> 63A29A7</paraID>
      <start>67</start>
      <end>72</end>
      <status>unmodified</status>
      <modifiedWord/>
      <trackRevisions>false</trackRevisions>
    </reviewItem>
    <reviewItem>
      <errorID>152646b5-62a7-40c6-9ada-49e86e750f8f</errorID>
      <errorWord>或是</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72D05465</paraID>
      <start>24</start>
      <end>26</end>
      <status>unmodified</status>
      <modifiedWord/>
      <trackRevisions>false</trackRevisions>
    </reviewItem>
    <reviewItem>
      <errorID>7bd1df23-06d6-463d-b1a8-5bc15fa5ea2f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6EACBED1</paraID>
      <start>0</start>
      <end>2</end>
      <status>unmodified</status>
      <modifiedWord/>
      <trackRevisions>false</trackRevisions>
    </reviewItem>
    <reviewItem>
      <errorID>c970eb59-9ac8-4612-abb6-e719b4ad83a2</errorID>
      <errorWord>期</errorWord>
      <group>L1_Word</group>
      <groupName>字词问题</groupName>
      <ability>L2_Typo</ability>
      <abilityName>字词错误</abilityName>
      <candidateList>
        <item>期间</item>
      </candidateList>
      <explain>〈名〉某个时期里面：农忙～｜春节～｜抗战～。</explain>
      <paraID>31A73E89</paraID>
      <start>7</start>
      <end>8</end>
      <status>unmodified</status>
      <modifiedWord/>
      <trackRevisions>false</trackRevisions>
    </reviewItem>
    <reviewItem>
      <errorID>4062ea81-5496-4ce4-be16-337cdac9e911</errorID>
      <errorWord>无废城市</errorWord>
      <group>L1_Political</group>
      <groupName>政治性问题</groupName>
      <ability>L2_Keyword</ability>
      <abilityName>固定表述</abilityName>
      <candidateList>
        <item>“无废城市”</item>
      </candidateList>
      <explain>注意检查当前固定表述标点是否使用规范。</explain>
      <paraID>15B3B4CB</paraID>
      <start>23</start>
      <end>27</end>
      <status>unmodified</status>
      <modifiedWord/>
      <trackRevisions>false</trackRevisions>
    </reviewItem>
    <reviewItem>
      <errorID>3db7df1c-e93a-47c3-bf75-1dbbfe195270</errorID>
      <errorWord>全</errorWord>
      <group>L1_Word</group>
      <groupName>字词问题</groupName>
      <ability>L2_Typo</ability>
      <abilityName>字词错误</abilityName>
      <candidateList>
        <item>全过</item>
      </candidateList>
      <explain/>
      <paraID>15B3B4CB</paraID>
      <start>57</start>
      <end>58</end>
      <status>unmodified</status>
      <modifiedWord/>
      <trackRevisions>false</trackRevisions>
    </reviewItem>
    <reviewItem>
      <errorID>084a3d5d-f45c-482e-afba-c0cf6f6f0bb5</errorID>
      <errorWord>全</errorWord>
      <group>L1_Word</group>
      <groupName>字词问题</groupName>
      <ability>L2_Typo</ability>
      <abilityName>字词错误</abilityName>
      <candidateList>
        <item>全过</item>
      </candidateList>
      <explain/>
      <paraID>4FF1791B</paraID>
      <start>47</start>
      <end>48</end>
      <status>unmodified</status>
      <modifiedWord/>
      <trackRevisions>false</trackRevisions>
    </reviewItem>
    <reviewItem>
      <errorID>00b1d730-a5bf-40f6-85b2-2bae9e29d6ca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4C28FE5</paraID>
      <start>0</start>
      <end>2</end>
      <status>unmodified</status>
      <modifiedWord/>
      <trackRevisions>false</trackRevisions>
    </reviewItem>
    <reviewItem>
      <errorID>6c662f84-3141-4031-a4be-e4e433c94882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634FB948</paraID>
      <start>0</start>
      <end>2</end>
      <status>unmodified</status>
      <modifiedWord/>
      <trackRevisions>false</trackRevisions>
    </reviewItem>
    <reviewItem>
      <errorID>7b537f7d-8434-4e1c-ac67-a004339d59af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1B9BFB37</paraID>
      <start>44</start>
      <end>45</end>
      <status>unmodified</status>
      <modifiedWord/>
      <trackRevisions>false</trackRevisions>
    </reviewItem>
    <reviewItem>
      <errorID>67e3cdcb-38a2-433d-897c-d262e3bc8fab</errorID>
      <errorWord>-</errorWord>
      <group>L1_Format</group>
      <groupName>格式问题</groupName>
      <ability>L2_HalfPunc</ability>
      <abilityName>全半角检查</abilityName>
      <candidateList>
        <item>－</item>
      </candidateList>
      <explain>文本全半角错误。</explain>
      <paraID>1B9BFB37</paraID>
      <start>51</start>
      <end>52</end>
      <status>unmodified</status>
      <modifiedWord/>
      <trackRevisions>false</trackRevisions>
    </reviewItem>
    <reviewItem>
      <errorID>5285c6f6-c240-421d-abd1-15d8d748d28f</errorID>
      <errorWord>《自然资源要素支撑产业高质量发展指导目录》（2024年本）</errorWord>
      <group>L1_Knowledge</group>
      <groupName>知识性问题</groupName>
      <ability>L2_Knowledge</ability>
      <abilityName>其他知识</abilityName>
      <candidateList>
        <item>《自然资源要素支撑产业高质量发展指导目录（2024年本）》</item>
      </candidateList>
      <explain>疑似政策文件、法律法规名称等书写不规范，请注意检查。</explain>
      <paraID>5C8203C8</paraID>
      <start>8</start>
      <end>37</end>
      <status>unmodified</status>
      <modifiedWord/>
      <trackRevisions>false</trackRevisions>
    </reviewItem>
    <reviewItem>
      <errorID>6d80aae8-e745-49d2-997a-861ee0f54daa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6BFDEA03</paraID>
      <start>0</start>
      <end>2</end>
      <status>unmodified</status>
      <modifiedWord/>
      <trackRevisions>false</trackRevisions>
    </reviewItem>
    <reviewItem>
      <errorID>438bccd0-6f11-417c-a5a7-d5cc568a2826</errorID>
      <errorWord>[2017]84号</errorWord>
      <group>L1_Knowledge</group>
      <groupName>知识性问题</groupName>
      <ability>L2_Knowledge</ability>
      <abilityName>其他知识</abilityName>
      <candidateList>
        <item>〔2017〕84号</item>
      </candidateList>
      <explain>发文字号格式错误。</explain>
      <paraID>5008C560</paraID>
      <start>38</start>
      <end>47</end>
      <status>unmodified</status>
      <modifiedWord/>
      <trackRevisions>false</trackRevisions>
    </reviewItem>
    <reviewItem>
      <errorID>fdc356c7-9656-42f5-9734-c180abe5f00c</errorID>
      <errorWord>[2017]84号</errorWord>
      <group>L1_Knowledge</group>
      <groupName>知识性问题</groupName>
      <ability>L2_Knowledge</ability>
      <abilityName>其他知识</abilityName>
      <candidateList>
        <item>〔2017〕84号</item>
      </candidateList>
      <explain>发文字号格式错误。</explain>
      <paraID>424554A9</paraID>
      <start>11</start>
      <end>20</end>
      <status>unmodified</status>
      <modifiedWord/>
      <trackRevisions>false</trackRevisions>
    </reviewItem>
    <reviewItem>
      <errorID>9b4e0a98-1d18-4521-9575-384678974495</errorID>
      <errorWord>[2016]141号</errorWord>
      <group>L1_Knowledge</group>
      <groupName>知识性问题</groupName>
      <ability>L2_Knowledge</ability>
      <abilityName>其他知识</abilityName>
      <candidateList>
        <item>〔2016〕141号</item>
      </candidateList>
      <explain>发文字号格式错误。</explain>
      <paraID>336AA3ED</paraID>
      <start>8</start>
      <end>18</end>
      <status>unmodified</status>
      <modifiedWord/>
      <trackRevisions>false</trackRevisions>
    </reviewItem>
    <reviewItem>
      <errorID>3426b7f4-27fd-48b7-a842-c1a0f3ec339f</errorID>
      <errorWord>[2016]141号</errorWord>
      <group>L1_Knowledge</group>
      <groupName>知识性问题</groupName>
      <ability>L2_Knowledge</ability>
      <abilityName>其他知识</abilityName>
      <candidateList>
        <item>〔2016〕141号</item>
      </candidateList>
      <explain>发文字号格式错误。</explain>
      <paraID>1C47ABA0</paraID>
      <start>46</start>
      <end>56</end>
      <status>unmodified</status>
      <modifiedWord/>
      <trackRevisions>false</trackRevisions>
    </reviewItem>
    <reviewItem>
      <errorID>2a6b7020-f791-4304-84a9-3715be4063f0</errorID>
      <errorWord>[2016]141号</errorWord>
      <group>L1_Knowledge</group>
      <groupName>知识性问题</groupName>
      <ability>L2_Knowledge</ability>
      <abilityName>其他知识</abilityName>
      <candidateList>
        <item>〔2016〕141号</item>
      </candidateList>
      <explain>发文字号格式错误。</explain>
      <paraID>2FC02D5D</paraID>
      <start>13</start>
      <end>23</end>
      <status>unmodified</status>
      <modifiedWord/>
      <trackRevisions>false</trackRevisions>
    </reviewItem>
    <reviewItem>
      <errorID>fedb57cc-4fb7-4fa9-9812-7bb9cd108938</errorID>
      <errorWord>接受单位</errorWord>
      <group>L1_Word</group>
      <groupName>字词问题</groupName>
      <ability>L2_Typo</ability>
      <abilityName>字词错误</abilityName>
      <candidateList>
        <item>接收单位</item>
      </candidateList>
      <explain>存在发音相同字词的误用。</explain>
      <paraID>787DBEF8</paraID>
      <start>93</start>
      <end>97</end>
      <status>unmodified</status>
      <modifiedWord/>
      <trackRevisions>false</trackRevisions>
    </reviewItem>
    <reviewItem>
      <errorID>8d505164-e5d0-470f-be46-ed31fe98feb2</errorID>
      <errorWord>接受单位</errorWord>
      <group>L1_Word</group>
      <groupName>字词问题</groupName>
      <ability>L2_Typo</ability>
      <abilityName>字词错误</abilityName>
      <candidateList>
        <item>接收单位</item>
      </candidateList>
      <explain>存在发音相同字词的误用。</explain>
      <paraID>787DBEF8</paraID>
      <start>125</start>
      <end>129</end>
      <status>unmodified</status>
      <modifiedWord/>
      <trackRevisions>false</trackRevisions>
    </reviewItem>
    <reviewItem>
      <errorID>6066b51b-1831-4114-86ea-07af5b258399</errorID>
      <errorWord>[2016]141号</errorWord>
      <group>L1_Knowledge</group>
      <groupName>知识性问题</groupName>
      <ability>L2_Knowledge</ability>
      <abilityName>其他知识</abilityName>
      <candidateList>
        <item>〔2016〕141号</item>
      </candidateList>
      <explain>发文字号格式错误。</explain>
      <paraID>2FBE86B8</paraID>
      <start>39</start>
      <end>49</end>
      <status>unmodified</status>
      <modifiedWord/>
      <trackRevisions>false</trackRevisions>
    </reviewItem>
    <reviewItem>
      <errorID>992e5645-2817-45b2-9170-3f5fe9deff4b</errorID>
      <errorWord>山东省大气污染防治条例</errorWord>
      <group>L1_Knowledge</group>
      <groupName>知识性问题</groupName>
      <ability>L2_Knowledge</ability>
      <abilityName>其他知识</abilityName>
      <candidateList>
        <item>《山东省大气污染防治条例》</item>
      </candidateList>
      <explain>完整法律法规名称需要加书名号，请注意检查。</explain>
      <paraID>535F8E95</paraID>
      <start>7</start>
      <end>18</end>
      <status>unmodified</status>
      <modifiedWord/>
      <trackRevisions>false</trackRevisions>
    </reviewItem>
    <reviewItem>
      <errorID>fb37e53b-e0a8-48e3-b384-025c62d1d297</errorID>
      <errorWord>[2020]</errorWord>
      <group>L1_Punc</group>
      <groupName>标点问题</groupName>
      <ability>L2_Punc</ability>
      <abilityName>标点符号检查</abilityName>
      <candidateList>
        <item>〔2020〕</item>
      </candidateList>
      <explain/>
      <paraID>4F328B5B</paraID>
      <start>29</start>
      <end>35</end>
      <status>unmodified</status>
      <modifiedWord/>
      <trackRevisions>false</trackRevisions>
    </reviewItem>
    <reviewItem>
      <errorID>241c6cd9-3d5f-472a-b597-33fccd88aa51</errorID>
      <errorWord>[2020]</errorWord>
      <group>L1_Punc</group>
      <groupName>标点问题</groupName>
      <ability>L2_Punc</ability>
      <abilityName>标点符号检查</abilityName>
      <candidateList>
        <item>〔2020〕</item>
      </candidateList>
      <explain/>
      <paraID>4C3FBF16</paraID>
      <start>7</start>
      <end>13</end>
      <status>unmodified</status>
      <modifiedWord/>
      <trackRevisions>false</trackRevisions>
    </reviewItem>
    <reviewItem>
      <errorID>fd151eaa-4e24-444c-9577-238fd790702d</errorID>
      <errorWord>[2020]</errorWord>
      <group>L1_Punc</group>
      <groupName>标点问题</groupName>
      <ability>L2_Punc</ability>
      <abilityName>标点符号检查</abilityName>
      <candidateList>
        <item>〔2020〕</item>
      </candidateList>
      <explain/>
      <paraID>6C3EDC8B</paraID>
      <start>10</start>
      <end>16</end>
      <status>unmodified</status>
      <modifiedWord/>
      <trackRevisions>false</trackRevisions>
    </reviewItem>
    <reviewItem>
      <errorID>c17fa69b-2b8d-40b5-a4ae-1ea79b56b874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B83C2B7</paraID>
      <start>0</start>
      <end>2</end>
      <status>unmodified</status>
      <modifiedWord/>
      <trackRevisions>false</trackRevisions>
    </reviewItem>
    <reviewItem>
      <errorID>ee593a82-22b1-4b65-9779-9600e0d321ed</errorID>
      <errorWord>程</errorWord>
      <group>L1_Word</group>
      <groupName>字词问题</groupName>
      <ability>L2_Typo</ability>
      <abilityName>字词错误</abilityName>
      <candidateList>
        <item>程中</item>
      </candidateList>
      <explain/>
      <paraID> B83C2B7</paraID>
      <start>249</start>
      <end>250</end>
      <status>unmodified</status>
      <modifiedWord/>
      <trackRevisions>false</trackRevisions>
    </reviewItem>
    <reviewItem>
      <errorID>cb357ecd-c2f6-4751-84cd-d2307de7dc7c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3A340E04</paraID>
      <start>0</start>
      <end>2</end>
      <status>unmodified</status>
      <modifiedWord/>
      <trackRevisions>false</trackRevisions>
    </reviewItem>
    <reviewItem>
      <errorID>869175b2-3e61-48fb-b76e-728642d869e1</errorID>
      <errorWord>粘</errorWord>
      <group>L1_Word</group>
      <groupName>字词问题</groupName>
      <ability>L2_Typo</ability>
      <abilityName>字词错误</abilityName>
      <candidateList>
        <item>黏</item>
      </candidateList>
      <explain>存在发音相同字词的误用。</explain>
      <paraID>3A340E04</paraID>
      <start>311</start>
      <end>312</end>
      <status>unmodified</status>
      <modifiedWord/>
      <trackRevisions>false</trackRevisions>
    </reviewItem>
    <reviewItem>
      <errorID>6738b127-f55d-4199-82bb-c11cc6d82485</errorID>
      <errorWord>粘结</errorWord>
      <group>L1_Word</group>
      <groupName>字词问题</groupName>
      <ability>L2_Typo</ability>
      <abilityName>字词错误</abilityName>
      <candidateList>
        <item>黏结</item>
      </candidateList>
      <explain/>
      <paraID>603F2A81</paraID>
      <start>188</start>
      <end>190</end>
      <status>unmodified</status>
      <modifiedWord/>
      <trackRevisions>false</trackRevisions>
    </reviewItem>
    <reviewItem>
      <errorID>724f74ea-7e3f-425f-80b0-66de379cb131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783284BE</paraID>
      <start>0</start>
      <end>2</end>
      <status>unmodified</status>
      <modifiedWord/>
      <trackRevisions>false</trackRevisions>
    </reviewItem>
    <reviewItem>
      <errorID>663c5c91-8ba1-494d-8626-e9182c3f335d</errorID>
      <errorWord>原件</errorWord>
      <group>L1_Word</group>
      <groupName>字词问题</groupName>
      <ability>L2_Typo</ability>
      <abilityName>字词错误</abilityName>
      <candidateList>
        <item>元件</item>
      </candidateList>
      <explain>〈名〉构成机器、仪表等的单个制件，可以在同类装置中掉换使用，如电阻、电容、晶体管等。</explain>
      <paraID>783284BE</paraID>
      <start>198</start>
      <end>200</end>
      <status>unmodified</status>
      <modifiedWord/>
      <trackRevisions>false</trackRevisions>
    </reviewItem>
    <reviewItem>
      <errorID>c5ee8a6f-05bb-4c89-9061-894ca8334197</errorID>
      <errorWord>粘结</errorWord>
      <group>L1_Word</group>
      <groupName>字词问题</groupName>
      <ability>L2_Typo</ability>
      <abilityName>字词错误</abilityName>
      <candidateList>
        <item>黏结</item>
      </candidateList>
      <explain/>
      <paraID>4F3E3A8C</paraID>
      <start>188</start>
      <end>190</end>
      <status>unmodified</status>
      <modifiedWord/>
      <trackRevisions>false</trackRevisions>
    </reviewItem>
    <reviewItem>
      <errorID>82e5d6e3-fe5b-49de-84e9-7ba3334baaa3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1357A94F</paraID>
      <start>0</start>
      <end>2</end>
      <status>unmodified</status>
      <modifiedWord/>
      <trackRevisions>false</trackRevisions>
    </reviewItem>
    <reviewItem>
      <errorID>a7577291-eaff-49c4-ae85-95580eea686c</errorID>
      <errorWord>届时</errorWord>
      <group>L1_Word</group>
      <groupName>字词问题</groupName>
      <ability>L2_Typo</ability>
      <abilityName>字词错误</abilityName>
      <candidateList>
        <item>及时</item>
      </candidateList>
      <explain>存在发音相近字词的误用。</explain>
      <paraID>43ED3B38</paraID>
      <start>5</start>
      <end>7</end>
      <status>unmodified</status>
      <modifiedWord/>
      <trackRevisions>false</trackRevisions>
    </reviewItem>
    <reviewItem>
      <errorID>2f4786d9-83cf-4988-9707-af3113bab3fb</errorID>
      <errorWord>[2021]58号</errorWord>
      <group>L1_Knowledge</group>
      <groupName>知识性问题</groupName>
      <ability>L2_Knowledge</ability>
      <abilityName>其他知识</abilityName>
      <candidateList>
        <item>〔2021〕58号</item>
      </candidateList>
      <explain>发文字号格式错误。</explain>
      <paraID>46B760B7</paraID>
      <start>36</start>
      <end>45</end>
      <status>unmodified</status>
      <modifiedWord/>
      <trackRevisions>false</trackRevisions>
    </reviewItem>
    <reviewItem>
      <errorID>0873be4a-e134-4ff8-9ab0-360f4419069c</errorID>
      <errorWord>[2021]58号</errorWord>
      <group>L1_Knowledge</group>
      <groupName>知识性问题</groupName>
      <ability>L2_Knowledge</ability>
      <abilityName>其他知识</abilityName>
      <candidateList>
        <item>〔2021〕58号</item>
      </candidateList>
      <explain>发文字号格式错误。</explain>
      <paraID>1F3D04AC</paraID>
      <start>39</start>
      <end>48</end>
      <status>unmodified</status>
      <modifiedWord/>
      <trackRevisions>false</trackRevisions>
    </reviewItem>
    <reviewItem>
      <errorID>2c348132-a858-41df-8cf9-b76605e12ef2</errorID>
      <errorWord>[2021]58号</errorWord>
      <group>L1_Knowledge</group>
      <groupName>知识性问题</groupName>
      <ability>L2_Knowledge</ability>
      <abilityName>其他知识</abilityName>
      <candidateList>
        <item>〔2021〕58号</item>
      </candidateList>
      <explain>发文字号格式错误。</explain>
      <paraID> A613D10</paraID>
      <start>30</start>
      <end>39</end>
      <status>unmodified</status>
      <modifiedWord/>
      <trackRevisions>false</trackRevisions>
    </reviewItem>
    <reviewItem>
      <errorID>36b001c8-d17b-4349-abdd-06756fdd9f61</errorID>
      <errorWord>规定要</errorWord>
      <group>L1_Word</group>
      <groupName>字词问题</groupName>
      <ability>L2_Typo</ability>
      <abilityName>字词错误</abilityName>
      <candidateList>
        <item>规定</item>
      </candidateList>
      <explain>❶〈动〉对某一事物做出关于方式、方法或数量、质量的决定：～产品的质量标准｜不得超过～的日期。❷〈名〉所规定的内容：关于下岗职工的安排问题，上级已经有了新的～。</explain>
      <paraID>120E5A8B</paraID>
      <start>44</start>
      <end>47</end>
      <status>unmodified</status>
      <modifiedWord/>
      <trackRevisions>false</trackRevisions>
    </reviewItem>
    <reviewItem>
      <errorID>03d43f41-95ac-44bc-b37a-3ed9b04e30ef</errorID>
      <errorWord>法律、法规</errorWord>
      <group>L1_Word</group>
      <groupName>字词问题</groupName>
      <ability>L2_Typo</ability>
      <abilityName>字词错误</abilityName>
      <candidateList>
        <item>法律法规</item>
      </candidateList>
      <explain/>
      <paraID>1B2BC7A3</paraID>
      <start>352</start>
      <end>357</end>
      <status>unmodified</status>
      <modifiedWord/>
      <trackRevisions>false</trackRevisions>
    </reviewItem>
    <reviewItem>
      <errorID>5abc7b2d-8475-414c-9665-1803ef4c9cee</errorID>
      <errorWord>&lt;</errorWord>
      <group>L1_Format</group>
      <groupName>格式问题</groupName>
      <ability>L2_HalfPunc</ability>
      <abilityName>全半角检查</abilityName>
      <candidateList>
        <item>〈</item>
      </candidateList>
      <explain>文本全半角错误。</explain>
      <paraID> 83E101F</paraID>
      <start>17</start>
      <end>18</end>
      <status>unmodified</status>
      <modifiedWord/>
      <trackRevisions>false</trackRevisions>
    </reviewItem>
    <reviewItem>
      <errorID>0c82125a-6ff7-4c0d-97fc-d9a0044b3727</errorID>
      <errorWord>&gt;的通知》</errorWord>
      <group>L1_Punc</group>
      <groupName>标点问题</groupName>
      <ability>L2_Punc</ability>
      <abilityName>标点符号检查</abilityName>
      <candidateList>
        <item>〉的通知》</item>
      </candidateList>
      <explain/>
      <paraID> 83E101F</paraID>
      <start>45</start>
      <end>50</end>
      <status>unmodified</status>
      <modifiedWord/>
      <trackRevisions>false</trackRevisions>
    </reviewItem>
    <reviewItem>
      <errorID>7da57ca6-1d1b-49d7-9485-f02f53086e03</errorID>
      <errorWord>[2024]102号</errorWord>
      <group>L1_Knowledge</group>
      <groupName>知识性问题</groupName>
      <ability>L2_Knowledge</ability>
      <abilityName>其他知识</abilityName>
      <candidateList>
        <item>〔2024〕102号</item>
      </candidateList>
      <explain>发文字号格式错误。</explain>
      <paraID> 83E101F</paraID>
      <start>54</start>
      <end>64</end>
      <status>unmodified</status>
      <modifiedWord/>
      <trackRevisions>false</trackRevisions>
    </reviewItem>
    <reviewItem>
      <errorID>01998fa6-86a1-4088-bcb2-028dc4c78f35</errorID>
      <errorWord>[2024]102号</errorWord>
      <group>L1_Knowledge</group>
      <groupName>知识性问题</groupName>
      <ability>L2_Knowledge</ability>
      <abilityName>其他知识</abilityName>
      <candidateList>
        <item>〔2024〕102号</item>
      </candidateList>
      <explain>发文字号格式错误。</explain>
      <paraID>4FFD2524</paraID>
      <start>11</start>
      <end>21</end>
      <status>unmodified</status>
      <modifiedWord/>
      <trackRevisions>false</trackRevisions>
    </reviewItem>
    <reviewItem>
      <errorID>46636cf3-c167-4d6d-ac6c-85963ffb5cef</errorID>
      <errorWord>上线</errorWord>
      <group>L1_Word</group>
      <groupName>字词问题</groupName>
      <ability>L2_Typo</ability>
      <abilityName>字词错误</abilityName>
      <candidateList>
        <item>上限</item>
      </candidateList>
      <explain/>
      <paraID>1DEE40B3</paraID>
      <start>54</start>
      <end>56</end>
      <status>unmodified</status>
      <modifiedWord/>
      <trackRevisions>false</trackRevisions>
    </reviewItem>
    <reviewItem>
      <errorID>deab5fa0-6ca3-45eb-8eb7-54db940a4f50</errorID>
      <errorWord>&lt;</errorWord>
      <group>L1_Format</group>
      <groupName>格式问题</groupName>
      <ability>L2_HalfPunc</ability>
      <abilityName>全半角检查</abilityName>
      <candidateList>
        <item>〈</item>
      </candidateList>
      <explain>文本全半角错误。</explain>
      <paraID>3D82ACF9</paraID>
      <start>22</start>
      <end>23</end>
      <status>unmodified</status>
      <modifiedWord/>
      <trackRevisions>false</trackRevisions>
    </reviewItem>
    <reviewItem>
      <errorID>36aa5ed4-33cc-49cd-817d-4b205a8b0cdc</errorID>
      <errorWord>&gt;的通知》</errorWord>
      <group>L1_Punc</group>
      <groupName>标点问题</groupName>
      <ability>L2_Punc</ability>
      <abilityName>标点符号检查</abilityName>
      <candidateList>
        <item>〉的通知》</item>
      </candidateList>
      <explain/>
      <paraID>3D82ACF9</paraID>
      <start>50</start>
      <end>55</end>
      <status>unmodified</status>
      <modifiedWord/>
      <trackRevisions>false</trackRevisions>
    </reviewItem>
    <reviewItem>
      <errorID>4c51eedc-19c6-4e6e-b80b-191ca4a31ee2</errorID>
      <errorWord>[2024]102号</errorWord>
      <group>L1_Knowledge</group>
      <groupName>知识性问题</groupName>
      <ability>L2_Knowledge</ability>
      <abilityName>其他知识</abilityName>
      <candidateList>
        <item>〔2024〕102号</item>
      </candidateList>
      <explain>发文字号格式错误。</explain>
      <paraID>3D82ACF9</paraID>
      <start>59</start>
      <end>69</end>
      <status>unmodified</status>
      <modifiedWord/>
      <trackRevisions>false</trackRevisions>
    </reviewItem>
    <reviewItem>
      <errorID>60bd6f24-4e04-457d-871e-41172c608102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1EFF5F65</paraID>
      <start>0</start>
      <end>2</end>
      <status>unmodified</status>
      <modifiedWord/>
      <trackRevisions>false</trackRevisions>
    </reviewItem>
    <reviewItem>
      <errorID>fbdad6d3-2ffb-4e8c-9b26-43f09217172f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7633317C</paraID>
      <start>0</start>
      <end>2</end>
      <status>unmodified</status>
      <modifiedWord/>
      <trackRevisions>false</trackRevisions>
    </reviewItem>
    <reviewItem>
      <errorID>c411e98b-7629-4d85-9e83-ce3e9c98dcee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5C681816</paraID>
      <start>0</start>
      <end>2</end>
      <status>unmodified</status>
      <modifiedWord/>
      <trackRevisions>false</trackRevisions>
    </reviewItem>
    <reviewItem>
      <errorID>38801240-d148-435d-91fc-3ae20346cb7c</errorID>
      <errorWord>粘结</errorWord>
      <group>L1_Word</group>
      <groupName>字词问题</groupName>
      <ability>L2_Typo</ability>
      <abilityName>字词错误</abilityName>
      <candidateList>
        <item>黏结</item>
      </candidateList>
      <explain/>
      <paraID>11278971</paraID>
      <start>166</start>
      <end>168</end>
      <status>unmodified</status>
      <modifiedWord/>
      <trackRevisions>false</trackRevisions>
    </reviewItem>
    <reviewItem>
      <errorID>c3f85cec-d3c9-47ab-a172-5b6119a972bc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17A5746C</paraID>
      <start>0</start>
      <end>2</end>
      <status>unmodified</status>
      <modifiedWord/>
      <trackRevisions>false</trackRevisions>
    </reviewItem>
    <reviewItem>
      <errorID>309bd3fc-ef25-418a-82c1-080cb9e5528c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2B0AB38C</paraID>
      <start>0</start>
      <end>2</end>
      <status>unmodified</status>
      <modifiedWord/>
      <trackRevisions>false</trackRevisions>
    </reviewItem>
    <reviewItem>
      <errorID>c7576446-7ce7-4de9-b267-2c37da5cb27c</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26002A9E</paraID>
      <start>0</start>
      <end>2</end>
      <status>unmodified</status>
      <modifiedWord/>
      <trackRevisions>false</trackRevisions>
    </reviewItem>
    <reviewItem>
      <errorID>b7c6f08d-d235-4953-a235-e3e9fa65a15f</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83F7E8D</paraID>
      <start>0</start>
      <end>2</end>
      <status>unmodified</status>
      <modifiedWord/>
      <trackRevisions>false</trackRevisions>
    </reviewItem>
    <reviewItem>
      <errorID>5dbde28f-9fdc-450a-ab3b-ed204b36b9b6</errorID>
      <errorWord>)</errorWord>
      <group>L1_Format</group>
      <groupName>格式问题</groupName>
      <ability>L2_HalfPunc</ability>
      <abilityName>全半角检查</abilityName>
      <candidateList>
        <item>）</item>
      </candidateList>
      <explain>文本全半角错误。</explain>
      <paraID>13AF0F52</paraID>
      <start>146</start>
      <end>147</end>
      <status>unmodified</status>
      <modifiedWord/>
      <trackRevisions>false</trackRevisions>
    </reviewItem>
    <reviewItem>
      <errorID>1bb0b172-fedc-42ef-935c-9c2fb59e7c12</errorID>
      <errorWord>90-99.5%</errorWord>
      <group>L1_Knowledge</group>
      <groupName>知识性问题</groupName>
      <ability>L2_Knowledge</ability>
      <abilityName>其他知识</abilityName>
      <candidateList>
        <item>90%—99.5%</item>
      </candidateList>
      <explain>1. “90-99.5%”中的单位“%”仅出现在后一个数字上，容易引起歧义；根据《现代汉语标点符号数字用法规范手册》，数字表示范围两边需要使用统一的格式。2. 根据标点国标 4.13 中的规则，数字、时间或地域连接符应使用（视觉上更长的）“—”或“～”。</explain>
      <paraID>1673AD28</paraID>
      <start>21</start>
      <end>29</end>
      <status>unmodified</status>
      <modifiedWord/>
      <trackRevisions>false</trackRevisions>
    </reviewItem>
    <reviewItem>
      <errorID>2c1c7db5-ecf1-48cb-932c-346cb19a91e6</errorID>
      <errorWord>聚甲酯丙烯酸甲酯</errorWord>
      <group>L1_Knowledge</group>
      <groupName>知识性问题</groupName>
      <ability>L2_Term</ability>
      <abilityName>专业术语</abilityName>
      <candidateList>
        <item>聚甲基丙烯酸甲酯</item>
      </candidateList>
      <explain/>
      <paraID>1673AD28</paraID>
      <start>30</start>
      <end>38</end>
      <status>unmodified</status>
      <modifiedWord/>
      <trackRevisions>false</trackRevisions>
    </reviewItem>
    <reviewItem>
      <errorID>c783b340-f796-4e10-b203-ee4d467853aa</errorID>
      <errorWord>0-9.5%</errorWord>
      <group>L1_Knowledge</group>
      <groupName>知识性问题</groupName>
      <ability>L2_Knowledge</ability>
      <abilityName>其他知识</abilityName>
      <candidateList>
        <item>0—9.5%</item>
      </candidateList>
      <explain>1. “0-9.5%”中的单位“%”仅出现在后一个数字上，容易引起歧义；根据《现代汉语标点符号数字用法规范手册》，数字表示范围两边需要使用统一的格式。2. 根据标点国标 4.13 中的规则，数字、时间或地域连接符应使用（视觉上更长的）“—”或“～”。</explain>
      <paraID>1673AD28</paraID>
      <start>38</start>
      <end>44</end>
      <status>unmodified</status>
      <modifiedWord/>
      <trackRevisions>false</trackRevisions>
    </reviewItem>
    <reviewItem>
      <errorID>cded0912-25c4-4c60-b6d1-23c804379268</errorID>
      <errorWord>0-0.5%</errorWord>
      <group>L1_Knowledge</group>
      <groupName>知识性问题</groupName>
      <ability>L2_Knowledge</ability>
      <abilityName>其他知识</abilityName>
      <candidateList>
        <item>0—0.5%</item>
      </candidateList>
      <explain>1. “0-0.5%”中的单位“%”仅出现在后一个数字上，容易引起歧义；根据《现代汉语标点符号数字用法规范手册》，数字表示范围两边需要使用统一的格式。2. 根据标点国标 4.13 中的规则，数字、时间或地域连接符应使用（视觉上更长的）“—”或“～”。</explain>
      <paraID>1673AD28</paraID>
      <start>47</start>
      <end>53</end>
      <status>unmodified</status>
      <modifiedWord/>
      <trackRevisions>false</trackRevisions>
    </reviewItem>
    <reviewItem>
      <errorID>702872af-6b0a-4437-90e8-aad6836a38c8</errorID>
      <errorWord>胶粘剂</errorWord>
      <group>L1_Word</group>
      <groupName>字词问题</groupName>
      <ability>L2_Typo</ability>
      <abilityName>字词错误</abilityName>
      <candidateList>
        <item>胶黏剂</item>
      </candidateList>
      <explain/>
      <paraID>1673AD28</paraID>
      <start>85</start>
      <end>88</end>
      <status>unmodified</status>
      <modifiedWord/>
      <trackRevisions>false</trackRevisions>
    </reviewItem>
    <reviewItem>
      <errorID>d0a90639-f139-4f3b-b81f-9071ec3a7b9e</errorID>
      <errorWord>具</errorWord>
      <group>L1_Word</group>
      <groupName>字词问题</groupName>
      <ability>L2_Typo</ability>
      <abilityName>字词错误</abilityName>
      <candidateList>
        <item>具有</item>
      </candidateList>
      <explain>〈动〉有（多用于抽象事物）：～信心｜～伟大的意义。</explain>
      <paraID>534E1843</paraID>
      <start>90</start>
      <end>91</end>
      <status>unmodified</status>
      <modifiedWord/>
      <trackRevisions>false</trackRevisions>
    </reviewItem>
    <reviewItem>
      <errorID>a6ab4ddb-3917-47da-9494-ca913bb81f9e</errorID>
      <errorWord>粘稠</errorWord>
      <group>L1_Word</group>
      <groupName>字词问题</groupName>
      <ability>L2_Typo</ability>
      <abilityName>字词错误</abilityName>
      <candidateList>
        <item>黏稠</item>
      </candidateList>
      <explain>存在发音相同字词的误用。</explain>
      <paraID>534E1843</paraID>
      <start>107</start>
      <end>109</end>
      <status>unmodified</status>
      <modifiedWord/>
      <trackRevisions>false</trackRevisions>
    </reviewItem>
    <reviewItem>
      <errorID>05bac1f4-aaf6-4656-9fc6-719cd96fe06b</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5AC75255</paraID>
      <start>0</start>
      <end>3</end>
      <status>unmodified</status>
      <modifiedWord/>
      <trackRevisions>false</trackRevisions>
    </reviewItem>
    <reviewItem>
      <errorID>77caf416-426e-4703-b214-ff67e1de8246</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7C825D8C</paraID>
      <start>0</start>
      <end>3</end>
      <status>unmodified</status>
      <modifiedWord/>
      <trackRevisions>false</trackRevisions>
    </reviewItem>
    <reviewItem>
      <errorID>77748197-078d-4019-9d33-a86bab007616</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273E8EB7</paraID>
      <start>0</start>
      <end>3</end>
      <status>unmodified</status>
      <modifiedWord/>
      <trackRevisions>false</trackRevisions>
    </reviewItem>
    <reviewItem>
      <errorID>8cfd1c6a-8edb-473a-9279-47665de8dee0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BDD0962</paraID>
      <start>149</start>
      <end>150</end>
      <status>unmodified</status>
      <modifiedWord/>
      <trackRevisions>false</trackRevisions>
    </reviewItem>
    <reviewItem>
      <errorID>09be58e2-3a0c-4cc9-bb9f-a24af6006404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6E3C9F39</paraID>
      <start>0</start>
      <end>2</end>
      <status>unmodified</status>
      <modifiedWord/>
      <trackRevisions>false</trackRevisions>
    </reviewItem>
    <reviewItem>
      <errorID>7e820920-4009-4083-8a04-11d4bb1a6ed7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5A948BFA</paraID>
      <start>1</start>
      <end>3</end>
      <status>unmodified</status>
      <modifiedWord/>
      <trackRevisions>false</trackRevisions>
    </reviewItem>
    <reviewItem>
      <errorID>78d8e551-198a-456d-b9e4-de651709766b</errorID>
      <errorWord>进</errorWord>
      <group>L1_Word</group>
      <groupName>字词问题</groupName>
      <ability>L2_Typo</ability>
      <abilityName>字词错误</abilityName>
      <candidateList>
        <item>进行</item>
      </candidateList>
      <explain>〈动〉❶从事（某种活动）：～讨论｜～工作｜～教育和批评｜会议正在～。注意“进行”总是用在持续性的和正式、严肃的行为，短暂性的和日常生活中的行为不用“进行”，例如不说“进行午睡”，“进行叫喊”。❷前进：～曲。</explain>
      <paraID> CFBF034</paraID>
      <start>66</start>
      <end>67</end>
      <status>unmodified</status>
      <modifiedWord/>
      <trackRevisions>false</trackRevisions>
    </reviewItem>
    <reviewItem>
      <errorID>7a0bbd75-ea39-4a73-be89-b9c3f510c2eb</errorID>
      <errorWord>进</errorWord>
      <group>L1_Word</group>
      <groupName>字词问题</groupName>
      <ability>L2_Typo</ability>
      <abilityName>字词错误</abilityName>
      <candidateList>
        <item>进行</item>
      </candidateList>
      <explain>〈动〉❶从事（某种活动）：～讨论｜～工作｜～教育和批评｜会议正在～。注意“进行”总是用在持续性的和正式、严肃的行为，短暂性的和日常生活中的行为不用“进行”，例如不说“进行午睡”，“进行叫喊”。❷前进：～曲。</explain>
      <paraID>273F3EA9</paraID>
      <start>67</start>
      <end>68</end>
      <status>unmodified</status>
      <modifiedWord/>
      <trackRevisions>false</trackRevisions>
    </reviewItem>
    <reviewItem>
      <errorID>96ecf4ca-4be6-424d-ba7e-93d2ead5f8d0</errorID>
      <errorWord>粘结</errorWord>
      <group>L1_Word</group>
      <groupName>字词问题</groupName>
      <ability>L2_Typo</ability>
      <abilityName>字词错误</abilityName>
      <candidateList>
        <item>黏结</item>
      </candidateList>
      <explain>存在发音相同字词的误用。</explain>
      <paraID>6239B40A</paraID>
      <start>0</start>
      <end>2</end>
      <status>unmodified</status>
      <modifiedWord/>
      <trackRevisions>false</trackRevisions>
    </reviewItem>
    <reviewItem>
      <errorID>fb999318-4afe-4797-b084-f9918ee7ac2f</errorID>
      <errorWord>粘结</errorWord>
      <group>L1_Word</group>
      <groupName>字词问题</groupName>
      <ability>L2_Typo</ability>
      <abilityName>字词错误</abilityName>
      <candidateList>
        <item>黏结</item>
      </candidateList>
      <explain>存在发音相同字词的误用。</explain>
      <paraID>6239B40A</paraID>
      <start>9</start>
      <end>11</end>
      <status>unmodified</status>
      <modifiedWord/>
      <trackRevisions>false</trackRevisions>
    </reviewItem>
    <reviewItem>
      <errorID>f851f0ac-8f00-4236-9289-f08531bfe3db</errorID>
      <errorWord>粘结</errorWord>
      <group>L1_Word</group>
      <groupName>字词问题</groupName>
      <ability>L2_Typo</ability>
      <abilityName>字词错误</abilityName>
      <candidateList>
        <item>黏结</item>
      </candidateList>
      <explain>存在发音相同字词的误用。</explain>
      <paraID>6239B40A</paraID>
      <start>31</start>
      <end>33</end>
      <status>unmodified</status>
      <modifiedWord/>
      <trackRevisions>false</trackRevisions>
    </reviewItem>
    <reviewItem>
      <errorID>241310e4-f599-4936-a237-4c90f147c503</errorID>
      <errorWord>粘结</errorWord>
      <group>L1_Word</group>
      <groupName>字词问题</groupName>
      <ability>L2_Typo</ability>
      <abilityName>字词错误</abilityName>
      <candidateList>
        <item>黏结</item>
      </candidateList>
      <explain>存在发音相同字词的误用。</explain>
      <paraID> AE70EBD</paraID>
      <start>0</start>
      <end>2</end>
      <status>unmodified</status>
      <modifiedWord/>
      <trackRevisions>false</trackRevisions>
    </reviewItem>
    <reviewItem>
      <errorID>6664576a-bcf9-4ac5-a8a0-584e421a2cba</errorID>
      <errorWord>粘结</errorWord>
      <group>L1_Word</group>
      <groupName>字词问题</groupName>
      <ability>L2_Typo</ability>
      <abilityName>字词错误</abilityName>
      <candidateList>
        <item>黏结</item>
      </candidateList>
      <explain/>
      <paraID>7D94BA29</paraID>
      <start>207</start>
      <end>209</end>
      <status>unmodified</status>
      <modifiedWord/>
      <trackRevisions>false</trackRevisions>
    </reviewItem>
    <reviewItem>
      <errorID>5c3c4db3-0000-4765-96fe-c3c204e40249</errorID>
      <errorWord>粘结</errorWord>
      <group>L1_Word</group>
      <groupName>字词问题</groupName>
      <ability>L2_Typo</ability>
      <abilityName>字词错误</abilityName>
      <candidateList>
        <item>黏结</item>
      </candidateList>
      <explain/>
      <paraID>1F598699</paraID>
      <start>233</start>
      <end>235</end>
      <status>unmodified</status>
      <modifiedWord/>
      <trackRevisions>false</trackRevisions>
    </reviewItem>
    <reviewItem>
      <errorID>dca16d01-45fb-48bc-867c-53825b2acf96</errorID>
      <errorWord>计</errorWord>
      <group>L1_Word</group>
      <groupName>字词问题</groupName>
      <ability>L2_Typo</ability>
      <abilityName>字词错误</abilityName>
      <candidateList>
        <item>计算</item>
      </candidateList>
      <explain/>
      <paraID>6D151651</paraID>
      <start>24</start>
      <end>25</end>
      <status>unmodified</status>
      <modifiedWord/>
      <trackRevisions>false</trackRevisions>
    </reviewItem>
    <reviewItem>
      <errorID>d1dafc0d-2d32-4070-8495-6e4b456df8e7</errorID>
      <errorWord>)</errorWord>
      <group>L1_Format</group>
      <groupName>格式问题</groupName>
      <ability>L2_HalfPunc</ability>
      <abilityName>全半角检查</abilityName>
      <candidateList>
        <item>）</item>
      </candidateList>
      <explain>文本全半角错误。</explain>
      <paraID>13559733</paraID>
      <start>113</start>
      <end>114</end>
      <status>unmodified</status>
      <modifiedWord/>
      <trackRevisions>false</trackRevisions>
    </reviewItem>
    <reviewItem>
      <errorID>a4bb26e8-e024-4fda-a6c7-c7b583b6368f</errorID>
      <errorWord>[1999]113号</errorWord>
      <group>L1_Knowledge</group>
      <groupName>知识性问题</groupName>
      <ability>L2_Knowledge</ability>
      <abilityName>其他知识</abilityName>
      <candidateList>
        <item>〔1999〕113号</item>
      </candidateList>
      <explain>发文字号格式错误。</explain>
      <paraID>44D34F19</paraID>
      <start>29</start>
      <end>39</end>
      <status>unmodified</status>
      <modifiedWord/>
      <trackRevisions>false</trackRevisions>
    </reviewItem>
    <reviewItem>
      <errorID>07d40d90-bf67-4686-8f2c-e4587f92e496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52AD84C2</paraID>
      <start>0</start>
      <end>2</end>
      <status>unmodified</status>
      <modifiedWord/>
      <trackRevisions>false</trackRevisions>
    </reviewItem>
    <reviewItem>
      <errorID>98119463-080e-4408-9823-4244e0d88c09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2D0592F</paraID>
      <start>0</start>
      <end>2</end>
      <status>unmodified</status>
      <modifiedWord/>
      <trackRevisions>false</trackRevisions>
    </reviewItem>
    <reviewItem>
      <errorID>45dcf0ff-a71c-4ed2-aeb6-2ae0cdc94896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434BEF3A</paraID>
      <start>0</start>
      <end>2</end>
      <status>unmodified</status>
      <modifiedWord/>
      <trackRevisions>false</trackRevisions>
    </reviewItem>
    <reviewItem>
      <errorID>ab894407-bdea-4d81-af05-c38b273342e7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68CA2713</paraID>
      <start>0</start>
      <end>2</end>
      <status>unmodified</status>
      <modifiedWord/>
      <trackRevisions>false</trackRevisions>
    </reviewItem>
    <reviewItem>
      <errorID>45b845ba-4d29-4cc6-b021-e34e51a5b9f3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254BDDFF</paraID>
      <start>0</start>
      <end>2</end>
      <status>unmodified</status>
      <modifiedWord/>
      <trackRevisions>false</trackRevisions>
    </reviewItem>
    <reviewItem>
      <errorID>73440522-c22b-46f3-867d-78a85bfac2c0</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4D5755EC</paraID>
      <start>0</start>
      <end>2</end>
      <status>unmodified</status>
      <modifiedWord/>
      <trackRevisions>false</trackRevisions>
    </reviewItem>
    <reviewItem>
      <errorID>ef8c7f57-1e8b-4b9c-8333-db7b1e05bb05</errorID>
      <errorWord>根据经</errorWord>
      <group>L1_Word</group>
      <groupName>字词问题</groupName>
      <ability>L2_Typo</ability>
      <abilityName>字词错误</abilityName>
      <candidateList>
        <item>根据</item>
      </candidateList>
      <explain>❶〈介〉把某种事物作为结论的前提或语言行动的基础：～气象台的预报，明天要下雨｜～大家的意见，把计划修改一下。❷〈名〉作为根据的事物：说话要有～。❸〈动〉以某种事物为依据：财政支出必须～节约的原则。</explain>
      <paraID>3F3A526E</paraID>
      <start>0</start>
      <end>2</end>
      <status>modified</status>
      <modifiedWord>根据</modifiedWord>
      <trackRevisions>false</trackRevisions>
    </reviewItem>
    <reviewItem>
      <errorID>18eb2547-254c-42a9-9cfb-e426b5fc167a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31293029</paraID>
      <start>0</start>
      <end>2</end>
      <status>unmodified</status>
      <modifiedWord/>
      <trackRevisions>false</trackRevisions>
    </reviewItem>
    <reviewItem>
      <errorID>aa324823-129e-44d8-8a55-820c26280015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5F591367</paraID>
      <start>0</start>
      <end>2</end>
      <status>unmodified</status>
      <modifiedWord/>
      <trackRevisions>false</trackRevisions>
    </reviewItem>
    <reviewItem>
      <errorID>c3903407-fb26-4a94-89b0-1ad14e0d2a12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1F77DA20</paraID>
      <start>0</start>
      <end>2</end>
      <status>unmodified</status>
      <modifiedWord/>
      <trackRevisions>false</trackRevisions>
    </reviewItem>
    <reviewItem>
      <errorID>f845c801-1a94-40c3-90a6-3a753cdd0d0c</errorID>
      <errorWord>[2019]132号</errorWord>
      <group>L1_Knowledge</group>
      <groupName>知识性问题</groupName>
      <ability>L2_Knowledge</ability>
      <abilityName>其他知识</abilityName>
      <candidateList>
        <item>〔2019〕132号</item>
      </candidateList>
      <explain>发文字号格式错误。</explain>
      <paraID>200C305B</paraID>
      <start>37</start>
      <end>47</end>
      <status>unmodified</status>
      <modifiedWord/>
      <trackRevisions>false</trackRevisions>
    </reviewItem>
    <reviewItem>
      <errorID>9db82f53-4829-4e88-ae40-8c41229b32ee</errorID>
      <errorWord>，</errorWord>
      <group>L1_Word</group>
      <groupName>字词问题</groupName>
      <ability>L2_Typo</ability>
      <abilityName>字词错误</abilityName>
      <candidateList>
        <item>，对</item>
      </candidateList>
      <explain/>
      <paraID>200C305B</paraID>
      <start>156</start>
      <end>157</end>
      <status>unmodified</status>
      <modifiedWord/>
      <trackRevisions>false</trackRevisions>
    </reviewItem>
    <reviewItem>
      <errorID>a69106b8-e6be-4c06-9a04-2a5d17fcc802</errorID>
      <errorWord>：</errorWord>
      <group>L1_Format</group>
      <groupName>格式问题</groupName>
      <ability>L2_HalfPunc</ability>
      <abilityName>全半角检查</abilityName>
      <candidateList>
        <item>:</item>
      </candidateList>
      <explain>文本全半角错误。</explain>
      <paraID>5178A690</paraID>
      <start>123</start>
      <end>124</end>
      <status>unmodified</status>
      <modifiedWord/>
      <trackRevisions>false</trackRevisions>
    </reviewItem>
    <reviewItem>
      <errorID>f0d18d48-a25f-4675-9156-4f9a19a85b4d</errorID>
      <errorWord>粘结</errorWord>
      <group>L1_Word</group>
      <groupName>字词问题</groupName>
      <ability>L2_Typo</ability>
      <abilityName>字词错误</abilityName>
      <candidateList>
        <item>黏结</item>
      </candidateList>
      <explain>存在发音相同字词的误用。</explain>
      <paraID>1353F0C7</paraID>
      <start>13</start>
      <end>15</end>
      <status>unmodified</status>
      <modifiedWord/>
      <trackRevisions>false</trackRevisions>
    </reviewItem>
    <reviewItem>
      <errorID>82cfe0a0-8b69-43be-80e9-6f7f445c1e2f</errorID>
      <errorWord>粘结</errorWord>
      <group>L1_Word</group>
      <groupName>字词问题</groupName>
      <ability>L2_Typo</ability>
      <abilityName>字词错误</abilityName>
      <candidateList>
        <item>黏结</item>
      </candidateList>
      <explain/>
      <paraID>5C7BA8ED</paraID>
      <start>13</start>
      <end>15</end>
      <status>unmodified</status>
      <modifiedWord/>
      <trackRevisions>false</trackRevisions>
    </reviewItem>
    <reviewItem>
      <errorID>76d20b8a-b75e-442f-a766-1143898852b5</errorID>
      <errorWord>粘结</errorWord>
      <group>L1_Word</group>
      <groupName>字词问题</groupName>
      <ability>L2_Typo</ability>
      <abilityName>字词错误</abilityName>
      <candidateList>
        <item>黏结</item>
      </candidateList>
      <explain/>
      <paraID>7E8930A1</paraID>
      <start>233</start>
      <end>235</end>
      <status>unmodified</status>
      <modifiedWord/>
      <trackRevisions>false</trackRevisions>
    </reviewItem>
    <reviewItem>
      <errorID>f5566939-d1bb-4d67-b83e-374a46fd66f2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6DBDA2B2</paraID>
      <start>6</start>
      <end>8</end>
      <status>unmodified</status>
      <modifiedWord/>
      <trackRevisions>false</trackRevisions>
    </reviewItem>
    <reviewItem>
      <errorID>cc9e1d6c-5738-4dd1-8fa8-975d17b4335d</errorID>
      <errorWord>-</errorWord>
      <group>L1_Format</group>
      <groupName>格式问题</groupName>
      <ability>L2_HalfPunc</ability>
      <abilityName>全半角检查</abilityName>
      <candidateList>
        <item>－</item>
      </candidateList>
      <explain>文本全半角错误。</explain>
      <paraID> C314BC9</paraID>
      <start>184</start>
      <end>185</end>
      <status>unmodified</status>
      <modifiedWord/>
      <trackRevisions>false</trackRevisions>
    </reviewItem>
    <reviewItem>
      <errorID>75764ab6-5a25-4880-aa53-ae2b1a1e64c0</errorID>
      <errorWord>，</errorWord>
      <group>L1_Word</group>
      <groupName>字词问题</groupName>
      <ability>L2_Typo</ability>
      <abilityName>字词错误</abilityName>
      <candidateList>
        <item>，其</item>
      </candidateList>
      <explain/>
      <paraID>3F97F19E</paraID>
      <start>52</start>
      <end>53</end>
      <status>unmodified</status>
      <modifiedWord/>
      <trackRevisions>false</trackRevisions>
    </reviewItem>
    <reviewItem>
      <errorID>b3a452be-eb62-44cb-ada9-ad934249e060</errorID>
      <errorWord>粘结</errorWord>
      <group>L1_Word</group>
      <groupName>字词问题</groupName>
      <ability>L2_Typo</ability>
      <abilityName>字词错误</abilityName>
      <candidateList>
        <item>黏结</item>
      </candidateList>
      <explain/>
      <paraID>6BDE5F20</paraID>
      <start>3</start>
      <end>5</end>
      <status>unmodified</status>
      <modifiedWord/>
      <trackRevisions>false</trackRevisions>
    </reviewItem>
    <reviewItem>
      <errorID>a6d5178f-48c3-4fa8-b153-16c4cf9bd60b</errorID>
      <errorWord>粘结</errorWord>
      <group>L1_Word</group>
      <groupName>字词问题</groupName>
      <ability>L2_Typo</ability>
      <abilityName>字词错误</abilityName>
      <candidateList>
        <item>黏结</item>
      </candidateList>
      <explain/>
      <paraID> CD44C88</paraID>
      <start>3</start>
      <end>5</end>
      <status>unmodified</status>
      <modifiedWord/>
      <trackRevisions>false</trackRevisions>
    </reviewItem>
    <reviewItem>
      <errorID>05dbfbe2-a28b-4031-a411-9046ee964ce1</errorID>
      <errorWord>90-99.5%</errorWord>
      <group>L1_Knowledge</group>
      <groupName>知识性问题</groupName>
      <ability>L2_Knowledge</ability>
      <abilityName>其他知识</abilityName>
      <candidateList>
        <item>90%—99.5%</item>
      </candidateList>
      <explain>1. “90-99.5%”中的单位“%”仅出现在后一个数字上，容易引起歧义；根据《现代汉语标点符号数字用法规范手册》，数字表示范围两边需要使用统一的格式。2. 根据标点国标 4.13 中的规则，数字、时间或地域连接符应使用（视觉上更长的）“—”或“～”。</explain>
      <paraID> CD44C88</paraID>
      <start>29</start>
      <end>37</end>
      <status>unmodified</status>
      <modifiedWord/>
      <trackRevisions>false</trackRevisions>
    </reviewItem>
    <reviewItem>
      <errorID>376d8a36-5e28-4d00-8c1f-b2a7d605881f</errorID>
      <errorWord>0-9.5%</errorWord>
      <group>L1_Knowledge</group>
      <groupName>知识性问题</groupName>
      <ability>L2_Knowledge</ability>
      <abilityName>其他知识</abilityName>
      <candidateList>
        <item>0—9.5%</item>
      </candidateList>
      <explain>1. “0-9.5%”中的单位“%”仅出现在后一个数字上，容易引起歧义；根据《现代汉语标点符号数字用法规范手册》，数字表示范围两边需要使用统一的格式。2. 根据标点国标 4.13 中的规则，数字、时间或地域连接符应使用（视觉上更长的）“—”或“～”。</explain>
      <paraID> CD44C88</paraID>
      <start>46</start>
      <end>52</end>
      <status>unmodified</status>
      <modifiedWord/>
      <trackRevisions>false</trackRevisions>
    </reviewItem>
    <reviewItem>
      <errorID>b24de4ac-f5cf-43cf-b70c-904502e84a25</errorID>
      <errorWord>0-0.5%</errorWord>
      <group>L1_Knowledge</group>
      <groupName>知识性问题</groupName>
      <ability>L2_Knowledge</ability>
      <abilityName>其他知识</abilityName>
      <candidateList>
        <item>0—0.5%</item>
      </candidateList>
      <explain>1. “0-0.5%”中的单位“%”仅出现在后一个数字上，容易引起歧义；根据《现代汉语标点符号数字用法规范手册》，数字表示范围两边需要使用统一的格式。2. 根据标点国标 4.13 中的规则，数字、时间或地域连接符应使用（视觉上更长的）“—”或“～”。</explain>
      <paraID> CD44C88</paraID>
      <start>55</start>
      <end>61</end>
      <status>unmodified</status>
      <modifiedWord/>
      <trackRevisions>false</trackRevisions>
    </reviewItem>
    <reviewItem>
      <errorID>cb31b852-1f47-4417-ada9-0864afdb1ee4</errorID>
      <errorWord>胶粘剂</errorWord>
      <group>L1_Word</group>
      <groupName>字词问题</groupName>
      <ability>L2_Typo</ability>
      <abilityName>字词错误</abilityName>
      <candidateList>
        <item>胶黏剂</item>
      </candidateList>
      <explain/>
      <paraID> CD44C88</paraID>
      <start>75</start>
      <end>78</end>
      <status>unmodified</status>
      <modifiedWord/>
      <trackRevisions>false</trackRevisions>
    </reviewItem>
    <reviewItem>
      <errorID>101012d0-4119-4e6a-8f28-c1ec8262eeda</errorID>
      <errorWord>粘结</errorWord>
      <group>L1_Word</group>
      <groupName>字词问题</groupName>
      <ability>L2_Typo</ability>
      <abilityName>字词错误</abilityName>
      <candidateList>
        <item>黏结</item>
      </candidateList>
      <explain/>
      <paraID> CD44C88</paraID>
      <start>160</start>
      <end>162</end>
      <status>unmodified</status>
      <modifiedWord/>
      <trackRevisions>false</trackRevisions>
    </reviewItem>
    <reviewItem>
      <errorID>b3f9a3ae-5f88-41e1-9f84-76cb3d63e70e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7F31F2EE</paraID>
      <start>0</start>
      <end>2</end>
      <status>unmodified</status>
      <modifiedWord/>
      <trackRevisions>false</trackRevisions>
    </reviewItem>
    <reviewItem>
      <errorID>13a8e528-a442-4ad2-8e52-42f3ad468faf</errorID>
      <errorWord>粘结</errorWord>
      <group>L1_Word</group>
      <groupName>字词问题</groupName>
      <ability>L2_Typo</ability>
      <abilityName>字词错误</abilityName>
      <candidateList>
        <item>黏结</item>
      </candidateList>
      <explain>存在发音相同字词的误用。</explain>
      <paraID>4790481F</paraID>
      <start>14</start>
      <end>16</end>
      <status>unmodified</status>
      <modifiedWord/>
      <trackRevisions>false</trackRevisions>
    </reviewItem>
    <reviewItem>
      <errorID>c0477c49-a24a-4481-95f0-2ff0f3917d60</errorID>
      <errorWord>粘结</errorWord>
      <group>L1_Word</group>
      <groupName>字词问题</groupName>
      <ability>L2_Typo</ability>
      <abilityName>字词错误</abilityName>
      <candidateList>
        <item>黏结</item>
      </candidateList>
      <explain/>
      <paraID>39218634</paraID>
      <start>13</start>
      <end>15</end>
      <status>unmodified</status>
      <modifiedWord/>
      <trackRevisions>false</trackRevisions>
    </reviewItem>
    <reviewItem>
      <errorID>8ade87ad-b611-4a5f-975a-6e77626cdd1d</errorID>
      <errorWord>粘结</errorWord>
      <group>L1_Word</group>
      <groupName>字词问题</groupName>
      <ability>L2_Typo</ability>
      <abilityName>字词错误</abilityName>
      <candidateList>
        <item>黏结</item>
      </candidateList>
      <explain>存在发音相同字词的误用。</explain>
      <paraID>3904DD12</paraID>
      <start>60</start>
      <end>62</end>
      <status>unmodified</status>
      <modifiedWord/>
      <trackRevisions>false</trackRevisions>
    </reviewItem>
    <reviewItem>
      <errorID>8bfd53f9-8744-45c2-a61c-e6d20e00c5be</errorID>
      <errorWord>粘结</errorWord>
      <group>L1_Word</group>
      <groupName>字词问题</groupName>
      <ability>L2_Typo</ability>
      <abilityName>字词错误</abilityName>
      <candidateList>
        <item>黏结</item>
      </candidateList>
      <explain/>
      <paraID>3904DD12</paraID>
      <start>136</start>
      <end>138</end>
      <status>unmodified</status>
      <modifiedWord/>
      <trackRevisions>false</trackRevisions>
    </reviewItem>
    <reviewItem>
      <errorID>23b241cb-c1ec-4edd-919d-8cabe45d99f7</errorID>
      <errorWord>粘结</errorWord>
      <group>L1_Word</group>
      <groupName>字词问题</groupName>
      <ability>L2_Typo</ability>
      <abilityName>字词错误</abilityName>
      <candidateList>
        <item>黏结</item>
      </candidateList>
      <explain>存在发音相同字词的误用。</explain>
      <paraID>5C4FE7E7</paraID>
      <start>6</start>
      <end>8</end>
      <status>unmodified</status>
      <modifiedWord/>
      <trackRevisions>false</trackRevisions>
    </reviewItem>
    <reviewItem>
      <errorID>b046baca-f02e-4c3a-be58-4f961bf79e0d</errorID>
      <errorWord>粘结</errorWord>
      <group>L1_Word</group>
      <groupName>字词问题</groupName>
      <ability>L2_Typo</ability>
      <abilityName>字词错误</abilityName>
      <candidateList>
        <item>黏结</item>
      </candidateList>
      <explain/>
      <paraID>7C753990</paraID>
      <start>180</start>
      <end>182</end>
      <status>unmodified</status>
      <modifiedWord/>
      <trackRevisions>false</trackRevisions>
    </reviewItem>
    <reviewItem>
      <errorID>f6cb5b53-7bd7-4626-b57f-90f2f9491b6f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461E9BD1</paraID>
      <start>0</start>
      <end>2</end>
      <status>unmodified</status>
      <modifiedWord/>
      <trackRevisions>false</trackRevisions>
    </reviewItem>
    <reviewItem>
      <errorID>b9004772-f87e-467e-bebc-e89709f6f9e1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7FED60D3</paraID>
      <start>0</start>
      <end>2</end>
      <status>unmodified</status>
      <modifiedWord/>
      <trackRevisions>false</trackRevisions>
    </reviewItem>
    <reviewItem>
      <errorID>8dd6ffce-0ae1-4343-bc9c-1a309374a6b9</errorID>
      <errorWord>：</errorWord>
      <group>L1_Format</group>
      <groupName>格式问题</groupName>
      <ability>L2_HalfPunc</ability>
      <abilityName>全半角检查</abilityName>
      <candidateList>
        <item>:</item>
      </candidateList>
      <explain>文本全半角错误。</explain>
      <paraID>61B236EE</paraID>
      <start>126</start>
      <end>127</end>
      <status>unmodified</status>
      <modifiedWord/>
      <trackRevisions>false</trackRevisions>
    </reviewItem>
    <reviewItem>
      <errorID>3ed4c4b0-f2a0-455a-b9a2-4c26f28c80dd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97D68E9</paraID>
      <start>0</start>
      <end>2</end>
      <status>unmodified</status>
      <modifiedWord/>
      <trackRevisions>false</trackRevisions>
    </reviewItem>
    <reviewItem>
      <errorID>6e7c474f-f58f-4dfb-bbcd-66c0cd183133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1806935B</paraID>
      <start>0</start>
      <end>2</end>
      <status>unmodified</status>
      <modifiedWord/>
      <trackRevisions>false</trackRevisions>
    </reviewItem>
    <reviewItem>
      <errorID>e49b57f9-8529-4c0b-940e-360616add47e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4B99E3B1</paraID>
      <start>0</start>
      <end>2</end>
      <status>unmodified</status>
      <modifiedWord/>
      <trackRevisions>false</trackRevisions>
    </reviewItem>
    <reviewItem>
      <errorID>09fe8f37-6450-41b3-b107-29eb5ff78758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6FD3259F</paraID>
      <start>0</start>
      <end>2</end>
      <status>unmodified</status>
      <modifiedWord/>
      <trackRevisions>false</trackRevisions>
    </reviewItem>
    <reviewItem>
      <errorID>2ad5b377-9fc5-41c9-a9b1-f646681697c5</errorID>
      <errorWord>减震</errorWord>
      <group>L1_Word</group>
      <groupName>字词问题</groupName>
      <ability>L2_Typo</ability>
      <abilityName>字词错误</abilityName>
      <candidateList>
        <item>减振</item>
      </candidateList>
      <explain>存在发音相同字词的误用。</explain>
      <paraID>45E120A0</paraID>
      <start>19</start>
      <end>21</end>
      <status>unmodified</status>
      <modifiedWord/>
      <trackRevisions>false</trackRevisions>
    </reviewItem>
    <reviewItem>
      <errorID>1740e55c-47aa-4dca-9453-d1e60f9525e1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1A8EE04E</paraID>
      <start>0</start>
      <end>2</end>
      <status>unmodified</status>
      <modifiedWord/>
      <trackRevisions>false</trackRevisions>
    </reviewItem>
    <reviewItem>
      <errorID>4d61a2dd-e7e6-49a9-a2b4-276f2c4b7761</errorID>
      <errorWord>，</errorWord>
      <group>L1_Word</group>
      <groupName>字词问题</groupName>
      <ability>L2_Typo</ability>
      <abilityName>字词错误</abilityName>
      <candidateList>
        <item>，采</item>
      </candidateList>
      <explain/>
      <paraID>6D44E32A</paraID>
      <start>48</start>
      <end>49</end>
      <status>unmodified</status>
      <modifiedWord/>
      <trackRevisions>false</trackRevisions>
    </reviewItem>
    <reviewItem>
      <errorID>42a5157f-25aa-4d83-bf0c-c736bc29364a</errorID>
      <errorWord>（</errorWord>
      <group>L1_Format</group>
      <groupName>格式问题</groupName>
      <ability>L2_HalfPunc</ability>
      <abilityName>全半角检查</abilityName>
      <candidateList>
        <item>(</item>
      </candidateList>
      <explain>文本全半角错误。</explain>
      <paraID>15B57969</paraID>
      <start>23</start>
      <end>24</end>
      <status>unmodified</status>
      <modifiedWord/>
      <trackRevisions>false</trackRevisions>
    </reviewItem>
    <reviewItem>
      <errorID>dd93dadf-bb5b-4570-a2f2-b3f5bff036ad</errorID>
      <errorWord>）</errorWord>
      <group>L1_Format</group>
      <groupName>格式问题</groupName>
      <ability>L2_HalfPunc</ability>
      <abilityName>全半角检查</abilityName>
      <candidateList>
        <item>)</item>
      </candidateList>
      <explain>文本全半角错误。</explain>
      <paraID>15B57969</paraID>
      <start>27</start>
      <end>28</end>
      <status>unmodified</status>
      <modifiedWord/>
      <trackRevisions>false</trackRevisions>
    </reviewItem>
    <reviewItem>
      <errorID>5424985a-c3dc-4097-b0aa-76a3679a1662</errorID>
      <errorWord>:</errorWord>
      <group>L1_Format</group>
      <groupName>格式问题</groupName>
      <ability>L2_HalfPunc</ability>
      <abilityName>全半角检查</abilityName>
      <candidateList>
        <item>：</item>
      </candidateList>
      <explain>文本全半角错误。</explain>
      <paraID>761A8E70</paraID>
      <start>11</start>
      <end>12</end>
      <status>unmodified</status>
      <modifiedWord/>
      <trackRevisions>false</trackRevisions>
    </reviewItem>
    <reviewItem>
      <errorID>29cc78af-9713-417a-9edb-a71526cb4a30</errorID>
      <errorWord>;</errorWord>
      <group>L1_Format</group>
      <groupName>格式问题</groupName>
      <ability>L2_HalfPunc</ability>
      <abilityName>全半角检查</abilityName>
      <candidateList>
        <item>；</item>
      </candidateList>
      <explain>文本全半角错误。</explain>
      <paraID>6A971F48</paraID>
      <start>23</start>
      <end>24</end>
      <status>unmodified</status>
      <modifiedWord/>
      <trackRevisions>false</trackRevisions>
    </reviewItem>
    <reviewItem>
      <errorID>d9a99448-8f3a-48f5-ba0e-e5e7a0268097</errorID>
      <errorWord>（</errorWord>
      <group>L1_Format</group>
      <groupName>格式问题</groupName>
      <ability>L2_HalfPunc</ability>
      <abilityName>全半角检查</abilityName>
      <candidateList>
        <item>(</item>
      </candidateList>
      <explain>文本全半角错误。</explain>
      <paraID>2A257E85</paraID>
      <start>39</start>
      <end>40</end>
      <status>unmodified</status>
      <modifiedWord/>
      <trackRevisions>false</trackRevisions>
    </reviewItem>
    <reviewItem>
      <errorID>1f612f9c-7546-4670-b9dc-b7346ce5703d</errorID>
      <errorWord>）</errorWord>
      <group>L1_Format</group>
      <groupName>格式问题</groupName>
      <ability>L2_HalfPunc</ability>
      <abilityName>全半角检查</abilityName>
      <candidateList>
        <item>)</item>
      </candidateList>
      <explain>文本全半角错误。</explain>
      <paraID>2A257E85</paraID>
      <start>43</start>
      <end>44</end>
      <status>unmodified</status>
      <modifiedWord/>
      <trackRevisions>false</trackRevisions>
    </reviewItem>
    <reviewItem>
      <errorID>bc6fb71d-d2a0-4cfa-af8c-f9fcf8874ec7</errorID>
      <errorWord>a、</errorWord>
      <group>L1_Format</group>
      <groupName>格式问题</groupName>
      <ability>L2_Ordinal</ability>
      <abilityName>序号格式</abilityName>
      <candidateList>
        <item>a.</item>
      </candidateList>
      <explain>当前序号格式不规范，建议修改为规范格式[a.]。</explain>
      <paraID>65C7E1ED</paraID>
      <start>0</start>
      <end>2</end>
      <status>unmodified</status>
      <modifiedWord/>
      <trackRevisions>false</trackRevisions>
    </reviewItem>
    <reviewItem>
      <errorID>6a6e0639-a4e8-476e-8189-b72b438909ce</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6B457782</paraID>
      <start>0</start>
      <end>2</end>
      <status>unmodified</status>
      <modifiedWord/>
      <trackRevisions>false</trackRevisions>
    </reviewItem>
    <reviewItem>
      <errorID>95f2a599-7337-490f-adce-3cc5fbec470f</errorID>
      <errorWord>其它</errorWord>
      <group>L1_Word</group>
      <groupName>字词问题</groupName>
      <ability>L2_Alias</ability>
      <abilityName>也作/曾用词</abilityName>
      <candidateList>
        <item>其他</item>
      </candidateList>
      <explain>词汇[其它]为不规范表述或旧称，其规范书面表述为[其他]。</explain>
      <paraID>3187D532</paraID>
      <start>16</start>
      <end>18</end>
      <status>unmodified</status>
      <modifiedWord/>
      <trackRevisions>false</trackRevisions>
    </reviewItem>
    <reviewItem>
      <errorID>3492a7c4-49d4-4447-a188-8f4644e54bd1</errorID>
      <errorWord>（</errorWord>
      <group>L1_Punc</group>
      <groupName>标点问题</groupName>
      <ability>L2_Punc</ability>
      <abilityName>标点符号检查</abilityName>
      <candidateList/>
      <explain>同一形式括号套用。</explain>
      <paraID>63D2F78A</paraID>
      <start>70</start>
      <end>71</end>
      <status>unmodified</status>
      <modifiedWord/>
      <trackRevisions>false</trackRevisions>
    </reviewItem>
    <reviewItem>
      <errorID>52da8bb1-f765-46f7-a3b3-73975f4cc8f8</errorID>
      <errorWord>）</errorWord>
      <group>L1_Punc</group>
      <groupName>标点问题</groupName>
      <ability>L2_Punc</ability>
      <abilityName>标点符号检查</abilityName>
      <candidateList/>
      <explain>同一形式括号套用。</explain>
      <paraID>63D2F78A</paraID>
      <start>72</start>
      <end>73</end>
      <status>unmodified</status>
      <modifiedWord/>
      <trackRevisions>false</trackRevisions>
    </reviewItem>
    <reviewItem>
      <errorID>49dbc33b-3b18-466a-96cf-a21b9538e06f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2F47CFEA</paraID>
      <start>0</start>
      <end>2</end>
      <status>unmodified</status>
      <modifiedWord/>
      <trackRevisions>false</trackRevisions>
    </reviewItem>
    <reviewItem>
      <errorID>24d6961a-5efa-4914-9a1c-9172d457067a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46DCF38C</paraID>
      <start>0</start>
      <end>2</end>
      <status>unmodified</status>
      <modifiedWord/>
      <trackRevisions>false</trackRevisions>
    </reviewItem>
    <reviewItem>
      <errorID>102e1cc6-35c9-42c1-a2d9-bd9b6707f48e</errorID>
      <errorWord>)</errorWord>
      <group>L1_Format</group>
      <groupName>格式问题</groupName>
      <ability>L2_HalfPunc</ability>
      <abilityName>全半角检查</abilityName>
      <candidateList>
        <item>）</item>
      </candidateList>
      <explain>文本全半角错误。</explain>
      <paraID>1797EB93</paraID>
      <start>113</start>
      <end>114</end>
      <status>unmodified</status>
      <modifiedWord/>
      <trackRevisions>false</trackRevisions>
    </reviewItem>
    <reviewItem>
      <errorID>f4c7df81-a194-4a94-a593-58368f159460</errorID>
      <errorWord>[2017]43号</errorWord>
      <group>L1_Knowledge</group>
      <groupName>知识性问题</groupName>
      <ability>L2_Knowledge</ability>
      <abilityName>其他知识</abilityName>
      <candidateList>
        <item>〔2017〕43号</item>
      </candidateList>
      <explain>发文字号格式错误。</explain>
      <paraID> 8ACC773</paraID>
      <start>26</start>
      <end>35</end>
      <status>unmodified</status>
      <modifiedWord/>
      <trackRevisions>false</trackRevisions>
    </reviewItem>
    <reviewItem>
      <errorID>3ff32894-e67f-4558-8abb-e3cdc067e82f</errorID>
      <errorWord>，</errorWord>
      <group>L1_Format</group>
      <groupName>格式问题</groupName>
      <ability>L2_HalfPunc</ability>
      <abilityName>全半角检查</abilityName>
      <candidateList>
        <item>,</item>
      </candidateList>
      <explain>文本全半角错误。</explain>
      <paraID>38BF32B0</paraID>
      <start>3</start>
      <end>4</end>
      <status>unmodified</status>
      <modifiedWord/>
      <trackRevisions>false</trackRevisions>
    </reviewItem>
    <reviewItem>
      <errorID>870ae0a1-4c08-4d65-84fd-4cfac8b17d61</errorID>
      <errorWord>，</errorWord>
      <group>L1_Format</group>
      <groupName>格式问题</groupName>
      <ability>L2_HalfPunc</ability>
      <abilityName>全半角检查</abilityName>
      <candidateList>
        <item>,</item>
      </candidateList>
      <explain>文本全半角错误。</explain>
      <paraID>438AAB42</paraID>
      <start>3</start>
      <end>4</end>
      <status>unmodified</status>
      <modifiedWord/>
      <trackRevisions>false</trackRevisions>
    </reviewItem>
    <reviewItem>
      <errorID>b056ea48-11c9-4918-bb60-e10eace8fcea</errorID>
      <errorWord>，</errorWord>
      <group>L1_Format</group>
      <groupName>格式问题</groupName>
      <ability>L2_HalfPunc</ability>
      <abilityName>全半角检查</abilityName>
      <candidateList>
        <item>,</item>
      </candidateList>
      <explain>文本全半角错误。</explain>
      <paraID>76712E6F</paraID>
      <start>3</start>
      <end>4</end>
      <status>unmodified</status>
      <modifiedWord/>
      <trackRevisions>false</trackRevisions>
    </reviewItem>
    <reviewItem>
      <errorID>5ec69dfd-a408-4fed-8de5-90f5719eda00</errorID>
      <errorWord>，</errorWord>
      <group>L1_Format</group>
      <groupName>格式问题</groupName>
      <ability>L2_HalfPunc</ability>
      <abilityName>全半角检查</abilityName>
      <candidateList>
        <item>,</item>
      </candidateList>
      <explain>文本全半角错误。</explain>
      <paraID>368025F0</paraID>
      <start>3</start>
      <end>4</end>
      <status>unmodified</status>
      <modifiedWord/>
      <trackRevisions>false</trackRevisions>
    </reviewItem>
    <reviewItem>
      <errorID>724dd1d8-8f77-415a-9616-71d0582fc45e</errorID>
      <errorWord>，</errorWord>
      <group>L1_Format</group>
      <groupName>格式问题</groupName>
      <ability>L2_HalfPunc</ability>
      <abilityName>全半角检查</abilityName>
      <candidateList>
        <item>,</item>
      </candidateList>
      <explain>文本全半角错误。</explain>
      <paraID>7A3E2719</paraID>
      <start>3</start>
      <end>4</end>
      <status>unmodified</status>
      <modifiedWord/>
      <trackRevisions>false</trackRevisions>
    </reviewItem>
    <reviewItem>
      <errorID>f25a4239-1b0e-42bc-b807-cdd2b8272e97</errorID>
      <errorWord>，</errorWord>
      <group>L1_Format</group>
      <groupName>格式问题</groupName>
      <ability>L2_HalfPunc</ability>
      <abilityName>全半角检查</abilityName>
      <candidateList>
        <item>,</item>
      </candidateList>
      <explain>文本全半角错误。</explain>
      <paraID>72EDFE7F</paraID>
      <start>3</start>
      <end>4</end>
      <status>unmodified</status>
      <modifiedWord/>
      <trackRevisions>false</trackRevisions>
    </reviewItem>
    <reviewItem>
      <errorID>59306eec-ea8f-42c3-a339-a6cee9acefe8</errorID>
      <errorWord>，</errorWord>
      <group>L1_Format</group>
      <groupName>格式问题</groupName>
      <ability>L2_HalfPunc</ability>
      <abilityName>全半角检查</abilityName>
      <candidateList>
        <item>,</item>
      </candidateList>
      <explain>文本全半角错误。</explain>
      <paraID>4A976894</paraID>
      <start>3</start>
      <end>4</end>
      <status>unmodified</status>
      <modifiedWord/>
      <trackRevisions>false</trackRevisions>
    </reviewItem>
    <reviewItem>
      <errorID>627509b2-dd73-4edc-980a-8bb58bb042c4</errorID>
      <errorWord>，</errorWord>
      <group>L1_Format</group>
      <groupName>格式问题</groupName>
      <ability>L2_HalfPunc</ability>
      <abilityName>全半角检查</abilityName>
      <candidateList>
        <item>,</item>
      </candidateList>
      <explain>文本全半角错误。</explain>
      <paraID>1D27DF79</paraID>
      <start>4</start>
      <end>5</end>
      <status>unmodified</status>
      <modifiedWord/>
      <trackRevisions>false</trackRevisions>
    </reviewItem>
    <reviewItem>
      <errorID>277b9cfd-ce60-40fd-bcac-bbca012a38f6</errorID>
      <errorWord>，</errorWord>
      <group>L1_Format</group>
      <groupName>格式问题</groupName>
      <ability>L2_HalfPunc</ability>
      <abilityName>全半角检查</abilityName>
      <candidateList>
        <item>,</item>
      </candidateList>
      <explain>文本全半角错误。</explain>
      <paraID> 812FE2D</paraID>
      <start>3</start>
      <end>4</end>
      <status>unmodified</status>
      <modifiedWord/>
      <trackRevisions>false</trackRevisions>
    </reviewItem>
    <reviewItem>
      <errorID>a4852d78-0f28-4ef3-bd92-5921310d777f</errorID>
      <errorWord>，</errorWord>
      <group>L1_Format</group>
      <groupName>格式问题</groupName>
      <ability>L2_HalfPunc</ability>
      <abilityName>全半角检查</abilityName>
      <candidateList>
        <item>,</item>
      </candidateList>
      <explain>文本全半角错误。</explain>
      <paraID>1C5BAEE9</paraID>
      <start>4</start>
      <end>5</end>
      <status>unmodified</status>
      <modifiedWord/>
      <trackRevisions>false</trackRevisions>
    </reviewItem>
    <reviewItem>
      <errorID>f8c23305-4b22-4816-aaff-8782aa8f02f4</errorID>
      <errorWord>，</errorWord>
      <group>L1_Format</group>
      <groupName>格式问题</groupName>
      <ability>L2_HalfPunc</ability>
      <abilityName>全半角检查</abilityName>
      <candidateList>
        <item>,</item>
      </candidateList>
      <explain>文本全半角错误。</explain>
      <paraID>5C701442</paraID>
      <start>4</start>
      <end>5</end>
      <status>unmodified</status>
      <modifiedWord/>
      <trackRevisions>false</trackRevisions>
    </reviewItem>
    <reviewItem>
      <errorID>2e798f8f-9b11-413c-90e1-9124c7bb7a16</errorID>
      <errorWord>情况及</errorWord>
      <group>L1_Word</group>
      <groupName>字词问题</groupName>
      <ability>L2_Typo</ability>
      <abilityName>字词错误</abilityName>
      <candidateList>
        <item>情况</item>
      </candidateList>
      <explain>〈名〉❶情形：思想～｜工作～｜～特殊。❷指军事上的变化，泛指事情的变化、动向：这两天前线没有什么～｜他俩的关系最近又有了新的～。</explain>
      <paraID> C3C9AE1</paraID>
      <start>9</start>
      <end>12</end>
      <status>unmodified</status>
      <modifiedWord/>
      <trackRevisions>false</trackRevisions>
    </reviewItem>
    <reviewItem>
      <errorID>deb0ae40-b3c5-48ef-84f7-b1f5b150afc4</errorID>
      <errorWord>，</errorWord>
      <group>L1_Format</group>
      <groupName>格式问题</groupName>
      <ability>L2_HalfPunc</ability>
      <abilityName>全半角检查</abilityName>
      <candidateList>
        <item>,</item>
      </candidateList>
      <explain>文本全半角错误。</explain>
      <paraID>5E2430FE</paraID>
      <start>4</start>
      <end>5</end>
      <status>unmodified</status>
      <modifiedWord/>
      <trackRevisions>false</trackRevisions>
    </reviewItem>
    <reviewItem>
      <errorID>7453fd7c-f902-4566-8308-940c8ce423bc</errorID>
      <errorWord>，</errorWord>
      <group>L1_Format</group>
      <groupName>格式问题</groupName>
      <ability>L2_HalfPunc</ability>
      <abilityName>全半角检查</abilityName>
      <candidateList>
        <item>,</item>
      </candidateList>
      <explain>文本全半角错误。</explain>
      <paraID>1286C357</paraID>
      <start>4</start>
      <end>5</end>
      <status>unmodified</status>
      <modifiedWord/>
      <trackRevisions>false</trackRevisions>
    </reviewItem>
    <reviewItem>
      <errorID>b93148b0-b6b7-44db-81e7-bcb94aea83c2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680D5EEE</paraID>
      <start>0</start>
      <end>2</end>
      <status>unmodified</status>
      <modifiedWord/>
      <trackRevisions>false</trackRevisions>
    </reviewItem>
    <reviewItem>
      <errorID>95c0762b-21ac-4a71-8a8a-d572f319e809</errorID>
      <errorWord>严谨烟火</errorWord>
      <group>L1_Word</group>
      <groupName>字词问题</groupName>
      <ability>L2_Typo</ability>
      <abilityName>字词错误</abilityName>
      <candidateList>
        <item>严禁烟火</item>
      </candidateList>
      <explain/>
      <paraID>5D11B133</paraID>
      <start>135</start>
      <end>139</end>
      <status>unmodified</status>
      <modifiedWord/>
      <trackRevisions>false</trackRevisions>
    </reviewItem>
    <reviewItem>
      <errorID>0f6a7b26-5419-4534-ae51-95e737f09dfa</errorID>
      <errorWord>，</errorWord>
      <group>L1_Format</group>
      <groupName>格式问题</groupName>
      <ability>L2_HalfPunc</ability>
      <abilityName>全半角检查</abilityName>
      <candidateList>
        <item>,</item>
      </candidateList>
      <explain>文本全半角错误。</explain>
      <paraID>7391F5CE</paraID>
      <start>4</start>
      <end>5</end>
      <status>unmodified</status>
      <modifiedWord/>
      <trackRevisions>false</trackRevisions>
    </reviewItem>
    <reviewItem>
      <errorID>66fba911-6d9f-4a49-93c8-baebba5942df</errorID>
      <errorWord>，</errorWord>
      <group>L1_Format</group>
      <groupName>格式问题</groupName>
      <ability>L2_HalfPunc</ability>
      <abilityName>全半角检查</abilityName>
      <candidateList>
        <item>,</item>
      </candidateList>
      <explain>文本全半角错误。</explain>
      <paraID>3134810F</paraID>
      <start>4</start>
      <end>5</end>
      <status>unmodified</status>
      <modifiedWord/>
      <trackRevisions>false</trackRevisions>
    </reviewItem>
    <reviewItem>
      <errorID>1a9095a3-5d5c-44a6-8448-2ba978e921ae</errorID>
      <errorWord>作好</errorWord>
      <group>L1_Word</group>
      <groupName>字词问题</groupName>
      <ability>L2_Typo</ability>
      <abilityName>字词错误</abilityName>
      <candidateList>
        <item>做好</item>
      </candidateList>
      <explain>存在发音相同字词的误用。</explain>
      <paraID>7C6A34E0</paraID>
      <start>6</start>
      <end>8</end>
      <status>unmodified</status>
      <modifiedWord/>
      <trackRevisions>false</trackRevisions>
    </reviewItem>
    <reviewItem>
      <errorID>139209ce-5421-4e0e-86cd-7c49e7905146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16F55C56</paraID>
      <start>0</start>
      <end>2</end>
      <status>unmodified</status>
      <modifiedWord/>
      <trackRevisions>false</trackRevisions>
    </reviewItem>
    <reviewItem>
      <errorID>f30d3446-00af-4768-8f0f-d85478005b69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54FDEDF1</paraID>
      <start>0</start>
      <end>2</end>
      <status>unmodified</status>
      <modifiedWord/>
      <trackRevisions>false</trackRevisions>
    </reviewItem>
    <reviewItem>
      <errorID>23743036-4ff2-4997-9d3b-1134791f8ff2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359E685D</paraID>
      <start>62</start>
      <end>63</end>
      <status>unmodified</status>
      <modifiedWord/>
      <trackRevisions>false</trackRevisions>
    </reviewItem>
    <reviewItem>
      <errorID>e0d491c2-0c76-4864-95b3-44eb5f301c40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3852D141</paraID>
      <start>0</start>
      <end>2</end>
      <status>unmodified</status>
      <modifiedWord/>
      <trackRevisions>false</trackRevisions>
    </reviewItem>
    <reviewItem>
      <errorID>e0ff1faa-99bb-421c-83db-cabb039380e1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17AAF6A</paraID>
      <start>0</start>
      <end>2</end>
      <status>unmodified</status>
      <modifiedWord/>
      <trackRevisions>false</trackRevisions>
    </reviewItem>
    <reviewItem>
      <errorID>4e309706-cb01-4306-bd19-0d6fbd4e36d4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3060FFFC</paraID>
      <start>0</start>
      <end>2</end>
      <status>unmodified</status>
      <modifiedWord/>
      <trackRevisions>false</trackRevisions>
    </reviewItem>
    <reviewItem>
      <errorID>50cc60bc-4709-4ff2-b342-7a2775ef1adc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2D2099A4</paraID>
      <start>0</start>
      <end>2</end>
      <status>unmodified</status>
      <modifiedWord/>
      <trackRevisions>false</trackRevisions>
    </reviewItem>
    <reviewItem>
      <errorID>0e5f9895-c022-4af9-b536-72502b52b67e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126D91F1</paraID>
      <start>0</start>
      <end>2</end>
      <status>unmodified</status>
      <modifiedWord/>
      <trackRevisions>false</trackRevisions>
    </reviewItem>
    <reviewItem>
      <errorID>5c64cca3-4004-41d9-915a-b23765be92d3</errorID>
      <errorWord>密胺</errorWord>
      <group>L1_Word</group>
      <groupName>字词问题</groupName>
      <ability>L2_Typo</ability>
      <abilityName>字词错误</abilityName>
      <candidateList>
        <item>苯胺</item>
      </candidateList>
      <explain/>
      <paraID>14E665DB</paraID>
      <start>172</start>
      <end>174</end>
      <status>unmodified</status>
      <modifiedWord/>
      <trackRevisions>false</trackRevisions>
    </reviewItem>
    <reviewItem>
      <errorID>8597afd9-8a73-432d-80ed-b790ecfd53db</errorID>
      <errorWord>电气</errorWord>
      <group>L1_Word</group>
      <groupName>字词问题</groupName>
      <ability>L2_Typo</ability>
      <abilityName>字词错误</abilityName>
      <candidateList>
        <item>电器</item>
      </candidateList>
      <explain>存在发音相同字词的误用。</explain>
      <paraID>2CEAF331</paraID>
      <start>158</start>
      <end>160</end>
      <status>unmodified</status>
      <modifiedWord/>
      <trackRevisions>false</trackRevisions>
    </reviewItem>
    <reviewItem>
      <errorID>cba852c9-6798-43c9-b0b2-4b2d49ac2263</errorID>
      <errorWord>，</errorWord>
      <group>L1_Word</group>
      <groupName>字词问题</groupName>
      <ability>L2_Typo</ability>
      <abilityName>字词错误</abilityName>
      <candidateList>
        <item>，对</item>
      </candidateList>
      <explain/>
      <paraID>3A38DD71</paraID>
      <start>70</start>
      <end>71</end>
      <status>unmodified</status>
      <modifiedWord/>
      <trackRevisions>false</trackRevisions>
    </reviewItem>
    <reviewItem>
      <errorID>5c9dc403-ca6b-464c-99b4-9c1acb3aacb9</errorID>
      <errorWord>减震</errorWord>
      <group>L1_Word</group>
      <groupName>字词问题</groupName>
      <ability>L2_Typo</ability>
      <abilityName>字词错误</abilityName>
      <candidateList>
        <item>减振</item>
      </candidateList>
      <explain>存在发音相同字词的误用。</explain>
      <paraID> 50717DE</paraID>
      <start>12</start>
      <end>14</end>
      <status>unmodified</status>
      <modifiedWord/>
      <trackRevisions>false</trackRevisions>
    </reviewItem>
    <reviewItem>
      <errorID>556c7759-d164-47d5-9808-a4e5106625cb</errorID>
      <errorWord>各</errorWord>
      <group>L1_Word</group>
      <groupName>字词问题</groupName>
      <ability>L2_Typo</ability>
      <abilityName>字词错误</abilityName>
      <candidateList>
        <item>各项</item>
      </candidateList>
      <explain/>
      <paraID>32F58767</paraID>
      <start>3</start>
      <end>4</end>
      <status>unmodified</status>
      <modifiedWord/>
      <trackRevisions>false</trackRevisions>
    </reviewItem>
    <reviewItem>
      <errorID>8c7ba8c2-e18d-4fba-a979-599e9f4b7bd6</errorID>
      <errorWord>良好地</errorWord>
      <group>L1_Word</group>
      <groupName>字词问题</groupName>
      <ability>L2_Typo</ability>
      <abilityName>字词错误</abilityName>
      <candidateList>
        <item>良好</item>
      </candidateList>
      <explain/>
      <paraID>32F58767</paraID>
      <start>35</start>
      <end>38</end>
      <status>unmodified</status>
      <modifiedWord/>
      <trackRevisions>false</trackRevisions>
    </reviewItem>
    <reviewItem>
      <errorID>2727791e-c4e0-4900-9935-80cb8a8add25</errorID>
      <errorWord>需具备</errorWord>
      <group>L1_Word</group>
      <groupName>字词问题</groupName>
      <ability>L2_Typo</ability>
      <abilityName>字词错误</abilityName>
      <candidateList>
        <item>须具备</item>
      </candidateList>
      <explain/>
      <paraID>63CB1255</paraID>
      <start>75</start>
      <end>78</end>
      <status>unmodified</status>
      <modifiedWord/>
      <trackRevisions>false</trackRevisions>
    </reviewItem>
    <reviewItem>
      <errorID>b54ba055-f84e-4d21-bb01-fee87f4cee22</errorID>
      <errorWord>[2016]81号</errorWord>
      <group>L1_Knowledge</group>
      <groupName>知识性问题</groupName>
      <ability>L2_Knowledge</ability>
      <abilityName>其他知识</abilityName>
      <candidateList>
        <item>〔2016〕81号</item>
      </candidateList>
      <explain>发文字号格式错误。</explain>
      <paraID>11F2BAB5</paraID>
      <start>22</start>
      <end>31</end>
      <status>unmodified</status>
      <modifiedWord/>
      <trackRevisions>false</trackRevisions>
    </reviewItem>
    <reviewItem>
      <errorID>06f376b0-10aa-4384-b7c5-5b8f695f1661</errorID>
      <errorWord>[2016]186号</errorWord>
      <group>L1_Knowledge</group>
      <groupName>知识性问题</groupName>
      <ability>L2_Knowledge</ability>
      <abilityName>其他知识</abilityName>
      <candidateList>
        <item>〔2016〕186号</item>
      </candidateList>
      <explain>发文字号格式错误。</explain>
      <paraID>11F2BAB5</paraID>
      <start>50</start>
      <end>60</end>
      <status>unmodified</status>
      <modifiedWord/>
      <trackRevisions>false</trackRevisions>
    </reviewItem>
    <reviewItem>
      <errorID>248ab2d6-451d-4096-968c-c09c4484c239</errorID>
      <errorWord>《排污许可管理条例（国务院令第736号）》</errorWord>
      <group>L1_Knowledge</group>
      <groupName>知识性问题</groupName>
      <ability>L2_Knowledge</ability>
      <abilityName>其他知识</abilityName>
      <candidateList>
        <item>《排污许可管理条例》（国务院令第736号）</item>
      </candidateList>
      <explain>疑似政策文件、法律法规名称等书写不规范，请注意检查。</explain>
      <paraID>11F2BAB5</paraID>
      <start>62</start>
      <end>83</end>
      <status>unmodified</status>
      <modifiedWord/>
      <trackRevisions>false</trackRevisions>
    </reviewItem>
    <reviewItem>
      <errorID>bc5fee4d-a1c9-437d-aa8e-37e173048607</errorID>
      <errorWord>[2016]81号</errorWord>
      <group>L1_Knowledge</group>
      <groupName>知识性问题</groupName>
      <ability>L2_Knowledge</ability>
      <abilityName>其他知识</abilityName>
      <candidateList>
        <item>〔2016〕81号</item>
      </candidateList>
      <explain>发文字号格式错误。</explain>
      <paraID>6DD305EC</paraID>
      <start>22</start>
      <end>31</end>
      <status>unmodified</status>
      <modifiedWord/>
      <trackRevisions>false</trackRevisions>
    </reviewItem>
    <reviewItem>
      <errorID>6d050c8e-04e4-489f-9d1f-1f38af16f467</errorID>
      <errorWord>&lt;</errorWord>
      <group>L1_Format</group>
      <groupName>格式问题</groupName>
      <ability>L2_HalfPunc</ability>
      <abilityName>全半角检查</abilityName>
      <candidateList>
        <item>〈</item>
      </candidateList>
      <explain>文本全半角错误。</explain>
      <paraID>6DD305EC</paraID>
      <start>50</start>
      <end>51</end>
      <status>unmodified</status>
      <modifiedWord/>
      <trackRevisions>false</trackRevisions>
    </reviewItem>
    <reviewItem>
      <errorID>5d84c231-1dd9-4745-bc71-01ab49cd0f16</errorID>
      <errorWord>&gt;的通知》</errorWord>
      <group>L1_Punc</group>
      <groupName>标点问题</groupName>
      <ability>L2_Punc</ability>
      <abilityName>标点符号检查</abilityName>
      <candidateList>
        <item>〉的通知》</item>
      </candidateList>
      <explain/>
      <paraID>6DD305EC</paraID>
      <start>62</start>
      <end>67</end>
      <status>unmodified</status>
      <modifiedWord/>
      <trackRevisions>false</trackRevisions>
    </reviewItem>
    <reviewItem>
      <errorID>51e0e231-3614-4006-b896-3d9ae2c5381f</errorID>
      <errorWord>[2016]186号</errorWord>
      <group>L1_Knowledge</group>
      <groupName>知识性问题</groupName>
      <ability>L2_Knowledge</ability>
      <abilityName>其他知识</abilityName>
      <candidateList>
        <item>〔2016〕186号</item>
      </candidateList>
      <explain>发文字号格式错误。</explain>
      <paraID>6DD305EC</paraID>
      <start>71</start>
      <end>81</end>
      <status>unmodified</status>
      <modifiedWord/>
      <trackRevisions>false</trackRevisions>
    </reviewItem>
    <reviewItem>
      <errorID>81da9a8c-b377-449a-b56f-ee84d4542e46</errorID>
      <errorWord>《排污许可管理条例（国务院令第736号）》</errorWord>
      <group>L1_Knowledge</group>
      <groupName>知识性问题</groupName>
      <ability>L2_Knowledge</ability>
      <abilityName>其他知识</abilityName>
      <candidateList>
        <item>《排污许可管理条例》（国务院令第736号）</item>
      </candidateList>
      <explain>疑似政策文件、法律法规名称等书写不规范，请注意检查。</explain>
      <paraID>6DD305EC</paraID>
      <start>95</start>
      <end>116</end>
      <status>unmodified</status>
      <modifiedWord/>
      <trackRevisions>false</trackRevisions>
    </reviewItem>
    <reviewItem>
      <errorID>2422e1d8-ab97-469f-a06e-dcbb0bd9fe9d</errorID>
      <errorWord>[2020]9号</errorWord>
      <group>L1_Knowledge</group>
      <groupName>知识性问题</groupName>
      <ability>L2_Knowledge</ability>
      <abilityName>其他知识</abilityName>
      <candidateList>
        <item>〔2020〕9号</item>
      </candidateList>
      <explain>发文字号格式错误。</explain>
      <paraID>56A99AF9</paraID>
      <start>33</start>
      <end>41</end>
      <status>unmodified</status>
      <modifiedWord/>
      <trackRevisions>false</trackRevisions>
    </reviewItem>
    <reviewItem>
      <errorID>3388482a-7fb3-44c3-9d9a-18f7da38ded7</errorID>
      <errorWord>2020年01月06日</errorWord>
      <group>L1_Knowledge</group>
      <groupName>知识性问题</groupName>
      <ability>L2_Time</ability>
      <abilityName>日期时间</abilityName>
      <candidateList>
        <item>2020年1月6日</item>
      </candidateList>
      <explain>根据日常书写习惯，月份和日期一般会省略前导零。</explain>
      <paraID>56A99AF9</paraID>
      <start>42</start>
      <end>53</end>
      <status>unmodified</status>
      <modifiedWord/>
      <trackRevisions>false</trackRevisions>
    </reviewItem>
    <reviewItem>
      <errorID>44c5e462-1d53-4b50-a4c5-c6c3bfef21cc</errorID>
      <errorWord>-</errorWord>
      <group>L1_Format</group>
      <groupName>格式问题</groupName>
      <ability>L2_HalfPunc</ability>
      <abilityName>全半角检查</abilityName>
      <candidateList>
        <item>－</item>
      </candidateList>
      <explain>文本全半角错误。</explain>
      <paraID>56A99AF9</paraID>
      <start>96</start>
      <end>97</end>
      <status>unmodified</status>
      <modifiedWord/>
      <trackRevisions>false</trackRevisions>
    </reviewItem>
    <reviewItem>
      <errorID>2af45a27-63f6-40e9-9dae-464508a75509</errorID>
      <errorWord>《排污口规范化整治要求》（试行）</errorWord>
      <group>L1_Knowledge</group>
      <groupName>知识性问题</groupName>
      <ability>L2_Knowledge</ability>
      <abilityName>其他知识</abilityName>
      <candidateList>
        <item>《排污口规范化整治要求（试行）》</item>
      </candidateList>
      <explain>疑似政策文件、法律法规名称等书写不规范，请注意检查。</explain>
      <paraID>140DFACB</paraID>
      <start>32</start>
      <end>48</end>
      <status>unmodified</status>
      <modifiedWord/>
      <trackRevisions>false</trackRevisions>
    </reviewItem>
    <reviewItem>
      <errorID>5afefa13-ae90-414b-8f74-cda599219230</errorID>
      <errorWord>[1996]470号</errorWord>
      <group>L1_Knowledge</group>
      <groupName>知识性问题</groupName>
      <ability>L2_Knowledge</ability>
      <abilityName>其他知识</abilityName>
      <candidateList>
        <item>〔1996〕470号</item>
      </candidateList>
      <explain>发文字号格式错误。</explain>
      <paraID>140DFACB</paraID>
      <start>56</start>
      <end>66</end>
      <status>unmodified</status>
      <modifiedWord/>
      <trackRevisions>false</trackRevisions>
    </reviewItem>
    <reviewItem>
      <errorID>a61029c2-bfc3-4f8c-9d33-e7fc467e34da</errorID>
      <errorWord>[1999]24号</errorWord>
      <group>L1_Knowledge</group>
      <groupName>知识性问题</groupName>
      <ability>L2_Knowledge</ability>
      <abilityName>其他知识</abilityName>
      <candidateList>
        <item>〔1999〕24号</item>
      </candidateList>
      <explain>发文字号格式错误。</explain>
      <paraID>564EE242</paraID>
      <start>31</start>
      <end>40</end>
      <status>unmodified</status>
      <modifiedWord/>
      <trackRevisions>false</trackRevisions>
    </reviewItem>
    <reviewItem>
      <errorID>0e833a2b-a623-4c1f-9910-68b845aebd0c</errorID>
      <errorWord>[1999]24号</errorWord>
      <group>L1_Knowledge</group>
      <groupName>知识性问题</groupName>
      <ability>L2_Knowledge</ability>
      <abilityName>其他知识</abilityName>
      <candidateList>
        <item>〔1999〕24号</item>
      </candidateList>
      <explain>发文字号格式错误。</explain>
      <paraID>564EE242</paraID>
      <start>55</start>
      <end>64</end>
      <status>unmodified</status>
      <modifiedWord/>
      <trackRevisions>false</trackRevisions>
    </reviewItem>
    <reviewItem>
      <errorID>9caae7d4-757b-469c-ae77-5b1e072ed0f4</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3784CB1A</paraID>
      <start>20</start>
      <end>21</end>
      <status>unmodified</status>
      <modifiedWord/>
      <trackRevisions>false</trackRevisions>
    </reviewItem>
    <reviewItem>
      <errorID>53e29dda-8096-43f7-838a-6831c068a1ed</errorID>
      <errorWord>（</errorWord>
      <group>L1_Format</group>
      <groupName>格式问题</groupName>
      <ability>L2_HalfPunc</ability>
      <abilityName>全半角检查</abilityName>
      <candidateList>
        <item>(</item>
      </candidateList>
      <explain>文本全半角错误。</explain>
      <paraID>4D4039B0</paraID>
      <start>2</start>
      <end>3</end>
      <status>unmodified</status>
      <modifiedWord/>
      <trackRevisions>false</trackRevisions>
    </reviewItem>
    <reviewItem>
      <errorID>001cf3d7-bf9f-4beb-9bd8-9ac306d0490d</errorID>
      <errorWord>）</errorWord>
      <group>L1_Format</group>
      <groupName>格式问题</groupName>
      <ability>L2_HalfPunc</ability>
      <abilityName>全半角检查</abilityName>
      <candidateList>
        <item>)</item>
      </candidateList>
      <explain>文本全半角错误。</explain>
      <paraID>4D4039B0</paraID>
      <start>4</start>
      <end>5</end>
      <status>unmodified</status>
      <modifiedWord/>
      <trackRevisions>false</trackRevisions>
    </reviewItem>
    <reviewItem>
      <errorID>e826e657-72df-4d4e-9f71-50ad73fefb81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78DE0735</paraID>
      <start>38</start>
      <end>39</end>
      <status>unmodified</status>
      <modifiedWord/>
      <trackRevisions>false</trackRevisions>
    </reviewItem>
    <reviewItem>
      <errorID>fe109e3a-692c-45cb-9909-5974e9614c80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78DE0735</paraID>
      <start>81</start>
      <end>82</end>
      <status>unmodified</status>
      <modifiedWord/>
      <trackRevisions>false</trackRevisions>
    </reviewItem>
    <reviewItem>
      <errorID>a0e01321-f5e1-40ff-84ab-d8c4d885e390</errorID>
      <errorWord>，</errorWord>
      <group>L1_Word</group>
      <groupName>字词问题</groupName>
      <ability>L2_Typo</ability>
      <abilityName>字词错误</abilityName>
      <candidateList>
        <item>，对</item>
      </candidateList>
      <explain/>
      <paraID>4F05341D</paraID>
      <start>30</start>
      <end>31</end>
      <status>unmodified</status>
      <modifiedWord/>
      <trackRevisions>false</trackRevisions>
    </reviewItem>
    <reviewItem>
      <errorID>3fb67628-3557-4740-8fb8-4e7c84272618</errorID>
      <errorWord>物质</errorWord>
      <group>L1_Word</group>
      <groupName>字词问题</groupName>
      <ability>L2_Typo</ability>
      <abilityName>字词错误</abilityName>
      <candidateList>
        <item>物资</item>
      </candidateList>
      <explain/>
      <paraID>3F50A453</paraID>
      <start>6</start>
      <end>8</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ab64474-e8de-4b5b-a444-e6c2e078de07}">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88</Pages>
  <Words>12945</Words>
  <Characters>13458</Characters>
  <Lines>432</Lines>
  <Paragraphs>121</Paragraphs>
  <TotalTime>0</TotalTime>
  <ScaleCrop>false</ScaleCrop>
  <LinksUpToDate>false</LinksUpToDate>
  <CharactersWithSpaces>13502</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2021-03-28T06:51:00Z</dcterms:created>
  <dc:creator>lhj</dc:creator>
  <cp:lastModifiedBy>蓝海De记忆=?</cp:lastModifiedBy>
  <cp:lastPrinted>2025-01-10T08:32:00Z</cp:lastPrinted>
  <dcterms:modified xsi:type="dcterms:W3CDTF">2026-06-11T08:05:53Z</dcterms:modified>
  <dc:title>附件2</dc:title>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764B7A9CE8A040358B48D96AF526287E</vt:lpwstr>
  </property>
  <property fmtid="{D5CDD505-2E9C-101B-9397-08002B2CF9AE}" pid="4" name="KSOTemplateDocerSaveRecord">
    <vt:lpwstr>eyJoZGlkIjoiMjEwMDVjOTg4ZjVjYTRmZjYwZmFmNDkxZGRlMTQ4MzgiLCJ1c2VySWQiOiIyNDYwOTY4OTAifQ==</vt:lpwstr>
  </property>
</Properties>
</file>