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8CD46">
      <w:pPr>
        <w:adjustRightInd w:val="0"/>
        <w:snapToGrid w:val="0"/>
        <w:spacing w:line="360" w:lineRule="auto"/>
        <w:ind w:firstLine="643" w:firstLineChars="200"/>
        <w:jc w:val="center"/>
        <w:rPr>
          <w:rFonts w:hint="eastAsia"/>
          <w:b/>
          <w:bCs/>
          <w:color w:val="auto"/>
          <w:sz w:val="32"/>
          <w:szCs w:val="22"/>
          <w:lang w:val="en-US" w:eastAsia="zh-CN"/>
        </w:rPr>
      </w:pPr>
      <w:r>
        <w:rPr>
          <w:rFonts w:hint="eastAsia"/>
          <w:b/>
          <w:bCs/>
          <w:color w:val="auto"/>
          <w:sz w:val="32"/>
          <w:szCs w:val="22"/>
          <w:lang w:val="en-US" w:eastAsia="zh-CN"/>
        </w:rPr>
        <w:t>淄博南韩化工有限公司新建优化标准硫酸罐区项目环境风险评价专项报告</w:t>
      </w:r>
    </w:p>
    <w:p w14:paraId="23DF8BEA">
      <w:pPr>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kern w:val="0"/>
          <w:sz w:val="24"/>
          <w:highlight w:val="none"/>
          <w:lang w:val="en-US" w:eastAsia="zh-CN"/>
        </w:rPr>
      </w:pPr>
      <w:r>
        <w:rPr>
          <w:rFonts w:hint="eastAsia" w:cs="Times New Roman"/>
          <w:color w:val="auto"/>
          <w:kern w:val="0"/>
          <w:sz w:val="24"/>
          <w:highlight w:val="none"/>
          <w:lang w:eastAsia="zh-CN"/>
        </w:rPr>
        <w:t>淄博南韩化工有限公司新建优化标准硫酸罐区项目</w:t>
      </w:r>
      <w:r>
        <w:rPr>
          <w:rFonts w:hint="eastAsia" w:ascii="Times New Roman" w:hAnsi="Times New Roman" w:eastAsia="宋体" w:cs="Times New Roman"/>
          <w:color w:val="auto"/>
          <w:kern w:val="0"/>
          <w:sz w:val="24"/>
          <w:highlight w:val="none"/>
          <w:lang w:val="en-US" w:eastAsia="zh-CN"/>
        </w:rPr>
        <w:t>硫酸存储量大于临界量，</w:t>
      </w:r>
      <w:r>
        <w:rPr>
          <w:rFonts w:hint="eastAsia" w:ascii="Times New Roman" w:hAnsi="Times New Roman" w:eastAsia="宋体" w:cs="Times New Roman"/>
          <w:color w:val="auto"/>
          <w:kern w:val="0"/>
          <w:sz w:val="24"/>
          <w:highlight w:val="none"/>
          <w:lang w:eastAsia="zh-CN"/>
        </w:rPr>
        <w:t>按照《</w:t>
      </w:r>
      <w:r>
        <w:rPr>
          <w:rFonts w:hint="eastAsia" w:ascii="Times New Roman" w:hAnsi="Times New Roman" w:eastAsia="宋体" w:cs="Times New Roman"/>
          <w:color w:val="auto"/>
          <w:kern w:val="0"/>
          <w:sz w:val="24"/>
          <w:highlight w:val="none"/>
          <w:lang w:val="en-US" w:eastAsia="zh-CN"/>
        </w:rPr>
        <w:t>建设项目环境影响报告表编制技术指南（污染影响类）</w:t>
      </w:r>
      <w:r>
        <w:rPr>
          <w:rFonts w:hint="eastAsia" w:ascii="Times New Roman" w:hAnsi="Times New Roman" w:eastAsia="宋体" w:cs="Times New Roman"/>
          <w:color w:val="auto"/>
          <w:kern w:val="0"/>
          <w:sz w:val="24"/>
          <w:highlight w:val="none"/>
          <w:lang w:eastAsia="zh-CN"/>
        </w:rPr>
        <w:t>》</w:t>
      </w:r>
      <w:r>
        <w:rPr>
          <w:rFonts w:hint="eastAsia" w:ascii="Times New Roman" w:hAnsi="Times New Roman" w:eastAsia="宋体" w:cs="Times New Roman"/>
          <w:color w:val="auto"/>
          <w:kern w:val="0"/>
          <w:sz w:val="24"/>
          <w:highlight w:val="none"/>
          <w:lang w:val="en-US" w:eastAsia="zh-CN"/>
        </w:rPr>
        <w:t>（试行）的要求，项目需开展环境风险专项评价。</w:t>
      </w:r>
    </w:p>
    <w:p w14:paraId="5222B280">
      <w:pPr>
        <w:pStyle w:val="39"/>
        <w:pageBreakBefore w:val="0"/>
        <w:widowControl/>
        <w:kinsoku/>
        <w:wordWrap/>
        <w:overflowPunct/>
        <w:topLinePunct w:val="0"/>
        <w:autoSpaceDE/>
        <w:autoSpaceDN/>
        <w:bidi w:val="0"/>
        <w:snapToGrid w:val="0"/>
        <w:spacing w:line="360" w:lineRule="auto"/>
        <w:ind w:firstLine="48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eastAsia" w:cs="Times New Roman"/>
          <w:color w:val="auto"/>
          <w:spacing w:val="0"/>
          <w:position w:val="0"/>
          <w:sz w:val="24"/>
          <w:szCs w:val="24"/>
          <w:highlight w:val="none"/>
          <w:lang w:val="en-US" w:eastAsia="zh-CN"/>
        </w:rPr>
        <w:t>本项目为新建硫酸罐区仓储项目，2#罐区为新建罐区，1#罐区依托厂区现有硫酸储罐罐区闲置区域进行存储。本项目主体工程作为独立设施与全厂生产装置不相邻，防护间距符合安全生产要求，本项目针对新建罐区及依托罐区进行环境风险评价。</w:t>
      </w:r>
    </w:p>
    <w:p w14:paraId="65025AFA">
      <w:pPr>
        <w:pStyle w:val="39"/>
        <w:pageBreakBefore w:val="0"/>
        <w:widowControl/>
        <w:kinsoku/>
        <w:wordWrap/>
        <w:overflowPunct/>
        <w:topLinePunct w:val="0"/>
        <w:autoSpaceDE/>
        <w:autoSpaceDN/>
        <w:bidi w:val="0"/>
        <w:snapToGrid w:val="0"/>
        <w:spacing w:line="360" w:lineRule="auto"/>
        <w:ind w:firstLine="480"/>
        <w:jc w:val="center"/>
        <w:textAlignment w:val="auto"/>
        <w:rPr>
          <w:rFonts w:hint="default" w:ascii="Times New Roman" w:hAnsi="Times New Roman" w:eastAsia="宋体" w:cs="Times New Roman"/>
          <w:color w:val="auto"/>
          <w:spacing w:val="0"/>
          <w:position w:val="0"/>
          <w:sz w:val="24"/>
          <w:szCs w:val="24"/>
          <w:highlight w:val="none"/>
        </w:rPr>
      </w:pPr>
      <w:r>
        <w:rPr>
          <w:rFonts w:hint="default" w:ascii="Times New Roman" w:hAnsi="Times New Roman" w:eastAsia="宋体" w:cs="Times New Roman"/>
          <w:color w:val="auto"/>
          <w:spacing w:val="0"/>
          <w:position w:val="0"/>
          <w:sz w:val="24"/>
          <w:szCs w:val="24"/>
          <w:highlight w:val="none"/>
        </w:rPr>
        <w:t>按照《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7E992624">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cs="Times New Roman"/>
          <w:b/>
          <w:bCs/>
          <w:color w:val="auto"/>
          <w:spacing w:val="0"/>
          <w:position w:val="0"/>
          <w:sz w:val="24"/>
          <w:szCs w:val="24"/>
          <w:highlight w:val="none"/>
          <w:lang w:val="en-US" w:eastAsia="zh-CN"/>
        </w:rPr>
      </w:pPr>
      <w:r>
        <w:rPr>
          <w:rFonts w:hint="eastAsia" w:cs="Times New Roman"/>
          <w:b/>
          <w:bCs/>
          <w:color w:val="auto"/>
          <w:spacing w:val="0"/>
          <w:position w:val="0"/>
          <w:sz w:val="24"/>
          <w:szCs w:val="24"/>
          <w:highlight w:val="none"/>
          <w:lang w:val="en-US" w:eastAsia="zh-CN"/>
        </w:rPr>
        <w:t>现有工程环境风险回顾性评价</w:t>
      </w:r>
    </w:p>
    <w:p w14:paraId="74949B80">
      <w:pPr>
        <w:widowControl w:val="0"/>
        <w:adjustRightInd w:val="0"/>
        <w:snapToGrid w:val="0"/>
        <w:spacing w:line="360" w:lineRule="auto"/>
        <w:ind w:firstLine="480" w:firstLineChars="200"/>
        <w:jc w:val="both"/>
        <w:rPr>
          <w:rFonts w:hint="eastAsia" w:cs="Times New Roman"/>
          <w:color w:val="auto"/>
          <w:spacing w:val="0"/>
          <w:position w:val="0"/>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根据《建设项目环境风险评价技术导则》（HJ169-2018）附录B，</w:t>
      </w:r>
      <w:r>
        <w:rPr>
          <w:rFonts w:hint="eastAsia" w:ascii="Times New Roman" w:hAnsi="Times New Roman" w:eastAsia="宋体" w:cs="Times New Roman"/>
          <w:color w:val="auto"/>
          <w:kern w:val="2"/>
          <w:sz w:val="24"/>
          <w:szCs w:val="24"/>
          <w:highlight w:val="none"/>
          <w:lang w:val="en-US" w:eastAsia="zh-CN" w:bidi="ar-SA"/>
        </w:rPr>
        <w:t>淄博南韩化工有限公司北</w:t>
      </w:r>
      <w:r>
        <w:rPr>
          <w:rFonts w:hint="default" w:ascii="Times New Roman" w:hAnsi="Times New Roman" w:eastAsia="宋体" w:cs="Times New Roman"/>
          <w:color w:val="auto"/>
          <w:kern w:val="2"/>
          <w:sz w:val="24"/>
          <w:szCs w:val="24"/>
          <w:highlight w:val="none"/>
          <w:lang w:val="en-US" w:eastAsia="zh-CN" w:bidi="ar-SA"/>
        </w:rPr>
        <w:t>厂区</w:t>
      </w:r>
      <w:r>
        <w:rPr>
          <w:rFonts w:hint="eastAsia" w:ascii="Times New Roman" w:hAnsi="Times New Roman" w:eastAsia="宋体" w:cs="Times New Roman"/>
          <w:color w:val="auto"/>
          <w:kern w:val="2"/>
          <w:sz w:val="24"/>
          <w:szCs w:val="24"/>
          <w:highlight w:val="none"/>
          <w:lang w:val="en-US" w:eastAsia="zh-CN" w:bidi="ar-SA"/>
        </w:rPr>
        <w:t>现有项目</w:t>
      </w:r>
      <w:r>
        <w:rPr>
          <w:rFonts w:hint="default" w:ascii="Times New Roman" w:hAnsi="Times New Roman" w:eastAsia="宋体" w:cs="Times New Roman"/>
          <w:color w:val="auto"/>
          <w:kern w:val="2"/>
          <w:sz w:val="24"/>
          <w:szCs w:val="24"/>
          <w:highlight w:val="none"/>
          <w:lang w:val="en-US" w:eastAsia="zh-CN" w:bidi="ar-SA"/>
        </w:rPr>
        <w:t>涉及的危险物料主要是</w:t>
      </w:r>
      <w:r>
        <w:rPr>
          <w:rFonts w:hint="eastAsia" w:ascii="Times New Roman" w:hAnsi="Times New Roman" w:eastAsia="宋体" w:cs="Times New Roman"/>
          <w:color w:val="auto"/>
          <w:kern w:val="2"/>
          <w:sz w:val="24"/>
          <w:szCs w:val="24"/>
          <w:highlight w:val="none"/>
          <w:lang w:val="en-US" w:eastAsia="zh-CN" w:bidi="ar-SA"/>
        </w:rPr>
        <w:t>机油、废机油</w:t>
      </w:r>
      <w:r>
        <w:rPr>
          <w:rFonts w:hint="default" w:ascii="Times New Roman" w:hAnsi="Times New Roman" w:eastAsia="宋体" w:cs="Times New Roman"/>
          <w:color w:val="auto"/>
          <w:kern w:val="2"/>
          <w:sz w:val="24"/>
          <w:szCs w:val="24"/>
          <w:highlight w:val="none"/>
          <w:lang w:val="en-US" w:eastAsia="zh-CN" w:bidi="ar-SA"/>
        </w:rPr>
        <w:t>等。涉及危险物品包括可燃物质等危险特性</w:t>
      </w:r>
      <w:r>
        <w:rPr>
          <w:rFonts w:hint="eastAsia" w:cs="Times New Roman"/>
          <w:color w:val="auto"/>
          <w:kern w:val="2"/>
          <w:sz w:val="24"/>
          <w:szCs w:val="24"/>
          <w:highlight w:val="none"/>
          <w:lang w:val="en-US" w:eastAsia="zh-CN" w:bidi="ar-SA"/>
        </w:rPr>
        <w:t>。</w:t>
      </w:r>
    </w:p>
    <w:p w14:paraId="11DF7EC7">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公司现有生产设施风险识别见</w:t>
      </w:r>
      <w:r>
        <w:rPr>
          <w:rFonts w:hint="eastAsia" w:cs="Times New Roman"/>
          <w:color w:val="auto"/>
          <w:kern w:val="2"/>
          <w:sz w:val="24"/>
          <w:szCs w:val="24"/>
          <w:highlight w:val="none"/>
          <w:lang w:val="en-US" w:eastAsia="zh-CN" w:bidi="ar-SA"/>
        </w:rPr>
        <w:t>下表</w:t>
      </w:r>
      <w:r>
        <w:rPr>
          <w:rFonts w:hint="eastAsia" w:ascii="Times New Roman" w:hAnsi="Times New Roman" w:eastAsia="宋体" w:cs="Times New Roman"/>
          <w:color w:val="auto"/>
          <w:kern w:val="2"/>
          <w:sz w:val="24"/>
          <w:szCs w:val="24"/>
          <w:highlight w:val="none"/>
          <w:lang w:val="en-US" w:eastAsia="zh-CN" w:bidi="ar-SA"/>
        </w:rPr>
        <w:t>。</w:t>
      </w:r>
    </w:p>
    <w:p w14:paraId="2C6F87C8">
      <w:pPr>
        <w:pStyle w:val="39"/>
        <w:pageBreakBefore w:val="0"/>
        <w:widowControl/>
        <w:kinsoku/>
        <w:wordWrap/>
        <w:overflowPunct/>
        <w:topLinePunct w:val="0"/>
        <w:autoSpaceDE/>
        <w:autoSpaceDN/>
        <w:bidi w:val="0"/>
        <w:snapToGrid w:val="0"/>
        <w:spacing w:line="240" w:lineRule="auto"/>
        <w:ind w:firstLine="480"/>
        <w:jc w:val="center"/>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kern w:val="2"/>
          <w:sz w:val="24"/>
          <w:szCs w:val="24"/>
          <w:highlight w:val="none"/>
          <w:lang w:val="en-US" w:eastAsia="zh-CN" w:bidi="ar-SA"/>
        </w:rPr>
        <w:t>公司现有工程生产设施风险识别</w:t>
      </w:r>
      <w:r>
        <w:rPr>
          <w:rFonts w:hint="eastAsia" w:cs="Times New Roman"/>
          <w:b/>
          <w:bCs/>
          <w:color w:val="auto"/>
          <w:kern w:val="2"/>
          <w:sz w:val="24"/>
          <w:szCs w:val="24"/>
          <w:highlight w:val="none"/>
          <w:lang w:val="en-US" w:eastAsia="zh-CN" w:bidi="ar-SA"/>
        </w:rPr>
        <w:t>一览表</w:t>
      </w:r>
    </w:p>
    <w:tbl>
      <w:tblPr>
        <w:tblStyle w:val="21"/>
        <w:tblW w:w="0" w:type="auto"/>
        <w:jc w:val="center"/>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675"/>
        <w:gridCol w:w="1276"/>
        <w:gridCol w:w="851"/>
        <w:gridCol w:w="1701"/>
        <w:gridCol w:w="1418"/>
        <w:gridCol w:w="2091"/>
      </w:tblGrid>
      <w:tr w14:paraId="2554177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PrEx>
        <w:trPr>
          <w:trHeight w:val="340" w:hRule="atLeast"/>
          <w:jc w:val="center"/>
        </w:trPr>
        <w:tc>
          <w:tcPr>
            <w:tcW w:w="675" w:type="dxa"/>
            <w:noWrap w:val="0"/>
            <w:vAlign w:val="center"/>
          </w:tcPr>
          <w:p w14:paraId="013B6994">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序号</w:t>
            </w:r>
          </w:p>
        </w:tc>
        <w:tc>
          <w:tcPr>
            <w:tcW w:w="1276" w:type="dxa"/>
            <w:noWrap w:val="0"/>
            <w:vAlign w:val="center"/>
          </w:tcPr>
          <w:p w14:paraId="646C5DDA">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单元</w:t>
            </w:r>
          </w:p>
          <w:p w14:paraId="36952E71">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名称</w:t>
            </w:r>
          </w:p>
        </w:tc>
        <w:tc>
          <w:tcPr>
            <w:tcW w:w="851" w:type="dxa"/>
            <w:noWrap w:val="0"/>
            <w:vAlign w:val="center"/>
          </w:tcPr>
          <w:p w14:paraId="42586AC7">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单元</w:t>
            </w:r>
          </w:p>
          <w:p w14:paraId="040F81C0">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功能</w:t>
            </w:r>
          </w:p>
        </w:tc>
        <w:tc>
          <w:tcPr>
            <w:tcW w:w="1701" w:type="dxa"/>
            <w:noWrap w:val="0"/>
            <w:vAlign w:val="center"/>
          </w:tcPr>
          <w:p w14:paraId="63ADEB2C">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主要</w:t>
            </w:r>
          </w:p>
          <w:p w14:paraId="199265E8">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危险物质</w:t>
            </w:r>
          </w:p>
        </w:tc>
        <w:tc>
          <w:tcPr>
            <w:tcW w:w="1418" w:type="dxa"/>
            <w:noWrap w:val="0"/>
            <w:vAlign w:val="center"/>
          </w:tcPr>
          <w:p w14:paraId="56CDF22F">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环境风险</w:t>
            </w:r>
          </w:p>
          <w:p w14:paraId="35F7CF86">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类型</w:t>
            </w:r>
          </w:p>
        </w:tc>
        <w:tc>
          <w:tcPr>
            <w:tcW w:w="2091" w:type="dxa"/>
            <w:noWrap w:val="0"/>
            <w:vAlign w:val="center"/>
          </w:tcPr>
          <w:p w14:paraId="1C894BEF">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转化为事故的触发因素</w:t>
            </w:r>
          </w:p>
        </w:tc>
      </w:tr>
      <w:tr w14:paraId="4EAF625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75" w:type="dxa"/>
            <w:noWrap w:val="0"/>
            <w:vAlign w:val="center"/>
          </w:tcPr>
          <w:p w14:paraId="7127688B">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1</w:t>
            </w:r>
          </w:p>
        </w:tc>
        <w:tc>
          <w:tcPr>
            <w:tcW w:w="1276" w:type="dxa"/>
            <w:noWrap w:val="0"/>
            <w:vAlign w:val="center"/>
          </w:tcPr>
          <w:p w14:paraId="2D20F5A8">
            <w:pPr>
              <w:keepNext w:val="0"/>
              <w:keepLines w:val="0"/>
              <w:suppressLineNumbers w:val="0"/>
              <w:snapToGrid/>
              <w:spacing w:before="0" w:beforeAutospacing="0" w:after="0" w:afterAutospacing="0" w:line="240" w:lineRule="auto"/>
              <w:ind w:left="0" w:right="0"/>
              <w:jc w:val="center"/>
              <w:rPr>
                <w:rFonts w:hint="default"/>
                <w:color w:val="auto"/>
                <w:sz w:val="21"/>
                <w:szCs w:val="21"/>
              </w:rPr>
            </w:pPr>
            <w:r>
              <w:rPr>
                <w:rFonts w:hint="default"/>
                <w:color w:val="auto"/>
                <w:sz w:val="21"/>
                <w:szCs w:val="21"/>
              </w:rPr>
              <w:t>生产装置区</w:t>
            </w:r>
          </w:p>
        </w:tc>
        <w:tc>
          <w:tcPr>
            <w:tcW w:w="851" w:type="dxa"/>
            <w:noWrap w:val="0"/>
            <w:vAlign w:val="center"/>
          </w:tcPr>
          <w:p w14:paraId="3BE11429">
            <w:pPr>
              <w:keepNext w:val="0"/>
              <w:keepLines w:val="0"/>
              <w:suppressLineNumbers w:val="0"/>
              <w:snapToGrid/>
              <w:spacing w:before="0" w:beforeAutospacing="0" w:after="0" w:afterAutospacing="0" w:line="240" w:lineRule="auto"/>
              <w:ind w:left="0" w:right="0"/>
              <w:jc w:val="center"/>
              <w:rPr>
                <w:rFonts w:hint="default"/>
                <w:color w:val="auto"/>
                <w:sz w:val="21"/>
                <w:szCs w:val="21"/>
              </w:rPr>
            </w:pPr>
            <w:r>
              <w:rPr>
                <w:rFonts w:hint="default"/>
                <w:color w:val="auto"/>
                <w:sz w:val="21"/>
                <w:szCs w:val="21"/>
              </w:rPr>
              <w:t>生产</w:t>
            </w:r>
          </w:p>
        </w:tc>
        <w:tc>
          <w:tcPr>
            <w:tcW w:w="1701" w:type="dxa"/>
            <w:noWrap w:val="0"/>
            <w:vAlign w:val="center"/>
          </w:tcPr>
          <w:p w14:paraId="1AB2E925">
            <w:pPr>
              <w:keepNext w:val="0"/>
              <w:keepLines w:val="0"/>
              <w:suppressLineNumbers w:val="0"/>
              <w:adjustRightInd w:val="0"/>
              <w:spacing w:before="0" w:beforeAutospacing="0" w:after="0" w:afterAutospacing="0" w:line="240" w:lineRule="auto"/>
              <w:ind w:left="0" w:right="0"/>
              <w:jc w:val="center"/>
              <w:rPr>
                <w:rFonts w:hint="eastAsia" w:eastAsia="宋体"/>
                <w:color w:val="auto"/>
                <w:sz w:val="21"/>
                <w:szCs w:val="21"/>
                <w:lang w:eastAsia="zh-CN"/>
              </w:rPr>
            </w:pPr>
            <w:r>
              <w:rPr>
                <w:rFonts w:hint="eastAsia"/>
                <w:color w:val="auto"/>
                <w:sz w:val="21"/>
                <w:szCs w:val="21"/>
                <w:lang w:eastAsia="zh-CN"/>
              </w:rPr>
              <w:t>润滑油、矿物油</w:t>
            </w:r>
          </w:p>
        </w:tc>
        <w:tc>
          <w:tcPr>
            <w:tcW w:w="1418" w:type="dxa"/>
            <w:noWrap w:val="0"/>
            <w:vAlign w:val="center"/>
          </w:tcPr>
          <w:p w14:paraId="17AEFD7B">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泄漏、火灾、爆炸</w:t>
            </w:r>
          </w:p>
        </w:tc>
        <w:tc>
          <w:tcPr>
            <w:tcW w:w="2091" w:type="dxa"/>
            <w:noWrap w:val="0"/>
            <w:vAlign w:val="center"/>
          </w:tcPr>
          <w:p w14:paraId="1FDE2C24">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物料泄漏；遇明火、热源；</w:t>
            </w:r>
          </w:p>
        </w:tc>
      </w:tr>
      <w:tr w14:paraId="01D491B3">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675" w:type="dxa"/>
            <w:noWrap w:val="0"/>
            <w:vAlign w:val="center"/>
          </w:tcPr>
          <w:p w14:paraId="5646DC45">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2</w:t>
            </w:r>
          </w:p>
        </w:tc>
        <w:tc>
          <w:tcPr>
            <w:tcW w:w="1276" w:type="dxa"/>
            <w:noWrap w:val="0"/>
            <w:vAlign w:val="center"/>
          </w:tcPr>
          <w:p w14:paraId="0F82FE0E">
            <w:pPr>
              <w:keepNext w:val="0"/>
              <w:keepLines w:val="0"/>
              <w:suppressLineNumbers w:val="0"/>
              <w:snapToGrid/>
              <w:spacing w:before="0" w:beforeAutospacing="0" w:after="0" w:afterAutospacing="0" w:line="240" w:lineRule="auto"/>
              <w:ind w:left="0" w:right="0"/>
              <w:jc w:val="center"/>
              <w:rPr>
                <w:rFonts w:hint="eastAsia" w:eastAsia="宋体"/>
                <w:color w:val="auto"/>
                <w:sz w:val="21"/>
                <w:szCs w:val="21"/>
                <w:lang w:eastAsia="zh-CN"/>
              </w:rPr>
            </w:pPr>
            <w:r>
              <w:rPr>
                <w:rFonts w:hint="eastAsia"/>
                <w:color w:val="auto"/>
                <w:sz w:val="21"/>
                <w:szCs w:val="21"/>
                <w:lang w:eastAsia="zh-CN"/>
              </w:rPr>
              <w:t>危废暂存间</w:t>
            </w:r>
          </w:p>
        </w:tc>
        <w:tc>
          <w:tcPr>
            <w:tcW w:w="851" w:type="dxa"/>
            <w:noWrap w:val="0"/>
            <w:vAlign w:val="center"/>
          </w:tcPr>
          <w:p w14:paraId="501280E4">
            <w:pPr>
              <w:keepNext w:val="0"/>
              <w:keepLines w:val="0"/>
              <w:suppressLineNumbers w:val="0"/>
              <w:snapToGrid/>
              <w:spacing w:before="0" w:beforeAutospacing="0" w:after="0" w:afterAutospacing="0" w:line="240" w:lineRule="auto"/>
              <w:ind w:left="0" w:right="0"/>
              <w:jc w:val="center"/>
              <w:rPr>
                <w:rFonts w:hint="default"/>
                <w:color w:val="auto"/>
                <w:sz w:val="21"/>
                <w:szCs w:val="21"/>
              </w:rPr>
            </w:pPr>
            <w:r>
              <w:rPr>
                <w:rFonts w:hint="default"/>
                <w:color w:val="auto"/>
                <w:sz w:val="21"/>
                <w:szCs w:val="21"/>
              </w:rPr>
              <w:t>储存</w:t>
            </w:r>
          </w:p>
        </w:tc>
        <w:tc>
          <w:tcPr>
            <w:tcW w:w="1701" w:type="dxa"/>
            <w:noWrap w:val="0"/>
            <w:vAlign w:val="center"/>
          </w:tcPr>
          <w:p w14:paraId="02449480">
            <w:pPr>
              <w:keepNext w:val="0"/>
              <w:keepLines w:val="0"/>
              <w:suppressLineNumbers w:val="0"/>
              <w:adjustRightInd w:val="0"/>
              <w:spacing w:before="0" w:beforeAutospacing="0" w:after="0" w:afterAutospacing="0" w:line="240" w:lineRule="auto"/>
              <w:ind w:left="0" w:right="0"/>
              <w:jc w:val="center"/>
              <w:rPr>
                <w:rFonts w:hint="eastAsia" w:eastAsia="宋体"/>
                <w:color w:val="auto"/>
                <w:sz w:val="21"/>
                <w:szCs w:val="21"/>
                <w:lang w:eastAsia="zh-CN"/>
              </w:rPr>
            </w:pPr>
            <w:r>
              <w:rPr>
                <w:rFonts w:hint="eastAsia"/>
                <w:color w:val="auto"/>
                <w:sz w:val="21"/>
                <w:szCs w:val="21"/>
                <w:lang w:eastAsia="zh-CN"/>
              </w:rPr>
              <w:t>废润滑油、废矿物油</w:t>
            </w:r>
          </w:p>
        </w:tc>
        <w:tc>
          <w:tcPr>
            <w:tcW w:w="1418" w:type="dxa"/>
            <w:noWrap w:val="0"/>
            <w:vAlign w:val="center"/>
          </w:tcPr>
          <w:p w14:paraId="07D83E45">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泄漏、火灾、爆炸</w:t>
            </w:r>
          </w:p>
        </w:tc>
        <w:tc>
          <w:tcPr>
            <w:tcW w:w="2091" w:type="dxa"/>
            <w:noWrap w:val="0"/>
            <w:vAlign w:val="center"/>
          </w:tcPr>
          <w:p w14:paraId="7FDAB8C2">
            <w:pPr>
              <w:keepNext w:val="0"/>
              <w:keepLines w:val="0"/>
              <w:suppressLineNumbers w:val="0"/>
              <w:adjustRightInd w:val="0"/>
              <w:spacing w:before="0" w:beforeAutospacing="0" w:after="0" w:afterAutospacing="0" w:line="240" w:lineRule="auto"/>
              <w:ind w:left="0" w:right="0"/>
              <w:jc w:val="center"/>
              <w:rPr>
                <w:rFonts w:hint="default"/>
                <w:color w:val="auto"/>
                <w:sz w:val="21"/>
                <w:szCs w:val="21"/>
              </w:rPr>
            </w:pPr>
            <w:r>
              <w:rPr>
                <w:rFonts w:hint="default"/>
                <w:color w:val="auto"/>
                <w:sz w:val="21"/>
                <w:szCs w:val="21"/>
              </w:rPr>
              <w:t>物料泄漏；操作不当；遇明火</w:t>
            </w:r>
          </w:p>
        </w:tc>
      </w:tr>
    </w:tbl>
    <w:p w14:paraId="4A9B6C5D">
      <w:pPr>
        <w:pStyle w:val="39"/>
        <w:pageBreakBefore w:val="0"/>
        <w:widowControl/>
        <w:kinsoku/>
        <w:wordWrap/>
        <w:overflowPunct/>
        <w:topLinePunct w:val="0"/>
        <w:autoSpaceDE/>
        <w:autoSpaceDN/>
        <w:bidi w:val="0"/>
        <w:snapToGrid w:val="0"/>
        <w:spacing w:line="360" w:lineRule="auto"/>
        <w:ind w:firstLine="48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公司现有工程采取了一定的风险防范措施，并设立了应急处置预案。</w:t>
      </w:r>
    </w:p>
    <w:p w14:paraId="72AFB9A1">
      <w:pPr>
        <w:pStyle w:val="3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现有工程风险防范措施一览表</w:t>
      </w:r>
    </w:p>
    <w:tbl>
      <w:tblPr>
        <w:tblStyle w:val="21"/>
        <w:tblW w:w="8360"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7037"/>
      </w:tblGrid>
      <w:tr w14:paraId="500F83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40" w:hRule="atLeast"/>
          <w:jc w:val="center"/>
        </w:trPr>
        <w:tc>
          <w:tcPr>
            <w:tcW w:w="1323" w:type="dxa"/>
            <w:tcBorders>
              <w:tl2br w:val="nil"/>
              <w:tr2bl w:val="nil"/>
            </w:tcBorders>
            <w:tcMar>
              <w:top w:w="0" w:type="dxa"/>
              <w:left w:w="28" w:type="dxa"/>
              <w:bottom w:w="0" w:type="dxa"/>
              <w:right w:w="28" w:type="dxa"/>
            </w:tcMar>
            <w:vAlign w:val="center"/>
          </w:tcPr>
          <w:p w14:paraId="463D1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w:t>
            </w:r>
          </w:p>
        </w:tc>
        <w:tc>
          <w:tcPr>
            <w:tcW w:w="7037" w:type="dxa"/>
            <w:tcBorders>
              <w:tl2br w:val="nil"/>
              <w:tr2bl w:val="nil"/>
            </w:tcBorders>
            <w:tcMar>
              <w:top w:w="0" w:type="dxa"/>
              <w:left w:w="28" w:type="dxa"/>
              <w:bottom w:w="0" w:type="dxa"/>
              <w:right w:w="28" w:type="dxa"/>
            </w:tcMar>
            <w:vAlign w:val="center"/>
          </w:tcPr>
          <w:p w14:paraId="71CA50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环境风险防范措施</w:t>
            </w:r>
          </w:p>
        </w:tc>
      </w:tr>
      <w:tr w14:paraId="5D1D5F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23" w:type="dxa"/>
            <w:tcBorders>
              <w:tl2br w:val="nil"/>
              <w:tr2bl w:val="nil"/>
            </w:tcBorders>
            <w:tcMar>
              <w:top w:w="0" w:type="dxa"/>
              <w:left w:w="28" w:type="dxa"/>
              <w:bottom w:w="0" w:type="dxa"/>
              <w:right w:w="28" w:type="dxa"/>
            </w:tcMar>
            <w:vAlign w:val="center"/>
          </w:tcPr>
          <w:p w14:paraId="058A5B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大气环境风险</w:t>
            </w:r>
          </w:p>
          <w:p w14:paraId="7DE595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防范措施</w:t>
            </w:r>
          </w:p>
        </w:tc>
        <w:tc>
          <w:tcPr>
            <w:tcW w:w="7037" w:type="dxa"/>
            <w:tcBorders>
              <w:tl2br w:val="nil"/>
              <w:tr2bl w:val="nil"/>
            </w:tcBorders>
            <w:tcMar>
              <w:top w:w="0" w:type="dxa"/>
              <w:left w:w="28" w:type="dxa"/>
              <w:bottom w:w="0" w:type="dxa"/>
              <w:right w:w="28" w:type="dxa"/>
            </w:tcMar>
            <w:vAlign w:val="center"/>
          </w:tcPr>
          <w:p w14:paraId="6F7B2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安装</w:t>
            </w:r>
            <w:r>
              <w:rPr>
                <w:rFonts w:hint="eastAsia" w:ascii="Times New Roman" w:hAnsi="Times New Roman" w:eastAsia="宋体" w:cs="Times New Roman"/>
                <w:color w:val="auto"/>
                <w:sz w:val="21"/>
                <w:szCs w:val="21"/>
                <w:highlight w:val="none"/>
                <w:lang w:eastAsia="zh-CN"/>
              </w:rPr>
              <w:t>可燃物质</w:t>
            </w:r>
            <w:r>
              <w:rPr>
                <w:rFonts w:hint="default" w:ascii="Times New Roman" w:hAnsi="Times New Roman" w:eastAsia="宋体" w:cs="Times New Roman"/>
                <w:color w:val="auto"/>
                <w:sz w:val="21"/>
                <w:szCs w:val="21"/>
                <w:highlight w:val="none"/>
              </w:rPr>
              <w:t>自动报警系统</w:t>
            </w:r>
            <w:r>
              <w:rPr>
                <w:rFonts w:hint="eastAsia"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生产过程</w:t>
            </w:r>
            <w:r>
              <w:rPr>
                <w:rFonts w:hint="eastAsia" w:cs="Times New Roman"/>
                <w:color w:val="auto"/>
                <w:sz w:val="21"/>
                <w:szCs w:val="21"/>
                <w:highlight w:val="none"/>
                <w:lang w:eastAsia="zh-CN"/>
              </w:rPr>
              <w:t>制</w:t>
            </w:r>
            <w:r>
              <w:rPr>
                <w:rFonts w:hint="default" w:ascii="Times New Roman" w:hAnsi="Times New Roman" w:eastAsia="宋体" w:cs="Times New Roman"/>
                <w:color w:val="auto"/>
                <w:sz w:val="21"/>
                <w:szCs w:val="21"/>
                <w:highlight w:val="none"/>
              </w:rPr>
              <w:t>定严格的操作规程。</w:t>
            </w:r>
          </w:p>
        </w:tc>
      </w:tr>
      <w:tr w14:paraId="2ECA54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23" w:type="dxa"/>
            <w:tcBorders>
              <w:tl2br w:val="nil"/>
              <w:tr2bl w:val="nil"/>
            </w:tcBorders>
            <w:tcMar>
              <w:top w:w="0" w:type="dxa"/>
              <w:left w:w="28" w:type="dxa"/>
              <w:bottom w:w="0" w:type="dxa"/>
              <w:right w:w="28" w:type="dxa"/>
            </w:tcMar>
            <w:vAlign w:val="center"/>
          </w:tcPr>
          <w:p w14:paraId="12A178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水环境风险</w:t>
            </w:r>
          </w:p>
          <w:p w14:paraId="585739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防范措施</w:t>
            </w:r>
          </w:p>
        </w:tc>
        <w:tc>
          <w:tcPr>
            <w:tcW w:w="7037" w:type="dxa"/>
            <w:tcBorders>
              <w:tl2br w:val="nil"/>
              <w:tr2bl w:val="nil"/>
            </w:tcBorders>
            <w:tcMar>
              <w:top w:w="0" w:type="dxa"/>
              <w:left w:w="28" w:type="dxa"/>
              <w:bottom w:w="0" w:type="dxa"/>
              <w:right w:w="28" w:type="dxa"/>
            </w:tcMar>
            <w:vAlign w:val="center"/>
          </w:tcPr>
          <w:p w14:paraId="695D7F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防渗措施：厂区内一般区域采用水泥硬化地面，污水站、危废暂存场所</w:t>
            </w:r>
            <w:r>
              <w:rPr>
                <w:rFonts w:hint="eastAsia" w:cs="Times New Roman"/>
                <w:color w:val="auto"/>
                <w:sz w:val="21"/>
                <w:szCs w:val="21"/>
                <w:highlight w:val="none"/>
                <w:lang w:eastAsia="zh-CN"/>
              </w:rPr>
              <w:t>等</w:t>
            </w:r>
            <w:r>
              <w:rPr>
                <w:rFonts w:hint="default" w:ascii="Times New Roman" w:hAnsi="Times New Roman" w:eastAsia="宋体" w:cs="Times New Roman"/>
                <w:color w:val="auto"/>
                <w:sz w:val="21"/>
                <w:szCs w:val="21"/>
                <w:highlight w:val="none"/>
              </w:rPr>
              <w:t>污染区采取重点防渗。</w:t>
            </w:r>
          </w:p>
        </w:tc>
      </w:tr>
      <w:tr w14:paraId="7ECF34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23" w:type="dxa"/>
            <w:tcBorders>
              <w:tl2br w:val="nil"/>
              <w:tr2bl w:val="nil"/>
            </w:tcBorders>
            <w:tcMar>
              <w:top w:w="0" w:type="dxa"/>
              <w:left w:w="28" w:type="dxa"/>
              <w:bottom w:w="0" w:type="dxa"/>
              <w:right w:w="28" w:type="dxa"/>
            </w:tcMar>
            <w:vAlign w:val="center"/>
          </w:tcPr>
          <w:p w14:paraId="7A815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危险物料</w:t>
            </w:r>
          </w:p>
          <w:p w14:paraId="019668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泄漏、火灾</w:t>
            </w:r>
          </w:p>
          <w:p w14:paraId="334889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事故防范</w:t>
            </w:r>
          </w:p>
        </w:tc>
        <w:tc>
          <w:tcPr>
            <w:tcW w:w="7037" w:type="dxa"/>
            <w:tcBorders>
              <w:tl2br w:val="nil"/>
              <w:tr2bl w:val="nil"/>
            </w:tcBorders>
            <w:tcMar>
              <w:top w:w="0" w:type="dxa"/>
              <w:left w:w="28" w:type="dxa"/>
              <w:bottom w:w="0" w:type="dxa"/>
              <w:right w:w="28" w:type="dxa"/>
            </w:tcMar>
            <w:vAlign w:val="center"/>
          </w:tcPr>
          <w:p w14:paraId="433898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eastAsia="zh-CN"/>
              </w:rPr>
              <w:t>生产区域、危废暂存间等</w:t>
            </w:r>
            <w:r>
              <w:rPr>
                <w:rFonts w:hint="default" w:ascii="Times New Roman" w:hAnsi="Times New Roman" w:eastAsia="宋体" w:cs="Times New Roman"/>
                <w:color w:val="auto"/>
                <w:sz w:val="21"/>
                <w:szCs w:val="21"/>
                <w:highlight w:val="none"/>
              </w:rPr>
              <w:t>设置消防栓，危险物料区设置泄漏报警装置。</w:t>
            </w:r>
          </w:p>
        </w:tc>
      </w:tr>
      <w:tr w14:paraId="43BD75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23" w:type="dxa"/>
            <w:tcBorders>
              <w:tl2br w:val="nil"/>
              <w:tr2bl w:val="nil"/>
            </w:tcBorders>
            <w:tcMar>
              <w:top w:w="0" w:type="dxa"/>
              <w:left w:w="28" w:type="dxa"/>
              <w:bottom w:w="0" w:type="dxa"/>
              <w:right w:w="28" w:type="dxa"/>
            </w:tcMar>
            <w:vAlign w:val="center"/>
          </w:tcPr>
          <w:p w14:paraId="671966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防火防爆措施</w:t>
            </w:r>
          </w:p>
        </w:tc>
        <w:tc>
          <w:tcPr>
            <w:tcW w:w="7037" w:type="dxa"/>
            <w:tcBorders>
              <w:tl2br w:val="nil"/>
              <w:tr2bl w:val="nil"/>
            </w:tcBorders>
            <w:tcMar>
              <w:top w:w="0" w:type="dxa"/>
              <w:left w:w="28" w:type="dxa"/>
              <w:bottom w:w="0" w:type="dxa"/>
              <w:right w:w="28" w:type="dxa"/>
            </w:tcMar>
            <w:vAlign w:val="center"/>
          </w:tcPr>
          <w:p w14:paraId="548982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优化平面布置，工艺自动化控制，建/构筑物防火、电气防火、设备泄压等采取防火防爆控制措施。</w:t>
            </w:r>
          </w:p>
        </w:tc>
      </w:tr>
      <w:tr w14:paraId="653AB2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23" w:type="dxa"/>
            <w:tcBorders>
              <w:tl2br w:val="nil"/>
              <w:tr2bl w:val="nil"/>
            </w:tcBorders>
            <w:tcMar>
              <w:top w:w="0" w:type="dxa"/>
              <w:left w:w="28" w:type="dxa"/>
              <w:bottom w:w="0" w:type="dxa"/>
              <w:right w:w="28" w:type="dxa"/>
            </w:tcMar>
            <w:vAlign w:val="center"/>
          </w:tcPr>
          <w:p w14:paraId="1A49CA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安全管理措施</w:t>
            </w:r>
          </w:p>
        </w:tc>
        <w:tc>
          <w:tcPr>
            <w:tcW w:w="7037" w:type="dxa"/>
            <w:tcBorders>
              <w:tl2br w:val="nil"/>
              <w:tr2bl w:val="nil"/>
            </w:tcBorders>
            <w:tcMar>
              <w:top w:w="0" w:type="dxa"/>
              <w:left w:w="28" w:type="dxa"/>
              <w:bottom w:w="0" w:type="dxa"/>
              <w:right w:w="28" w:type="dxa"/>
            </w:tcMar>
            <w:vAlign w:val="center"/>
          </w:tcPr>
          <w:p w14:paraId="005C82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设置安全管理机构，建立安全管理制度，加强人员培训，预防安全事故发生</w:t>
            </w:r>
          </w:p>
        </w:tc>
      </w:tr>
      <w:tr w14:paraId="3F6C2B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323" w:type="dxa"/>
            <w:tcBorders>
              <w:tl2br w:val="nil"/>
              <w:tr2bl w:val="nil"/>
            </w:tcBorders>
            <w:tcMar>
              <w:top w:w="0" w:type="dxa"/>
              <w:left w:w="28" w:type="dxa"/>
              <w:bottom w:w="0" w:type="dxa"/>
              <w:right w:w="28" w:type="dxa"/>
            </w:tcMar>
            <w:vAlign w:val="center"/>
          </w:tcPr>
          <w:p w14:paraId="74CBCD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环境应急</w:t>
            </w:r>
          </w:p>
          <w:p w14:paraId="4CD4F6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救援</w:t>
            </w:r>
          </w:p>
        </w:tc>
        <w:tc>
          <w:tcPr>
            <w:tcW w:w="7037" w:type="dxa"/>
            <w:tcBorders>
              <w:tl2br w:val="nil"/>
              <w:tr2bl w:val="nil"/>
            </w:tcBorders>
            <w:tcMar>
              <w:top w:w="0" w:type="dxa"/>
              <w:left w:w="28" w:type="dxa"/>
              <w:bottom w:w="0" w:type="dxa"/>
              <w:right w:w="28" w:type="dxa"/>
            </w:tcMar>
            <w:vAlign w:val="center"/>
          </w:tcPr>
          <w:p w14:paraId="52A303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制定事故应急救援预案，从组织机构、救援保障、报警通讯、应急监测及救护保障、应急处置措施、事故原因调查分析等方面制定严格的制度，定期组织培训、演练。</w:t>
            </w:r>
          </w:p>
        </w:tc>
      </w:tr>
    </w:tbl>
    <w:p w14:paraId="00F9197E">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cs="Times New Roman"/>
          <w:color w:val="auto"/>
          <w:spacing w:val="0"/>
          <w:position w:val="0"/>
          <w:sz w:val="24"/>
          <w:szCs w:val="24"/>
          <w:highlight w:val="none"/>
          <w:lang w:val="en-US" w:eastAsia="zh-CN"/>
        </w:rPr>
      </w:pPr>
      <w:r>
        <w:rPr>
          <w:rFonts w:hint="eastAsia" w:cs="Times New Roman"/>
          <w:color w:val="auto"/>
          <w:spacing w:val="0"/>
          <w:position w:val="0"/>
          <w:sz w:val="24"/>
          <w:szCs w:val="24"/>
          <w:highlight w:val="none"/>
          <w:lang w:val="en-US" w:eastAsia="zh-CN"/>
        </w:rPr>
        <w:t>企业已从源头采取了大气环境风险防范措施，制定了严格的操</w:t>
      </w:r>
      <w:bookmarkStart w:id="17" w:name="_GoBack"/>
      <w:bookmarkEnd w:id="17"/>
      <w:r>
        <w:rPr>
          <w:rFonts w:hint="eastAsia" w:cs="Times New Roman"/>
          <w:color w:val="auto"/>
          <w:spacing w:val="0"/>
          <w:position w:val="0"/>
          <w:sz w:val="24"/>
          <w:szCs w:val="24"/>
          <w:highlight w:val="none"/>
          <w:lang w:val="en-US" w:eastAsia="zh-CN"/>
        </w:rPr>
        <w:t>作规程，安装了可燃物质泄漏报警装置，已采取的大气环境风险防范措施有效。</w:t>
      </w:r>
    </w:p>
    <w:p w14:paraId="1702E49D">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cs="Times New Roman"/>
          <w:color w:val="auto"/>
          <w:spacing w:val="0"/>
          <w:position w:val="0"/>
          <w:sz w:val="24"/>
          <w:szCs w:val="24"/>
          <w:highlight w:val="none"/>
          <w:lang w:val="en-US" w:eastAsia="zh-CN"/>
        </w:rPr>
      </w:pPr>
      <w:r>
        <w:rPr>
          <w:rFonts w:hint="eastAsia" w:cs="Times New Roman"/>
          <w:color w:val="auto"/>
          <w:spacing w:val="0"/>
          <w:position w:val="0"/>
          <w:sz w:val="24"/>
          <w:szCs w:val="24"/>
          <w:highlight w:val="none"/>
          <w:lang w:val="en-US" w:eastAsia="zh-CN"/>
        </w:rPr>
        <w:t>在地表水环境风险防范方面主要是从源头加以控制：安装泄漏报警装置，在装置区周边设置围堰，将事故水围堵在厂区内等，确保事故状态时废液或废水能够得到有效收集，防止漫流。</w:t>
      </w:r>
    </w:p>
    <w:p w14:paraId="673D2C20">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cs="Times New Roman"/>
          <w:color w:val="auto"/>
          <w:spacing w:val="0"/>
          <w:position w:val="0"/>
          <w:sz w:val="24"/>
          <w:szCs w:val="24"/>
          <w:highlight w:val="none"/>
          <w:lang w:val="en-US" w:eastAsia="zh-CN"/>
        </w:rPr>
      </w:pPr>
      <w:r>
        <w:rPr>
          <w:rFonts w:hint="eastAsia" w:cs="Times New Roman"/>
          <w:color w:val="auto"/>
          <w:spacing w:val="0"/>
          <w:position w:val="0"/>
          <w:sz w:val="24"/>
          <w:szCs w:val="24"/>
          <w:highlight w:val="none"/>
          <w:lang w:val="en-US" w:eastAsia="zh-CN"/>
        </w:rPr>
        <w:t>在地下水环境风险防范方面，企业已采取分区防渗措施，防渗满足要求；此外厂区建设三级防控体系，对事故废水进行有效收集，已采取的地下水环境风险防范措施有效。</w:t>
      </w:r>
    </w:p>
    <w:p w14:paraId="7FF29FCA">
      <w:pPr>
        <w:pStyle w:val="3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 xml:space="preserve"> </w:t>
      </w:r>
      <w:r>
        <w:rPr>
          <w:rFonts w:hint="eastAsia" w:ascii="Times New Roman" w:cs="Times New Roman"/>
          <w:b/>
          <w:bCs/>
          <w:color w:val="auto"/>
          <w:sz w:val="24"/>
          <w:szCs w:val="24"/>
          <w:highlight w:val="none"/>
          <w:lang w:val="en-US" w:eastAsia="zh-CN"/>
        </w:rPr>
        <w:t>应急物资</w:t>
      </w:r>
      <w:r>
        <w:rPr>
          <w:rFonts w:hint="eastAsia" w:ascii="Times New Roman" w:hAnsi="Times New Roman" w:eastAsia="宋体" w:cs="Times New Roman"/>
          <w:b/>
          <w:bCs/>
          <w:color w:val="auto"/>
          <w:sz w:val="24"/>
          <w:szCs w:val="24"/>
          <w:highlight w:val="none"/>
          <w:lang w:val="en-US" w:eastAsia="zh-CN"/>
        </w:rPr>
        <w:t>（消防）配置明细表</w:t>
      </w:r>
    </w:p>
    <w:tbl>
      <w:tblPr>
        <w:tblStyle w:val="21"/>
        <w:tblW w:w="4972" w:type="pct"/>
        <w:jc w:val="center"/>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554"/>
        <w:gridCol w:w="524"/>
        <w:gridCol w:w="839"/>
        <w:gridCol w:w="159"/>
        <w:gridCol w:w="218"/>
        <w:gridCol w:w="515"/>
        <w:gridCol w:w="971"/>
        <w:gridCol w:w="585"/>
        <w:gridCol w:w="798"/>
        <w:gridCol w:w="846"/>
        <w:gridCol w:w="28"/>
        <w:gridCol w:w="352"/>
        <w:gridCol w:w="629"/>
        <w:gridCol w:w="1241"/>
      </w:tblGrid>
      <w:tr w14:paraId="46E68D4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5000" w:type="pct"/>
            <w:gridSpan w:val="14"/>
            <w:tcBorders>
              <w:top w:val="single" w:color="000000" w:sz="12" w:space="0"/>
              <w:left w:val="nil"/>
              <w:bottom w:val="single" w:color="000000" w:sz="4" w:space="0"/>
              <w:right w:val="nil"/>
            </w:tcBorders>
            <w:shd w:val="clear" w:color="auto" w:fill="auto"/>
            <w:vAlign w:val="center"/>
          </w:tcPr>
          <w:p w14:paraId="61003051">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公司基本信息</w:t>
            </w:r>
          </w:p>
        </w:tc>
      </w:tr>
      <w:tr w14:paraId="383DD790">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653" w:type="pct"/>
            <w:gridSpan w:val="2"/>
            <w:tcBorders>
              <w:top w:val="single" w:color="000000" w:sz="4" w:space="0"/>
              <w:left w:val="nil"/>
              <w:bottom w:val="single" w:color="000000" w:sz="4" w:space="0"/>
              <w:right w:val="single" w:color="000000" w:sz="4" w:space="0"/>
            </w:tcBorders>
            <w:shd w:val="clear" w:color="auto" w:fill="auto"/>
            <w:vAlign w:val="center"/>
          </w:tcPr>
          <w:p w14:paraId="43626D35">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单位名称</w:t>
            </w:r>
          </w:p>
        </w:tc>
        <w:tc>
          <w:tcPr>
            <w:tcW w:w="4346" w:type="pct"/>
            <w:gridSpan w:val="12"/>
            <w:tcBorders>
              <w:top w:val="single" w:color="000000" w:sz="4" w:space="0"/>
              <w:left w:val="single" w:color="000000" w:sz="4" w:space="0"/>
              <w:bottom w:val="single" w:color="000000" w:sz="4" w:space="0"/>
              <w:right w:val="nil"/>
            </w:tcBorders>
            <w:shd w:val="clear" w:color="auto" w:fill="auto"/>
            <w:vAlign w:val="center"/>
          </w:tcPr>
          <w:p w14:paraId="41C02F5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淄博南韩化工有限公司</w:t>
            </w:r>
          </w:p>
        </w:tc>
      </w:tr>
      <w:tr w14:paraId="0871C0AF">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653" w:type="pct"/>
            <w:gridSpan w:val="2"/>
            <w:tcBorders>
              <w:top w:val="single" w:color="000000" w:sz="4" w:space="0"/>
              <w:left w:val="nil"/>
              <w:bottom w:val="single" w:color="000000" w:sz="4" w:space="0"/>
              <w:right w:val="single" w:color="000000" w:sz="4" w:space="0"/>
            </w:tcBorders>
            <w:shd w:val="clear" w:color="auto" w:fill="auto"/>
            <w:vAlign w:val="center"/>
          </w:tcPr>
          <w:p w14:paraId="154BE7BA">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物资库位置</w:t>
            </w:r>
          </w:p>
        </w:tc>
        <w:tc>
          <w:tcPr>
            <w:tcW w:w="247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C89674F">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厂区中控室、应急救援办公室、各车间、仓库</w:t>
            </w:r>
          </w:p>
        </w:tc>
        <w:tc>
          <w:tcPr>
            <w:tcW w:w="74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AE887A">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经纬度</w:t>
            </w:r>
          </w:p>
        </w:tc>
        <w:tc>
          <w:tcPr>
            <w:tcW w:w="1130" w:type="pct"/>
            <w:gridSpan w:val="2"/>
            <w:tcBorders>
              <w:top w:val="single" w:color="000000" w:sz="4" w:space="0"/>
              <w:left w:val="single" w:color="000000" w:sz="4" w:space="0"/>
              <w:bottom w:val="single" w:color="000000" w:sz="4" w:space="0"/>
              <w:right w:val="nil"/>
            </w:tcBorders>
            <w:shd w:val="clear" w:color="auto" w:fill="auto"/>
            <w:vAlign w:val="center"/>
          </w:tcPr>
          <w:p w14:paraId="2A38C8FF">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E118°5′29.5″</w:t>
            </w:r>
          </w:p>
          <w:p w14:paraId="7D34FBB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N36°41′58.3″</w:t>
            </w:r>
          </w:p>
        </w:tc>
      </w:tr>
      <w:tr w14:paraId="3782B8AD">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vMerge w:val="restart"/>
            <w:tcBorders>
              <w:top w:val="single" w:color="000000" w:sz="4" w:space="0"/>
              <w:left w:val="nil"/>
              <w:bottom w:val="single" w:color="000000" w:sz="4" w:space="0"/>
              <w:right w:val="single" w:color="000000" w:sz="4" w:space="0"/>
            </w:tcBorders>
            <w:shd w:val="clear" w:color="auto" w:fill="auto"/>
            <w:vAlign w:val="center"/>
          </w:tcPr>
          <w:p w14:paraId="6BC1BB5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负责人</w:t>
            </w:r>
          </w:p>
        </w:tc>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916EE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姓名</w:t>
            </w:r>
          </w:p>
        </w:tc>
        <w:tc>
          <w:tcPr>
            <w:tcW w:w="112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61A325">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0"/>
                <w:sz w:val="21"/>
                <w:szCs w:val="21"/>
                <w:lang w:val="en-US" w:eastAsia="zh-CN" w:bidi="ar"/>
              </w:rPr>
              <w:t>张骞</w:t>
            </w:r>
          </w:p>
        </w:tc>
        <w:tc>
          <w:tcPr>
            <w:tcW w:w="83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77424E">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联系人</w:t>
            </w:r>
          </w:p>
        </w:tc>
        <w:tc>
          <w:tcPr>
            <w:tcW w:w="74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515732">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姓名</w:t>
            </w:r>
          </w:p>
        </w:tc>
        <w:tc>
          <w:tcPr>
            <w:tcW w:w="1130" w:type="pct"/>
            <w:gridSpan w:val="2"/>
            <w:tcBorders>
              <w:top w:val="single" w:color="000000" w:sz="4" w:space="0"/>
              <w:left w:val="single" w:color="000000" w:sz="4" w:space="0"/>
              <w:bottom w:val="single" w:color="000000" w:sz="4" w:space="0"/>
              <w:right w:val="nil"/>
            </w:tcBorders>
            <w:shd w:val="clear" w:color="auto" w:fill="auto"/>
            <w:vAlign w:val="center"/>
          </w:tcPr>
          <w:p w14:paraId="73CE6BDD">
            <w:pPr>
              <w:keepNext w:val="0"/>
              <w:keepLines w:val="0"/>
              <w:pageBreakBefore w:val="0"/>
              <w:widowControl w:val="0"/>
              <w:suppressLineNumbers w:val="0"/>
              <w:tabs>
                <w:tab w:val="left" w:pos="425"/>
              </w:tabs>
              <w:kinsoku/>
              <w:wordWrap/>
              <w:overflowPunct/>
              <w:topLinePunct w:val="0"/>
              <w:autoSpaceDE w:val="0"/>
              <w:autoSpaceDN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lang w:val="en-US" w:eastAsia="zh-CN" w:bidi="ar"/>
              </w:rPr>
              <w:t>王世明</w:t>
            </w:r>
          </w:p>
        </w:tc>
      </w:tr>
      <w:tr w14:paraId="2C0DADE0">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vMerge w:val="continue"/>
            <w:tcBorders>
              <w:top w:val="single" w:color="000000" w:sz="4" w:space="0"/>
              <w:left w:val="nil"/>
              <w:bottom w:val="single" w:color="000000" w:sz="4" w:space="0"/>
              <w:right w:val="single" w:color="000000" w:sz="4" w:space="0"/>
            </w:tcBorders>
            <w:shd w:val="clear" w:color="auto" w:fill="auto"/>
            <w:vAlign w:val="center"/>
          </w:tcPr>
          <w:p w14:paraId="3D9C3312">
            <w:pPr>
              <w:keepNext w:val="0"/>
              <w:keepLines w:val="0"/>
              <w:pageBreakBefore w:val="0"/>
              <w:suppressLineNumbers w:val="0"/>
              <w:kinsoku/>
              <w:wordWrap/>
              <w:overflowPunct/>
              <w:topLinePunct w:val="0"/>
              <w:bidi w:val="0"/>
              <w:snapToGrid w:val="0"/>
              <w:spacing w:before="0" w:beforeAutospacing="0" w:afterAutospacing="0"/>
              <w:ind w:left="0" w:right="0"/>
              <w:jc w:val="center"/>
              <w:rPr>
                <w:rFonts w:hint="default" w:ascii="Times New Roman" w:hAnsi="Times New Roman" w:cs="Times New Roman"/>
                <w:color w:val="auto"/>
                <w:sz w:val="20"/>
                <w:szCs w:val="20"/>
              </w:rPr>
            </w:pPr>
          </w:p>
        </w:tc>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C4D8D">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联系方式</w:t>
            </w:r>
          </w:p>
        </w:tc>
        <w:tc>
          <w:tcPr>
            <w:tcW w:w="112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A618FE">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13646444820</w:t>
            </w:r>
          </w:p>
        </w:tc>
        <w:tc>
          <w:tcPr>
            <w:tcW w:w="83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7C2F9">
            <w:pPr>
              <w:keepNext w:val="0"/>
              <w:keepLines w:val="0"/>
              <w:pageBreakBefore w:val="0"/>
              <w:suppressLineNumbers w:val="0"/>
              <w:kinsoku/>
              <w:wordWrap/>
              <w:overflowPunct/>
              <w:topLinePunct w:val="0"/>
              <w:bidi w:val="0"/>
              <w:snapToGrid w:val="0"/>
              <w:spacing w:before="0" w:beforeAutospacing="0" w:afterAutospacing="0"/>
              <w:ind w:left="0" w:right="0"/>
              <w:jc w:val="center"/>
              <w:rPr>
                <w:rFonts w:hint="default" w:ascii="Times New Roman" w:hAnsi="Times New Roman" w:cs="Times New Roman"/>
                <w:color w:val="auto"/>
                <w:sz w:val="20"/>
                <w:szCs w:val="20"/>
              </w:rPr>
            </w:pPr>
          </w:p>
        </w:tc>
        <w:tc>
          <w:tcPr>
            <w:tcW w:w="74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BC653">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联系方式</w:t>
            </w:r>
          </w:p>
        </w:tc>
        <w:tc>
          <w:tcPr>
            <w:tcW w:w="1130" w:type="pct"/>
            <w:gridSpan w:val="2"/>
            <w:tcBorders>
              <w:top w:val="single" w:color="000000" w:sz="4" w:space="0"/>
              <w:left w:val="single" w:color="000000" w:sz="4" w:space="0"/>
              <w:bottom w:val="single" w:color="000000" w:sz="4" w:space="0"/>
              <w:right w:val="nil"/>
            </w:tcBorders>
            <w:shd w:val="clear" w:color="auto" w:fill="auto"/>
            <w:vAlign w:val="center"/>
          </w:tcPr>
          <w:p w14:paraId="2BE7618D">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18815331205</w:t>
            </w:r>
          </w:p>
        </w:tc>
      </w:tr>
      <w:tr w14:paraId="252C0F45">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5000" w:type="pct"/>
            <w:gridSpan w:val="14"/>
            <w:tcBorders>
              <w:top w:val="single" w:color="000000" w:sz="4" w:space="0"/>
              <w:left w:val="nil"/>
              <w:bottom w:val="single" w:color="000000" w:sz="4" w:space="0"/>
              <w:right w:val="nil"/>
            </w:tcBorders>
            <w:shd w:val="clear" w:color="auto" w:fill="auto"/>
            <w:vAlign w:val="center"/>
          </w:tcPr>
          <w:p w14:paraId="0D55FB1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环境应急资源信息</w:t>
            </w:r>
          </w:p>
        </w:tc>
      </w:tr>
      <w:tr w14:paraId="0F4989C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20F957C0">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序号</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6277B6">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名称</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5A2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品牌</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FA68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型号</w:t>
            </w:r>
            <w:r>
              <w:rPr>
                <w:rFonts w:hint="default" w:ascii="Times New Roman" w:hAnsi="Times New Roman" w:eastAsia="宋体" w:cs="Times New Roman"/>
                <w:color w:val="auto"/>
                <w:kern w:val="2"/>
                <w:sz w:val="21"/>
                <w:szCs w:val="21"/>
                <w:lang w:val="en-US" w:eastAsia="zh-CN" w:bidi="ar"/>
              </w:rPr>
              <w:t>/</w:t>
            </w:r>
            <w:r>
              <w:rPr>
                <w:rFonts w:hint="eastAsia" w:ascii="宋体" w:hAnsi="宋体" w:eastAsia="宋体" w:cs="宋体"/>
                <w:color w:val="auto"/>
                <w:kern w:val="2"/>
                <w:sz w:val="21"/>
                <w:szCs w:val="21"/>
                <w:lang w:val="en-US" w:eastAsia="zh-CN" w:bidi="ar"/>
              </w:rPr>
              <w:t>规格</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06A29">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储备量</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82F6E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报废日期</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452B2">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主要功能</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8F36B3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备注</w:t>
            </w:r>
          </w:p>
        </w:tc>
      </w:tr>
      <w:tr w14:paraId="746D330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0660116F">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3488D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应急药箱</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4BD9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4C2E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69DF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CE18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9029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0DB3B73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644823C8">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1C96E582">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22B4A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救援绳</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D0E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24DED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6B01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3</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69B2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6716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267261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720A6AD3">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3E529A8">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58B27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五点式安全带</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C693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24A6E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5691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78C3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D02F0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0E87BC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4C8C8983">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D24F87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E0A69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火灾逃生面具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962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4909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E490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5DE2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8092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878FF0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3E4EA0F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7919C11">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0E1B5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正压式呼吸器</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7616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8C51E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04D0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11F88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AECF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520CBA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7758D14D">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201F64E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6</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70C34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MJ-4006</w:t>
            </w:r>
            <w:r>
              <w:rPr>
                <w:rFonts w:hint="eastAsia" w:ascii="宋体" w:hAnsi="宋体" w:eastAsia="宋体" w:cs="宋体"/>
                <w:color w:val="auto"/>
                <w:kern w:val="2"/>
                <w:sz w:val="21"/>
                <w:szCs w:val="21"/>
                <w:lang w:val="en-US" w:eastAsia="zh-CN" w:bidi="ar"/>
              </w:rPr>
              <w:t>防毒面具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C3CC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D93E1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0163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FAAA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6889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6132FD4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5F649CF0">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67D5E35B">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7</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82976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2"/>
                <w:sz w:val="21"/>
                <w:szCs w:val="21"/>
                <w:lang w:val="en-US" w:eastAsia="zh-CN" w:bidi="ar"/>
              </w:rPr>
              <w:t>长管防毒面具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5429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FB4F6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D5AD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B5C53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1D8C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7BE0F4D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761E472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A7BF6F2">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8</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7021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重型防护服</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E23B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C6F6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DBA5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AE52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9CFA1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0DA8561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中控室</w:t>
            </w:r>
          </w:p>
        </w:tc>
      </w:tr>
      <w:tr w14:paraId="05FE2A66">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687870D8">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9</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CDFFF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2"/>
                <w:sz w:val="21"/>
                <w:szCs w:val="21"/>
              </w:rPr>
            </w:pPr>
            <w:r>
              <w:rPr>
                <w:rFonts w:hint="eastAsia" w:ascii="宋体" w:hAnsi="宋体" w:eastAsia="宋体" w:cs="宋体"/>
                <w:color w:val="auto"/>
                <w:kern w:val="2"/>
                <w:sz w:val="21"/>
                <w:szCs w:val="21"/>
                <w:lang w:val="en-US" w:eastAsia="zh-CN" w:bidi="ar"/>
              </w:rPr>
              <w:t>应急药箱</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7EDF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8890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98A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558B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7C05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517443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0C84C43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0A76345B">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10</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C896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MJ-4007</w:t>
            </w:r>
            <w:r>
              <w:rPr>
                <w:rFonts w:hint="eastAsia" w:ascii="宋体" w:hAnsi="宋体" w:eastAsia="宋体" w:cs="宋体"/>
                <w:color w:val="auto"/>
                <w:kern w:val="2"/>
                <w:sz w:val="21"/>
                <w:szCs w:val="21"/>
                <w:lang w:val="en-US" w:eastAsia="zh-CN" w:bidi="ar"/>
              </w:rPr>
              <w:t>防毒面具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3097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4A87C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CD9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989D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DC53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778423C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0D62390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02962F4B">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11</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168BD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五点式安全带</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A3BF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4771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A982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3</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9E4A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D29E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1A463E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61295B7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65DFB0B8">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12</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56025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救援绳</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F4C6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C9F6F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8A5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CADD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2D7D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885328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25D4B178">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BBED3CF">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13</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69619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正压式呼吸器</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3798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1DE6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4652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7378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3AC1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D27B92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1992153D">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5BC9AEA">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14</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54D1B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警戒线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A18C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6DCF6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D0A6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AD72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A1B76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ADC0A7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4835673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239B2B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15</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941D5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重型防护服</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3CD7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6AAFF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FB28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F3F7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C83A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16E04D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7B8741A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B6C2965">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16</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98110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轻型防护服</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6172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0D74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2726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CD27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1B218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3C352B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14541702">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5358B3E">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17</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C463B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正压呼吸气瓶</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F51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6D8C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1416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F703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26DD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3DBD34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623DE1A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C04F406">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18</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8621B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风力测试仪</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7D76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7EE9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1C15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CC31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8AC2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165037F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68E3DA5C">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24C301E">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19</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CCC0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耐酸碱手套</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55A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5317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8CB7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ADA3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5D67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A7BECA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7E3D391D">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052DAAE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20</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33DB7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生命线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F98E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68E7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2801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FA58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95D27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420739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应急救援办公室</w:t>
            </w:r>
          </w:p>
        </w:tc>
      </w:tr>
      <w:tr w14:paraId="6B249CD3">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D4A9D25">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21</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2683C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轻型防护服</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FBA6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A63E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8622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168F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421E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6CA726B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70E8A202">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534044D">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22</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B1E7D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火灾逃生面具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59FF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316C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6257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A80C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F17FA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9D3D3B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6824FD2F">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9C6B17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23</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1B83D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应急药箱</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264A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779D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B316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B0A7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7FF9D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735CF2D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68EB64C5">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13B641C1">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24</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006C4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bCs w:val="0"/>
                <w:color w:val="auto"/>
                <w:kern w:val="1"/>
                <w:sz w:val="21"/>
                <w:szCs w:val="21"/>
              </w:rPr>
            </w:pPr>
            <w:r>
              <w:rPr>
                <w:rFonts w:hint="eastAsia" w:ascii="宋体" w:hAnsi="宋体" w:eastAsia="宋体" w:cs="宋体"/>
                <w:color w:val="auto"/>
                <w:kern w:val="2"/>
                <w:sz w:val="21"/>
                <w:szCs w:val="21"/>
                <w:lang w:val="en-US" w:eastAsia="zh-CN" w:bidi="ar"/>
              </w:rPr>
              <w:t>五点式安全带</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BEBF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0B00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DCCE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21AF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E27D3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9B41D1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31F84860">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20D6D02">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25</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D6976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救援绳</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9FBC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A8E4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6BB7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3782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A14B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7BC038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7C153B59">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66C8471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26</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177F4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正压呼吸器</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E98F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04A5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B58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84BD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911F1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07556B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7091059F">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5AB53310">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27</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36AD4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防爆工具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096F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6B077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7D71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72FC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B8BE7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6CE101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044E5B99">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156647A8">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28</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B1A40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生命线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A06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691B0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804F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812F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DF53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58B196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6C1CD042">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C14B120">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29</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E7EF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警戒线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449E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2251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03D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4D90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3077F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150ACA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7D6EA3EC">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2D8C742">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30</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569B7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eastAsia" w:ascii="宋体" w:hAnsi="宋体" w:eastAsia="宋体" w:cs="宋体"/>
                <w:color w:val="auto"/>
                <w:kern w:val="2"/>
                <w:sz w:val="21"/>
                <w:szCs w:val="21"/>
                <w:lang w:val="en-US" w:eastAsia="zh-CN" w:bidi="ar"/>
              </w:rPr>
              <w:t>长管防毒面具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C7CC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98483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60E9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 w:val="0"/>
                <w:bCs/>
                <w:color w:val="auto"/>
                <w:kern w:val="1"/>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88AE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B3A9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3AB13C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46E842AF">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E10D8C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31</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5C757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2"/>
                <w:sz w:val="21"/>
                <w:szCs w:val="21"/>
                <w:lang w:val="en-US" w:eastAsia="zh-CN" w:bidi="ar"/>
              </w:rPr>
              <w:t>重型防护服</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E28E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B44F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80B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55A48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103BF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66AF3A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3DE1BA06">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268A884E">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32</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A4464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eastAsia" w:ascii="宋体" w:hAnsi="宋体" w:eastAsia="宋体" w:cs="宋体"/>
                <w:color w:val="auto"/>
                <w:kern w:val="2"/>
                <w:sz w:val="21"/>
                <w:szCs w:val="21"/>
                <w:lang w:val="en-US" w:eastAsia="zh-CN" w:bidi="ar"/>
              </w:rPr>
              <w:t>正压呼吸器备用气瓶</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5893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E1522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E220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8C90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2211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auto"/>
                <w:kern w:val="0"/>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5395B1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400B8D5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6266FF3">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33</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3728D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气体检测仪（</w:t>
            </w:r>
            <w:r>
              <w:rPr>
                <w:rFonts w:hint="default" w:ascii="Times New Roman" w:hAnsi="Times New Roman" w:eastAsia="宋体" w:cs="Times New Roman"/>
                <w:color w:val="auto"/>
                <w:kern w:val="2"/>
                <w:sz w:val="21"/>
                <w:szCs w:val="21"/>
                <w:lang w:val="en-US" w:eastAsia="zh-CN" w:bidi="ar"/>
              </w:rPr>
              <w:t>1</w:t>
            </w:r>
            <w:r>
              <w:rPr>
                <w:rFonts w:hint="eastAsia" w:ascii="宋体" w:hAnsi="宋体" w:eastAsia="宋体" w:cs="宋体"/>
                <w:color w:val="auto"/>
                <w:kern w:val="2"/>
                <w:sz w:val="21"/>
                <w:szCs w:val="21"/>
                <w:lang w:val="en-US" w:eastAsia="zh-CN" w:bidi="ar"/>
              </w:rPr>
              <w:t>个可燃</w:t>
            </w:r>
            <w:r>
              <w:rPr>
                <w:rFonts w:hint="default" w:ascii="Times New Roman" w:hAnsi="Times New Roman" w:eastAsia="宋体" w:cs="Times New Roman"/>
                <w:color w:val="auto"/>
                <w:kern w:val="2"/>
                <w:sz w:val="21"/>
                <w:szCs w:val="21"/>
                <w:lang w:val="en-US" w:eastAsia="zh-CN" w:bidi="ar"/>
              </w:rPr>
              <w:t>,3</w:t>
            </w:r>
            <w:r>
              <w:rPr>
                <w:rFonts w:hint="eastAsia" w:ascii="宋体" w:hAnsi="宋体" w:eastAsia="宋体" w:cs="宋体"/>
                <w:color w:val="auto"/>
                <w:kern w:val="2"/>
                <w:sz w:val="21"/>
                <w:szCs w:val="21"/>
                <w:lang w:val="en-US" w:eastAsia="zh-CN" w:bidi="ar"/>
              </w:rPr>
              <w:t>个</w:t>
            </w:r>
            <w:r>
              <w:rPr>
                <w:rFonts w:hint="default" w:ascii="Times New Roman" w:hAnsi="Times New Roman" w:eastAsia="宋体" w:cs="Times New Roman"/>
                <w:color w:val="auto"/>
                <w:kern w:val="2"/>
                <w:sz w:val="21"/>
                <w:szCs w:val="21"/>
                <w:lang w:val="en-US" w:eastAsia="zh-CN" w:bidi="ar"/>
              </w:rPr>
              <w:t>4</w:t>
            </w:r>
            <w:r>
              <w:rPr>
                <w:rFonts w:hint="eastAsia" w:ascii="宋体" w:hAnsi="宋体" w:eastAsia="宋体" w:cs="宋体"/>
                <w:color w:val="auto"/>
                <w:kern w:val="2"/>
                <w:sz w:val="21"/>
                <w:szCs w:val="21"/>
                <w:lang w:val="en-US" w:eastAsia="zh-CN" w:bidi="ar"/>
              </w:rPr>
              <w:t>合一）</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CF67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4206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EAF4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4</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6543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A4D9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环境监测</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EC5D37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52C257F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1927FB65">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34</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7F5BF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轻型防护服</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D224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3195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6652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6F43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7E17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5AC723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新材料车间</w:t>
            </w:r>
          </w:p>
        </w:tc>
      </w:tr>
      <w:tr w14:paraId="5009054D">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16A6537B">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35</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CE45C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火灾逃生面具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1775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024E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F5ED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CE72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8C5E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7A01F5B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氢铝烘干</w:t>
            </w:r>
          </w:p>
        </w:tc>
      </w:tr>
      <w:tr w14:paraId="5B42F3F1">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AAC3765">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36</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2116F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应急药箱</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B251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A5B97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C889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C2C2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93199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1121DAD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氢铝烘干</w:t>
            </w:r>
          </w:p>
        </w:tc>
      </w:tr>
      <w:tr w14:paraId="530A58AE">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22516F19">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37</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8307D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火灾逃生面具</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DCA1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B6CC8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2E72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30B3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6429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安全防护</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05C3FF0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萤石烘干</w:t>
            </w:r>
          </w:p>
        </w:tc>
      </w:tr>
      <w:tr w14:paraId="75E926D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4D660A6">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38</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6A397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应急药箱</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D044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1181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D5DC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9CCB2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1DE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olor w:val="auto"/>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0A10BE7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萤石烘干</w:t>
            </w:r>
          </w:p>
        </w:tc>
      </w:tr>
      <w:tr w14:paraId="1E280455">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2994872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39</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9F48A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应急药箱</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0CDB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048D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0EF8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9016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FCB7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olor w:val="auto"/>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6E4801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水处理站</w:t>
            </w:r>
          </w:p>
        </w:tc>
      </w:tr>
      <w:tr w14:paraId="7E32343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032157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40</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2CDB6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水桶</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19A5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1C627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6D13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A3B33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D3A0A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污染物收集</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0162D9B9">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1DC3B693">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BE8B0FB">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41</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47E20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沙袋</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208A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0556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1216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10</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8F46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1C5E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污染源切断</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73BB246B">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47CE131C">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185DAEA">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42</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57607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围油栏</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45FE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CA2B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A44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10</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9604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2B528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污染物控制</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7C16EDEE">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7CFA67E1">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49E0A8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43</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C89F5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浮球</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853F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B01524">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0D3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20</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072DE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B1161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污染物控制</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08A6ADAB">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7C5CD79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2CDA9928">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44</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28320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毛毡（吸油毡）</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742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6EA8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5D03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FB818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49BD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污染物收集</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7ADE465C">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725F55CD">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5CB0B860">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45</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155C0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膨胀袋</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FC92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D0BD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517A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10</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7006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18AF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污染源切断</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3613C50">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42017D37">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58B297B6">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46</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1B820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DN80</w:t>
            </w:r>
            <w:r>
              <w:rPr>
                <w:rFonts w:hint="eastAsia" w:ascii="宋体" w:hAnsi="宋体" w:eastAsia="宋体" w:cs="宋体"/>
                <w:color w:val="auto"/>
                <w:kern w:val="2"/>
                <w:sz w:val="21"/>
                <w:szCs w:val="21"/>
                <w:lang w:val="en-US" w:eastAsia="zh-CN" w:bidi="ar"/>
              </w:rPr>
              <w:t>衬四氟球阀</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26B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57DB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5096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93297">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84FC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15802A2">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621EB78B">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1A026006">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47</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7B779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DN50</w:t>
            </w:r>
            <w:r>
              <w:rPr>
                <w:rFonts w:hint="eastAsia" w:ascii="宋体" w:hAnsi="宋体" w:eastAsia="宋体" w:cs="宋体"/>
                <w:color w:val="auto"/>
                <w:kern w:val="2"/>
                <w:sz w:val="21"/>
                <w:szCs w:val="21"/>
                <w:lang w:val="en-US" w:eastAsia="zh-CN" w:bidi="ar"/>
              </w:rPr>
              <w:t>衬四氟球阀</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0AD6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1D828">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920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B367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F228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055259CF">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05E175AA">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91B01B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48</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2F9CE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DN50</w:t>
            </w:r>
            <w:r>
              <w:rPr>
                <w:rFonts w:hint="eastAsia" w:ascii="宋体" w:hAnsi="宋体" w:eastAsia="宋体" w:cs="宋体"/>
                <w:color w:val="auto"/>
                <w:kern w:val="2"/>
                <w:sz w:val="21"/>
                <w:szCs w:val="21"/>
                <w:lang w:val="en-US" w:eastAsia="zh-CN" w:bidi="ar"/>
              </w:rPr>
              <w:t>盲板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25736">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0DB5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F1E4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CFC0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1BEC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291CFF6B">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6D6FCBF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1AF356B">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49</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20874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DN80</w:t>
            </w:r>
            <w:r>
              <w:rPr>
                <w:rFonts w:hint="eastAsia" w:ascii="宋体" w:hAnsi="宋体" w:eastAsia="宋体" w:cs="宋体"/>
                <w:color w:val="auto"/>
                <w:kern w:val="2"/>
                <w:sz w:val="21"/>
                <w:szCs w:val="21"/>
                <w:lang w:val="en-US" w:eastAsia="zh-CN" w:bidi="ar"/>
              </w:rPr>
              <w:t>盲板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09DD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A76A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987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52155">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319E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34BFA3D0">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6DBA399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14F20120">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50</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80A44A">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DN100</w:t>
            </w:r>
            <w:r>
              <w:rPr>
                <w:rFonts w:hint="eastAsia" w:ascii="宋体" w:hAnsi="宋体" w:eastAsia="宋体" w:cs="宋体"/>
                <w:color w:val="auto"/>
                <w:kern w:val="2"/>
                <w:sz w:val="21"/>
                <w:szCs w:val="21"/>
                <w:lang w:val="en-US" w:eastAsia="zh-CN" w:bidi="ar"/>
              </w:rPr>
              <w:t>盲板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6A20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22AC2">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3856E">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ADDF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D18D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1CC0AF6">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51F65AB1">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36B5838">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51</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697005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DN125</w:t>
            </w:r>
            <w:r>
              <w:rPr>
                <w:rFonts w:hint="eastAsia" w:ascii="宋体" w:hAnsi="宋体" w:eastAsia="宋体" w:cs="宋体"/>
                <w:color w:val="auto"/>
                <w:kern w:val="2"/>
                <w:sz w:val="21"/>
                <w:szCs w:val="21"/>
                <w:lang w:val="en-US" w:eastAsia="zh-CN" w:bidi="ar"/>
              </w:rPr>
              <w:t>盲板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FF16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591C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8A01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E2D5A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EF05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54BF20CF">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31CEF7D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3E555799">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52</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7BDFF4">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DN150</w:t>
            </w:r>
            <w:r>
              <w:rPr>
                <w:rFonts w:hint="eastAsia" w:ascii="宋体" w:hAnsi="宋体" w:eastAsia="宋体" w:cs="宋体"/>
                <w:color w:val="auto"/>
                <w:kern w:val="2"/>
                <w:sz w:val="21"/>
                <w:szCs w:val="21"/>
                <w:lang w:val="en-US" w:eastAsia="zh-CN" w:bidi="ar"/>
              </w:rPr>
              <w:t>盲板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8592D">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D16B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0AA0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80B73">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5D9FC">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88893D4">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05F90DFC">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549B07F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53</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DCDBC9">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DN200</w:t>
            </w:r>
            <w:r>
              <w:rPr>
                <w:rFonts w:hint="eastAsia" w:ascii="宋体" w:hAnsi="宋体" w:eastAsia="宋体" w:cs="宋体"/>
                <w:color w:val="auto"/>
                <w:kern w:val="2"/>
                <w:sz w:val="21"/>
                <w:szCs w:val="21"/>
                <w:lang w:val="en-US" w:eastAsia="zh-CN" w:bidi="ar"/>
              </w:rPr>
              <w:t>盲板</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D861">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3F9799">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ABBEB">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57FBF">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375E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13472F7D">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0460C345">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5A990167">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54</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DBE292">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救生圈</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DF13C">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2A1DA">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C9A2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B136A0">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4F59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caps w:val="0"/>
                <w:color w:val="auto"/>
                <w:spacing w:val="0"/>
                <w:kern w:val="0"/>
                <w:sz w:val="21"/>
                <w:szCs w:val="21"/>
                <w:lang w:val="en-US" w:eastAsia="zh-CN" w:bidi="ar"/>
              </w:rPr>
              <w:t>应急救援</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4895A380">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76CC4700">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7438853A">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55</w:t>
            </w:r>
          </w:p>
        </w:tc>
        <w:tc>
          <w:tcPr>
            <w:tcW w:w="105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D1154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潜水泵</w:t>
            </w:r>
          </w:p>
        </w:tc>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FED5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94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8D00E">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C7F5">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bCs/>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96935B">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w:t>
            </w:r>
          </w:p>
        </w:tc>
        <w:tc>
          <w:tcPr>
            <w:tcW w:w="5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8C03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bCs/>
                <w:color w:val="auto"/>
                <w:kern w:val="2"/>
                <w:sz w:val="21"/>
                <w:szCs w:val="21"/>
              </w:rPr>
            </w:pPr>
            <w:r>
              <w:rPr>
                <w:rFonts w:hint="eastAsia" w:ascii="宋体" w:hAnsi="宋体" w:eastAsia="宋体" w:cs="宋体"/>
                <w:bCs/>
                <w:color w:val="auto"/>
                <w:kern w:val="2"/>
                <w:sz w:val="21"/>
                <w:szCs w:val="21"/>
                <w:lang w:val="en-US" w:eastAsia="zh-CN" w:bidi="ar"/>
              </w:rPr>
              <w:t>污染物收集</w:t>
            </w:r>
          </w:p>
        </w:tc>
        <w:tc>
          <w:tcPr>
            <w:tcW w:w="748" w:type="pct"/>
            <w:tcBorders>
              <w:top w:val="single" w:color="000000" w:sz="4" w:space="0"/>
              <w:left w:val="single" w:color="000000" w:sz="4" w:space="0"/>
              <w:bottom w:val="single" w:color="000000" w:sz="4" w:space="0"/>
              <w:right w:val="nil"/>
            </w:tcBorders>
            <w:shd w:val="clear" w:color="auto" w:fill="auto"/>
            <w:vAlign w:val="center"/>
          </w:tcPr>
          <w:p w14:paraId="162D77EF">
            <w:pPr>
              <w:keepNext w:val="0"/>
              <w:keepLines w:val="0"/>
              <w:pageBreakBefore w:val="0"/>
              <w:widowControl w:val="0"/>
              <w:suppressLineNumbers w:val="0"/>
              <w:kinsoku/>
              <w:wordWrap/>
              <w:overflowPunct/>
              <w:topLinePunct w:val="0"/>
              <w:bidi w:val="0"/>
              <w:snapToGrid w:val="0"/>
              <w:spacing w:before="0" w:beforeAutospacing="0" w:afterAutospacing="0"/>
              <w:ind w:left="0" w:right="0" w:firstLine="0" w:firstLineChars="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物资仓库</w:t>
            </w:r>
          </w:p>
        </w:tc>
      </w:tr>
      <w:tr w14:paraId="6E30E871">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5000" w:type="pct"/>
            <w:gridSpan w:val="14"/>
            <w:tcBorders>
              <w:top w:val="single" w:color="000000" w:sz="4" w:space="0"/>
              <w:left w:val="nil"/>
              <w:bottom w:val="single" w:color="000000" w:sz="4" w:space="0"/>
              <w:right w:val="nil"/>
            </w:tcBorders>
            <w:shd w:val="clear" w:color="auto" w:fill="auto"/>
            <w:vAlign w:val="center"/>
          </w:tcPr>
          <w:p w14:paraId="3321974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环境应急支持单位信息</w:t>
            </w:r>
          </w:p>
        </w:tc>
      </w:tr>
      <w:tr w14:paraId="703AC585">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47DB1AF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序号</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D2A95A">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类别</w:t>
            </w:r>
          </w:p>
        </w:tc>
        <w:tc>
          <w:tcPr>
            <w:tcW w:w="238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EE937F">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单位名称</w:t>
            </w:r>
          </w:p>
        </w:tc>
        <w:tc>
          <w:tcPr>
            <w:tcW w:w="1360" w:type="pct"/>
            <w:gridSpan w:val="4"/>
            <w:tcBorders>
              <w:top w:val="single" w:color="000000" w:sz="4" w:space="0"/>
              <w:left w:val="single" w:color="000000" w:sz="4" w:space="0"/>
              <w:bottom w:val="single" w:color="000000" w:sz="4" w:space="0"/>
              <w:right w:val="nil"/>
            </w:tcBorders>
            <w:shd w:val="clear" w:color="auto" w:fill="auto"/>
            <w:vAlign w:val="center"/>
          </w:tcPr>
          <w:p w14:paraId="541B3C92">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主要能力</w:t>
            </w:r>
          </w:p>
        </w:tc>
      </w:tr>
      <w:tr w14:paraId="009B5545">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4" w:space="0"/>
              <w:right w:val="single" w:color="000000" w:sz="4" w:space="0"/>
            </w:tcBorders>
            <w:shd w:val="clear" w:color="auto" w:fill="auto"/>
            <w:vAlign w:val="center"/>
          </w:tcPr>
          <w:p w14:paraId="57A41AD9">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1</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6EF204">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应急救援单位</w:t>
            </w:r>
          </w:p>
        </w:tc>
        <w:tc>
          <w:tcPr>
            <w:tcW w:w="2381"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98B0B7">
            <w:pPr>
              <w:keepNext w:val="0"/>
              <w:keepLines w:val="0"/>
              <w:pageBreakBefore w:val="0"/>
              <w:widowControl/>
              <w:suppressLineNumbers w:val="0"/>
              <w:kinsoku/>
              <w:wordWrap/>
              <w:overflowPunct/>
              <w:topLinePunct w:val="0"/>
              <w:bidi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山东博克化学股份有限公司</w:t>
            </w:r>
          </w:p>
        </w:tc>
        <w:tc>
          <w:tcPr>
            <w:tcW w:w="1360" w:type="pct"/>
            <w:gridSpan w:val="4"/>
            <w:tcBorders>
              <w:top w:val="single" w:color="000000" w:sz="4" w:space="0"/>
              <w:left w:val="single" w:color="000000" w:sz="4" w:space="0"/>
              <w:bottom w:val="single" w:color="000000" w:sz="4" w:space="0"/>
              <w:right w:val="nil"/>
            </w:tcBorders>
            <w:shd w:val="clear" w:color="auto" w:fill="auto"/>
            <w:vAlign w:val="center"/>
          </w:tcPr>
          <w:p w14:paraId="240A1E65">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为公司提供、个人防护用品</w:t>
            </w:r>
            <w:r>
              <w:rPr>
                <w:rFonts w:hint="eastAsia" w:ascii="宋体" w:hAnsi="宋体" w:eastAsia="宋体" w:cs="宋体"/>
                <w:color w:val="auto"/>
                <w:kern w:val="0"/>
                <w:sz w:val="21"/>
                <w:szCs w:val="21"/>
                <w:lang w:val="en-US" w:eastAsia="zh-CN" w:bidi="ar"/>
              </w:rPr>
              <w:t>、消防器材</w:t>
            </w:r>
            <w:r>
              <w:rPr>
                <w:rFonts w:hint="eastAsia" w:ascii="宋体" w:hAnsi="宋体" w:eastAsia="宋体" w:cs="宋体"/>
                <w:color w:val="auto"/>
                <w:kern w:val="2"/>
                <w:sz w:val="21"/>
                <w:szCs w:val="21"/>
                <w:lang w:val="en-US" w:eastAsia="zh-CN" w:bidi="ar"/>
              </w:rPr>
              <w:t>等应急物资，同时提供应急救援人员</w:t>
            </w:r>
          </w:p>
        </w:tc>
      </w:tr>
      <w:tr w14:paraId="4BEDCBE4">
        <w:tblPrEx>
          <w:tblBorders>
            <w:top w:val="single" w:color="000000" w:sz="12" w:space="0"/>
            <w:left w:val="none" w:color="auto" w:sz="6" w:space="0"/>
            <w:bottom w:val="single" w:color="000000" w:sz="12" w:space="0"/>
            <w:right w:val="none" w:color="auto" w:sz="6"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336" w:type="pct"/>
            <w:tcBorders>
              <w:top w:val="single" w:color="000000" w:sz="4" w:space="0"/>
              <w:left w:val="nil"/>
              <w:bottom w:val="single" w:color="000000" w:sz="12" w:space="0"/>
              <w:right w:val="single" w:color="000000" w:sz="4" w:space="0"/>
            </w:tcBorders>
            <w:shd w:val="clear" w:color="auto" w:fill="auto"/>
            <w:vAlign w:val="center"/>
          </w:tcPr>
          <w:p w14:paraId="767E635C">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2</w:t>
            </w:r>
          </w:p>
        </w:tc>
        <w:tc>
          <w:tcPr>
            <w:tcW w:w="921" w:type="pct"/>
            <w:gridSpan w:val="3"/>
            <w:tcBorders>
              <w:top w:val="single" w:color="000000" w:sz="4" w:space="0"/>
              <w:left w:val="single" w:color="000000" w:sz="4" w:space="0"/>
              <w:bottom w:val="single" w:color="000000" w:sz="12" w:space="0"/>
              <w:right w:val="single" w:color="000000" w:sz="4" w:space="0"/>
            </w:tcBorders>
            <w:shd w:val="clear" w:color="auto" w:fill="auto"/>
            <w:vAlign w:val="center"/>
          </w:tcPr>
          <w:p w14:paraId="47480531">
            <w:pPr>
              <w:keepNext w:val="0"/>
              <w:keepLines w:val="0"/>
              <w:pageBreakBefore w:val="0"/>
              <w:widowControl w:val="0"/>
              <w:suppressLineNumbers w:val="0"/>
              <w:kinsoku/>
              <w:wordWrap/>
              <w:overflowPunct/>
              <w:topLinePunct w:val="0"/>
              <w:bidi w:val="0"/>
              <w:adjustRightInd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应急监测单位</w:t>
            </w:r>
          </w:p>
        </w:tc>
        <w:tc>
          <w:tcPr>
            <w:tcW w:w="2381" w:type="pct"/>
            <w:gridSpan w:val="6"/>
            <w:tcBorders>
              <w:top w:val="single" w:color="000000" w:sz="4" w:space="0"/>
              <w:left w:val="single" w:color="000000" w:sz="4" w:space="0"/>
              <w:bottom w:val="single" w:color="000000" w:sz="12" w:space="0"/>
              <w:right w:val="single" w:color="000000" w:sz="4" w:space="0"/>
            </w:tcBorders>
            <w:shd w:val="clear" w:color="auto" w:fill="auto"/>
            <w:vAlign w:val="center"/>
          </w:tcPr>
          <w:p w14:paraId="7C737B78">
            <w:pPr>
              <w:keepNext w:val="0"/>
              <w:keepLines w:val="0"/>
              <w:pageBreakBefore w:val="0"/>
              <w:widowControl w:val="0"/>
              <w:suppressLineNumbers w:val="0"/>
              <w:kinsoku/>
              <w:wordWrap/>
              <w:overflowPunct/>
              <w:topLinePunct w:val="0"/>
              <w:bidi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山东新航工程项目咨询有限公司</w:t>
            </w:r>
          </w:p>
        </w:tc>
        <w:tc>
          <w:tcPr>
            <w:tcW w:w="1360" w:type="pct"/>
            <w:gridSpan w:val="4"/>
            <w:tcBorders>
              <w:top w:val="single" w:color="000000" w:sz="4" w:space="0"/>
              <w:left w:val="single" w:color="000000" w:sz="4" w:space="0"/>
              <w:bottom w:val="single" w:color="000000" w:sz="12" w:space="0"/>
              <w:right w:val="nil"/>
            </w:tcBorders>
            <w:shd w:val="clear" w:color="auto" w:fill="auto"/>
            <w:vAlign w:val="center"/>
          </w:tcPr>
          <w:p w14:paraId="235A5EEA">
            <w:pPr>
              <w:keepNext w:val="0"/>
              <w:keepLines w:val="0"/>
              <w:pageBreakBefore w:val="0"/>
              <w:widowControl w:val="0"/>
              <w:suppressLineNumbers w:val="0"/>
              <w:kinsoku/>
              <w:wordWrap/>
              <w:overflowPunct/>
              <w:topLinePunct w:val="0"/>
              <w:bidi w:val="0"/>
              <w:snapToGrid w:val="0"/>
              <w:spacing w:before="0" w:beforeAutospacing="0" w:afterAutospacing="0"/>
              <w:ind w:left="0" w:right="0"/>
              <w:jc w:val="center"/>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必要时委托进行应急监测</w:t>
            </w:r>
          </w:p>
        </w:tc>
      </w:tr>
    </w:tbl>
    <w:p w14:paraId="21BC3E3B">
      <w:pPr>
        <w:pStyle w:val="39"/>
        <w:pageBreakBefore w:val="0"/>
        <w:widowControl/>
        <w:kinsoku/>
        <w:wordWrap/>
        <w:overflowPunct/>
        <w:topLinePunct w:val="0"/>
        <w:autoSpaceDE/>
        <w:autoSpaceDN/>
        <w:bidi w:val="0"/>
        <w:snapToGrid w:val="0"/>
        <w:spacing w:line="360" w:lineRule="auto"/>
        <w:ind w:firstLine="48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eastAsia" w:cs="Times New Roman"/>
          <w:color w:val="auto"/>
          <w:spacing w:val="0"/>
          <w:position w:val="0"/>
          <w:sz w:val="24"/>
          <w:szCs w:val="24"/>
          <w:highlight w:val="none"/>
          <w:lang w:val="en-US" w:eastAsia="zh-CN"/>
        </w:rPr>
        <w:t>根据现有项目环评预估及验收结论，现有项目环境风险防范措施符合环保管理要求，满足现有项目环境风险管控要求。</w:t>
      </w:r>
    </w:p>
    <w:p w14:paraId="740F39C6">
      <w:pPr>
        <w:pStyle w:val="39"/>
        <w:pageBreakBefore w:val="0"/>
        <w:widowControl/>
        <w:kinsoku/>
        <w:wordWrap/>
        <w:overflowPunct/>
        <w:topLinePunct w:val="0"/>
        <w:autoSpaceDE/>
        <w:autoSpaceDN/>
        <w:bidi w:val="0"/>
        <w:snapToGrid w:val="0"/>
        <w:spacing w:line="360" w:lineRule="auto"/>
        <w:ind w:firstLine="480"/>
        <w:jc w:val="both"/>
        <w:textAlignment w:val="auto"/>
        <w:rPr>
          <w:rFonts w:hint="default" w:ascii="Times New Roman" w:hAnsi="Times New Roman" w:eastAsia="宋体" w:cs="Times New Roman"/>
          <w:color w:val="auto"/>
          <w:spacing w:val="0"/>
          <w:position w:val="0"/>
          <w:sz w:val="24"/>
          <w:szCs w:val="24"/>
          <w:highlight w:val="none"/>
          <w:lang w:val="en-US" w:eastAsia="zh-CN"/>
        </w:rPr>
      </w:pPr>
      <w:r>
        <w:rPr>
          <w:rFonts w:hint="eastAsia" w:cs="Times New Roman"/>
          <w:color w:val="auto"/>
          <w:spacing w:val="0"/>
          <w:position w:val="0"/>
          <w:sz w:val="24"/>
          <w:szCs w:val="24"/>
          <w:highlight w:val="none"/>
          <w:lang w:val="en-US" w:eastAsia="zh-CN"/>
        </w:rPr>
        <w:t>本项目为淄博南韩化工有限公司新建优化标准硫酸罐区项目，主体工程主要为硫酸仓储，1#罐区依托现有罐区闲置区域，2#罐区位于厂区闲置区域。本项目不涉及厂区生产，与全厂生产装置不相邻，防护间距符合安全生产要求，本项目针对项目新建罐区及依托罐区单独进行环境风险评价。</w:t>
      </w:r>
    </w:p>
    <w:p w14:paraId="7C5993D7">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r>
        <w:rPr>
          <w:rFonts w:hint="default" w:ascii="Times New Roman" w:hAnsi="Times New Roman" w:eastAsia="宋体" w:cs="Times New Roman"/>
          <w:color w:val="auto"/>
          <w:spacing w:val="0"/>
          <w:position w:val="0"/>
          <w:sz w:val="24"/>
          <w:szCs w:val="24"/>
          <w:highlight w:val="none"/>
        </w:rPr>
        <w:t>按照《建设项目环境风险评价技术导则》（HJ169-2018）的要求，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r>
        <w:rPr>
          <w:rFonts w:hint="eastAsia" w:ascii="Times New Roman" w:hAnsi="Times New Roman" w:eastAsia="宋体" w:cs="Times New Roman"/>
          <w:color w:val="auto"/>
          <w:spacing w:val="0"/>
          <w:position w:val="0"/>
          <w:sz w:val="24"/>
          <w:szCs w:val="24"/>
          <w:highlight w:val="none"/>
          <w:lang w:eastAsia="zh-CN"/>
        </w:rPr>
        <w:t>。</w:t>
      </w:r>
    </w:p>
    <w:p w14:paraId="2DC263A6">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4A34C41B">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6999F6AF">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023406FF">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1D73D95B">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3CA30B21">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53020082">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527C1063">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070CE91F">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282DC374">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5DA59811">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5B674785">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57578549">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001FC0BE">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2116DCC8">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36717110">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47710AC1">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726FCA9A">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53E8F3B2">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53504165">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41E17A3C">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0AB93DEB">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18F277CC">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65F2387A">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eastAsia="zh-CN"/>
        </w:rPr>
      </w:pPr>
    </w:p>
    <w:p w14:paraId="2594C415">
      <w:pPr>
        <w:pStyle w:val="39"/>
        <w:pageBreakBefore w:val="0"/>
        <w:widowControl/>
        <w:kinsoku/>
        <w:wordWrap/>
        <w:overflowPunct/>
        <w:topLinePunct w:val="0"/>
        <w:autoSpaceDE/>
        <w:autoSpaceDN/>
        <w:bidi w:val="0"/>
        <w:snapToGrid w:val="0"/>
        <w:spacing w:line="360" w:lineRule="auto"/>
        <w:ind w:firstLine="480"/>
        <w:jc w:val="both"/>
        <w:textAlignment w:val="auto"/>
        <w:rPr>
          <w:rFonts w:hint="eastAsia" w:ascii="Times New Roman" w:hAnsi="Times New Roman" w:eastAsia="宋体" w:cs="Times New Roman"/>
          <w:color w:val="auto"/>
          <w:spacing w:val="0"/>
          <w:position w:val="0"/>
          <w:sz w:val="24"/>
          <w:szCs w:val="24"/>
          <w:highlight w:val="none"/>
          <w:lang w:val="en-US" w:eastAsia="zh-CN"/>
        </w:rPr>
      </w:pPr>
    </w:p>
    <w:p w14:paraId="13F18496">
      <w:pPr>
        <w:pStyle w:val="3"/>
        <w:pageBreakBefore w:val="0"/>
        <w:kinsoku/>
        <w:wordWrap/>
        <w:overflowPunct/>
        <w:topLinePunct w:val="0"/>
        <w:autoSpaceDE/>
        <w:autoSpaceDN/>
        <w:bidi w:val="0"/>
        <w:snapToGrid w:val="0"/>
        <w:spacing w:before="0" w:after="0" w:line="360" w:lineRule="auto"/>
        <w:ind w:firstLine="643" w:firstLineChars="200"/>
        <w:textAlignment w:val="auto"/>
        <w:rPr>
          <w:rFonts w:hint="default" w:ascii="Times New Roman" w:hAnsi="Times New Roman" w:cs="Times New Roman"/>
          <w:color w:val="auto"/>
          <w:highlight w:val="none"/>
        </w:rPr>
      </w:pPr>
      <w:bookmarkStart w:id="0" w:name="_Toc10082001"/>
      <w:bookmarkStart w:id="1" w:name="_Toc8497"/>
      <w:bookmarkStart w:id="2" w:name="_Toc32630"/>
      <w:bookmarkStart w:id="3" w:name="_Toc8954"/>
      <w:bookmarkStart w:id="4" w:name="_Toc9204760"/>
      <w:r>
        <w:rPr>
          <w:rFonts w:hint="eastAsia" w:cs="Times New Roman"/>
          <w:color w:val="auto"/>
          <w:highlight w:val="none"/>
          <w:lang w:val="en-US" w:eastAsia="zh-CN"/>
        </w:rPr>
        <w:t>1、</w:t>
      </w:r>
      <w:r>
        <w:rPr>
          <w:rFonts w:hint="default" w:ascii="Times New Roman" w:hAnsi="Times New Roman" w:cs="Times New Roman"/>
          <w:color w:val="auto"/>
          <w:highlight w:val="none"/>
        </w:rPr>
        <w:t>环境风险评价原则及评价程序</w:t>
      </w:r>
      <w:bookmarkEnd w:id="0"/>
      <w:bookmarkEnd w:id="1"/>
      <w:bookmarkEnd w:id="2"/>
      <w:bookmarkEnd w:id="3"/>
      <w:bookmarkEnd w:id="4"/>
    </w:p>
    <w:p w14:paraId="5869566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建设项目环境风险评价技术导则》（HJ169-2018）和国家环境保护总局《关于防范环境风险加强环境影响评价管理的通知》，项目实施后环境风险评价的基本内容包括风险调查、环境风险潜势初判、风险识别、风险事故情形分析、风险预测与评价、环境风险管理等，其具体如下：</w:t>
      </w:r>
    </w:p>
    <w:p w14:paraId="3C4DE3BB">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（1）项目风险调查。在分析建设项目物质及工艺系统危险性和环境敏感性的基础下，进行风险潜势的判断，确定风险评价等级。</w:t>
      </w:r>
    </w:p>
    <w:p w14:paraId="1B5BC553">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（2）项目风险识别及风险事故情形分析。明确危险物质在生产系统中的主要分布，筛选具有代表性的风险事故情形，合理设定事故源项。</w:t>
      </w:r>
    </w:p>
    <w:p w14:paraId="2747822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（3）开展预测评价。各环境要素按确定的评价工作等级分别预测评价，并分析说明环境风险危害范围与程度，提出环境风险防范的基本要求。</w:t>
      </w:r>
    </w:p>
    <w:p w14:paraId="40561C1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（4）提出环境风险管理对策，明确环境风险防范措施及突发事件应急预案编制要求。</w:t>
      </w:r>
    </w:p>
    <w:p w14:paraId="1733542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（5）综合环境风险评价过程，给出评价结论与建议。</w:t>
      </w:r>
    </w:p>
    <w:p w14:paraId="4707C05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风险评价应以突发性事件导致的危险物质环境急性损害防控为目标，对建设项目的环境风险进行分析、预测和评估，提出环境风险预防、控制、减缓措施，明确环境风险监控及应急建议要求，为建设项目环境风险防控提供科学依据。</w:t>
      </w:r>
    </w:p>
    <w:p w14:paraId="5952D56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cs="Times New Roman"/>
          <w:color w:val="auto"/>
          <w:sz w:val="24"/>
          <w:szCs w:val="24"/>
          <w:highlight w:val="none"/>
        </w:rPr>
        <w:t>环境</w:t>
      </w:r>
      <w:r>
        <w:rPr>
          <w:rFonts w:hint="default" w:ascii="Times New Roman" w:hAnsi="Times New Roman" w:cs="Times New Roman"/>
          <w:color w:val="auto"/>
          <w:sz w:val="24"/>
          <w:szCs w:val="24"/>
          <w:highlight w:val="none"/>
          <w:lang w:eastAsia="zh-CN"/>
        </w:rPr>
        <w:t>风险</w:t>
      </w:r>
      <w:r>
        <w:rPr>
          <w:rFonts w:hint="default" w:ascii="Times New Roman" w:hAnsi="Times New Roman" w:cs="Times New Roman"/>
          <w:color w:val="auto"/>
          <w:sz w:val="24"/>
          <w:szCs w:val="24"/>
          <w:highlight w:val="none"/>
        </w:rPr>
        <w:t>评价工作程序见图</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.1-1。</w:t>
      </w:r>
    </w:p>
    <w:p w14:paraId="616A2AE1">
      <w:pPr>
        <w:pStyle w:val="40"/>
        <w:ind w:left="0" w:leftChars="0" w:firstLine="0" w:firstLineChars="0"/>
        <w:rPr>
          <w:rFonts w:hint="default" w:ascii="Times New Roman" w:hAnsi="Times New Roman" w:cs="Times New Roman"/>
          <w:color w:val="auto"/>
          <w:highlight w:val="none"/>
        </w:rPr>
      </w:pPr>
      <w:r>
        <w:rPr>
          <w:rFonts w:hint="default" w:ascii="Times New Roman" w:hAnsi="Times New Roman" w:cs="Times New Roman"/>
          <w:color w:val="auto"/>
          <w:highlight w:val="none"/>
        </w:rPr>
        <w:object>
          <v:shape id="_x0000_i1025" o:spt="75" type="#_x0000_t75" style="height:588.05pt;width:421.55pt;" o:ole="t" filled="f" o:preferrelative="t" stroked="f" coordsize="21600,21600">
            <v:path/>
            <v:fill on="f" focussize="0,0"/>
            <v:stroke on="f"/>
            <v:imagedata r:id="rId13" o:title=""/>
            <o:lock v:ext="edit" aspectratio="t"/>
            <w10:wrap type="none"/>
            <w10:anchorlock/>
          </v:shape>
          <o:OLEObject Type="Embed" ProgID="Visio.Drawing.11" ShapeID="_x0000_i1025" DrawAspect="Content" ObjectID="_1468075725" r:id="rId12">
            <o:LockedField>false</o:LockedField>
          </o:OLEObject>
        </w:object>
      </w:r>
    </w:p>
    <w:p w14:paraId="14531EDE">
      <w:pPr>
        <w:pStyle w:val="39"/>
        <w:widowControl/>
        <w:spacing w:beforeLines="0" w:afterLines="0" w:line="360" w:lineRule="auto"/>
        <w:jc w:val="center"/>
        <w:rPr>
          <w:rFonts w:ascii="Times New Roman" w:hAnsi="Times New Roman"/>
          <w:color w:val="auto"/>
          <w:lang w:val="en-US" w:eastAsia="zh-CN"/>
        </w:rPr>
      </w:pPr>
      <w:r>
        <w:rPr>
          <w:rFonts w:hint="default" w:ascii="Times New Roman" w:hAnsi="Times New Roman" w:eastAsia="黑体" w:cs="Times New Roman"/>
          <w:color w:val="auto"/>
          <w:sz w:val="21"/>
          <w:szCs w:val="21"/>
          <w:highlight w:val="none"/>
        </w:rPr>
        <w:t>图</w:t>
      </w:r>
      <w:r>
        <w:rPr>
          <w:rFonts w:hint="eastAsia" w:eastAsia="黑体" w:cs="Times New Roman"/>
          <w:color w:val="auto"/>
          <w:sz w:val="21"/>
          <w:szCs w:val="21"/>
          <w:highlight w:val="none"/>
          <w:lang w:val="en-US" w:eastAsia="zh-CN"/>
        </w:rPr>
        <w:t>1</w:t>
      </w:r>
      <w:r>
        <w:rPr>
          <w:rFonts w:hint="default" w:ascii="Times New Roman" w:hAnsi="Times New Roman" w:eastAsia="黑体" w:cs="Times New Roman"/>
          <w:color w:val="auto"/>
          <w:sz w:val="21"/>
          <w:szCs w:val="21"/>
          <w:highlight w:val="none"/>
        </w:rPr>
        <w:t>.1-1 环境风险评价工作程序</w:t>
      </w:r>
    </w:p>
    <w:p w14:paraId="426982E5">
      <w:pPr>
        <w:adjustRightInd w:val="0"/>
        <w:snapToGrid w:val="0"/>
        <w:spacing w:line="360" w:lineRule="auto"/>
        <w:ind w:firstLine="480" w:firstLineChars="200"/>
        <w:rPr>
          <w:rFonts w:hint="eastAsia" w:ascii="Times New Roman" w:hAnsi="Times New Roman" w:eastAsia="宋体" w:cs="Times New Roman"/>
          <w:color w:val="auto"/>
          <w:kern w:val="0"/>
          <w:sz w:val="24"/>
          <w:highlight w:val="none"/>
          <w:lang w:val="en-US" w:eastAsia="zh-CN"/>
        </w:rPr>
      </w:pPr>
      <w:bookmarkStart w:id="5" w:name="_Toc12314"/>
      <w:bookmarkStart w:id="6" w:name="_Toc29497"/>
    </w:p>
    <w:p w14:paraId="3977ACA3">
      <w:pPr>
        <w:numPr>
          <w:ilvl w:val="0"/>
          <w:numId w:val="2"/>
        </w:numPr>
        <w:adjustRightInd w:val="0"/>
        <w:snapToGrid w:val="0"/>
        <w:spacing w:line="360" w:lineRule="auto"/>
        <w:ind w:firstLine="482" w:firstLineChars="200"/>
        <w:rPr>
          <w:rFonts w:hint="eastAsia" w:cs="Times New Roman"/>
          <w:b/>
          <w:bCs/>
          <w:color w:val="auto"/>
          <w:spacing w:val="0"/>
          <w:position w:val="0"/>
          <w:sz w:val="24"/>
          <w:szCs w:val="24"/>
          <w:highlight w:val="none"/>
          <w:lang w:val="en-US" w:eastAsia="zh-CN"/>
        </w:rPr>
      </w:pPr>
      <w:r>
        <w:rPr>
          <w:rFonts w:hint="eastAsia" w:cs="Times New Roman"/>
          <w:b/>
          <w:bCs/>
          <w:color w:val="auto"/>
          <w:spacing w:val="0"/>
          <w:position w:val="0"/>
          <w:sz w:val="24"/>
          <w:szCs w:val="24"/>
          <w:highlight w:val="none"/>
          <w:lang w:val="en-US" w:eastAsia="zh-CN"/>
        </w:rPr>
        <w:t>风险源调查</w:t>
      </w:r>
    </w:p>
    <w:p w14:paraId="7E6A025F">
      <w:pPr>
        <w:numPr>
          <w:ilvl w:val="0"/>
          <w:numId w:val="0"/>
        </w:numPr>
        <w:adjustRightInd w:val="0"/>
        <w:snapToGrid w:val="0"/>
        <w:spacing w:line="360" w:lineRule="auto"/>
        <w:ind w:firstLine="482" w:firstLineChars="200"/>
        <w:rPr>
          <w:rFonts w:hint="eastAsia" w:cs="Times New Roman"/>
          <w:b/>
          <w:bCs/>
          <w:color w:val="auto"/>
          <w:spacing w:val="0"/>
          <w:position w:val="0"/>
          <w:sz w:val="24"/>
          <w:szCs w:val="24"/>
          <w:highlight w:val="none"/>
          <w:lang w:val="en-US" w:eastAsia="zh-CN"/>
        </w:rPr>
      </w:pPr>
      <w:r>
        <w:rPr>
          <w:rFonts w:hint="eastAsia" w:cs="Times New Roman"/>
          <w:b/>
          <w:bCs/>
          <w:color w:val="auto"/>
          <w:spacing w:val="0"/>
          <w:position w:val="0"/>
          <w:sz w:val="24"/>
          <w:szCs w:val="24"/>
          <w:highlight w:val="none"/>
          <w:lang w:val="en-US" w:eastAsia="zh-CN"/>
        </w:rPr>
        <w:t>1.1风险物质调查</w:t>
      </w:r>
    </w:p>
    <w:p w14:paraId="2F3E0FE9">
      <w:pPr>
        <w:pStyle w:val="16"/>
        <w:tabs>
          <w:tab w:val="left" w:pos="1470"/>
        </w:tabs>
        <w:spacing w:line="360" w:lineRule="auto"/>
        <w:ind w:firstLine="480" w:firstLineChars="200"/>
        <w:rPr>
          <w:rFonts w:hint="eastAsia" w:cs="Times New Roman"/>
          <w:color w:val="auto"/>
          <w:kern w:val="0"/>
          <w:sz w:val="24"/>
          <w:highlight w:val="none"/>
          <w:lang w:val="en-US" w:eastAsia="zh-CN"/>
        </w:rPr>
      </w:pPr>
      <w:r>
        <w:rPr>
          <w:rFonts w:hint="eastAsia" w:cs="Times New Roman"/>
          <w:color w:val="auto"/>
          <w:spacing w:val="0"/>
          <w:position w:val="0"/>
          <w:sz w:val="24"/>
          <w:szCs w:val="24"/>
          <w:highlight w:val="none"/>
          <w:lang w:val="en-US" w:eastAsia="zh-CN"/>
        </w:rPr>
        <w:t>项目涉及的风险物质主要为</w:t>
      </w:r>
      <w:r>
        <w:rPr>
          <w:rFonts w:hint="eastAsia" w:ascii="Times New Roman" w:hAnsi="Times New Roman" w:eastAsia="宋体" w:cs="Times New Roman"/>
          <w:color w:val="auto"/>
          <w:kern w:val="0"/>
          <w:sz w:val="24"/>
          <w:highlight w:val="none"/>
          <w:lang w:eastAsia="zh-CN"/>
        </w:rPr>
        <w:t>硫酸</w:t>
      </w:r>
      <w:bookmarkEnd w:id="5"/>
      <w:bookmarkEnd w:id="6"/>
      <w:r>
        <w:rPr>
          <w:rFonts w:hint="eastAsia" w:cs="Times New Roman"/>
          <w:color w:val="auto"/>
          <w:kern w:val="0"/>
          <w:sz w:val="24"/>
          <w:highlight w:val="none"/>
          <w:lang w:eastAsia="zh-CN"/>
        </w:rPr>
        <w:t>，</w:t>
      </w:r>
      <w:r>
        <w:rPr>
          <w:rFonts w:hint="eastAsia" w:cs="Times New Roman"/>
          <w:color w:val="auto"/>
          <w:kern w:val="0"/>
          <w:sz w:val="24"/>
          <w:highlight w:val="none"/>
          <w:lang w:val="en-US" w:eastAsia="zh-CN"/>
        </w:rPr>
        <w:t>不涉及危险废物</w:t>
      </w:r>
      <w:r>
        <w:rPr>
          <w:rFonts w:hint="eastAsia" w:cs="Times New Roman"/>
          <w:color w:val="auto"/>
          <w:kern w:val="0"/>
          <w:sz w:val="24"/>
          <w:highlight w:val="none"/>
          <w:lang w:eastAsia="zh-CN"/>
        </w:rPr>
        <w:t>，本项目原辅材料数量、依托罐区硫酸贮存量和分布情况见表</w:t>
      </w:r>
      <w:r>
        <w:rPr>
          <w:rFonts w:hint="eastAsia" w:cs="Times New Roman"/>
          <w:color w:val="auto"/>
          <w:kern w:val="0"/>
          <w:sz w:val="24"/>
          <w:highlight w:val="none"/>
          <w:lang w:val="en-US" w:eastAsia="zh-CN"/>
        </w:rPr>
        <w:t>1.1-1：</w:t>
      </w:r>
    </w:p>
    <w:p w14:paraId="6AA481C8">
      <w:pPr>
        <w:pStyle w:val="16"/>
        <w:tabs>
          <w:tab w:val="left" w:pos="1470"/>
        </w:tabs>
        <w:spacing w:line="240" w:lineRule="auto"/>
        <w:ind w:left="0" w:leftChars="0" w:firstLine="0" w:firstLineChars="0"/>
        <w:jc w:val="center"/>
        <w:rPr>
          <w:rFonts w:hint="default" w:cs="Times New Roman"/>
          <w:color w:val="auto"/>
          <w:kern w:val="0"/>
          <w:sz w:val="24"/>
          <w:highlight w:val="none"/>
          <w:lang w:val="en-US" w:eastAsia="zh-CN"/>
        </w:rPr>
      </w:pPr>
      <w:r>
        <w:rPr>
          <w:rFonts w:hint="eastAsia" w:cs="Times New Roman"/>
          <w:b/>
          <w:bCs/>
          <w:color w:val="auto"/>
          <w:kern w:val="0"/>
          <w:sz w:val="21"/>
          <w:szCs w:val="21"/>
          <w:highlight w:val="none"/>
          <w:lang w:val="en-US" w:eastAsia="zh-CN"/>
        </w:rPr>
        <w:t xml:space="preserve">表1.1-1  </w:t>
      </w:r>
      <w:r>
        <w:rPr>
          <w:rFonts w:hint="eastAsia" w:cs="Times New Roman"/>
          <w:b/>
          <w:bCs/>
          <w:color w:val="auto"/>
          <w:kern w:val="0"/>
          <w:sz w:val="21"/>
          <w:szCs w:val="21"/>
          <w:highlight w:val="none"/>
          <w:lang w:eastAsia="zh-CN"/>
        </w:rPr>
        <w:t>本项目及依托罐区原辅材料和危险废物数量和分布情况</w:t>
      </w:r>
    </w:p>
    <w:tbl>
      <w:tblPr>
        <w:tblStyle w:val="21"/>
        <w:tblW w:w="5000"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15" w:type="dxa"/>
          <w:left w:w="15" w:type="dxa"/>
          <w:bottom w:w="15" w:type="dxa"/>
          <w:right w:w="15" w:type="dxa"/>
        </w:tblCellMar>
      </w:tblPr>
      <w:tblGrid>
        <w:gridCol w:w="546"/>
        <w:gridCol w:w="905"/>
        <w:gridCol w:w="1834"/>
        <w:gridCol w:w="768"/>
        <w:gridCol w:w="1296"/>
        <w:gridCol w:w="1476"/>
        <w:gridCol w:w="1510"/>
      </w:tblGrid>
      <w:tr w14:paraId="5D5322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12" w:hRule="atLeast"/>
        </w:trPr>
        <w:tc>
          <w:tcPr>
            <w:tcW w:w="546" w:type="dxa"/>
            <w:tcBorders>
              <w:tl2br w:val="nil"/>
              <w:tr2bl w:val="nil"/>
            </w:tcBorders>
            <w:noWrap w:val="0"/>
            <w:vAlign w:val="center"/>
          </w:tcPr>
          <w:p w14:paraId="0A7A56C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序号</w:t>
            </w:r>
          </w:p>
        </w:tc>
        <w:tc>
          <w:tcPr>
            <w:tcW w:w="2739" w:type="dxa"/>
            <w:gridSpan w:val="2"/>
            <w:tcBorders>
              <w:tl2br w:val="nil"/>
              <w:tr2bl w:val="nil"/>
            </w:tcBorders>
            <w:noWrap w:val="0"/>
            <w:vAlign w:val="center"/>
          </w:tcPr>
          <w:p w14:paraId="55E3366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rPr>
            </w:pPr>
            <w:r>
              <w:rPr>
                <w:rFonts w:hint="default" w:ascii="Times New Roman" w:hAnsi="Times New Roman" w:cs="Times New Roman"/>
                <w:color w:val="auto"/>
                <w:kern w:val="0"/>
                <w:sz w:val="21"/>
                <w:szCs w:val="21"/>
                <w:lang w:bidi="ar"/>
              </w:rPr>
              <w:t>项目名称</w:t>
            </w:r>
          </w:p>
        </w:tc>
        <w:tc>
          <w:tcPr>
            <w:tcW w:w="768" w:type="dxa"/>
            <w:tcBorders>
              <w:tl2br w:val="nil"/>
              <w:tr2bl w:val="nil"/>
            </w:tcBorders>
            <w:noWrap w:val="0"/>
            <w:vAlign w:val="center"/>
          </w:tcPr>
          <w:p w14:paraId="0632BC0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eastAsia="zh-CN"/>
              </w:rPr>
              <w:t>单位</w:t>
            </w:r>
          </w:p>
        </w:tc>
        <w:tc>
          <w:tcPr>
            <w:tcW w:w="1296" w:type="dxa"/>
            <w:tcBorders>
              <w:tl2br w:val="nil"/>
              <w:tr2bl w:val="nil"/>
            </w:tcBorders>
            <w:noWrap w:val="0"/>
            <w:vAlign w:val="center"/>
          </w:tcPr>
          <w:p w14:paraId="5AF8770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0"/>
                <w:sz w:val="21"/>
                <w:szCs w:val="21"/>
                <w:lang w:bidi="ar"/>
              </w:rPr>
              <w:t>年</w:t>
            </w:r>
            <w:r>
              <w:rPr>
                <w:rFonts w:hint="eastAsia" w:cs="Times New Roman"/>
                <w:color w:val="auto"/>
                <w:kern w:val="0"/>
                <w:sz w:val="21"/>
                <w:szCs w:val="21"/>
                <w:lang w:eastAsia="zh-CN" w:bidi="ar"/>
              </w:rPr>
              <w:t>周转</w:t>
            </w:r>
            <w:r>
              <w:rPr>
                <w:rFonts w:hint="default" w:ascii="Times New Roman" w:hAnsi="Times New Roman" w:cs="Times New Roman"/>
                <w:color w:val="auto"/>
                <w:kern w:val="0"/>
                <w:sz w:val="21"/>
                <w:szCs w:val="21"/>
                <w:lang w:bidi="ar"/>
              </w:rPr>
              <w:t>量</w:t>
            </w:r>
            <w:r>
              <w:rPr>
                <w:rFonts w:hint="eastAsia" w:cs="Times New Roman"/>
                <w:color w:val="auto"/>
                <w:kern w:val="0"/>
                <w:sz w:val="21"/>
                <w:szCs w:val="21"/>
                <w:lang w:val="en-US" w:eastAsia="zh-CN" w:bidi="ar"/>
              </w:rPr>
              <w:t>/年用量</w:t>
            </w:r>
          </w:p>
        </w:tc>
        <w:tc>
          <w:tcPr>
            <w:tcW w:w="1476" w:type="dxa"/>
            <w:tcBorders>
              <w:tl2br w:val="nil"/>
              <w:tr2bl w:val="nil"/>
            </w:tcBorders>
            <w:noWrap w:val="0"/>
            <w:vAlign w:val="center"/>
          </w:tcPr>
          <w:p w14:paraId="52E24657">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最大储存量</w:t>
            </w:r>
            <w:r>
              <w:rPr>
                <w:rFonts w:hint="eastAsia" w:cs="Times New Roman"/>
                <w:color w:val="auto"/>
                <w:sz w:val="21"/>
                <w:szCs w:val="21"/>
                <w:lang w:val="en-US" w:eastAsia="zh-CN"/>
              </w:rPr>
              <w:t>/在线量</w:t>
            </w:r>
          </w:p>
        </w:tc>
        <w:tc>
          <w:tcPr>
            <w:tcW w:w="1510" w:type="dxa"/>
            <w:tcBorders>
              <w:tl2br w:val="nil"/>
              <w:tr2bl w:val="nil"/>
            </w:tcBorders>
            <w:noWrap w:val="0"/>
            <w:vAlign w:val="center"/>
          </w:tcPr>
          <w:p w14:paraId="091400EC">
            <w:pPr>
              <w:keepNext w:val="0"/>
              <w:keepLines w:val="0"/>
              <w:widowControl/>
              <w:suppressLineNumbers w:val="0"/>
              <w:spacing w:before="0" w:beforeAutospacing="0" w:after="0" w:afterAutospacing="0"/>
              <w:ind w:left="0" w:right="0"/>
              <w:jc w:val="center"/>
              <w:textAlignment w:val="center"/>
              <w:rPr>
                <w:rFonts w:hint="eastAsia" w:ascii="Times New Roman" w:hAnsi="Times New Roman" w:cs="Times New Roman"/>
                <w:color w:val="auto"/>
                <w:sz w:val="21"/>
                <w:szCs w:val="21"/>
                <w:lang w:val="en-US" w:eastAsia="zh-CN"/>
              </w:rPr>
            </w:pPr>
            <w:r>
              <w:rPr>
                <w:rFonts w:hint="eastAsia" w:cs="Times New Roman"/>
                <w:color w:val="auto"/>
                <w:sz w:val="21"/>
                <w:szCs w:val="21"/>
                <w:lang w:val="en-US" w:eastAsia="zh-CN"/>
              </w:rPr>
              <w:t>位置</w:t>
            </w:r>
          </w:p>
        </w:tc>
      </w:tr>
      <w:tr w14:paraId="0C9313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12" w:hRule="atLeast"/>
        </w:trPr>
        <w:tc>
          <w:tcPr>
            <w:tcW w:w="546" w:type="dxa"/>
            <w:tcBorders>
              <w:tl2br w:val="nil"/>
              <w:tr2bl w:val="nil"/>
            </w:tcBorders>
            <w:noWrap w:val="0"/>
            <w:vAlign w:val="center"/>
          </w:tcPr>
          <w:p w14:paraId="0136A640">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0"/>
                <w:sz w:val="21"/>
                <w:szCs w:val="21"/>
                <w:lang w:bidi="ar"/>
              </w:rPr>
            </w:pPr>
            <w:r>
              <w:rPr>
                <w:rFonts w:hint="default" w:ascii="Times New Roman" w:hAnsi="Times New Roman" w:cs="Times New Roman"/>
                <w:color w:val="auto"/>
                <w:kern w:val="0"/>
                <w:sz w:val="21"/>
                <w:szCs w:val="21"/>
                <w:lang w:bidi="ar"/>
              </w:rPr>
              <w:t>1</w:t>
            </w:r>
          </w:p>
        </w:tc>
        <w:tc>
          <w:tcPr>
            <w:tcW w:w="905" w:type="dxa"/>
            <w:vMerge w:val="restart"/>
            <w:tcBorders>
              <w:tl2br w:val="nil"/>
              <w:tr2bl w:val="nil"/>
            </w:tcBorders>
            <w:noWrap w:val="0"/>
            <w:vAlign w:val="center"/>
          </w:tcPr>
          <w:p w14:paraId="2A97705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本项目</w:t>
            </w:r>
            <w:r>
              <w:rPr>
                <w:rFonts w:hint="eastAsia" w:ascii="Times New Roman" w:hAnsi="Times New Roman" w:eastAsia="宋体" w:cs="Times New Roman"/>
                <w:color w:val="auto"/>
                <w:kern w:val="0"/>
                <w:sz w:val="21"/>
                <w:szCs w:val="21"/>
                <w:lang w:val="en-US" w:eastAsia="zh-CN" w:bidi="ar"/>
              </w:rPr>
              <w:t>原辅材料</w:t>
            </w:r>
          </w:p>
        </w:tc>
        <w:tc>
          <w:tcPr>
            <w:tcW w:w="1834" w:type="dxa"/>
            <w:tcBorders>
              <w:tl2br w:val="nil"/>
              <w:tr2bl w:val="nil"/>
            </w:tcBorders>
            <w:noWrap w:val="0"/>
            <w:vAlign w:val="center"/>
          </w:tcPr>
          <w:p w14:paraId="6D2EB6A6">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硫酸（98%）</w:t>
            </w:r>
          </w:p>
        </w:tc>
        <w:tc>
          <w:tcPr>
            <w:tcW w:w="768" w:type="dxa"/>
            <w:tcBorders>
              <w:tl2br w:val="nil"/>
              <w:tr2bl w:val="nil"/>
            </w:tcBorders>
            <w:noWrap w:val="0"/>
            <w:vAlign w:val="center"/>
          </w:tcPr>
          <w:p w14:paraId="6B9240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t/a</w:t>
            </w:r>
          </w:p>
        </w:tc>
        <w:tc>
          <w:tcPr>
            <w:tcW w:w="1296" w:type="dxa"/>
            <w:tcBorders>
              <w:tl2br w:val="nil"/>
              <w:tr2bl w:val="nil"/>
            </w:tcBorders>
            <w:noWrap w:val="0"/>
            <w:vAlign w:val="center"/>
          </w:tcPr>
          <w:p w14:paraId="1DA2FB2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600000</w:t>
            </w:r>
          </w:p>
        </w:tc>
        <w:tc>
          <w:tcPr>
            <w:tcW w:w="1476" w:type="dxa"/>
            <w:tcBorders>
              <w:tl2br w:val="nil"/>
              <w:tr2bl w:val="nil"/>
            </w:tcBorders>
            <w:noWrap w:val="0"/>
            <w:vAlign w:val="center"/>
          </w:tcPr>
          <w:p w14:paraId="11EAC42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18300</w:t>
            </w:r>
          </w:p>
        </w:tc>
        <w:tc>
          <w:tcPr>
            <w:tcW w:w="1510" w:type="dxa"/>
            <w:tcBorders>
              <w:tl2br w:val="nil"/>
              <w:tr2bl w:val="nil"/>
            </w:tcBorders>
            <w:noWrap w:val="0"/>
            <w:vAlign w:val="center"/>
          </w:tcPr>
          <w:p w14:paraId="3F99E2B0">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1#罐区、2#罐区</w:t>
            </w:r>
          </w:p>
        </w:tc>
      </w:tr>
      <w:tr w14:paraId="262116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312" w:hRule="atLeast"/>
        </w:trPr>
        <w:tc>
          <w:tcPr>
            <w:tcW w:w="546" w:type="dxa"/>
            <w:tcBorders>
              <w:tl2br w:val="nil"/>
              <w:tr2bl w:val="nil"/>
            </w:tcBorders>
            <w:noWrap w:val="0"/>
            <w:vAlign w:val="center"/>
          </w:tcPr>
          <w:p w14:paraId="6F89F60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2</w:t>
            </w:r>
          </w:p>
        </w:tc>
        <w:tc>
          <w:tcPr>
            <w:tcW w:w="905" w:type="dxa"/>
            <w:vMerge w:val="continue"/>
            <w:tcBorders>
              <w:tl2br w:val="nil"/>
              <w:tr2bl w:val="nil"/>
            </w:tcBorders>
            <w:noWrap w:val="0"/>
            <w:vAlign w:val="center"/>
          </w:tcPr>
          <w:p w14:paraId="14C9887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p>
        </w:tc>
        <w:tc>
          <w:tcPr>
            <w:tcW w:w="1834" w:type="dxa"/>
            <w:tcBorders>
              <w:tl2br w:val="nil"/>
              <w:tr2bl w:val="nil"/>
            </w:tcBorders>
            <w:noWrap w:val="0"/>
            <w:vAlign w:val="center"/>
          </w:tcPr>
          <w:p w14:paraId="1B3EF583">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氢氧化钙</w:t>
            </w:r>
          </w:p>
        </w:tc>
        <w:tc>
          <w:tcPr>
            <w:tcW w:w="768" w:type="dxa"/>
            <w:tcBorders>
              <w:tl2br w:val="nil"/>
              <w:tr2bl w:val="nil"/>
            </w:tcBorders>
            <w:noWrap w:val="0"/>
            <w:vAlign w:val="center"/>
          </w:tcPr>
          <w:p w14:paraId="6A0B5BB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t/a</w:t>
            </w:r>
          </w:p>
        </w:tc>
        <w:tc>
          <w:tcPr>
            <w:tcW w:w="1296" w:type="dxa"/>
            <w:tcBorders>
              <w:tl2br w:val="nil"/>
              <w:tr2bl w:val="nil"/>
            </w:tcBorders>
            <w:noWrap w:val="0"/>
            <w:vAlign w:val="center"/>
          </w:tcPr>
          <w:p w14:paraId="3D92F1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12</w:t>
            </w:r>
          </w:p>
        </w:tc>
        <w:tc>
          <w:tcPr>
            <w:tcW w:w="1476" w:type="dxa"/>
            <w:tcBorders>
              <w:tl2br w:val="nil"/>
              <w:tr2bl w:val="nil"/>
            </w:tcBorders>
            <w:noWrap w:val="0"/>
            <w:vAlign w:val="center"/>
          </w:tcPr>
          <w:p w14:paraId="6B231D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12</w:t>
            </w:r>
          </w:p>
        </w:tc>
        <w:tc>
          <w:tcPr>
            <w:tcW w:w="1510" w:type="dxa"/>
            <w:tcBorders>
              <w:tl2br w:val="nil"/>
              <w:tr2bl w:val="nil"/>
            </w:tcBorders>
            <w:noWrap w:val="0"/>
            <w:vAlign w:val="center"/>
          </w:tcPr>
          <w:p w14:paraId="7FA431A9">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罐区附属设施</w:t>
            </w:r>
          </w:p>
        </w:tc>
      </w:tr>
      <w:tr w14:paraId="238A31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7" w:hRule="atLeast"/>
        </w:trPr>
        <w:tc>
          <w:tcPr>
            <w:tcW w:w="546" w:type="dxa"/>
            <w:tcBorders>
              <w:tl2br w:val="nil"/>
              <w:tr2bl w:val="nil"/>
            </w:tcBorders>
            <w:noWrap w:val="0"/>
            <w:vAlign w:val="center"/>
          </w:tcPr>
          <w:p w14:paraId="5FC27EF7">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3</w:t>
            </w:r>
          </w:p>
        </w:tc>
        <w:tc>
          <w:tcPr>
            <w:tcW w:w="905" w:type="dxa"/>
            <w:vMerge w:val="restart"/>
            <w:tcBorders>
              <w:tl2br w:val="nil"/>
              <w:tr2bl w:val="nil"/>
            </w:tcBorders>
            <w:noWrap w:val="0"/>
            <w:vAlign w:val="center"/>
          </w:tcPr>
          <w:p w14:paraId="133512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依托罐区</w:t>
            </w:r>
          </w:p>
        </w:tc>
        <w:tc>
          <w:tcPr>
            <w:tcW w:w="1834" w:type="dxa"/>
            <w:tcBorders>
              <w:tl2br w:val="nil"/>
              <w:tr2bl w:val="nil"/>
            </w:tcBorders>
            <w:shd w:val="clear" w:color="auto" w:fill="auto"/>
            <w:noWrap w:val="0"/>
            <w:vAlign w:val="center"/>
          </w:tcPr>
          <w:p w14:paraId="4613341B">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硫酸（98%）</w:t>
            </w:r>
          </w:p>
        </w:tc>
        <w:tc>
          <w:tcPr>
            <w:tcW w:w="768" w:type="dxa"/>
            <w:tcBorders>
              <w:tl2br w:val="nil"/>
              <w:tr2bl w:val="nil"/>
            </w:tcBorders>
            <w:shd w:val="clear" w:color="auto" w:fill="auto"/>
            <w:noWrap w:val="0"/>
            <w:vAlign w:val="center"/>
          </w:tcPr>
          <w:p w14:paraId="19A79F4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t/a</w:t>
            </w:r>
          </w:p>
        </w:tc>
        <w:tc>
          <w:tcPr>
            <w:tcW w:w="1296" w:type="dxa"/>
            <w:tcBorders>
              <w:tl2br w:val="nil"/>
              <w:tr2bl w:val="nil"/>
            </w:tcBorders>
            <w:shd w:val="clear" w:color="auto" w:fill="auto"/>
            <w:noWrap w:val="0"/>
            <w:vAlign w:val="center"/>
          </w:tcPr>
          <w:p w14:paraId="573FF18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45305</w:t>
            </w:r>
          </w:p>
        </w:tc>
        <w:tc>
          <w:tcPr>
            <w:tcW w:w="1476" w:type="dxa"/>
            <w:tcBorders>
              <w:tl2br w:val="nil"/>
              <w:tr2bl w:val="nil"/>
            </w:tcBorders>
            <w:shd w:val="clear" w:color="auto" w:fill="auto"/>
            <w:noWrap w:val="0"/>
            <w:vAlign w:val="center"/>
          </w:tcPr>
          <w:p w14:paraId="30BE31D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3880</w:t>
            </w:r>
          </w:p>
        </w:tc>
        <w:tc>
          <w:tcPr>
            <w:tcW w:w="1510" w:type="dxa"/>
            <w:tcBorders>
              <w:tl2br w:val="nil"/>
              <w:tr2bl w:val="nil"/>
            </w:tcBorders>
            <w:noWrap w:val="0"/>
            <w:vAlign w:val="center"/>
          </w:tcPr>
          <w:p w14:paraId="4339B2EF">
            <w:pPr>
              <w:keepNext w:val="0"/>
              <w:keepLines w:val="0"/>
              <w:widowControl/>
              <w:suppressLineNumbers w:val="0"/>
              <w:spacing w:before="0" w:beforeAutospacing="0" w:after="0" w:afterAutospacing="0"/>
              <w:ind w:left="0" w:right="0"/>
              <w:jc w:val="center"/>
              <w:textAlignment w:val="center"/>
              <w:rPr>
                <w:rFonts w:hint="eastAsia" w:cs="Times New Roman"/>
                <w:color w:val="auto"/>
                <w:kern w:val="0"/>
                <w:sz w:val="21"/>
                <w:szCs w:val="21"/>
                <w:lang w:val="en-US" w:eastAsia="zh-CN" w:bidi="ar"/>
              </w:rPr>
            </w:pPr>
            <w:r>
              <w:rPr>
                <w:rFonts w:hint="eastAsia" w:cs="Times New Roman"/>
                <w:color w:val="auto"/>
                <w:kern w:val="0"/>
                <w:sz w:val="21"/>
                <w:szCs w:val="21"/>
                <w:lang w:val="en-US" w:eastAsia="zh-CN" w:bidi="ar"/>
              </w:rPr>
              <w:t>现有罐区</w:t>
            </w:r>
          </w:p>
        </w:tc>
      </w:tr>
      <w:tr w14:paraId="71E62F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15" w:type="dxa"/>
            <w:left w:w="15" w:type="dxa"/>
            <w:bottom w:w="15" w:type="dxa"/>
            <w:right w:w="15" w:type="dxa"/>
          </w:tblCellMar>
        </w:tblPrEx>
        <w:trPr>
          <w:trHeight w:val="287" w:hRule="atLeast"/>
        </w:trPr>
        <w:tc>
          <w:tcPr>
            <w:tcW w:w="546" w:type="dxa"/>
            <w:tcBorders>
              <w:tl2br w:val="nil"/>
              <w:tr2bl w:val="nil"/>
            </w:tcBorders>
            <w:noWrap w:val="0"/>
            <w:vAlign w:val="center"/>
          </w:tcPr>
          <w:p w14:paraId="339600F0">
            <w:pPr>
              <w:keepNext w:val="0"/>
              <w:keepLines w:val="0"/>
              <w:widowControl/>
              <w:suppressLineNumbers w:val="0"/>
              <w:spacing w:before="0" w:beforeAutospacing="0" w:after="0" w:afterAutospacing="0"/>
              <w:ind w:left="0" w:right="0"/>
              <w:jc w:val="center"/>
              <w:textAlignment w:val="center"/>
              <w:rPr>
                <w:rFonts w:hint="default" w:cs="Times New Roman"/>
                <w:color w:val="auto"/>
                <w:kern w:val="0"/>
                <w:sz w:val="21"/>
                <w:szCs w:val="21"/>
                <w:lang w:val="en-US" w:eastAsia="zh-CN" w:bidi="ar"/>
              </w:rPr>
            </w:pPr>
            <w:r>
              <w:rPr>
                <w:rFonts w:hint="eastAsia" w:cs="Times New Roman"/>
                <w:color w:val="auto"/>
                <w:kern w:val="0"/>
                <w:sz w:val="21"/>
                <w:szCs w:val="21"/>
                <w:lang w:val="en-US" w:eastAsia="zh-CN" w:bidi="ar"/>
              </w:rPr>
              <w:t>4</w:t>
            </w:r>
          </w:p>
        </w:tc>
        <w:tc>
          <w:tcPr>
            <w:tcW w:w="905" w:type="dxa"/>
            <w:vMerge w:val="continue"/>
            <w:tcBorders>
              <w:tl2br w:val="nil"/>
              <w:tr2bl w:val="nil"/>
            </w:tcBorders>
            <w:noWrap w:val="0"/>
            <w:vAlign w:val="center"/>
          </w:tcPr>
          <w:p w14:paraId="751571BB">
            <w:pPr>
              <w:keepNext w:val="0"/>
              <w:keepLines w:val="0"/>
              <w:widowControl/>
              <w:suppressLineNumbers w:val="0"/>
              <w:spacing w:before="0" w:beforeAutospacing="0" w:after="0" w:afterAutospacing="0"/>
              <w:ind w:left="0" w:right="0"/>
              <w:jc w:val="center"/>
              <w:textAlignment w:val="center"/>
              <w:rPr>
                <w:rFonts w:hint="eastAsia" w:cs="Times New Roman"/>
                <w:color w:val="auto"/>
                <w:kern w:val="0"/>
                <w:sz w:val="21"/>
                <w:szCs w:val="21"/>
                <w:lang w:val="en-US" w:eastAsia="zh-CN" w:bidi="ar"/>
              </w:rPr>
            </w:pPr>
          </w:p>
        </w:tc>
        <w:tc>
          <w:tcPr>
            <w:tcW w:w="1834" w:type="dxa"/>
            <w:tcBorders>
              <w:tl2br w:val="nil"/>
              <w:tr2bl w:val="nil"/>
            </w:tcBorders>
            <w:shd w:val="clear" w:color="auto" w:fill="auto"/>
            <w:noWrap w:val="0"/>
            <w:vAlign w:val="center"/>
          </w:tcPr>
          <w:p w14:paraId="084DA025">
            <w:pPr>
              <w:keepNext w:val="0"/>
              <w:keepLines w:val="0"/>
              <w:pageBreakBefore w:val="0"/>
              <w:widowControl w:val="0"/>
              <w:suppressLineNumbers w:val="0"/>
              <w:kinsoku/>
              <w:wordWrap w:val="0"/>
              <w:overflowPunct w:val="0"/>
              <w:topLinePunct w:val="0"/>
              <w:autoSpaceDE/>
              <w:autoSpaceDN/>
              <w:bidi w:val="0"/>
              <w:adjustRightInd w:val="0"/>
              <w:snapToGrid w:val="0"/>
              <w:spacing w:before="0" w:beforeAutospacing="0" w:after="0" w:afterAutospacing="0"/>
              <w:ind w:left="0" w:right="0"/>
              <w:jc w:val="center"/>
              <w:textAlignment w:val="auto"/>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Cs w:val="21"/>
                <w:lang w:val="en-US" w:eastAsia="zh-CN"/>
              </w:rPr>
              <w:t>发烟硫酸（105%）</w:t>
            </w:r>
          </w:p>
        </w:tc>
        <w:tc>
          <w:tcPr>
            <w:tcW w:w="768" w:type="dxa"/>
            <w:tcBorders>
              <w:tl2br w:val="nil"/>
              <w:tr2bl w:val="nil"/>
            </w:tcBorders>
            <w:shd w:val="clear" w:color="auto" w:fill="auto"/>
            <w:noWrap w:val="0"/>
            <w:vAlign w:val="center"/>
          </w:tcPr>
          <w:p w14:paraId="187424CD">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t/a</w:t>
            </w:r>
          </w:p>
        </w:tc>
        <w:tc>
          <w:tcPr>
            <w:tcW w:w="1296" w:type="dxa"/>
            <w:tcBorders>
              <w:tl2br w:val="nil"/>
              <w:tr2bl w:val="nil"/>
            </w:tcBorders>
            <w:shd w:val="clear" w:color="auto" w:fill="auto"/>
            <w:noWrap w:val="0"/>
            <w:vAlign w:val="center"/>
          </w:tcPr>
          <w:p w14:paraId="1B99923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28640</w:t>
            </w:r>
          </w:p>
        </w:tc>
        <w:tc>
          <w:tcPr>
            <w:tcW w:w="1476" w:type="dxa"/>
            <w:tcBorders>
              <w:tl2br w:val="nil"/>
              <w:tr2bl w:val="nil"/>
            </w:tcBorders>
            <w:shd w:val="clear" w:color="auto" w:fill="auto"/>
            <w:noWrap w:val="0"/>
            <w:vAlign w:val="center"/>
          </w:tcPr>
          <w:p w14:paraId="1B7D72F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lang w:val="en-US" w:eastAsia="zh-CN" w:bidi="ar"/>
              </w:rPr>
            </w:pPr>
            <w:r>
              <w:rPr>
                <w:rFonts w:hint="eastAsia" w:ascii="Times New Roman" w:hAnsi="Times New Roman" w:eastAsia="宋体" w:cs="Times New Roman"/>
                <w:color w:val="auto"/>
                <w:kern w:val="0"/>
                <w:sz w:val="21"/>
                <w:szCs w:val="21"/>
                <w:lang w:val="en-US" w:eastAsia="zh-CN" w:bidi="ar"/>
              </w:rPr>
              <w:t>796</w:t>
            </w:r>
          </w:p>
        </w:tc>
        <w:tc>
          <w:tcPr>
            <w:tcW w:w="1510" w:type="dxa"/>
            <w:tcBorders>
              <w:tl2br w:val="nil"/>
              <w:tr2bl w:val="nil"/>
            </w:tcBorders>
            <w:noWrap w:val="0"/>
            <w:vAlign w:val="center"/>
          </w:tcPr>
          <w:p w14:paraId="40920C1D">
            <w:pPr>
              <w:keepNext w:val="0"/>
              <w:keepLines w:val="0"/>
              <w:widowControl/>
              <w:suppressLineNumbers w:val="0"/>
              <w:spacing w:before="0" w:beforeAutospacing="0" w:after="0" w:afterAutospacing="0"/>
              <w:ind w:left="0" w:right="0"/>
              <w:jc w:val="center"/>
              <w:textAlignment w:val="center"/>
              <w:rPr>
                <w:rFonts w:hint="eastAsia" w:cs="Times New Roman"/>
                <w:color w:val="auto"/>
                <w:kern w:val="0"/>
                <w:sz w:val="21"/>
                <w:szCs w:val="21"/>
                <w:lang w:val="en-US" w:eastAsia="zh-CN" w:bidi="ar"/>
              </w:rPr>
            </w:pPr>
            <w:r>
              <w:rPr>
                <w:rFonts w:hint="eastAsia" w:cs="Times New Roman"/>
                <w:color w:val="auto"/>
                <w:kern w:val="0"/>
                <w:sz w:val="21"/>
                <w:szCs w:val="21"/>
                <w:lang w:val="en-US" w:eastAsia="zh-CN" w:bidi="ar"/>
              </w:rPr>
              <w:t>现有罐区</w:t>
            </w:r>
          </w:p>
        </w:tc>
      </w:tr>
    </w:tbl>
    <w:p w14:paraId="42FF82EE">
      <w:pPr>
        <w:keepNext w:val="0"/>
        <w:keepLines w:val="0"/>
        <w:pageBreakBefore w:val="0"/>
        <w:widowControl w:val="0"/>
        <w:tabs>
          <w:tab w:val="left" w:pos="1680"/>
        </w:tabs>
        <w:kinsoku/>
        <w:wordWrap/>
        <w:overflowPunct/>
        <w:topLinePunct w:val="0"/>
        <w:autoSpaceDE/>
        <w:autoSpaceDN/>
        <w:bidi w:val="0"/>
        <w:adjustRightInd/>
        <w:snapToGrid/>
        <w:spacing w:line="450" w:lineRule="exact"/>
        <w:ind w:firstLine="480" w:firstLineChars="200"/>
        <w:jc w:val="both"/>
        <w:textAlignment w:val="auto"/>
        <w:rPr>
          <w:rFonts w:hint="default" w:cs="Times New Roman"/>
          <w:b w:val="0"/>
          <w:bCs/>
          <w:color w:val="auto"/>
          <w:spacing w:val="0"/>
          <w:position w:val="0"/>
          <w:sz w:val="24"/>
          <w:szCs w:val="24"/>
          <w:highlight w:val="none"/>
          <w:lang w:val="en-US" w:eastAsia="zh-CN"/>
        </w:rPr>
      </w:pPr>
      <w:r>
        <w:rPr>
          <w:rFonts w:hint="eastAsia" w:cs="Times New Roman"/>
          <w:b w:val="0"/>
          <w:bCs/>
          <w:color w:val="auto"/>
          <w:spacing w:val="0"/>
          <w:position w:val="0"/>
          <w:sz w:val="24"/>
          <w:szCs w:val="24"/>
          <w:highlight w:val="none"/>
          <w:lang w:eastAsia="zh-CN"/>
        </w:rPr>
        <w:t>本项目物料理化性质见表</w:t>
      </w:r>
      <w:r>
        <w:rPr>
          <w:rFonts w:hint="eastAsia" w:cs="Times New Roman"/>
          <w:b w:val="0"/>
          <w:bCs/>
          <w:color w:val="auto"/>
          <w:spacing w:val="0"/>
          <w:position w:val="0"/>
          <w:sz w:val="24"/>
          <w:szCs w:val="24"/>
          <w:highlight w:val="none"/>
          <w:lang w:val="en-US" w:eastAsia="zh-CN"/>
        </w:rPr>
        <w:t>1.1-2~1.1-4：</w:t>
      </w:r>
    </w:p>
    <w:p w14:paraId="1B2D2794">
      <w:pPr>
        <w:pStyle w:val="20"/>
        <w:keepNext w:val="0"/>
        <w:keepLines w:val="0"/>
        <w:pageBreakBefore w:val="0"/>
        <w:widowControl w:val="0"/>
        <w:kinsoku/>
        <w:wordWrap/>
        <w:overflowPunct/>
        <w:topLinePunct w:val="0"/>
        <w:autoSpaceDE/>
        <w:autoSpaceDN/>
        <w:bidi w:val="0"/>
        <w:adjustRightInd/>
        <w:snapToGrid w:val="0"/>
        <w:spacing w:before="157" w:beforeLines="50" w:after="0"/>
        <w:ind w:left="0" w:leftChars="0" w:firstLine="0" w:firstLineChars="0"/>
        <w:jc w:val="center"/>
        <w:textAlignment w:val="auto"/>
        <w:rPr>
          <w:rFonts w:hint="default" w:ascii="黑体" w:hAnsi="黑体" w:eastAsia="黑体" w:cs="黑体"/>
          <w:b/>
          <w:bCs/>
          <w:color w:val="auto"/>
          <w:sz w:val="21"/>
          <w:szCs w:val="21"/>
          <w:lang w:val="en-US" w:eastAsia="zh-CN"/>
        </w:rPr>
      </w:pPr>
      <w:r>
        <w:rPr>
          <w:rFonts w:hint="eastAsia" w:ascii="黑体" w:hAnsi="黑体" w:eastAsia="黑体" w:cs="黑体"/>
          <w:b/>
          <w:bCs/>
          <w:color w:val="auto"/>
          <w:sz w:val="21"/>
          <w:szCs w:val="21"/>
          <w:lang w:eastAsia="zh-CN"/>
        </w:rPr>
        <w:t>表</w:t>
      </w:r>
      <w:r>
        <w:rPr>
          <w:rFonts w:hint="eastAsia" w:ascii="黑体" w:hAnsi="黑体" w:eastAsia="黑体" w:cs="黑体"/>
          <w:b/>
          <w:bCs/>
          <w:color w:val="auto"/>
          <w:sz w:val="21"/>
          <w:szCs w:val="21"/>
          <w:lang w:val="en-US" w:eastAsia="zh-CN"/>
        </w:rPr>
        <w:t>1.1-2  原料理化性质一览表  硫酸</w:t>
      </w:r>
    </w:p>
    <w:tbl>
      <w:tblPr>
        <w:tblStyle w:val="21"/>
        <w:tblW w:w="7966"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28" w:type="dxa"/>
          <w:left w:w="57" w:type="dxa"/>
          <w:bottom w:w="28" w:type="dxa"/>
          <w:right w:w="57" w:type="dxa"/>
        </w:tblCellMar>
      </w:tblPr>
      <w:tblGrid>
        <w:gridCol w:w="1161"/>
        <w:gridCol w:w="120"/>
        <w:gridCol w:w="107"/>
        <w:gridCol w:w="221"/>
        <w:gridCol w:w="239"/>
        <w:gridCol w:w="27"/>
        <w:gridCol w:w="2289"/>
        <w:gridCol w:w="26"/>
        <w:gridCol w:w="41"/>
        <w:gridCol w:w="17"/>
        <w:gridCol w:w="1362"/>
        <w:gridCol w:w="49"/>
        <w:gridCol w:w="272"/>
        <w:gridCol w:w="961"/>
        <w:gridCol w:w="1074"/>
      </w:tblGrid>
      <w:tr w14:paraId="10D07A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609" w:type="dxa"/>
            <w:gridSpan w:val="4"/>
            <w:tcBorders>
              <w:tl2br w:val="nil"/>
              <w:tr2bl w:val="nil"/>
            </w:tcBorders>
            <w:noWrap w:val="0"/>
            <w:vAlign w:val="center"/>
          </w:tcPr>
          <w:p w14:paraId="08EEEF92">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中文名</w:t>
            </w:r>
          </w:p>
        </w:tc>
        <w:tc>
          <w:tcPr>
            <w:tcW w:w="2581" w:type="dxa"/>
            <w:gridSpan w:val="4"/>
            <w:tcBorders>
              <w:tl2br w:val="nil"/>
              <w:tr2bl w:val="nil"/>
            </w:tcBorders>
            <w:noWrap w:val="0"/>
            <w:vAlign w:val="center"/>
          </w:tcPr>
          <w:p w14:paraId="7EEEB189">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硫酸</w:t>
            </w:r>
          </w:p>
        </w:tc>
        <w:tc>
          <w:tcPr>
            <w:tcW w:w="1741" w:type="dxa"/>
            <w:gridSpan w:val="5"/>
            <w:tcBorders>
              <w:tl2br w:val="nil"/>
              <w:tr2bl w:val="nil"/>
            </w:tcBorders>
            <w:noWrap w:val="0"/>
            <w:vAlign w:val="center"/>
          </w:tcPr>
          <w:p w14:paraId="068EE2C7">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英文名</w:t>
            </w:r>
          </w:p>
        </w:tc>
        <w:tc>
          <w:tcPr>
            <w:tcW w:w="2035" w:type="dxa"/>
            <w:gridSpan w:val="2"/>
            <w:tcBorders>
              <w:tl2br w:val="nil"/>
              <w:tr2bl w:val="nil"/>
            </w:tcBorders>
            <w:noWrap w:val="0"/>
            <w:vAlign w:val="center"/>
          </w:tcPr>
          <w:p w14:paraId="3840ECE2">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sulfuric acid</w:t>
            </w:r>
          </w:p>
        </w:tc>
      </w:tr>
      <w:tr w14:paraId="53A717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609" w:type="dxa"/>
            <w:gridSpan w:val="4"/>
            <w:tcBorders>
              <w:tl2br w:val="nil"/>
              <w:tr2bl w:val="nil"/>
            </w:tcBorders>
            <w:noWrap w:val="0"/>
            <w:vAlign w:val="center"/>
          </w:tcPr>
          <w:p w14:paraId="77A26442">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CAS号</w:t>
            </w:r>
          </w:p>
        </w:tc>
        <w:tc>
          <w:tcPr>
            <w:tcW w:w="2581" w:type="dxa"/>
            <w:gridSpan w:val="4"/>
            <w:tcBorders>
              <w:tl2br w:val="nil"/>
              <w:tr2bl w:val="nil"/>
            </w:tcBorders>
            <w:noWrap w:val="0"/>
            <w:vAlign w:val="center"/>
          </w:tcPr>
          <w:p w14:paraId="5A3429A7">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7664-93-9</w:t>
            </w:r>
          </w:p>
        </w:tc>
        <w:tc>
          <w:tcPr>
            <w:tcW w:w="1741" w:type="dxa"/>
            <w:gridSpan w:val="5"/>
            <w:tcBorders>
              <w:tl2br w:val="nil"/>
              <w:tr2bl w:val="nil"/>
            </w:tcBorders>
            <w:noWrap w:val="0"/>
            <w:vAlign w:val="center"/>
          </w:tcPr>
          <w:p w14:paraId="6EE20265">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有害物成分</w:t>
            </w:r>
          </w:p>
        </w:tc>
        <w:tc>
          <w:tcPr>
            <w:tcW w:w="2035" w:type="dxa"/>
            <w:gridSpan w:val="2"/>
            <w:tcBorders>
              <w:tl2br w:val="nil"/>
              <w:tr2bl w:val="nil"/>
            </w:tcBorders>
            <w:noWrap w:val="0"/>
            <w:vAlign w:val="center"/>
          </w:tcPr>
          <w:p w14:paraId="2724C1E9">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硫酸</w:t>
            </w:r>
          </w:p>
        </w:tc>
      </w:tr>
      <w:tr w14:paraId="4CD3EF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609" w:type="dxa"/>
            <w:gridSpan w:val="4"/>
            <w:tcBorders>
              <w:tl2br w:val="nil"/>
              <w:tr2bl w:val="nil"/>
            </w:tcBorders>
            <w:noWrap w:val="0"/>
            <w:vAlign w:val="center"/>
          </w:tcPr>
          <w:p w14:paraId="0DBFEB38">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分子式</w:t>
            </w:r>
          </w:p>
        </w:tc>
        <w:tc>
          <w:tcPr>
            <w:tcW w:w="2581" w:type="dxa"/>
            <w:gridSpan w:val="4"/>
            <w:tcBorders>
              <w:tl2br w:val="nil"/>
              <w:tr2bl w:val="nil"/>
            </w:tcBorders>
            <w:noWrap w:val="0"/>
            <w:vAlign w:val="center"/>
          </w:tcPr>
          <w:p w14:paraId="46A16B6F">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H</w:t>
            </w:r>
            <w:r>
              <w:rPr>
                <w:rFonts w:hint="default" w:ascii="Times New Roman" w:hAnsi="Times New Roman" w:eastAsia="宋体" w:cs="Times New Roman"/>
                <w:i w:val="0"/>
                <w:iCs w:val="0"/>
                <w:color w:val="auto"/>
                <w:sz w:val="21"/>
                <w:szCs w:val="21"/>
                <w:vertAlign w:val="subscript"/>
              </w:rPr>
              <w:t>2</w:t>
            </w:r>
            <w:r>
              <w:rPr>
                <w:rFonts w:hint="default" w:ascii="Times New Roman" w:hAnsi="Times New Roman" w:eastAsia="宋体" w:cs="Times New Roman"/>
                <w:i w:val="0"/>
                <w:iCs w:val="0"/>
                <w:color w:val="auto"/>
                <w:sz w:val="21"/>
                <w:szCs w:val="21"/>
              </w:rPr>
              <w:t>SO</w:t>
            </w:r>
            <w:r>
              <w:rPr>
                <w:rFonts w:hint="default" w:ascii="Times New Roman" w:hAnsi="Times New Roman" w:eastAsia="宋体" w:cs="Times New Roman"/>
                <w:i w:val="0"/>
                <w:iCs w:val="0"/>
                <w:color w:val="auto"/>
                <w:sz w:val="21"/>
                <w:szCs w:val="21"/>
                <w:vertAlign w:val="subscript"/>
              </w:rPr>
              <w:t>4</w:t>
            </w:r>
          </w:p>
        </w:tc>
        <w:tc>
          <w:tcPr>
            <w:tcW w:w="1741" w:type="dxa"/>
            <w:gridSpan w:val="5"/>
            <w:tcBorders>
              <w:tl2br w:val="nil"/>
              <w:tr2bl w:val="nil"/>
            </w:tcBorders>
            <w:noWrap w:val="0"/>
            <w:vAlign w:val="center"/>
          </w:tcPr>
          <w:p w14:paraId="33F64D96">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分子量</w:t>
            </w:r>
          </w:p>
        </w:tc>
        <w:tc>
          <w:tcPr>
            <w:tcW w:w="2035" w:type="dxa"/>
            <w:gridSpan w:val="2"/>
            <w:tcBorders>
              <w:tl2br w:val="nil"/>
              <w:tr2bl w:val="nil"/>
            </w:tcBorders>
            <w:noWrap w:val="0"/>
            <w:vAlign w:val="center"/>
          </w:tcPr>
          <w:p w14:paraId="3150166C">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98.49</w:t>
            </w:r>
          </w:p>
        </w:tc>
      </w:tr>
      <w:tr w14:paraId="72947E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609" w:type="dxa"/>
            <w:gridSpan w:val="4"/>
            <w:tcBorders>
              <w:tl2br w:val="nil"/>
              <w:tr2bl w:val="nil"/>
            </w:tcBorders>
            <w:noWrap w:val="0"/>
            <w:vAlign w:val="center"/>
          </w:tcPr>
          <w:p w14:paraId="714AF925">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危险货物编号</w:t>
            </w:r>
          </w:p>
        </w:tc>
        <w:tc>
          <w:tcPr>
            <w:tcW w:w="2581" w:type="dxa"/>
            <w:gridSpan w:val="4"/>
            <w:tcBorders>
              <w:tl2br w:val="nil"/>
              <w:tr2bl w:val="nil"/>
            </w:tcBorders>
            <w:noWrap w:val="0"/>
            <w:vAlign w:val="center"/>
          </w:tcPr>
          <w:p w14:paraId="4A0773B9">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81007</w:t>
            </w:r>
          </w:p>
        </w:tc>
        <w:tc>
          <w:tcPr>
            <w:tcW w:w="1741" w:type="dxa"/>
            <w:gridSpan w:val="5"/>
            <w:tcBorders>
              <w:tl2br w:val="nil"/>
              <w:tr2bl w:val="nil"/>
            </w:tcBorders>
            <w:noWrap w:val="0"/>
            <w:vAlign w:val="center"/>
          </w:tcPr>
          <w:p w14:paraId="1E6B5E42">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UN编号</w:t>
            </w:r>
          </w:p>
        </w:tc>
        <w:tc>
          <w:tcPr>
            <w:tcW w:w="2035" w:type="dxa"/>
            <w:gridSpan w:val="2"/>
            <w:tcBorders>
              <w:tl2br w:val="nil"/>
              <w:tr2bl w:val="nil"/>
            </w:tcBorders>
            <w:noWrap w:val="0"/>
            <w:vAlign w:val="center"/>
          </w:tcPr>
          <w:p w14:paraId="40590C60">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1830</w:t>
            </w:r>
          </w:p>
        </w:tc>
      </w:tr>
      <w:tr w14:paraId="2EE7414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7966" w:type="dxa"/>
            <w:gridSpan w:val="15"/>
            <w:tcBorders>
              <w:tl2br w:val="nil"/>
              <w:tr2bl w:val="nil"/>
            </w:tcBorders>
            <w:noWrap w:val="0"/>
            <w:vAlign w:val="top"/>
          </w:tcPr>
          <w:p w14:paraId="1DB73D5B">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健康危害</w:t>
            </w:r>
          </w:p>
        </w:tc>
      </w:tr>
      <w:tr w14:paraId="02ED4A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388" w:type="dxa"/>
            <w:gridSpan w:val="3"/>
            <w:tcBorders>
              <w:tl2br w:val="nil"/>
              <w:tr2bl w:val="nil"/>
            </w:tcBorders>
            <w:noWrap w:val="0"/>
            <w:vAlign w:val="center"/>
          </w:tcPr>
          <w:p w14:paraId="6A7C244A">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危险性类别</w:t>
            </w:r>
          </w:p>
        </w:tc>
        <w:tc>
          <w:tcPr>
            <w:tcW w:w="2860" w:type="dxa"/>
            <w:gridSpan w:val="7"/>
            <w:tcBorders>
              <w:tl2br w:val="nil"/>
              <w:tr2bl w:val="nil"/>
            </w:tcBorders>
            <w:noWrap w:val="0"/>
            <w:vAlign w:val="top"/>
          </w:tcPr>
          <w:p w14:paraId="22CED911">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第8.1类  酸性腐蚀品</w:t>
            </w:r>
          </w:p>
        </w:tc>
        <w:tc>
          <w:tcPr>
            <w:tcW w:w="1411" w:type="dxa"/>
            <w:gridSpan w:val="2"/>
            <w:tcBorders>
              <w:tl2br w:val="nil"/>
              <w:tr2bl w:val="nil"/>
            </w:tcBorders>
            <w:noWrap w:val="0"/>
            <w:vAlign w:val="top"/>
          </w:tcPr>
          <w:p w14:paraId="3A0F6F82">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侵入途径</w:t>
            </w:r>
          </w:p>
        </w:tc>
        <w:tc>
          <w:tcPr>
            <w:tcW w:w="2307" w:type="dxa"/>
            <w:gridSpan w:val="3"/>
            <w:tcBorders>
              <w:tl2br w:val="nil"/>
              <w:tr2bl w:val="nil"/>
            </w:tcBorders>
            <w:noWrap w:val="0"/>
            <w:vAlign w:val="top"/>
          </w:tcPr>
          <w:p w14:paraId="74B8879B">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吸入、食入</w:t>
            </w:r>
          </w:p>
        </w:tc>
      </w:tr>
      <w:tr w14:paraId="0A36DCF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388" w:type="dxa"/>
            <w:gridSpan w:val="3"/>
            <w:tcBorders>
              <w:tl2br w:val="nil"/>
              <w:tr2bl w:val="nil"/>
            </w:tcBorders>
            <w:noWrap w:val="0"/>
            <w:vAlign w:val="center"/>
          </w:tcPr>
          <w:p w14:paraId="70A9D579">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环境危害</w:t>
            </w:r>
          </w:p>
        </w:tc>
        <w:tc>
          <w:tcPr>
            <w:tcW w:w="2860" w:type="dxa"/>
            <w:gridSpan w:val="7"/>
            <w:tcBorders>
              <w:tl2br w:val="nil"/>
              <w:tr2bl w:val="nil"/>
            </w:tcBorders>
            <w:noWrap w:val="0"/>
            <w:vAlign w:val="top"/>
          </w:tcPr>
          <w:p w14:paraId="5C820940">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对环境有危害，对水体和土壤可造成污染。</w:t>
            </w:r>
          </w:p>
        </w:tc>
        <w:tc>
          <w:tcPr>
            <w:tcW w:w="1411" w:type="dxa"/>
            <w:gridSpan w:val="2"/>
            <w:tcBorders>
              <w:tl2br w:val="nil"/>
              <w:tr2bl w:val="nil"/>
            </w:tcBorders>
            <w:noWrap w:val="0"/>
            <w:vAlign w:val="top"/>
          </w:tcPr>
          <w:p w14:paraId="2D0ECF37">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燃爆危险</w:t>
            </w:r>
          </w:p>
        </w:tc>
        <w:tc>
          <w:tcPr>
            <w:tcW w:w="2307" w:type="dxa"/>
            <w:gridSpan w:val="3"/>
            <w:tcBorders>
              <w:tl2br w:val="nil"/>
              <w:tr2bl w:val="nil"/>
            </w:tcBorders>
            <w:noWrap w:val="0"/>
            <w:vAlign w:val="top"/>
          </w:tcPr>
          <w:p w14:paraId="387E8A07">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本品助燃，具强腐蚀性、强刺激性，可致人体灼伤。</w:t>
            </w:r>
          </w:p>
        </w:tc>
      </w:tr>
      <w:tr w14:paraId="55674E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388" w:type="dxa"/>
            <w:gridSpan w:val="3"/>
            <w:tcBorders>
              <w:tl2br w:val="nil"/>
              <w:tr2bl w:val="nil"/>
            </w:tcBorders>
            <w:noWrap w:val="0"/>
            <w:vAlign w:val="center"/>
          </w:tcPr>
          <w:p w14:paraId="1B5B0FC2">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健康危害</w:t>
            </w:r>
          </w:p>
        </w:tc>
        <w:tc>
          <w:tcPr>
            <w:tcW w:w="6578" w:type="dxa"/>
            <w:gridSpan w:val="12"/>
            <w:tcBorders>
              <w:tl2br w:val="nil"/>
              <w:tr2bl w:val="nil"/>
            </w:tcBorders>
            <w:noWrap w:val="0"/>
            <w:vAlign w:val="top"/>
          </w:tcPr>
          <w:p w14:paraId="6DF6C474">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对皮肤、</w:t>
            </w:r>
            <w:r>
              <w:rPr>
                <w:rFonts w:hint="eastAsia" w:cs="Times New Roman"/>
                <w:i w:val="0"/>
                <w:iCs w:val="0"/>
                <w:color w:val="auto"/>
                <w:sz w:val="21"/>
                <w:szCs w:val="21"/>
                <w:lang w:eastAsia="zh-CN"/>
              </w:rPr>
              <w:t>黏膜</w:t>
            </w:r>
            <w:r>
              <w:rPr>
                <w:rFonts w:hint="default" w:ascii="Times New Roman" w:hAnsi="Times New Roman" w:eastAsia="宋体" w:cs="Times New Roman"/>
                <w:i w:val="0"/>
                <w:iCs w:val="0"/>
                <w:color w:val="auto"/>
                <w:sz w:val="21"/>
                <w:szCs w:val="21"/>
              </w:rPr>
              <w:t>等组织有强烈的刺激和腐蚀作用。蒸气或雾可引起结膜炎、结膜水肿、角膜混浊，以致失明；引起呼吸道刺激，重者发生呼吸困难和肺水肿；高浓度引起喉痉挛或声门水肿而窒息死亡。口服后引起消化道烧伤以致溃疡形成；严重者可能有胃穿孔、腹膜炎、肾损害、休克等。皮肤灼伤轻者出现红斑、重者形成溃疡，愈后</w:t>
            </w:r>
            <w:r>
              <w:rPr>
                <w:rFonts w:hint="eastAsia" w:cs="Times New Roman"/>
                <w:i w:val="0"/>
                <w:iCs w:val="0"/>
                <w:color w:val="auto"/>
                <w:sz w:val="21"/>
                <w:szCs w:val="21"/>
                <w:lang w:eastAsia="zh-CN"/>
              </w:rPr>
              <w:t>瘢痕</w:t>
            </w:r>
            <w:r>
              <w:rPr>
                <w:rFonts w:hint="default" w:ascii="Times New Roman" w:hAnsi="Times New Roman" w:eastAsia="宋体" w:cs="Times New Roman"/>
                <w:i w:val="0"/>
                <w:iCs w:val="0"/>
                <w:color w:val="auto"/>
                <w:sz w:val="21"/>
                <w:szCs w:val="21"/>
              </w:rPr>
              <w:t>收缩影响功能。溅入眼内可造成灼伤，甚至角膜穿孔、全眼炎以至失明。</w:t>
            </w:r>
          </w:p>
          <w:p w14:paraId="2385251C">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慢性影响：牙齿酸蚀症、慢性支气管炎、肺气肿和肺硬化。</w:t>
            </w:r>
          </w:p>
        </w:tc>
      </w:tr>
      <w:tr w14:paraId="6AFA75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7966" w:type="dxa"/>
            <w:gridSpan w:val="15"/>
            <w:tcBorders>
              <w:tl2br w:val="nil"/>
              <w:tr2bl w:val="nil"/>
            </w:tcBorders>
            <w:noWrap w:val="0"/>
            <w:vAlign w:val="top"/>
          </w:tcPr>
          <w:p w14:paraId="7A2F65E5">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消防措施</w:t>
            </w:r>
          </w:p>
        </w:tc>
      </w:tr>
      <w:tr w14:paraId="06EB59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161" w:type="dxa"/>
            <w:tcBorders>
              <w:tl2br w:val="nil"/>
              <w:tr2bl w:val="nil"/>
            </w:tcBorders>
            <w:noWrap w:val="0"/>
            <w:vAlign w:val="center"/>
          </w:tcPr>
          <w:p w14:paraId="201BBC22">
            <w:pPr>
              <w:keepNext w:val="0"/>
              <w:keepLines w:val="0"/>
              <w:widowControl/>
              <w:suppressLineNumbers w:val="0"/>
              <w:suppressAutoHyphens/>
              <w:adjustRightInd w:val="0"/>
              <w:snapToGrid w:val="0"/>
              <w:spacing w:before="0" w:beforeAutospacing="0" w:after="0" w:afterAutospacing="0"/>
              <w:ind w:left="-107" w:leftChars="-51" w:right="-107" w:rightChars="-51"/>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危险特性</w:t>
            </w:r>
          </w:p>
        </w:tc>
        <w:tc>
          <w:tcPr>
            <w:tcW w:w="6805" w:type="dxa"/>
            <w:gridSpan w:val="14"/>
            <w:tcBorders>
              <w:tl2br w:val="nil"/>
              <w:tr2bl w:val="nil"/>
            </w:tcBorders>
            <w:noWrap w:val="0"/>
            <w:vAlign w:val="top"/>
          </w:tcPr>
          <w:p w14:paraId="4EEF0F02">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遇水大量放热</w:t>
            </w:r>
            <w:r>
              <w:rPr>
                <w:rFonts w:hint="eastAsia" w:ascii="Times New Roman" w:hAnsi="Times New Roman" w:eastAsia="宋体" w:cs="Times New Roman"/>
                <w:i w:val="0"/>
                <w:iCs w:val="0"/>
                <w:color w:val="auto"/>
                <w:sz w:val="21"/>
                <w:szCs w:val="21"/>
                <w:lang w:eastAsia="zh-CN"/>
              </w:rPr>
              <w:t>，</w:t>
            </w:r>
            <w:r>
              <w:rPr>
                <w:rFonts w:hint="default" w:ascii="Times New Roman" w:hAnsi="Times New Roman" w:eastAsia="宋体" w:cs="Times New Roman"/>
                <w:i w:val="0"/>
                <w:iCs w:val="0"/>
                <w:color w:val="auto"/>
                <w:sz w:val="21"/>
                <w:szCs w:val="21"/>
              </w:rPr>
              <w:t>可发生沸溅。与易燃物（如苯）和可燃物（如糖、纤维素等）接触会发生剧烈反应，甚至引起燃烧。遇电石、高氯酸盐、</w:t>
            </w:r>
            <w:r>
              <w:rPr>
                <w:rFonts w:hint="eastAsia" w:cs="Times New Roman"/>
                <w:i w:val="0"/>
                <w:iCs w:val="0"/>
                <w:color w:val="auto"/>
                <w:sz w:val="21"/>
                <w:szCs w:val="21"/>
                <w:lang w:eastAsia="zh-CN"/>
              </w:rPr>
              <w:t>磷酸</w:t>
            </w:r>
            <w:r>
              <w:rPr>
                <w:rFonts w:hint="default" w:ascii="Times New Roman" w:hAnsi="Times New Roman" w:eastAsia="宋体" w:cs="Times New Roman"/>
                <w:i w:val="0"/>
                <w:iCs w:val="0"/>
                <w:color w:val="auto"/>
                <w:sz w:val="21"/>
                <w:szCs w:val="21"/>
              </w:rPr>
              <w:t>盐、硝酸盐、苦味酸盐、金属粉末等猛烈反应，发生爆炸或燃烧。有强烈的腐蚀性和吸水性。</w:t>
            </w:r>
          </w:p>
        </w:tc>
      </w:tr>
      <w:tr w14:paraId="5B984F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161" w:type="dxa"/>
            <w:tcBorders>
              <w:tl2br w:val="nil"/>
              <w:tr2bl w:val="nil"/>
            </w:tcBorders>
            <w:noWrap w:val="0"/>
            <w:vAlign w:val="center"/>
          </w:tcPr>
          <w:p w14:paraId="3A3D0EA2">
            <w:pPr>
              <w:keepNext w:val="0"/>
              <w:keepLines w:val="0"/>
              <w:widowControl/>
              <w:suppressLineNumbers w:val="0"/>
              <w:suppressAutoHyphens/>
              <w:adjustRightInd w:val="0"/>
              <w:snapToGrid w:val="0"/>
              <w:spacing w:before="0" w:beforeAutospacing="0" w:after="0" w:afterAutospacing="0"/>
              <w:ind w:left="-107" w:leftChars="-51" w:right="-107" w:rightChars="-51"/>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灭火方法</w:t>
            </w:r>
          </w:p>
        </w:tc>
        <w:tc>
          <w:tcPr>
            <w:tcW w:w="6805" w:type="dxa"/>
            <w:gridSpan w:val="14"/>
            <w:tcBorders>
              <w:tl2br w:val="nil"/>
              <w:tr2bl w:val="nil"/>
            </w:tcBorders>
            <w:noWrap w:val="0"/>
            <w:vAlign w:val="top"/>
          </w:tcPr>
          <w:p w14:paraId="0BB0FDB3">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消防人员必须穿全身耐酸碱消防服。灭火剂：干粉、二氧化碳、砂土。避免水流冲击物品，以免遇水会放出大量热量发生喷溅而灼伤皮肤。</w:t>
            </w:r>
          </w:p>
        </w:tc>
      </w:tr>
      <w:tr w14:paraId="7294C0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7966" w:type="dxa"/>
            <w:gridSpan w:val="15"/>
            <w:tcBorders>
              <w:tl2br w:val="nil"/>
              <w:tr2bl w:val="nil"/>
            </w:tcBorders>
            <w:noWrap w:val="0"/>
            <w:vAlign w:val="top"/>
          </w:tcPr>
          <w:p w14:paraId="38345765">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防护措施</w:t>
            </w:r>
          </w:p>
        </w:tc>
      </w:tr>
      <w:tr w14:paraId="4210746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4D7C9579">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工程控制</w:t>
            </w:r>
          </w:p>
        </w:tc>
        <w:tc>
          <w:tcPr>
            <w:tcW w:w="6685" w:type="dxa"/>
            <w:gridSpan w:val="13"/>
            <w:tcBorders>
              <w:tl2br w:val="nil"/>
              <w:tr2bl w:val="nil"/>
            </w:tcBorders>
            <w:noWrap w:val="0"/>
            <w:vAlign w:val="top"/>
          </w:tcPr>
          <w:p w14:paraId="14B64F0A">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密闭操作，注意通风。尽可能机械化、自动化。提供安全淋浴和洗眼设备</w:t>
            </w:r>
          </w:p>
        </w:tc>
      </w:tr>
      <w:tr w14:paraId="3BC9A84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4F484853">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呼吸系统防护</w:t>
            </w:r>
          </w:p>
        </w:tc>
        <w:tc>
          <w:tcPr>
            <w:tcW w:w="6685" w:type="dxa"/>
            <w:gridSpan w:val="13"/>
            <w:tcBorders>
              <w:tl2br w:val="nil"/>
              <w:tr2bl w:val="nil"/>
            </w:tcBorders>
            <w:noWrap w:val="0"/>
            <w:vAlign w:val="center"/>
          </w:tcPr>
          <w:p w14:paraId="1127EB60">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可能接触其烟雾时，佩戴自吸过滤式防毒面具（全面罩）或空气呼吸器。紧急事态抢救或撤离时，建议佩戴氧气呼吸器。</w:t>
            </w:r>
          </w:p>
        </w:tc>
      </w:tr>
      <w:tr w14:paraId="2E2A592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4E308D60">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身体防护</w:t>
            </w:r>
          </w:p>
        </w:tc>
        <w:tc>
          <w:tcPr>
            <w:tcW w:w="6685" w:type="dxa"/>
            <w:gridSpan w:val="13"/>
            <w:tcBorders>
              <w:tl2br w:val="nil"/>
              <w:tr2bl w:val="nil"/>
            </w:tcBorders>
            <w:noWrap w:val="0"/>
            <w:vAlign w:val="top"/>
          </w:tcPr>
          <w:p w14:paraId="4E4CBBAC">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穿橡胶耐酸碱服。</w:t>
            </w:r>
          </w:p>
        </w:tc>
      </w:tr>
      <w:tr w14:paraId="3BBF81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27936933">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手防护</w:t>
            </w:r>
          </w:p>
        </w:tc>
        <w:tc>
          <w:tcPr>
            <w:tcW w:w="6685" w:type="dxa"/>
            <w:gridSpan w:val="13"/>
            <w:tcBorders>
              <w:tl2br w:val="nil"/>
              <w:tr2bl w:val="nil"/>
            </w:tcBorders>
            <w:noWrap w:val="0"/>
            <w:vAlign w:val="top"/>
          </w:tcPr>
          <w:p w14:paraId="6669ED16">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戴橡胶耐酸碱手套。</w:t>
            </w:r>
          </w:p>
        </w:tc>
      </w:tr>
      <w:tr w14:paraId="34778CE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67CA0B23">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eastAsia" w:cs="Times New Roman"/>
                <w:i w:val="0"/>
                <w:iCs w:val="0"/>
                <w:color w:val="auto"/>
                <w:sz w:val="21"/>
                <w:szCs w:val="21"/>
                <w:lang w:eastAsia="zh-CN"/>
              </w:rPr>
              <w:t>其他</w:t>
            </w:r>
          </w:p>
        </w:tc>
        <w:tc>
          <w:tcPr>
            <w:tcW w:w="6685" w:type="dxa"/>
            <w:gridSpan w:val="13"/>
            <w:tcBorders>
              <w:tl2br w:val="nil"/>
              <w:tr2bl w:val="nil"/>
            </w:tcBorders>
            <w:noWrap w:val="0"/>
            <w:vAlign w:val="top"/>
          </w:tcPr>
          <w:p w14:paraId="10FE57D9">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工作现场禁止吸烟、进食和饮水。工作完毕，淋浴更衣。单独存放被毒物污。</w:t>
            </w:r>
          </w:p>
        </w:tc>
      </w:tr>
      <w:tr w14:paraId="7EDC8E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7966" w:type="dxa"/>
            <w:gridSpan w:val="15"/>
            <w:tcBorders>
              <w:tl2br w:val="nil"/>
              <w:tr2bl w:val="nil"/>
            </w:tcBorders>
            <w:noWrap w:val="0"/>
            <w:vAlign w:val="center"/>
          </w:tcPr>
          <w:p w14:paraId="52B42A1D">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急救措施</w:t>
            </w:r>
          </w:p>
        </w:tc>
      </w:tr>
      <w:tr w14:paraId="632E655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54A0C44C">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皮肤接触</w:t>
            </w:r>
          </w:p>
        </w:tc>
        <w:tc>
          <w:tcPr>
            <w:tcW w:w="6685" w:type="dxa"/>
            <w:gridSpan w:val="13"/>
            <w:tcBorders>
              <w:tl2br w:val="nil"/>
              <w:tr2bl w:val="nil"/>
            </w:tcBorders>
            <w:noWrap w:val="0"/>
            <w:vAlign w:val="top"/>
          </w:tcPr>
          <w:p w14:paraId="69F7C011">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立即脱去污染的衣着，用大量流动清水冲洗至少15分钟。就医。</w:t>
            </w:r>
          </w:p>
        </w:tc>
      </w:tr>
      <w:tr w14:paraId="09F737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7B3C9CFC">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眼睛接触</w:t>
            </w:r>
          </w:p>
        </w:tc>
        <w:tc>
          <w:tcPr>
            <w:tcW w:w="6685" w:type="dxa"/>
            <w:gridSpan w:val="13"/>
            <w:tcBorders>
              <w:tl2br w:val="nil"/>
              <w:tr2bl w:val="nil"/>
            </w:tcBorders>
            <w:noWrap w:val="0"/>
            <w:vAlign w:val="top"/>
          </w:tcPr>
          <w:p w14:paraId="76E695BC">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立即提起眼睑，用大量流动清水或生理盐水彻底冲洗至少15分钟。就医。</w:t>
            </w:r>
          </w:p>
        </w:tc>
      </w:tr>
      <w:tr w14:paraId="3C7FA5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5D6ECCC2">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吸入</w:t>
            </w:r>
          </w:p>
        </w:tc>
        <w:tc>
          <w:tcPr>
            <w:tcW w:w="6685" w:type="dxa"/>
            <w:gridSpan w:val="13"/>
            <w:tcBorders>
              <w:tl2br w:val="nil"/>
              <w:tr2bl w:val="nil"/>
            </w:tcBorders>
            <w:noWrap w:val="0"/>
            <w:vAlign w:val="top"/>
          </w:tcPr>
          <w:p w14:paraId="247EB9C7">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迅速脱离现场至空气新鲜处。保持呼吸道通畅。如呼吸困难，给输氧。如呼吸停止，立即进行人工呼吸。就医。</w:t>
            </w:r>
          </w:p>
        </w:tc>
      </w:tr>
      <w:tr w14:paraId="2DE8BFE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281" w:type="dxa"/>
            <w:gridSpan w:val="2"/>
            <w:tcBorders>
              <w:tl2br w:val="nil"/>
              <w:tr2bl w:val="nil"/>
            </w:tcBorders>
            <w:noWrap w:val="0"/>
            <w:vAlign w:val="center"/>
          </w:tcPr>
          <w:p w14:paraId="792B38E4">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食入</w:t>
            </w:r>
          </w:p>
        </w:tc>
        <w:tc>
          <w:tcPr>
            <w:tcW w:w="6685" w:type="dxa"/>
            <w:gridSpan w:val="13"/>
            <w:tcBorders>
              <w:tl2br w:val="nil"/>
              <w:tr2bl w:val="nil"/>
            </w:tcBorders>
            <w:noWrap w:val="0"/>
            <w:vAlign w:val="top"/>
          </w:tcPr>
          <w:p w14:paraId="12C17838">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用水漱口，给饮牛奶或蛋清。就医。</w:t>
            </w:r>
          </w:p>
        </w:tc>
      </w:tr>
      <w:tr w14:paraId="62AAD92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7966" w:type="dxa"/>
            <w:gridSpan w:val="15"/>
            <w:tcBorders>
              <w:tl2br w:val="nil"/>
              <w:tr2bl w:val="nil"/>
            </w:tcBorders>
            <w:noWrap w:val="0"/>
            <w:vAlign w:val="top"/>
          </w:tcPr>
          <w:p w14:paraId="09319B9E">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理化性质</w:t>
            </w:r>
          </w:p>
        </w:tc>
      </w:tr>
      <w:tr w14:paraId="5F3E39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48" w:type="dxa"/>
            <w:gridSpan w:val="5"/>
            <w:tcBorders>
              <w:tl2br w:val="nil"/>
              <w:tr2bl w:val="nil"/>
            </w:tcBorders>
            <w:noWrap w:val="0"/>
            <w:vAlign w:val="center"/>
          </w:tcPr>
          <w:p w14:paraId="180049AF">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外观与性状</w:t>
            </w:r>
          </w:p>
        </w:tc>
        <w:tc>
          <w:tcPr>
            <w:tcW w:w="6118" w:type="dxa"/>
            <w:gridSpan w:val="10"/>
            <w:tcBorders>
              <w:tl2br w:val="nil"/>
              <w:tr2bl w:val="nil"/>
            </w:tcBorders>
            <w:noWrap w:val="0"/>
            <w:vAlign w:val="center"/>
          </w:tcPr>
          <w:p w14:paraId="0AB8F413">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纯品为无色透明油状液体，无臭。</w:t>
            </w:r>
          </w:p>
        </w:tc>
      </w:tr>
      <w:tr w14:paraId="260FFAD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48" w:type="dxa"/>
            <w:gridSpan w:val="5"/>
            <w:tcBorders>
              <w:tl2br w:val="nil"/>
              <w:tr2bl w:val="nil"/>
            </w:tcBorders>
            <w:noWrap w:val="0"/>
            <w:vAlign w:val="center"/>
          </w:tcPr>
          <w:p w14:paraId="04F92E29">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相对密度（水=1）</w:t>
            </w:r>
          </w:p>
        </w:tc>
        <w:tc>
          <w:tcPr>
            <w:tcW w:w="2316" w:type="dxa"/>
            <w:gridSpan w:val="2"/>
            <w:tcBorders>
              <w:tl2br w:val="nil"/>
              <w:tr2bl w:val="nil"/>
            </w:tcBorders>
            <w:noWrap w:val="0"/>
            <w:vAlign w:val="center"/>
          </w:tcPr>
          <w:p w14:paraId="3B6B0D30">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1.83</w:t>
            </w:r>
          </w:p>
        </w:tc>
        <w:tc>
          <w:tcPr>
            <w:tcW w:w="2728" w:type="dxa"/>
            <w:gridSpan w:val="7"/>
            <w:tcBorders>
              <w:tl2br w:val="nil"/>
              <w:tr2bl w:val="nil"/>
            </w:tcBorders>
            <w:noWrap w:val="0"/>
            <w:vAlign w:val="center"/>
          </w:tcPr>
          <w:p w14:paraId="2F02A4C3">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相对蒸气密度（空气＝1）</w:t>
            </w:r>
          </w:p>
        </w:tc>
        <w:tc>
          <w:tcPr>
            <w:tcW w:w="1074" w:type="dxa"/>
            <w:tcBorders>
              <w:tl2br w:val="nil"/>
              <w:tr2bl w:val="nil"/>
            </w:tcBorders>
            <w:noWrap w:val="0"/>
            <w:vAlign w:val="center"/>
          </w:tcPr>
          <w:p w14:paraId="3F14A24F">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3.4</w:t>
            </w:r>
          </w:p>
        </w:tc>
      </w:tr>
      <w:tr w14:paraId="22934A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48" w:type="dxa"/>
            <w:gridSpan w:val="5"/>
            <w:tcBorders>
              <w:tl2br w:val="nil"/>
              <w:tr2bl w:val="nil"/>
            </w:tcBorders>
            <w:noWrap w:val="0"/>
            <w:vAlign w:val="center"/>
          </w:tcPr>
          <w:p w14:paraId="4FB406C9">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熔点（℃）</w:t>
            </w:r>
          </w:p>
        </w:tc>
        <w:tc>
          <w:tcPr>
            <w:tcW w:w="2316" w:type="dxa"/>
            <w:gridSpan w:val="2"/>
            <w:tcBorders>
              <w:tl2br w:val="nil"/>
              <w:tr2bl w:val="nil"/>
            </w:tcBorders>
            <w:noWrap w:val="0"/>
            <w:vAlign w:val="center"/>
          </w:tcPr>
          <w:p w14:paraId="1B8E884C">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10.5</w:t>
            </w:r>
          </w:p>
        </w:tc>
        <w:tc>
          <w:tcPr>
            <w:tcW w:w="2728" w:type="dxa"/>
            <w:gridSpan w:val="7"/>
            <w:tcBorders>
              <w:tl2br w:val="nil"/>
              <w:tr2bl w:val="nil"/>
            </w:tcBorders>
            <w:noWrap w:val="0"/>
            <w:vAlign w:val="center"/>
          </w:tcPr>
          <w:p w14:paraId="15AA2E30">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沸点（℃）</w:t>
            </w:r>
          </w:p>
        </w:tc>
        <w:tc>
          <w:tcPr>
            <w:tcW w:w="1074" w:type="dxa"/>
            <w:tcBorders>
              <w:tl2br w:val="nil"/>
              <w:tr2bl w:val="nil"/>
            </w:tcBorders>
            <w:noWrap w:val="0"/>
            <w:vAlign w:val="center"/>
          </w:tcPr>
          <w:p w14:paraId="3BF6773A">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330.0</w:t>
            </w:r>
          </w:p>
        </w:tc>
      </w:tr>
      <w:tr w14:paraId="5162C6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48" w:type="dxa"/>
            <w:gridSpan w:val="5"/>
            <w:tcBorders>
              <w:tl2br w:val="nil"/>
              <w:tr2bl w:val="nil"/>
            </w:tcBorders>
            <w:noWrap w:val="0"/>
            <w:vAlign w:val="center"/>
          </w:tcPr>
          <w:p w14:paraId="020BA005">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溶解性</w:t>
            </w:r>
          </w:p>
        </w:tc>
        <w:tc>
          <w:tcPr>
            <w:tcW w:w="6118" w:type="dxa"/>
            <w:gridSpan w:val="10"/>
            <w:tcBorders>
              <w:tl2br w:val="nil"/>
              <w:tr2bl w:val="nil"/>
            </w:tcBorders>
            <w:noWrap w:val="0"/>
            <w:vAlign w:val="center"/>
          </w:tcPr>
          <w:p w14:paraId="7D6A5540">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与水混溶。</w:t>
            </w:r>
          </w:p>
        </w:tc>
      </w:tr>
      <w:tr w14:paraId="7F6CFA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48" w:type="dxa"/>
            <w:gridSpan w:val="5"/>
            <w:tcBorders>
              <w:tl2br w:val="nil"/>
              <w:tr2bl w:val="nil"/>
            </w:tcBorders>
            <w:noWrap w:val="0"/>
            <w:vAlign w:val="center"/>
          </w:tcPr>
          <w:p w14:paraId="4412E22A">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主要用途</w:t>
            </w:r>
          </w:p>
        </w:tc>
        <w:tc>
          <w:tcPr>
            <w:tcW w:w="6118" w:type="dxa"/>
            <w:gridSpan w:val="10"/>
            <w:tcBorders>
              <w:tl2br w:val="nil"/>
              <w:tr2bl w:val="nil"/>
            </w:tcBorders>
            <w:noWrap w:val="0"/>
            <w:vAlign w:val="center"/>
          </w:tcPr>
          <w:p w14:paraId="720D44AB">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用于生产化学肥料，在化工、医药、塑料、染料、石油提炼等工业也有广泛的应用。</w:t>
            </w:r>
          </w:p>
        </w:tc>
      </w:tr>
      <w:tr w14:paraId="295F345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7966" w:type="dxa"/>
            <w:gridSpan w:val="15"/>
            <w:tcBorders>
              <w:tl2br w:val="nil"/>
              <w:tr2bl w:val="nil"/>
            </w:tcBorders>
            <w:noWrap w:val="0"/>
            <w:vAlign w:val="top"/>
          </w:tcPr>
          <w:p w14:paraId="7058ABD5">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稳定性和反应活性</w:t>
            </w:r>
          </w:p>
        </w:tc>
      </w:tr>
      <w:tr w14:paraId="0576565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48" w:type="dxa"/>
            <w:gridSpan w:val="5"/>
            <w:tcBorders>
              <w:tl2br w:val="nil"/>
              <w:tr2bl w:val="nil"/>
            </w:tcBorders>
            <w:noWrap w:val="0"/>
            <w:vAlign w:val="center"/>
          </w:tcPr>
          <w:p w14:paraId="5BDA8FA1">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稳定性</w:t>
            </w:r>
          </w:p>
        </w:tc>
        <w:tc>
          <w:tcPr>
            <w:tcW w:w="2383" w:type="dxa"/>
            <w:gridSpan w:val="4"/>
            <w:tcBorders>
              <w:tl2br w:val="nil"/>
              <w:tr2bl w:val="nil"/>
            </w:tcBorders>
            <w:noWrap w:val="0"/>
            <w:vAlign w:val="top"/>
          </w:tcPr>
          <w:p w14:paraId="48199C35">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稳定</w:t>
            </w:r>
          </w:p>
        </w:tc>
        <w:tc>
          <w:tcPr>
            <w:tcW w:w="1379" w:type="dxa"/>
            <w:gridSpan w:val="2"/>
            <w:tcBorders>
              <w:tl2br w:val="nil"/>
              <w:tr2bl w:val="nil"/>
            </w:tcBorders>
            <w:noWrap w:val="0"/>
            <w:vAlign w:val="top"/>
          </w:tcPr>
          <w:p w14:paraId="2B4C1063">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聚合危害</w:t>
            </w:r>
          </w:p>
        </w:tc>
        <w:tc>
          <w:tcPr>
            <w:tcW w:w="2356" w:type="dxa"/>
            <w:gridSpan w:val="4"/>
            <w:tcBorders>
              <w:tl2br w:val="nil"/>
              <w:tr2bl w:val="nil"/>
            </w:tcBorders>
            <w:noWrap w:val="0"/>
            <w:vAlign w:val="top"/>
          </w:tcPr>
          <w:p w14:paraId="4724A7FE">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不聚合</w:t>
            </w:r>
          </w:p>
        </w:tc>
      </w:tr>
      <w:tr w14:paraId="00FB41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48" w:type="dxa"/>
            <w:gridSpan w:val="5"/>
            <w:tcBorders>
              <w:tl2br w:val="nil"/>
              <w:tr2bl w:val="nil"/>
            </w:tcBorders>
            <w:noWrap w:val="0"/>
            <w:vAlign w:val="center"/>
          </w:tcPr>
          <w:p w14:paraId="71B69E80">
            <w:pPr>
              <w:keepNext w:val="0"/>
              <w:keepLines w:val="0"/>
              <w:widowControl/>
              <w:suppressLineNumbers w:val="0"/>
              <w:suppressAutoHyphens/>
              <w:adjustRightInd w:val="0"/>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禁忌物</w:t>
            </w:r>
          </w:p>
        </w:tc>
        <w:tc>
          <w:tcPr>
            <w:tcW w:w="6118" w:type="dxa"/>
            <w:gridSpan w:val="10"/>
            <w:tcBorders>
              <w:tl2br w:val="nil"/>
              <w:tr2bl w:val="nil"/>
            </w:tcBorders>
            <w:noWrap w:val="0"/>
            <w:vAlign w:val="top"/>
          </w:tcPr>
          <w:p w14:paraId="0BB007D9">
            <w:pPr>
              <w:keepNext w:val="0"/>
              <w:keepLines w:val="0"/>
              <w:widowControl/>
              <w:suppressLineNumbers w:val="0"/>
              <w:suppressAutoHyphens/>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碱类、碱金属、水、强还原剂、易燃或可燃物。</w:t>
            </w:r>
          </w:p>
        </w:tc>
      </w:tr>
      <w:tr w14:paraId="4CE4940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7966" w:type="dxa"/>
            <w:gridSpan w:val="15"/>
            <w:tcBorders>
              <w:tl2br w:val="nil"/>
              <w:tr2bl w:val="nil"/>
            </w:tcBorders>
            <w:noWrap w:val="0"/>
            <w:vAlign w:val="top"/>
          </w:tcPr>
          <w:p w14:paraId="43FC9932">
            <w:pPr>
              <w:keepNext w:val="0"/>
              <w:keepLines w:val="0"/>
              <w:widowControl/>
              <w:suppressLineNumbers w:val="0"/>
              <w:suppressAutoHyphens/>
              <w:adjustRightInd w:val="0"/>
              <w:snapToGrid w:val="0"/>
              <w:spacing w:before="0" w:beforeAutospacing="0" w:after="0" w:afterAutospacing="0"/>
              <w:ind w:left="0" w:right="0"/>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毒理学资料</w:t>
            </w:r>
          </w:p>
        </w:tc>
      </w:tr>
      <w:tr w14:paraId="7939DDA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28" w:type="dxa"/>
            <w:left w:w="57" w:type="dxa"/>
            <w:bottom w:w="28" w:type="dxa"/>
            <w:right w:w="57" w:type="dxa"/>
          </w:tblCellMar>
        </w:tblPrEx>
        <w:trPr>
          <w:trHeight w:val="312" w:hRule="atLeast"/>
          <w:jc w:val="center"/>
        </w:trPr>
        <w:tc>
          <w:tcPr>
            <w:tcW w:w="1875" w:type="dxa"/>
            <w:gridSpan w:val="6"/>
            <w:tcBorders>
              <w:tl2br w:val="nil"/>
              <w:tr2bl w:val="nil"/>
            </w:tcBorders>
            <w:noWrap w:val="0"/>
            <w:vAlign w:val="center"/>
          </w:tcPr>
          <w:p w14:paraId="3869461C">
            <w:pPr>
              <w:keepNext w:val="0"/>
              <w:keepLines w:val="0"/>
              <w:widowControl/>
              <w:suppressLineNumbers w:val="0"/>
              <w:suppressAutoHyphens/>
              <w:snapToGrid w:val="0"/>
              <w:spacing w:before="0" w:beforeAutospacing="0" w:after="0" w:afterAutospacing="0"/>
              <w:ind w:left="0" w:right="0"/>
              <w:jc w:val="center"/>
              <w:rPr>
                <w:rFonts w:hint="default" w:ascii="Times New Roman" w:hAnsi="Times New Roman" w:eastAsia="宋体" w:cs="Times New Roman"/>
                <w:i w:val="0"/>
                <w:iCs w:val="0"/>
                <w:color w:val="auto"/>
                <w:sz w:val="21"/>
                <w:szCs w:val="21"/>
              </w:rPr>
            </w:pPr>
            <w:r>
              <w:rPr>
                <w:rFonts w:hint="default" w:ascii="Times New Roman" w:hAnsi="Times New Roman" w:eastAsia="宋体" w:cs="Times New Roman"/>
                <w:i w:val="0"/>
                <w:iCs w:val="0"/>
                <w:color w:val="auto"/>
                <w:sz w:val="21"/>
                <w:szCs w:val="21"/>
              </w:rPr>
              <w:t>急性毒性</w:t>
            </w:r>
          </w:p>
        </w:tc>
        <w:tc>
          <w:tcPr>
            <w:tcW w:w="6091" w:type="dxa"/>
            <w:gridSpan w:val="9"/>
            <w:tcBorders>
              <w:tl2br w:val="nil"/>
              <w:tr2bl w:val="nil"/>
            </w:tcBorders>
            <w:noWrap w:val="0"/>
            <w:vAlign w:val="top"/>
          </w:tcPr>
          <w:p w14:paraId="00B67A84">
            <w:pPr>
              <w:keepNext w:val="0"/>
              <w:keepLines w:val="0"/>
              <w:widowControl/>
              <w:suppressLineNumbers w:val="0"/>
              <w:suppressAutoHyphens/>
              <w:snapToGrid w:val="0"/>
              <w:spacing w:before="0" w:beforeAutospacing="0" w:after="0" w:afterAutospacing="0"/>
              <w:ind w:left="0" w:right="0"/>
              <w:rPr>
                <w:rFonts w:hint="eastAsia" w:ascii="Times New Roman" w:hAnsi="Times New Roman" w:eastAsia="宋体" w:cs="Times New Roman"/>
                <w:i w:val="0"/>
                <w:iCs w:val="0"/>
                <w:color w:val="auto"/>
                <w:sz w:val="21"/>
                <w:szCs w:val="21"/>
                <w:lang w:eastAsia="zh-CN"/>
              </w:rPr>
            </w:pPr>
            <w:r>
              <w:rPr>
                <w:rFonts w:hint="default" w:ascii="Times New Roman" w:hAnsi="Times New Roman" w:eastAsia="宋体" w:cs="Times New Roman"/>
                <w:i w:val="0"/>
                <w:iCs w:val="0"/>
                <w:color w:val="auto"/>
                <w:sz w:val="21"/>
                <w:szCs w:val="21"/>
              </w:rPr>
              <w:t>LD</w:t>
            </w:r>
            <w:r>
              <w:rPr>
                <w:rFonts w:hint="default" w:ascii="Times New Roman" w:hAnsi="Times New Roman" w:eastAsia="宋体" w:cs="Times New Roman"/>
                <w:i w:val="0"/>
                <w:iCs w:val="0"/>
                <w:color w:val="auto"/>
                <w:sz w:val="21"/>
                <w:szCs w:val="21"/>
                <w:vertAlign w:val="subscript"/>
              </w:rPr>
              <w:t>50</w:t>
            </w:r>
            <w:r>
              <w:rPr>
                <w:rFonts w:hint="default" w:ascii="Times New Roman" w:hAnsi="Times New Roman" w:eastAsia="宋体" w:cs="Times New Roman"/>
                <w:i w:val="0"/>
                <w:iCs w:val="0"/>
                <w:color w:val="auto"/>
                <w:sz w:val="21"/>
                <w:szCs w:val="21"/>
              </w:rPr>
              <w:t>：2140mg/kg</w:t>
            </w:r>
            <w:r>
              <w:rPr>
                <w:rFonts w:hint="eastAsia" w:cs="Times New Roman"/>
                <w:i w:val="0"/>
                <w:iCs w:val="0"/>
                <w:color w:val="auto"/>
                <w:sz w:val="21"/>
                <w:szCs w:val="21"/>
                <w:lang w:eastAsia="zh-CN"/>
              </w:rPr>
              <w:t>（</w:t>
            </w:r>
            <w:r>
              <w:rPr>
                <w:rFonts w:hint="default" w:ascii="Times New Roman" w:hAnsi="Times New Roman" w:eastAsia="宋体" w:cs="Times New Roman"/>
                <w:i w:val="0"/>
                <w:iCs w:val="0"/>
                <w:color w:val="auto"/>
                <w:sz w:val="21"/>
                <w:szCs w:val="21"/>
              </w:rPr>
              <w:t>大鼠经口</w:t>
            </w:r>
            <w:r>
              <w:rPr>
                <w:rFonts w:hint="eastAsia" w:cs="Times New Roman"/>
                <w:i w:val="0"/>
                <w:iCs w:val="0"/>
                <w:color w:val="auto"/>
                <w:sz w:val="21"/>
                <w:szCs w:val="21"/>
                <w:lang w:eastAsia="zh-CN"/>
              </w:rPr>
              <w:t>）</w:t>
            </w:r>
            <w:r>
              <w:rPr>
                <w:rFonts w:hint="default" w:ascii="Times New Roman" w:hAnsi="Times New Roman" w:eastAsia="宋体" w:cs="Times New Roman"/>
                <w:i w:val="0"/>
                <w:iCs w:val="0"/>
                <w:color w:val="auto"/>
                <w:sz w:val="21"/>
                <w:szCs w:val="21"/>
              </w:rPr>
              <w:t>；</w:t>
            </w:r>
          </w:p>
          <w:p w14:paraId="3E280352">
            <w:pPr>
              <w:keepNext w:val="0"/>
              <w:keepLines w:val="0"/>
              <w:widowControl/>
              <w:suppressLineNumbers w:val="0"/>
              <w:suppressAutoHyphens/>
              <w:snapToGrid w:val="0"/>
              <w:spacing w:before="0" w:beforeAutospacing="0" w:after="0" w:afterAutospacing="0"/>
              <w:ind w:left="0" w:right="0"/>
              <w:rPr>
                <w:rFonts w:hint="eastAsia" w:ascii="Times New Roman" w:hAnsi="Times New Roman" w:eastAsia="宋体" w:cs="Times New Roman"/>
                <w:i w:val="0"/>
                <w:iCs w:val="0"/>
                <w:color w:val="auto"/>
                <w:sz w:val="21"/>
                <w:szCs w:val="21"/>
                <w:lang w:eastAsia="zh-CN"/>
              </w:rPr>
            </w:pPr>
            <w:r>
              <w:rPr>
                <w:rFonts w:hint="default" w:ascii="Times New Roman" w:hAnsi="Times New Roman" w:eastAsia="宋体" w:cs="Times New Roman"/>
                <w:i w:val="0"/>
                <w:iCs w:val="0"/>
                <w:color w:val="auto"/>
                <w:sz w:val="21"/>
                <w:szCs w:val="21"/>
              </w:rPr>
              <w:t>LC</w:t>
            </w:r>
            <w:r>
              <w:rPr>
                <w:rFonts w:hint="default" w:ascii="Times New Roman" w:hAnsi="Times New Roman" w:eastAsia="宋体" w:cs="Times New Roman"/>
                <w:i w:val="0"/>
                <w:iCs w:val="0"/>
                <w:color w:val="auto"/>
                <w:sz w:val="21"/>
                <w:szCs w:val="21"/>
                <w:vertAlign w:val="subscript"/>
              </w:rPr>
              <w:t>50</w:t>
            </w:r>
            <w:r>
              <w:rPr>
                <w:rFonts w:hint="default" w:ascii="Times New Roman" w:hAnsi="Times New Roman" w:eastAsia="宋体" w:cs="Times New Roman"/>
                <w:i w:val="0"/>
                <w:iCs w:val="0"/>
                <w:color w:val="auto"/>
                <w:sz w:val="21"/>
                <w:szCs w:val="21"/>
              </w:rPr>
              <w:t>：510mg/m</w:t>
            </w:r>
            <w:r>
              <w:rPr>
                <w:rFonts w:hint="default" w:ascii="Times New Roman" w:hAnsi="Times New Roman" w:eastAsia="宋体" w:cs="Times New Roman"/>
                <w:i w:val="0"/>
                <w:iCs w:val="0"/>
                <w:color w:val="auto"/>
                <w:sz w:val="21"/>
                <w:szCs w:val="21"/>
                <w:vertAlign w:val="superscript"/>
              </w:rPr>
              <w:t>3</w:t>
            </w:r>
            <w:r>
              <w:rPr>
                <w:rFonts w:hint="default" w:ascii="Times New Roman" w:hAnsi="Times New Roman" w:eastAsia="宋体" w:cs="Times New Roman"/>
                <w:i w:val="0"/>
                <w:iCs w:val="0"/>
                <w:color w:val="auto"/>
                <w:sz w:val="21"/>
                <w:szCs w:val="21"/>
              </w:rPr>
              <w:t>，2小时</w:t>
            </w:r>
            <w:r>
              <w:rPr>
                <w:rFonts w:hint="eastAsia" w:cs="Times New Roman"/>
                <w:i w:val="0"/>
                <w:iCs w:val="0"/>
                <w:color w:val="auto"/>
                <w:sz w:val="21"/>
                <w:szCs w:val="21"/>
                <w:lang w:eastAsia="zh-CN"/>
              </w:rPr>
              <w:t>（</w:t>
            </w:r>
            <w:r>
              <w:rPr>
                <w:rFonts w:hint="default" w:ascii="Times New Roman" w:hAnsi="Times New Roman" w:eastAsia="宋体" w:cs="Times New Roman"/>
                <w:i w:val="0"/>
                <w:iCs w:val="0"/>
                <w:color w:val="auto"/>
                <w:sz w:val="21"/>
                <w:szCs w:val="21"/>
              </w:rPr>
              <w:t>大鼠吸入</w:t>
            </w:r>
            <w:r>
              <w:rPr>
                <w:rFonts w:hint="eastAsia" w:cs="Times New Roman"/>
                <w:i w:val="0"/>
                <w:iCs w:val="0"/>
                <w:color w:val="auto"/>
                <w:sz w:val="21"/>
                <w:szCs w:val="21"/>
                <w:lang w:eastAsia="zh-CN"/>
              </w:rPr>
              <w:t>）</w:t>
            </w:r>
            <w:r>
              <w:rPr>
                <w:rFonts w:hint="default" w:ascii="Times New Roman" w:hAnsi="Times New Roman" w:eastAsia="宋体" w:cs="Times New Roman"/>
                <w:i w:val="0"/>
                <w:iCs w:val="0"/>
                <w:color w:val="auto"/>
                <w:sz w:val="21"/>
                <w:szCs w:val="21"/>
              </w:rPr>
              <w:t>；320mg/m</w:t>
            </w:r>
            <w:r>
              <w:rPr>
                <w:rFonts w:hint="default" w:ascii="Times New Roman" w:hAnsi="Times New Roman" w:eastAsia="宋体" w:cs="Times New Roman"/>
                <w:i w:val="0"/>
                <w:iCs w:val="0"/>
                <w:color w:val="auto"/>
                <w:sz w:val="21"/>
                <w:szCs w:val="21"/>
                <w:vertAlign w:val="superscript"/>
              </w:rPr>
              <w:t>3</w:t>
            </w:r>
            <w:r>
              <w:rPr>
                <w:rFonts w:hint="default" w:ascii="Times New Roman" w:hAnsi="Times New Roman" w:eastAsia="宋体" w:cs="Times New Roman"/>
                <w:i w:val="0"/>
                <w:iCs w:val="0"/>
                <w:color w:val="auto"/>
                <w:sz w:val="21"/>
                <w:szCs w:val="21"/>
              </w:rPr>
              <w:t>，2小时</w:t>
            </w:r>
            <w:r>
              <w:rPr>
                <w:rFonts w:hint="eastAsia" w:cs="Times New Roman"/>
                <w:i w:val="0"/>
                <w:iCs w:val="0"/>
                <w:color w:val="auto"/>
                <w:sz w:val="21"/>
                <w:szCs w:val="21"/>
                <w:lang w:eastAsia="zh-CN"/>
              </w:rPr>
              <w:t>（</w:t>
            </w:r>
            <w:r>
              <w:rPr>
                <w:rFonts w:hint="default" w:ascii="Times New Roman" w:hAnsi="Times New Roman" w:eastAsia="宋体" w:cs="Times New Roman"/>
                <w:i w:val="0"/>
                <w:iCs w:val="0"/>
                <w:color w:val="auto"/>
                <w:sz w:val="21"/>
                <w:szCs w:val="21"/>
              </w:rPr>
              <w:t>小鼠吸入</w:t>
            </w:r>
            <w:r>
              <w:rPr>
                <w:rFonts w:hint="eastAsia" w:cs="Times New Roman"/>
                <w:i w:val="0"/>
                <w:iCs w:val="0"/>
                <w:color w:val="auto"/>
                <w:sz w:val="21"/>
                <w:szCs w:val="21"/>
                <w:lang w:eastAsia="zh-CN"/>
              </w:rPr>
              <w:t>）</w:t>
            </w:r>
          </w:p>
        </w:tc>
      </w:tr>
    </w:tbl>
    <w:p w14:paraId="70DEA9AA">
      <w:pPr>
        <w:keepNext/>
        <w:keepLines/>
        <w:pageBreakBefore w:val="0"/>
        <w:widowControl w:val="0"/>
        <w:kinsoku/>
        <w:wordWrap/>
        <w:overflowPunct/>
        <w:topLinePunct w:val="0"/>
        <w:autoSpaceDE/>
        <w:autoSpaceDN/>
        <w:bidi w:val="0"/>
        <w:adjustRightInd/>
        <w:snapToGrid/>
        <w:spacing w:before="161" w:beforeLines="50" w:line="240" w:lineRule="auto"/>
        <w:jc w:val="center"/>
        <w:textAlignment w:val="auto"/>
        <w:outlineLvl w:val="2"/>
        <w:rPr>
          <w:rFonts w:hint="default" w:ascii="Times New Roman" w:hAnsi="Times New Roman" w:eastAsia="黑体" w:cs="Times New Roman"/>
          <w:b/>
          <w:bCs/>
          <w:color w:val="auto"/>
          <w:sz w:val="24"/>
          <w:szCs w:val="24"/>
          <w:highlight w:val="none"/>
          <w:lang w:val="en-US" w:eastAsia="zh-CN"/>
        </w:rPr>
      </w:pPr>
      <w:r>
        <w:rPr>
          <w:rFonts w:hint="eastAsia" w:ascii="黑体" w:hAnsi="黑体" w:eastAsia="黑体" w:cs="黑体"/>
          <w:b/>
          <w:bCs/>
          <w:color w:val="auto"/>
          <w:sz w:val="21"/>
          <w:szCs w:val="21"/>
          <w:lang w:eastAsia="zh-CN"/>
        </w:rPr>
        <w:t>表</w:t>
      </w:r>
      <w:r>
        <w:rPr>
          <w:rFonts w:hint="eastAsia" w:ascii="黑体" w:hAnsi="黑体" w:eastAsia="黑体" w:cs="黑体"/>
          <w:b/>
          <w:bCs/>
          <w:color w:val="auto"/>
          <w:sz w:val="21"/>
          <w:szCs w:val="21"/>
          <w:lang w:val="en-US" w:eastAsia="zh-CN"/>
        </w:rPr>
        <w:t>1.1-3  原料理化性质一览表  氢氧化钙</w:t>
      </w:r>
    </w:p>
    <w:tbl>
      <w:tblPr>
        <w:tblStyle w:val="21"/>
        <w:tblW w:w="8069" w:type="dxa"/>
        <w:tblInd w:w="293"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0"/>
        <w:gridCol w:w="507"/>
        <w:gridCol w:w="932"/>
        <w:gridCol w:w="1921"/>
        <w:gridCol w:w="450"/>
        <w:gridCol w:w="1005"/>
        <w:gridCol w:w="704"/>
        <w:gridCol w:w="556"/>
        <w:gridCol w:w="1604"/>
      </w:tblGrid>
      <w:tr w14:paraId="1E9EF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7" w:type="dxa"/>
            <w:gridSpan w:val="2"/>
            <w:tcBorders>
              <w:tl2br w:val="nil"/>
              <w:tr2bl w:val="nil"/>
            </w:tcBorders>
            <w:noWrap w:val="0"/>
            <w:vAlign w:val="center"/>
          </w:tcPr>
          <w:p w14:paraId="62BF546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名称</w:t>
            </w:r>
          </w:p>
        </w:tc>
        <w:tc>
          <w:tcPr>
            <w:tcW w:w="2853" w:type="dxa"/>
            <w:gridSpan w:val="2"/>
            <w:tcBorders>
              <w:tl2br w:val="nil"/>
              <w:tr2bl w:val="nil"/>
            </w:tcBorders>
            <w:noWrap w:val="0"/>
            <w:vAlign w:val="center"/>
          </w:tcPr>
          <w:p w14:paraId="15F28B7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氢氧化钙</w:t>
            </w:r>
          </w:p>
        </w:tc>
        <w:tc>
          <w:tcPr>
            <w:tcW w:w="1455" w:type="dxa"/>
            <w:gridSpan w:val="2"/>
            <w:tcBorders>
              <w:tl2br w:val="nil"/>
              <w:tr2bl w:val="nil"/>
            </w:tcBorders>
            <w:noWrap w:val="0"/>
            <w:vAlign w:val="center"/>
          </w:tcPr>
          <w:p w14:paraId="55D546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熔点</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eastAsia="zh-CN"/>
              </w:rPr>
              <w:t>）</w:t>
            </w:r>
          </w:p>
        </w:tc>
        <w:tc>
          <w:tcPr>
            <w:tcW w:w="2864" w:type="dxa"/>
            <w:gridSpan w:val="3"/>
            <w:tcBorders>
              <w:tl2br w:val="nil"/>
              <w:tr2bl w:val="nil"/>
            </w:tcBorders>
            <w:noWrap w:val="0"/>
            <w:vAlign w:val="center"/>
          </w:tcPr>
          <w:p w14:paraId="514E268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582</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失水</w:t>
            </w:r>
            <w:r>
              <w:rPr>
                <w:rFonts w:hint="eastAsia" w:ascii="Times New Roman" w:hAnsi="Times New Roman" w:cs="Times New Roman"/>
                <w:color w:val="auto"/>
                <w:sz w:val="21"/>
                <w:szCs w:val="21"/>
                <w:lang w:eastAsia="zh-CN"/>
              </w:rPr>
              <w:t>）</w:t>
            </w:r>
          </w:p>
        </w:tc>
      </w:tr>
      <w:tr w14:paraId="6222B7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7" w:type="dxa"/>
            <w:gridSpan w:val="2"/>
            <w:tcBorders>
              <w:tl2br w:val="nil"/>
              <w:tr2bl w:val="nil"/>
            </w:tcBorders>
            <w:noWrap w:val="0"/>
            <w:vAlign w:val="center"/>
          </w:tcPr>
          <w:p w14:paraId="204CB33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CAS No.</w:t>
            </w:r>
          </w:p>
        </w:tc>
        <w:tc>
          <w:tcPr>
            <w:tcW w:w="2853" w:type="dxa"/>
            <w:gridSpan w:val="2"/>
            <w:tcBorders>
              <w:tl2br w:val="nil"/>
              <w:tr2bl w:val="nil"/>
            </w:tcBorders>
            <w:noWrap w:val="0"/>
            <w:vAlign w:val="center"/>
          </w:tcPr>
          <w:p w14:paraId="7E6C00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1305-62-0</w:t>
            </w:r>
          </w:p>
        </w:tc>
        <w:tc>
          <w:tcPr>
            <w:tcW w:w="1455" w:type="dxa"/>
            <w:gridSpan w:val="2"/>
            <w:tcBorders>
              <w:tl2br w:val="nil"/>
              <w:tr2bl w:val="nil"/>
            </w:tcBorders>
            <w:noWrap w:val="0"/>
            <w:vAlign w:val="center"/>
          </w:tcPr>
          <w:p w14:paraId="5F627CC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相对密度  </w:t>
            </w:r>
          </w:p>
        </w:tc>
        <w:tc>
          <w:tcPr>
            <w:tcW w:w="1260" w:type="dxa"/>
            <w:gridSpan w:val="2"/>
            <w:tcBorders>
              <w:tl2br w:val="nil"/>
              <w:tr2bl w:val="nil"/>
            </w:tcBorders>
            <w:noWrap w:val="0"/>
            <w:vAlign w:val="center"/>
          </w:tcPr>
          <w:p w14:paraId="7A28DB9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2.24 </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水=1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 xml:space="preserve">    </w:t>
            </w:r>
          </w:p>
        </w:tc>
        <w:tc>
          <w:tcPr>
            <w:tcW w:w="1604" w:type="dxa"/>
            <w:tcBorders>
              <w:tl2br w:val="nil"/>
              <w:tr2bl w:val="nil"/>
            </w:tcBorders>
            <w:noWrap w:val="0"/>
            <w:vAlign w:val="center"/>
          </w:tcPr>
          <w:p w14:paraId="7E547B6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 xml:space="preserve">无资料 </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空气=1</w:t>
            </w:r>
            <w:r>
              <w:rPr>
                <w:rFonts w:hint="eastAsia" w:ascii="Times New Roman" w:hAnsi="Times New Roman" w:cs="Times New Roman"/>
                <w:color w:val="auto"/>
                <w:sz w:val="21"/>
                <w:szCs w:val="21"/>
                <w:lang w:eastAsia="zh-CN"/>
              </w:rPr>
              <w:t>）</w:t>
            </w:r>
          </w:p>
        </w:tc>
      </w:tr>
      <w:tr w14:paraId="2C0CF5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7" w:type="dxa"/>
            <w:gridSpan w:val="2"/>
            <w:tcBorders>
              <w:tl2br w:val="nil"/>
              <w:tr2bl w:val="nil"/>
            </w:tcBorders>
            <w:noWrap w:val="0"/>
            <w:vAlign w:val="center"/>
          </w:tcPr>
          <w:p w14:paraId="42F7A20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分子式</w:t>
            </w:r>
          </w:p>
        </w:tc>
        <w:tc>
          <w:tcPr>
            <w:tcW w:w="2853" w:type="dxa"/>
            <w:gridSpan w:val="2"/>
            <w:tcBorders>
              <w:tl2br w:val="nil"/>
              <w:tr2bl w:val="nil"/>
            </w:tcBorders>
            <w:noWrap w:val="0"/>
            <w:vAlign w:val="center"/>
          </w:tcPr>
          <w:p w14:paraId="04C0BA7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Ca</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OH</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2</w:t>
            </w:r>
          </w:p>
        </w:tc>
        <w:tc>
          <w:tcPr>
            <w:tcW w:w="1455" w:type="dxa"/>
            <w:gridSpan w:val="2"/>
            <w:tcBorders>
              <w:tl2br w:val="nil"/>
              <w:tr2bl w:val="nil"/>
            </w:tcBorders>
            <w:noWrap w:val="0"/>
            <w:vAlign w:val="center"/>
          </w:tcPr>
          <w:p w14:paraId="63EB81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分子量</w:t>
            </w:r>
          </w:p>
        </w:tc>
        <w:tc>
          <w:tcPr>
            <w:tcW w:w="2864" w:type="dxa"/>
            <w:gridSpan w:val="3"/>
            <w:tcBorders>
              <w:tl2br w:val="nil"/>
              <w:tr2bl w:val="nil"/>
            </w:tcBorders>
            <w:noWrap w:val="0"/>
            <w:vAlign w:val="center"/>
          </w:tcPr>
          <w:p w14:paraId="621379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74.09</w:t>
            </w:r>
          </w:p>
        </w:tc>
      </w:tr>
      <w:tr w14:paraId="7A4387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7" w:type="dxa"/>
            <w:gridSpan w:val="2"/>
            <w:tcBorders>
              <w:tl2br w:val="nil"/>
              <w:tr2bl w:val="nil"/>
            </w:tcBorders>
            <w:noWrap w:val="0"/>
            <w:vAlign w:val="center"/>
          </w:tcPr>
          <w:p w14:paraId="038D98A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外观与性状</w:t>
            </w:r>
          </w:p>
        </w:tc>
        <w:tc>
          <w:tcPr>
            <w:tcW w:w="2853" w:type="dxa"/>
            <w:gridSpan w:val="2"/>
            <w:tcBorders>
              <w:tl2br w:val="nil"/>
              <w:tr2bl w:val="nil"/>
            </w:tcBorders>
            <w:noWrap w:val="0"/>
            <w:vAlign w:val="center"/>
          </w:tcPr>
          <w:p w14:paraId="120765B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细腻的白色粉末。</w:t>
            </w:r>
          </w:p>
        </w:tc>
        <w:tc>
          <w:tcPr>
            <w:tcW w:w="1455" w:type="dxa"/>
            <w:gridSpan w:val="2"/>
            <w:tcBorders>
              <w:tl2br w:val="nil"/>
              <w:tr2bl w:val="nil"/>
            </w:tcBorders>
            <w:noWrap w:val="0"/>
            <w:vAlign w:val="center"/>
          </w:tcPr>
          <w:p w14:paraId="66DA976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溶解性</w:t>
            </w:r>
          </w:p>
        </w:tc>
        <w:tc>
          <w:tcPr>
            <w:tcW w:w="2864" w:type="dxa"/>
            <w:gridSpan w:val="3"/>
            <w:tcBorders>
              <w:tl2br w:val="nil"/>
              <w:tr2bl w:val="nil"/>
            </w:tcBorders>
            <w:noWrap w:val="0"/>
            <w:vAlign w:val="center"/>
          </w:tcPr>
          <w:p w14:paraId="4E272ED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不溶于水，溶于酸、甘油，不溶于醇。</w:t>
            </w:r>
          </w:p>
        </w:tc>
      </w:tr>
      <w:tr w14:paraId="4734AAD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7" w:type="dxa"/>
            <w:gridSpan w:val="2"/>
            <w:tcBorders>
              <w:tl2br w:val="nil"/>
              <w:tr2bl w:val="nil"/>
            </w:tcBorders>
            <w:noWrap w:val="0"/>
            <w:vAlign w:val="center"/>
          </w:tcPr>
          <w:p w14:paraId="20EE7CD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主要用途</w:t>
            </w:r>
          </w:p>
        </w:tc>
        <w:tc>
          <w:tcPr>
            <w:tcW w:w="7172" w:type="dxa"/>
            <w:gridSpan w:val="7"/>
            <w:tcBorders>
              <w:tl2br w:val="nil"/>
              <w:tr2bl w:val="nil"/>
            </w:tcBorders>
            <w:noWrap w:val="0"/>
            <w:vAlign w:val="center"/>
          </w:tcPr>
          <w:p w14:paraId="402FB3C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用于制造漂白粉、消毒剂，橡胶、石油工业添加剂和软化水用等。</w:t>
            </w:r>
          </w:p>
        </w:tc>
      </w:tr>
      <w:tr w14:paraId="0197C8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restart"/>
            <w:tcBorders>
              <w:tl2br w:val="nil"/>
              <w:tr2bl w:val="nil"/>
            </w:tcBorders>
            <w:noWrap w:val="0"/>
            <w:vAlign w:val="center"/>
          </w:tcPr>
          <w:p w14:paraId="44C9C7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w:t>
            </w:r>
          </w:p>
          <w:p w14:paraId="7F8532D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险</w:t>
            </w:r>
          </w:p>
          <w:p w14:paraId="5426E07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性</w:t>
            </w:r>
          </w:p>
          <w:p w14:paraId="4B462E5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概</w:t>
            </w:r>
          </w:p>
          <w:p w14:paraId="0C2D560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述</w:t>
            </w:r>
          </w:p>
        </w:tc>
        <w:tc>
          <w:tcPr>
            <w:tcW w:w="507" w:type="dxa"/>
            <w:vMerge w:val="restart"/>
            <w:tcBorders>
              <w:tl2br w:val="nil"/>
              <w:tr2bl w:val="nil"/>
            </w:tcBorders>
            <w:noWrap w:val="0"/>
            <w:vAlign w:val="center"/>
          </w:tcPr>
          <w:p w14:paraId="6F044A9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健康危害</w:t>
            </w:r>
          </w:p>
        </w:tc>
        <w:tc>
          <w:tcPr>
            <w:tcW w:w="2853" w:type="dxa"/>
            <w:gridSpan w:val="2"/>
            <w:vMerge w:val="restart"/>
            <w:tcBorders>
              <w:tl2br w:val="nil"/>
              <w:tr2bl w:val="nil"/>
            </w:tcBorders>
            <w:noWrap w:val="0"/>
            <w:vAlign w:val="center"/>
          </w:tcPr>
          <w:p w14:paraId="2C81135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品属强碱性物质，有刺激和腐蚀作用。吸入本品粉尘，对呼吸道有强烈刺激性。可引起化学性肺炎。眼接触有强烈刺激性，可致灼伤。误落入消石灰池中，能造成大面积腐蚀灼伤，如不及时处理可致死亡。长期接触可致皮炎和皮炎溃疡。</w:t>
            </w:r>
          </w:p>
        </w:tc>
        <w:tc>
          <w:tcPr>
            <w:tcW w:w="450" w:type="dxa"/>
            <w:vMerge w:val="restart"/>
            <w:tcBorders>
              <w:tl2br w:val="nil"/>
              <w:tr2bl w:val="nil"/>
            </w:tcBorders>
            <w:noWrap w:val="0"/>
            <w:vAlign w:val="center"/>
          </w:tcPr>
          <w:p w14:paraId="0C5235D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防</w:t>
            </w:r>
          </w:p>
          <w:p w14:paraId="6778CE0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护</w:t>
            </w:r>
          </w:p>
          <w:p w14:paraId="2A15878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措</w:t>
            </w:r>
          </w:p>
          <w:p w14:paraId="1E58794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施</w:t>
            </w:r>
          </w:p>
        </w:tc>
        <w:tc>
          <w:tcPr>
            <w:tcW w:w="1005" w:type="dxa"/>
            <w:tcBorders>
              <w:tl2br w:val="nil"/>
              <w:tr2bl w:val="nil"/>
            </w:tcBorders>
            <w:noWrap w:val="0"/>
            <w:vAlign w:val="center"/>
          </w:tcPr>
          <w:p w14:paraId="09E177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工程控制</w:t>
            </w:r>
          </w:p>
        </w:tc>
        <w:tc>
          <w:tcPr>
            <w:tcW w:w="2864" w:type="dxa"/>
            <w:gridSpan w:val="3"/>
            <w:tcBorders>
              <w:tl2br w:val="nil"/>
              <w:tr2bl w:val="nil"/>
            </w:tcBorders>
            <w:noWrap w:val="0"/>
            <w:vAlign w:val="center"/>
          </w:tcPr>
          <w:p w14:paraId="1E3F105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密闭操作。</w:t>
            </w:r>
          </w:p>
        </w:tc>
      </w:tr>
      <w:tr w14:paraId="7E8686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continue"/>
            <w:tcBorders>
              <w:tl2br w:val="nil"/>
              <w:tr2bl w:val="nil"/>
            </w:tcBorders>
            <w:noWrap w:val="0"/>
            <w:vAlign w:val="center"/>
          </w:tcPr>
          <w:p w14:paraId="6B8BAAA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507" w:type="dxa"/>
            <w:vMerge w:val="continue"/>
            <w:tcBorders>
              <w:tl2br w:val="nil"/>
              <w:tr2bl w:val="nil"/>
            </w:tcBorders>
            <w:noWrap w:val="0"/>
            <w:vAlign w:val="center"/>
          </w:tcPr>
          <w:p w14:paraId="01014B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2853" w:type="dxa"/>
            <w:gridSpan w:val="2"/>
            <w:vMerge w:val="continue"/>
            <w:tcBorders>
              <w:tl2br w:val="nil"/>
              <w:tr2bl w:val="nil"/>
            </w:tcBorders>
            <w:noWrap w:val="0"/>
            <w:vAlign w:val="center"/>
          </w:tcPr>
          <w:p w14:paraId="7940DEA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450" w:type="dxa"/>
            <w:vMerge w:val="continue"/>
            <w:tcBorders>
              <w:tl2br w:val="nil"/>
              <w:tr2bl w:val="nil"/>
            </w:tcBorders>
            <w:noWrap w:val="0"/>
            <w:vAlign w:val="center"/>
          </w:tcPr>
          <w:p w14:paraId="188A838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05" w:type="dxa"/>
            <w:tcBorders>
              <w:tl2br w:val="nil"/>
              <w:tr2bl w:val="nil"/>
            </w:tcBorders>
            <w:noWrap w:val="0"/>
            <w:vAlign w:val="center"/>
          </w:tcPr>
          <w:p w14:paraId="5C5C7DA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呼吸系统</w:t>
            </w:r>
          </w:p>
        </w:tc>
        <w:tc>
          <w:tcPr>
            <w:tcW w:w="2864" w:type="dxa"/>
            <w:gridSpan w:val="3"/>
            <w:tcBorders>
              <w:tl2br w:val="nil"/>
              <w:tr2bl w:val="nil"/>
            </w:tcBorders>
            <w:noWrap w:val="0"/>
            <w:vAlign w:val="center"/>
          </w:tcPr>
          <w:p w14:paraId="4DEF0D2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可能接触其粉尘时，必须佩戴防尘面具（全面罩）。紧急事态抢救或撤离时，应该佩戴空气呼吸器。</w:t>
            </w:r>
          </w:p>
        </w:tc>
      </w:tr>
      <w:tr w14:paraId="6C4762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continue"/>
            <w:tcBorders>
              <w:tl2br w:val="nil"/>
              <w:tr2bl w:val="nil"/>
            </w:tcBorders>
            <w:noWrap w:val="0"/>
            <w:vAlign w:val="center"/>
          </w:tcPr>
          <w:p w14:paraId="6DB2DB8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507" w:type="dxa"/>
            <w:vMerge w:val="continue"/>
            <w:tcBorders>
              <w:tl2br w:val="nil"/>
              <w:tr2bl w:val="nil"/>
            </w:tcBorders>
            <w:noWrap w:val="0"/>
            <w:vAlign w:val="center"/>
          </w:tcPr>
          <w:p w14:paraId="3958E68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2853" w:type="dxa"/>
            <w:gridSpan w:val="2"/>
            <w:vMerge w:val="continue"/>
            <w:tcBorders>
              <w:tl2br w:val="nil"/>
              <w:tr2bl w:val="nil"/>
            </w:tcBorders>
            <w:noWrap w:val="0"/>
            <w:vAlign w:val="center"/>
          </w:tcPr>
          <w:p w14:paraId="67D4B4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450" w:type="dxa"/>
            <w:vMerge w:val="continue"/>
            <w:tcBorders>
              <w:tl2br w:val="nil"/>
              <w:tr2bl w:val="nil"/>
            </w:tcBorders>
            <w:noWrap w:val="0"/>
            <w:vAlign w:val="center"/>
          </w:tcPr>
          <w:p w14:paraId="300F217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05" w:type="dxa"/>
            <w:tcBorders>
              <w:tl2br w:val="nil"/>
              <w:tr2bl w:val="nil"/>
            </w:tcBorders>
            <w:noWrap w:val="0"/>
            <w:vAlign w:val="center"/>
          </w:tcPr>
          <w:p w14:paraId="35A91A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眼睛防护</w:t>
            </w:r>
          </w:p>
        </w:tc>
        <w:tc>
          <w:tcPr>
            <w:tcW w:w="2864" w:type="dxa"/>
            <w:gridSpan w:val="3"/>
            <w:tcBorders>
              <w:tl2br w:val="nil"/>
              <w:tr2bl w:val="nil"/>
            </w:tcBorders>
            <w:noWrap w:val="0"/>
            <w:vAlign w:val="center"/>
          </w:tcPr>
          <w:p w14:paraId="05501F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呼吸系统防护中已</w:t>
            </w:r>
            <w:r>
              <w:rPr>
                <w:rFonts w:hint="eastAsia" w:cs="Times New Roman"/>
                <w:color w:val="auto"/>
                <w:sz w:val="21"/>
                <w:szCs w:val="21"/>
                <w:lang w:eastAsia="zh-CN"/>
              </w:rPr>
              <w:t>做</w:t>
            </w:r>
            <w:r>
              <w:rPr>
                <w:rFonts w:hint="default" w:ascii="Times New Roman" w:hAnsi="Times New Roman" w:cs="Times New Roman"/>
                <w:color w:val="auto"/>
                <w:sz w:val="21"/>
                <w:szCs w:val="21"/>
              </w:rPr>
              <w:t>防护。</w:t>
            </w:r>
          </w:p>
        </w:tc>
      </w:tr>
      <w:tr w14:paraId="356DD6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continue"/>
            <w:tcBorders>
              <w:tl2br w:val="nil"/>
              <w:tr2bl w:val="nil"/>
            </w:tcBorders>
            <w:noWrap w:val="0"/>
            <w:vAlign w:val="center"/>
          </w:tcPr>
          <w:p w14:paraId="11CA47E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507" w:type="dxa"/>
            <w:vMerge w:val="restart"/>
            <w:tcBorders>
              <w:tl2br w:val="nil"/>
              <w:tr2bl w:val="nil"/>
            </w:tcBorders>
            <w:noWrap w:val="0"/>
            <w:vAlign w:val="center"/>
          </w:tcPr>
          <w:p w14:paraId="0E0E4C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环境危害</w:t>
            </w:r>
          </w:p>
        </w:tc>
        <w:tc>
          <w:tcPr>
            <w:tcW w:w="2853" w:type="dxa"/>
            <w:gridSpan w:val="2"/>
            <w:vMerge w:val="restart"/>
            <w:tcBorders>
              <w:tl2br w:val="nil"/>
              <w:tr2bl w:val="nil"/>
            </w:tcBorders>
            <w:noWrap w:val="0"/>
            <w:vAlign w:val="center"/>
          </w:tcPr>
          <w:p w14:paraId="787E2E8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对环境有危害，对水体可造成污染。</w:t>
            </w:r>
          </w:p>
        </w:tc>
        <w:tc>
          <w:tcPr>
            <w:tcW w:w="450" w:type="dxa"/>
            <w:vMerge w:val="continue"/>
            <w:tcBorders>
              <w:tl2br w:val="nil"/>
              <w:tr2bl w:val="nil"/>
            </w:tcBorders>
            <w:noWrap w:val="0"/>
            <w:vAlign w:val="center"/>
          </w:tcPr>
          <w:p w14:paraId="561A474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05" w:type="dxa"/>
            <w:tcBorders>
              <w:tl2br w:val="nil"/>
              <w:tr2bl w:val="nil"/>
            </w:tcBorders>
            <w:noWrap w:val="0"/>
            <w:vAlign w:val="center"/>
          </w:tcPr>
          <w:p w14:paraId="0874A01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身体防护</w:t>
            </w:r>
          </w:p>
        </w:tc>
        <w:tc>
          <w:tcPr>
            <w:tcW w:w="2864" w:type="dxa"/>
            <w:gridSpan w:val="3"/>
            <w:tcBorders>
              <w:tl2br w:val="nil"/>
              <w:tr2bl w:val="nil"/>
            </w:tcBorders>
            <w:noWrap w:val="0"/>
            <w:vAlign w:val="center"/>
          </w:tcPr>
          <w:p w14:paraId="1D6D8CB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穿连衣式胶布防毒衣。</w:t>
            </w:r>
          </w:p>
        </w:tc>
      </w:tr>
      <w:tr w14:paraId="164969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continue"/>
            <w:tcBorders>
              <w:tl2br w:val="nil"/>
              <w:tr2bl w:val="nil"/>
            </w:tcBorders>
            <w:noWrap w:val="0"/>
            <w:vAlign w:val="center"/>
          </w:tcPr>
          <w:p w14:paraId="57CA00E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507" w:type="dxa"/>
            <w:vMerge w:val="continue"/>
            <w:tcBorders>
              <w:tl2br w:val="nil"/>
              <w:tr2bl w:val="nil"/>
            </w:tcBorders>
            <w:noWrap w:val="0"/>
            <w:vAlign w:val="center"/>
          </w:tcPr>
          <w:p w14:paraId="686FFEF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2853" w:type="dxa"/>
            <w:gridSpan w:val="2"/>
            <w:vMerge w:val="continue"/>
            <w:tcBorders>
              <w:tl2br w:val="nil"/>
              <w:tr2bl w:val="nil"/>
            </w:tcBorders>
            <w:noWrap w:val="0"/>
            <w:vAlign w:val="center"/>
          </w:tcPr>
          <w:p w14:paraId="23D1916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450" w:type="dxa"/>
            <w:vMerge w:val="continue"/>
            <w:tcBorders>
              <w:tl2br w:val="nil"/>
              <w:tr2bl w:val="nil"/>
            </w:tcBorders>
            <w:noWrap w:val="0"/>
            <w:vAlign w:val="center"/>
          </w:tcPr>
          <w:p w14:paraId="3F8152D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05" w:type="dxa"/>
            <w:tcBorders>
              <w:tl2br w:val="nil"/>
              <w:tr2bl w:val="nil"/>
            </w:tcBorders>
            <w:noWrap w:val="0"/>
            <w:vAlign w:val="center"/>
          </w:tcPr>
          <w:p w14:paraId="00AF576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手防护</w:t>
            </w:r>
          </w:p>
        </w:tc>
        <w:tc>
          <w:tcPr>
            <w:tcW w:w="2864" w:type="dxa"/>
            <w:gridSpan w:val="3"/>
            <w:tcBorders>
              <w:tl2br w:val="nil"/>
              <w:tr2bl w:val="nil"/>
            </w:tcBorders>
            <w:noWrap w:val="0"/>
            <w:vAlign w:val="center"/>
          </w:tcPr>
          <w:p w14:paraId="72A3D00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戴橡胶手套。</w:t>
            </w:r>
          </w:p>
        </w:tc>
      </w:tr>
      <w:tr w14:paraId="19608E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continue"/>
            <w:tcBorders>
              <w:tl2br w:val="nil"/>
              <w:tr2bl w:val="nil"/>
            </w:tcBorders>
            <w:noWrap w:val="0"/>
            <w:vAlign w:val="center"/>
          </w:tcPr>
          <w:p w14:paraId="39135AF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507" w:type="dxa"/>
            <w:tcBorders>
              <w:tl2br w:val="nil"/>
              <w:tr2bl w:val="nil"/>
            </w:tcBorders>
            <w:noWrap w:val="0"/>
            <w:vAlign w:val="center"/>
          </w:tcPr>
          <w:p w14:paraId="21D3DE3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燃爆危险</w:t>
            </w:r>
          </w:p>
        </w:tc>
        <w:tc>
          <w:tcPr>
            <w:tcW w:w="2853" w:type="dxa"/>
            <w:gridSpan w:val="2"/>
            <w:tcBorders>
              <w:tl2br w:val="nil"/>
              <w:tr2bl w:val="nil"/>
            </w:tcBorders>
            <w:noWrap w:val="0"/>
            <w:vAlign w:val="center"/>
          </w:tcPr>
          <w:p w14:paraId="7D51D20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本品不燃，具腐蚀性、强刺激性，可致人体灼伤。</w:t>
            </w:r>
          </w:p>
        </w:tc>
        <w:tc>
          <w:tcPr>
            <w:tcW w:w="450" w:type="dxa"/>
            <w:vMerge w:val="continue"/>
            <w:tcBorders>
              <w:tl2br w:val="nil"/>
              <w:tr2bl w:val="nil"/>
            </w:tcBorders>
            <w:noWrap w:val="0"/>
            <w:vAlign w:val="center"/>
          </w:tcPr>
          <w:p w14:paraId="1B3B525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05" w:type="dxa"/>
            <w:tcBorders>
              <w:tl2br w:val="nil"/>
              <w:tr2bl w:val="nil"/>
            </w:tcBorders>
            <w:noWrap w:val="0"/>
            <w:vAlign w:val="center"/>
          </w:tcPr>
          <w:p w14:paraId="5F71844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eastAsia" w:cs="Times New Roman"/>
                <w:color w:val="auto"/>
                <w:sz w:val="21"/>
                <w:szCs w:val="21"/>
                <w:lang w:eastAsia="zh-CN"/>
              </w:rPr>
              <w:t>其他</w:t>
            </w:r>
          </w:p>
        </w:tc>
        <w:tc>
          <w:tcPr>
            <w:tcW w:w="2864" w:type="dxa"/>
            <w:gridSpan w:val="3"/>
            <w:tcBorders>
              <w:tl2br w:val="nil"/>
              <w:tr2bl w:val="nil"/>
            </w:tcBorders>
            <w:noWrap w:val="0"/>
            <w:vAlign w:val="center"/>
          </w:tcPr>
          <w:p w14:paraId="07BDC95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工作完毕，淋浴更衣。注意个人清洁卫生。</w:t>
            </w:r>
          </w:p>
        </w:tc>
      </w:tr>
      <w:tr w14:paraId="6903CE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restart"/>
            <w:tcBorders>
              <w:tl2br w:val="nil"/>
              <w:tr2bl w:val="nil"/>
            </w:tcBorders>
            <w:noWrap w:val="0"/>
            <w:vAlign w:val="center"/>
          </w:tcPr>
          <w:p w14:paraId="5428642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急救措施</w:t>
            </w:r>
          </w:p>
        </w:tc>
        <w:tc>
          <w:tcPr>
            <w:tcW w:w="507" w:type="dxa"/>
            <w:tcBorders>
              <w:tl2br w:val="nil"/>
              <w:tr2bl w:val="nil"/>
            </w:tcBorders>
            <w:noWrap w:val="0"/>
            <w:vAlign w:val="center"/>
          </w:tcPr>
          <w:p w14:paraId="75D6718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皮肤接触</w:t>
            </w:r>
          </w:p>
        </w:tc>
        <w:tc>
          <w:tcPr>
            <w:tcW w:w="2853" w:type="dxa"/>
            <w:gridSpan w:val="2"/>
            <w:tcBorders>
              <w:tl2br w:val="nil"/>
              <w:tr2bl w:val="nil"/>
            </w:tcBorders>
            <w:noWrap w:val="0"/>
            <w:vAlign w:val="center"/>
          </w:tcPr>
          <w:p w14:paraId="47A16C7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立即脱去污染的衣着，先用植物油或矿物油清洗。用大量流动清水冲洗至少15分钟。就医。</w:t>
            </w:r>
          </w:p>
        </w:tc>
        <w:tc>
          <w:tcPr>
            <w:tcW w:w="450" w:type="dxa"/>
            <w:tcBorders>
              <w:tl2br w:val="nil"/>
              <w:tr2bl w:val="nil"/>
            </w:tcBorders>
            <w:noWrap w:val="0"/>
            <w:vAlign w:val="center"/>
          </w:tcPr>
          <w:p w14:paraId="5E161CD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吸入</w:t>
            </w:r>
          </w:p>
        </w:tc>
        <w:tc>
          <w:tcPr>
            <w:tcW w:w="3869" w:type="dxa"/>
            <w:gridSpan w:val="4"/>
            <w:tcBorders>
              <w:tl2br w:val="nil"/>
              <w:tr2bl w:val="nil"/>
            </w:tcBorders>
            <w:noWrap w:val="0"/>
            <w:vAlign w:val="center"/>
          </w:tcPr>
          <w:p w14:paraId="75C3A73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迅速脱离现场至空气新鲜处。保持呼吸道通畅。如呼吸困难，给输氧。如呼吸停止，立即进行人工呼吸。就医。</w:t>
            </w:r>
          </w:p>
        </w:tc>
      </w:tr>
      <w:tr w14:paraId="079788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390" w:type="dxa"/>
            <w:vMerge w:val="continue"/>
            <w:tcBorders>
              <w:tl2br w:val="nil"/>
              <w:tr2bl w:val="nil"/>
            </w:tcBorders>
            <w:noWrap w:val="0"/>
            <w:vAlign w:val="center"/>
          </w:tcPr>
          <w:p w14:paraId="0E0FF0B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507" w:type="dxa"/>
            <w:tcBorders>
              <w:tl2br w:val="nil"/>
              <w:tr2bl w:val="nil"/>
            </w:tcBorders>
            <w:noWrap w:val="0"/>
            <w:vAlign w:val="center"/>
          </w:tcPr>
          <w:p w14:paraId="151EEB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眼睛接触</w:t>
            </w:r>
          </w:p>
        </w:tc>
        <w:tc>
          <w:tcPr>
            <w:tcW w:w="2853" w:type="dxa"/>
            <w:gridSpan w:val="2"/>
            <w:tcBorders>
              <w:tl2br w:val="nil"/>
              <w:tr2bl w:val="nil"/>
            </w:tcBorders>
            <w:noWrap w:val="0"/>
            <w:vAlign w:val="center"/>
          </w:tcPr>
          <w:p w14:paraId="49E7278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立即提起眼睑，用大量流动清水或生理盐水彻底冲洗至少15分钟。就医。</w:t>
            </w:r>
          </w:p>
        </w:tc>
        <w:tc>
          <w:tcPr>
            <w:tcW w:w="450" w:type="dxa"/>
            <w:tcBorders>
              <w:tl2br w:val="nil"/>
              <w:tr2bl w:val="nil"/>
            </w:tcBorders>
            <w:noWrap w:val="0"/>
            <w:vAlign w:val="center"/>
          </w:tcPr>
          <w:p w14:paraId="79C1D25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食入</w:t>
            </w:r>
          </w:p>
        </w:tc>
        <w:tc>
          <w:tcPr>
            <w:tcW w:w="3869" w:type="dxa"/>
            <w:gridSpan w:val="4"/>
            <w:tcBorders>
              <w:tl2br w:val="nil"/>
              <w:tr2bl w:val="nil"/>
            </w:tcBorders>
            <w:noWrap w:val="0"/>
            <w:vAlign w:val="center"/>
          </w:tcPr>
          <w:p w14:paraId="7B6BB63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用水漱口，给饮牛奶或蛋清。就医。</w:t>
            </w:r>
          </w:p>
        </w:tc>
      </w:tr>
      <w:tr w14:paraId="2039AE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069" w:type="dxa"/>
            <w:gridSpan w:val="9"/>
            <w:tcBorders>
              <w:tl2br w:val="nil"/>
              <w:tr2bl w:val="nil"/>
            </w:tcBorders>
            <w:noWrap w:val="0"/>
            <w:vAlign w:val="center"/>
          </w:tcPr>
          <w:p w14:paraId="68E073D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eastAsia="zh-CN"/>
              </w:rPr>
              <w:t>泄漏</w:t>
            </w:r>
            <w:r>
              <w:rPr>
                <w:rFonts w:hint="default" w:ascii="Times New Roman" w:hAnsi="Times New Roman" w:cs="Times New Roman"/>
                <w:color w:val="auto"/>
                <w:sz w:val="21"/>
                <w:szCs w:val="21"/>
              </w:rPr>
              <w:t>应急处理</w:t>
            </w:r>
          </w:p>
        </w:tc>
      </w:tr>
      <w:tr w14:paraId="68A700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069" w:type="dxa"/>
            <w:gridSpan w:val="9"/>
            <w:tcBorders>
              <w:tl2br w:val="nil"/>
              <w:tr2bl w:val="nil"/>
            </w:tcBorders>
            <w:noWrap w:val="0"/>
            <w:vAlign w:val="center"/>
          </w:tcPr>
          <w:p w14:paraId="53FB924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隔离泄漏污染区，限制出入。建议应急处理人员戴防尘面具（全面罩），穿防毒服。避免扬尘，小心扫起，若大量泄漏，用塑料布、帆布覆盖。收集回收或运至废物处理场所处置。</w:t>
            </w:r>
          </w:p>
        </w:tc>
      </w:tr>
      <w:tr w14:paraId="3D526B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069" w:type="dxa"/>
            <w:gridSpan w:val="9"/>
            <w:tcBorders>
              <w:tl2br w:val="nil"/>
              <w:tr2bl w:val="nil"/>
            </w:tcBorders>
            <w:noWrap w:val="0"/>
            <w:vAlign w:val="center"/>
          </w:tcPr>
          <w:p w14:paraId="0854A8F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操作处置与储存</w:t>
            </w:r>
          </w:p>
        </w:tc>
      </w:tr>
      <w:tr w14:paraId="50B398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7" w:type="dxa"/>
            <w:gridSpan w:val="2"/>
            <w:tcBorders>
              <w:tl2br w:val="nil"/>
              <w:tr2bl w:val="nil"/>
            </w:tcBorders>
            <w:noWrap w:val="0"/>
            <w:vAlign w:val="center"/>
          </w:tcPr>
          <w:p w14:paraId="01FCE3D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操作注意事项</w:t>
            </w:r>
          </w:p>
        </w:tc>
        <w:tc>
          <w:tcPr>
            <w:tcW w:w="7172" w:type="dxa"/>
            <w:gridSpan w:val="7"/>
            <w:tcBorders>
              <w:tl2br w:val="nil"/>
              <w:tr2bl w:val="nil"/>
            </w:tcBorders>
            <w:noWrap w:val="0"/>
            <w:vAlign w:val="center"/>
          </w:tcPr>
          <w:p w14:paraId="3AE977B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密闭操作。操作人员必须经过专门培训，严格遵守操作规程。建议操作人员佩戴防尘面具（全面罩），穿连衣式胶布防毒衣，戴橡胶手套。避免产生粉尘。避免与酸类接触。搬运时要轻装轻卸，防止包装及容器损坏。配备泄漏应急处理设备。倒空的容器可能残留有害物。</w:t>
            </w:r>
          </w:p>
        </w:tc>
      </w:tr>
      <w:tr w14:paraId="1DCB10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897" w:type="dxa"/>
            <w:gridSpan w:val="2"/>
            <w:tcBorders>
              <w:tl2br w:val="nil"/>
              <w:tr2bl w:val="nil"/>
            </w:tcBorders>
            <w:noWrap w:val="0"/>
            <w:vAlign w:val="center"/>
          </w:tcPr>
          <w:p w14:paraId="14518C9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储存注意事项</w:t>
            </w:r>
          </w:p>
        </w:tc>
        <w:tc>
          <w:tcPr>
            <w:tcW w:w="7172" w:type="dxa"/>
            <w:gridSpan w:val="7"/>
            <w:tcBorders>
              <w:tl2br w:val="nil"/>
              <w:tr2bl w:val="nil"/>
            </w:tcBorders>
            <w:noWrap w:val="0"/>
            <w:vAlign w:val="center"/>
          </w:tcPr>
          <w:p w14:paraId="3D3E548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储存于阴凉、通风的库房。远离火种、热源。应与酸类分开存放，切忌混储。储区应备有合适的材料收容泄漏物。</w:t>
            </w:r>
          </w:p>
        </w:tc>
      </w:tr>
      <w:tr w14:paraId="3742E9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1829" w:type="dxa"/>
            <w:gridSpan w:val="3"/>
            <w:tcBorders>
              <w:tl2br w:val="nil"/>
              <w:tr2bl w:val="nil"/>
            </w:tcBorders>
            <w:noWrap w:val="0"/>
            <w:vAlign w:val="center"/>
          </w:tcPr>
          <w:p w14:paraId="6FDBC8C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毒理学资料</w:t>
            </w:r>
          </w:p>
        </w:tc>
        <w:tc>
          <w:tcPr>
            <w:tcW w:w="1921" w:type="dxa"/>
            <w:tcBorders>
              <w:tl2br w:val="nil"/>
              <w:tr2bl w:val="nil"/>
            </w:tcBorders>
            <w:noWrap w:val="0"/>
            <w:vAlign w:val="center"/>
          </w:tcPr>
          <w:p w14:paraId="53AF88E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LD50：7340mg/kg</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大鼠经口</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LC50：无资料</w:t>
            </w:r>
          </w:p>
        </w:tc>
        <w:tc>
          <w:tcPr>
            <w:tcW w:w="2159" w:type="dxa"/>
            <w:gridSpan w:val="3"/>
            <w:tcBorders>
              <w:tl2br w:val="nil"/>
              <w:tr2bl w:val="nil"/>
            </w:tcBorders>
            <w:noWrap w:val="0"/>
            <w:vAlign w:val="center"/>
          </w:tcPr>
          <w:p w14:paraId="010C895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侵入途径</w:t>
            </w:r>
          </w:p>
        </w:tc>
        <w:tc>
          <w:tcPr>
            <w:tcW w:w="2160" w:type="dxa"/>
            <w:gridSpan w:val="2"/>
            <w:tcBorders>
              <w:tl2br w:val="nil"/>
              <w:tr2bl w:val="nil"/>
            </w:tcBorders>
            <w:noWrap w:val="0"/>
            <w:vAlign w:val="center"/>
          </w:tcPr>
          <w:p w14:paraId="362E5E1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ind w:left="0" w:right="0"/>
              <w:jc w:val="left"/>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吸入、食入</w:t>
            </w:r>
          </w:p>
        </w:tc>
      </w:tr>
    </w:tbl>
    <w:p w14:paraId="7539D7C9">
      <w:pPr>
        <w:keepNext/>
        <w:keepLines/>
        <w:pageBreakBefore w:val="0"/>
        <w:widowControl w:val="0"/>
        <w:kinsoku/>
        <w:wordWrap/>
        <w:overflowPunct/>
        <w:topLinePunct w:val="0"/>
        <w:autoSpaceDE/>
        <w:autoSpaceDN/>
        <w:bidi w:val="0"/>
        <w:adjustRightInd/>
        <w:snapToGrid/>
        <w:spacing w:line="450" w:lineRule="exact"/>
        <w:ind w:firstLine="422" w:firstLineChars="200"/>
        <w:jc w:val="center"/>
        <w:textAlignment w:val="auto"/>
        <w:outlineLvl w:val="2"/>
        <w:rPr>
          <w:rFonts w:hint="default" w:ascii="Times New Roman" w:hAnsi="Times New Roman" w:eastAsia="黑体" w:cs="Times New Roman"/>
          <w:b/>
          <w:bCs/>
          <w:color w:val="auto"/>
          <w:sz w:val="24"/>
          <w:szCs w:val="24"/>
          <w:highlight w:val="none"/>
          <w:lang w:val="en-US" w:eastAsia="zh-CN"/>
        </w:rPr>
      </w:pPr>
      <w:r>
        <w:rPr>
          <w:rFonts w:hint="eastAsia" w:ascii="黑体" w:hAnsi="黑体" w:eastAsia="黑体" w:cs="黑体"/>
          <w:b/>
          <w:bCs/>
          <w:color w:val="auto"/>
          <w:sz w:val="21"/>
          <w:szCs w:val="21"/>
          <w:lang w:eastAsia="zh-CN"/>
        </w:rPr>
        <w:t>表</w:t>
      </w:r>
      <w:r>
        <w:rPr>
          <w:rFonts w:hint="eastAsia" w:ascii="黑体" w:hAnsi="黑体" w:eastAsia="黑体" w:cs="黑体"/>
          <w:b/>
          <w:bCs/>
          <w:color w:val="auto"/>
          <w:sz w:val="21"/>
          <w:szCs w:val="21"/>
          <w:lang w:val="en-US" w:eastAsia="zh-CN"/>
        </w:rPr>
        <w:t>1.1-4  原料理化性质一览表  发烟硫酸</w:t>
      </w:r>
    </w:p>
    <w:tbl>
      <w:tblPr>
        <w:tblStyle w:val="21"/>
        <w:tblW w:w="8085" w:type="dxa"/>
        <w:tblInd w:w="278"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06"/>
        <w:gridCol w:w="675"/>
        <w:gridCol w:w="2310"/>
        <w:gridCol w:w="345"/>
        <w:gridCol w:w="1080"/>
        <w:gridCol w:w="613"/>
        <w:gridCol w:w="227"/>
        <w:gridCol w:w="795"/>
        <w:gridCol w:w="1440"/>
      </w:tblGrid>
      <w:tr w14:paraId="797E640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1275" w:type="dxa"/>
            <w:gridSpan w:val="3"/>
            <w:tcBorders>
              <w:tl2br w:val="nil"/>
              <w:tr2bl w:val="nil"/>
            </w:tcBorders>
            <w:noWrap w:val="0"/>
            <w:vAlign w:val="center"/>
          </w:tcPr>
          <w:p w14:paraId="03DEB7A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名称</w:t>
            </w:r>
          </w:p>
        </w:tc>
        <w:tc>
          <w:tcPr>
            <w:tcW w:w="2310" w:type="dxa"/>
            <w:tcBorders>
              <w:tl2br w:val="nil"/>
              <w:tr2bl w:val="nil"/>
            </w:tcBorders>
            <w:noWrap w:val="0"/>
            <w:vAlign w:val="center"/>
          </w:tcPr>
          <w:p w14:paraId="1C21477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发烟硫酸</w:t>
            </w:r>
          </w:p>
        </w:tc>
        <w:tc>
          <w:tcPr>
            <w:tcW w:w="1425" w:type="dxa"/>
            <w:gridSpan w:val="2"/>
            <w:tcBorders>
              <w:tl2br w:val="nil"/>
              <w:tr2bl w:val="nil"/>
            </w:tcBorders>
            <w:noWrap w:val="0"/>
            <w:vAlign w:val="center"/>
          </w:tcPr>
          <w:p w14:paraId="34617801">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熔点</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eastAsia="zh-CN"/>
              </w:rPr>
              <w:t>）</w:t>
            </w:r>
          </w:p>
        </w:tc>
        <w:tc>
          <w:tcPr>
            <w:tcW w:w="840" w:type="dxa"/>
            <w:gridSpan w:val="2"/>
            <w:tcBorders>
              <w:tl2br w:val="nil"/>
              <w:tr2bl w:val="nil"/>
            </w:tcBorders>
            <w:noWrap w:val="0"/>
            <w:vAlign w:val="center"/>
          </w:tcPr>
          <w:p w14:paraId="18C3D69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4.0</w:t>
            </w:r>
          </w:p>
        </w:tc>
        <w:tc>
          <w:tcPr>
            <w:tcW w:w="795" w:type="dxa"/>
            <w:tcBorders>
              <w:tl2br w:val="nil"/>
              <w:tr2bl w:val="nil"/>
            </w:tcBorders>
            <w:noWrap w:val="0"/>
            <w:vAlign w:val="center"/>
          </w:tcPr>
          <w:p w14:paraId="5CB8FE1E">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沸点</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w:t>
            </w:r>
            <w:r>
              <w:rPr>
                <w:rFonts w:hint="eastAsia" w:ascii="Times New Roman" w:hAnsi="Times New Roman" w:cs="Times New Roman"/>
                <w:color w:val="auto"/>
                <w:sz w:val="21"/>
                <w:szCs w:val="21"/>
                <w:lang w:eastAsia="zh-CN"/>
              </w:rPr>
              <w:t>）</w:t>
            </w:r>
          </w:p>
        </w:tc>
        <w:tc>
          <w:tcPr>
            <w:tcW w:w="1440" w:type="dxa"/>
            <w:tcBorders>
              <w:tl2br w:val="nil"/>
              <w:tr2bl w:val="nil"/>
            </w:tcBorders>
            <w:noWrap w:val="0"/>
            <w:vAlign w:val="center"/>
          </w:tcPr>
          <w:p w14:paraId="0C3905F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55</w:t>
            </w:r>
          </w:p>
        </w:tc>
      </w:tr>
      <w:tr w14:paraId="37298A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75" w:type="dxa"/>
            <w:gridSpan w:val="3"/>
            <w:tcBorders>
              <w:tl2br w:val="nil"/>
              <w:tr2bl w:val="nil"/>
            </w:tcBorders>
            <w:noWrap w:val="0"/>
            <w:vAlign w:val="center"/>
          </w:tcPr>
          <w:p w14:paraId="6DB3FF0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CAS No.</w:t>
            </w:r>
          </w:p>
        </w:tc>
        <w:tc>
          <w:tcPr>
            <w:tcW w:w="2310" w:type="dxa"/>
            <w:tcBorders>
              <w:tl2br w:val="nil"/>
              <w:tr2bl w:val="nil"/>
            </w:tcBorders>
            <w:noWrap w:val="0"/>
            <w:vAlign w:val="center"/>
          </w:tcPr>
          <w:p w14:paraId="7192FF3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8014-95-7</w:t>
            </w:r>
          </w:p>
        </w:tc>
        <w:tc>
          <w:tcPr>
            <w:tcW w:w="1425" w:type="dxa"/>
            <w:gridSpan w:val="2"/>
            <w:tcBorders>
              <w:tl2br w:val="nil"/>
              <w:tr2bl w:val="nil"/>
            </w:tcBorders>
            <w:noWrap w:val="0"/>
            <w:vAlign w:val="center"/>
          </w:tcPr>
          <w:p w14:paraId="08532CA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相对密度  </w:t>
            </w:r>
          </w:p>
        </w:tc>
        <w:tc>
          <w:tcPr>
            <w:tcW w:w="1635" w:type="dxa"/>
            <w:gridSpan w:val="3"/>
            <w:tcBorders>
              <w:tl2br w:val="nil"/>
              <w:tr2bl w:val="nil"/>
            </w:tcBorders>
            <w:noWrap w:val="0"/>
            <w:vAlign w:val="center"/>
          </w:tcPr>
          <w:p w14:paraId="13B29DF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 xml:space="preserve">1.99 </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水=1</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 xml:space="preserve">    </w:t>
            </w:r>
          </w:p>
        </w:tc>
        <w:tc>
          <w:tcPr>
            <w:tcW w:w="1440" w:type="dxa"/>
            <w:tcBorders>
              <w:tl2br w:val="nil"/>
              <w:tr2bl w:val="nil"/>
            </w:tcBorders>
            <w:noWrap w:val="0"/>
            <w:vAlign w:val="center"/>
          </w:tcPr>
          <w:p w14:paraId="5A416204">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 xml:space="preserve">2.7 </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空气=1</w:t>
            </w:r>
            <w:r>
              <w:rPr>
                <w:rFonts w:hint="eastAsia" w:ascii="Times New Roman" w:hAnsi="Times New Roman" w:cs="Times New Roman"/>
                <w:color w:val="auto"/>
                <w:sz w:val="21"/>
                <w:szCs w:val="21"/>
                <w:lang w:eastAsia="zh-CN"/>
              </w:rPr>
              <w:t>）</w:t>
            </w:r>
          </w:p>
        </w:tc>
      </w:tr>
      <w:tr w14:paraId="5AD774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5" w:type="dxa"/>
            <w:gridSpan w:val="3"/>
            <w:tcBorders>
              <w:tl2br w:val="nil"/>
              <w:tr2bl w:val="nil"/>
            </w:tcBorders>
            <w:noWrap w:val="0"/>
            <w:vAlign w:val="center"/>
          </w:tcPr>
          <w:p w14:paraId="64F181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分子式</w:t>
            </w:r>
          </w:p>
        </w:tc>
        <w:tc>
          <w:tcPr>
            <w:tcW w:w="2310" w:type="dxa"/>
            <w:tcBorders>
              <w:tl2br w:val="nil"/>
              <w:tr2bl w:val="nil"/>
            </w:tcBorders>
            <w:noWrap w:val="0"/>
            <w:vAlign w:val="center"/>
          </w:tcPr>
          <w:p w14:paraId="181A48B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H</w:t>
            </w:r>
            <w:r>
              <w:rPr>
                <w:rFonts w:hint="default" w:ascii="Times New Roman" w:hAnsi="Times New Roman" w:cs="Times New Roman"/>
                <w:color w:val="auto"/>
                <w:sz w:val="21"/>
                <w:szCs w:val="21"/>
                <w:vertAlign w:val="subscript"/>
              </w:rPr>
              <w:t>2</w:t>
            </w:r>
            <w:r>
              <w:rPr>
                <w:rFonts w:hint="default" w:ascii="Times New Roman" w:hAnsi="Times New Roman" w:cs="Times New Roman"/>
                <w:color w:val="auto"/>
                <w:sz w:val="21"/>
                <w:szCs w:val="21"/>
              </w:rPr>
              <w:t>SO</w:t>
            </w:r>
            <w:r>
              <w:rPr>
                <w:rFonts w:hint="default" w:ascii="Times New Roman" w:hAnsi="Times New Roman" w:cs="Times New Roman"/>
                <w:color w:val="auto"/>
                <w:sz w:val="21"/>
                <w:szCs w:val="21"/>
                <w:vertAlign w:val="subscript"/>
              </w:rPr>
              <w:t>4</w:t>
            </w:r>
            <w:r>
              <w:rPr>
                <w:rFonts w:hint="default" w:ascii="Times New Roman" w:hAnsi="Times New Roman" w:cs="Times New Roman"/>
                <w:color w:val="auto"/>
                <w:sz w:val="21"/>
                <w:szCs w:val="21"/>
              </w:rPr>
              <w:t>.XSO</w:t>
            </w:r>
            <w:r>
              <w:rPr>
                <w:rFonts w:hint="default" w:ascii="Times New Roman" w:hAnsi="Times New Roman" w:cs="Times New Roman"/>
                <w:color w:val="auto"/>
                <w:sz w:val="21"/>
                <w:szCs w:val="21"/>
                <w:vertAlign w:val="subscript"/>
              </w:rPr>
              <w:t>3</w:t>
            </w:r>
          </w:p>
        </w:tc>
        <w:tc>
          <w:tcPr>
            <w:tcW w:w="1425" w:type="dxa"/>
            <w:gridSpan w:val="2"/>
            <w:tcBorders>
              <w:tl2br w:val="nil"/>
              <w:tr2bl w:val="nil"/>
            </w:tcBorders>
            <w:noWrap w:val="0"/>
            <w:vAlign w:val="center"/>
          </w:tcPr>
          <w:p w14:paraId="244CDAE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危险性类别</w:t>
            </w:r>
          </w:p>
        </w:tc>
        <w:tc>
          <w:tcPr>
            <w:tcW w:w="3075" w:type="dxa"/>
            <w:gridSpan w:val="4"/>
            <w:tcBorders>
              <w:tl2br w:val="nil"/>
              <w:tr2bl w:val="nil"/>
            </w:tcBorders>
            <w:noWrap w:val="0"/>
            <w:vAlign w:val="center"/>
          </w:tcPr>
          <w:p w14:paraId="2DE61F4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第8.1类酸性腐蚀品</w:t>
            </w:r>
          </w:p>
        </w:tc>
      </w:tr>
      <w:tr w14:paraId="00E239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5" w:type="dxa"/>
            <w:gridSpan w:val="3"/>
            <w:tcBorders>
              <w:tl2br w:val="nil"/>
              <w:tr2bl w:val="nil"/>
            </w:tcBorders>
            <w:noWrap w:val="0"/>
            <w:vAlign w:val="center"/>
          </w:tcPr>
          <w:p w14:paraId="26035B6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外观与性状</w:t>
            </w:r>
          </w:p>
        </w:tc>
        <w:tc>
          <w:tcPr>
            <w:tcW w:w="2310" w:type="dxa"/>
            <w:tcBorders>
              <w:tl2br w:val="nil"/>
              <w:tr2bl w:val="nil"/>
            </w:tcBorders>
            <w:noWrap w:val="0"/>
            <w:vAlign w:val="center"/>
          </w:tcPr>
          <w:p w14:paraId="7915B7B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无色或棕色油状稠厚的发烟液体，有强刺激臭。</w:t>
            </w:r>
          </w:p>
        </w:tc>
        <w:tc>
          <w:tcPr>
            <w:tcW w:w="1425" w:type="dxa"/>
            <w:gridSpan w:val="2"/>
            <w:tcBorders>
              <w:tl2br w:val="nil"/>
              <w:tr2bl w:val="nil"/>
            </w:tcBorders>
            <w:noWrap w:val="0"/>
            <w:vAlign w:val="center"/>
          </w:tcPr>
          <w:p w14:paraId="0524746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溶解性</w:t>
            </w:r>
          </w:p>
        </w:tc>
        <w:tc>
          <w:tcPr>
            <w:tcW w:w="3075" w:type="dxa"/>
            <w:gridSpan w:val="4"/>
            <w:tcBorders>
              <w:tl2br w:val="nil"/>
              <w:tr2bl w:val="nil"/>
            </w:tcBorders>
            <w:noWrap w:val="0"/>
            <w:vAlign w:val="center"/>
          </w:tcPr>
          <w:p w14:paraId="24B63CE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与水混溶。</w:t>
            </w:r>
          </w:p>
        </w:tc>
      </w:tr>
      <w:tr w14:paraId="70338E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5" w:type="dxa"/>
            <w:gridSpan w:val="3"/>
            <w:tcBorders>
              <w:tl2br w:val="nil"/>
              <w:tr2bl w:val="nil"/>
            </w:tcBorders>
            <w:noWrap w:val="0"/>
            <w:vAlign w:val="center"/>
          </w:tcPr>
          <w:p w14:paraId="76F82E4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主要用途</w:t>
            </w:r>
          </w:p>
        </w:tc>
        <w:tc>
          <w:tcPr>
            <w:tcW w:w="6810" w:type="dxa"/>
            <w:gridSpan w:val="7"/>
            <w:tcBorders>
              <w:tl2br w:val="nil"/>
              <w:tr2bl w:val="nil"/>
            </w:tcBorders>
            <w:noWrap w:val="0"/>
            <w:vAlign w:val="center"/>
          </w:tcPr>
          <w:p w14:paraId="28BBCDA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用作磺化剂，还广泛用于制造染料、炸药、硝化纤维以及药物等。</w:t>
            </w:r>
          </w:p>
        </w:tc>
      </w:tr>
      <w:tr w14:paraId="338EB1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600" w:type="dxa"/>
            <w:gridSpan w:val="2"/>
            <w:vMerge w:val="restart"/>
            <w:tcBorders>
              <w:tl2br w:val="nil"/>
              <w:tr2bl w:val="nil"/>
            </w:tcBorders>
            <w:noWrap w:val="0"/>
            <w:vAlign w:val="center"/>
          </w:tcPr>
          <w:p w14:paraId="4DAFE01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w:t>
            </w:r>
          </w:p>
          <w:p w14:paraId="5273C0D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险</w:t>
            </w:r>
          </w:p>
          <w:p w14:paraId="53D81E1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性</w:t>
            </w:r>
          </w:p>
          <w:p w14:paraId="772747C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概</w:t>
            </w:r>
          </w:p>
          <w:p w14:paraId="0EBC42A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述</w:t>
            </w:r>
          </w:p>
        </w:tc>
        <w:tc>
          <w:tcPr>
            <w:tcW w:w="675" w:type="dxa"/>
            <w:vMerge w:val="restart"/>
            <w:tcBorders>
              <w:tl2br w:val="nil"/>
              <w:tr2bl w:val="nil"/>
            </w:tcBorders>
            <w:noWrap w:val="0"/>
            <w:vAlign w:val="center"/>
          </w:tcPr>
          <w:p w14:paraId="7ADB04F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健康危害</w:t>
            </w:r>
          </w:p>
        </w:tc>
        <w:tc>
          <w:tcPr>
            <w:tcW w:w="2310" w:type="dxa"/>
            <w:vMerge w:val="restart"/>
            <w:tcBorders>
              <w:tl2br w:val="nil"/>
              <w:tr2bl w:val="nil"/>
            </w:tcBorders>
            <w:noWrap w:val="0"/>
            <w:vAlign w:val="center"/>
          </w:tcPr>
          <w:p w14:paraId="18524577">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对皮肤、</w:t>
            </w:r>
            <w:r>
              <w:rPr>
                <w:rFonts w:hint="eastAsia" w:cs="Times New Roman"/>
                <w:color w:val="auto"/>
                <w:sz w:val="21"/>
                <w:szCs w:val="21"/>
                <w:lang w:eastAsia="zh-CN"/>
              </w:rPr>
              <w:t>黏膜</w:t>
            </w:r>
            <w:r>
              <w:rPr>
                <w:rFonts w:hint="default" w:ascii="Times New Roman" w:hAnsi="Times New Roman" w:cs="Times New Roman"/>
                <w:color w:val="auto"/>
                <w:sz w:val="21"/>
                <w:szCs w:val="21"/>
              </w:rPr>
              <w:t>等组织有强烈的刺激和腐蚀作用。蒸气或雾可引起结膜炎、结膜水肿、角膜混浊，以致失明；引起呼吸道</w:t>
            </w:r>
            <w:r>
              <w:rPr>
                <w:rFonts w:hint="eastAsia" w:cs="Times New Roman"/>
                <w:color w:val="auto"/>
                <w:sz w:val="21"/>
                <w:szCs w:val="21"/>
                <w:lang w:eastAsia="zh-CN"/>
              </w:rPr>
              <w:t>刺激症状</w:t>
            </w:r>
            <w:r>
              <w:rPr>
                <w:rFonts w:hint="default" w:ascii="Times New Roman" w:hAnsi="Times New Roman" w:cs="Times New Roman"/>
                <w:color w:val="auto"/>
                <w:sz w:val="21"/>
                <w:szCs w:val="21"/>
              </w:rPr>
              <w:t>，重者发生呼吸困难和肺水肿；高浓度引起喉痉挛或声门水肿而死亡。口服后引起消化道的灼伤以致溃疡形成；严重者可能有胃穿孔、腹膜炎、肾损害、休克等。皮肤灼伤轻者出现红斑，重者形成溃疡，愈后瘢痕收缩影响功能。溅入眼内可造成灼伤，甚至角膜穿孔、全眼炎以至失明。慢性影响：牙齿酸蚀症、慢性支气管炎、肺气肿和肺硬化。</w:t>
            </w:r>
          </w:p>
        </w:tc>
        <w:tc>
          <w:tcPr>
            <w:tcW w:w="345" w:type="dxa"/>
            <w:vMerge w:val="restart"/>
            <w:tcBorders>
              <w:tl2br w:val="nil"/>
              <w:tr2bl w:val="nil"/>
            </w:tcBorders>
            <w:noWrap w:val="0"/>
            <w:vAlign w:val="center"/>
          </w:tcPr>
          <w:p w14:paraId="40BC6E45">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防</w:t>
            </w:r>
          </w:p>
          <w:p w14:paraId="32230539">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护</w:t>
            </w:r>
          </w:p>
          <w:p w14:paraId="560B5BDA">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措</w:t>
            </w:r>
          </w:p>
          <w:p w14:paraId="721D7919">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施</w:t>
            </w:r>
          </w:p>
        </w:tc>
        <w:tc>
          <w:tcPr>
            <w:tcW w:w="1080" w:type="dxa"/>
            <w:tcBorders>
              <w:tl2br w:val="nil"/>
              <w:tr2bl w:val="nil"/>
            </w:tcBorders>
            <w:noWrap w:val="0"/>
            <w:vAlign w:val="center"/>
          </w:tcPr>
          <w:p w14:paraId="3D83F15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工程控制</w:t>
            </w:r>
          </w:p>
        </w:tc>
        <w:tc>
          <w:tcPr>
            <w:tcW w:w="3075" w:type="dxa"/>
            <w:gridSpan w:val="4"/>
            <w:tcBorders>
              <w:tl2br w:val="nil"/>
              <w:tr2bl w:val="nil"/>
            </w:tcBorders>
            <w:noWrap w:val="0"/>
            <w:vAlign w:val="center"/>
          </w:tcPr>
          <w:p w14:paraId="6076ED32">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密闭操作，注意通风。尽可能机械化、自动化。提供安全淋浴和洗眼设备。</w:t>
            </w:r>
          </w:p>
        </w:tc>
      </w:tr>
      <w:tr w14:paraId="1537A9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0" w:type="dxa"/>
            <w:gridSpan w:val="2"/>
            <w:vMerge w:val="continue"/>
            <w:tcBorders>
              <w:tl2br w:val="nil"/>
              <w:tr2bl w:val="nil"/>
            </w:tcBorders>
            <w:noWrap w:val="0"/>
            <w:vAlign w:val="center"/>
          </w:tcPr>
          <w:p w14:paraId="5E47E08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675" w:type="dxa"/>
            <w:vMerge w:val="continue"/>
            <w:tcBorders>
              <w:tl2br w:val="nil"/>
              <w:tr2bl w:val="nil"/>
            </w:tcBorders>
            <w:noWrap w:val="0"/>
            <w:vAlign w:val="center"/>
          </w:tcPr>
          <w:p w14:paraId="6867F1A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310" w:type="dxa"/>
            <w:vMerge w:val="continue"/>
            <w:tcBorders>
              <w:tl2br w:val="nil"/>
              <w:tr2bl w:val="nil"/>
            </w:tcBorders>
            <w:noWrap w:val="0"/>
            <w:vAlign w:val="center"/>
          </w:tcPr>
          <w:p w14:paraId="30C5F9B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345" w:type="dxa"/>
            <w:vMerge w:val="continue"/>
            <w:tcBorders>
              <w:tl2br w:val="nil"/>
              <w:tr2bl w:val="nil"/>
            </w:tcBorders>
            <w:noWrap w:val="0"/>
            <w:vAlign w:val="center"/>
          </w:tcPr>
          <w:p w14:paraId="29D8251B">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80" w:type="dxa"/>
            <w:tcBorders>
              <w:tl2br w:val="nil"/>
              <w:tr2bl w:val="nil"/>
            </w:tcBorders>
            <w:noWrap w:val="0"/>
            <w:vAlign w:val="center"/>
          </w:tcPr>
          <w:p w14:paraId="2ED6696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呼吸系统</w:t>
            </w:r>
          </w:p>
        </w:tc>
        <w:tc>
          <w:tcPr>
            <w:tcW w:w="3075" w:type="dxa"/>
            <w:gridSpan w:val="4"/>
            <w:tcBorders>
              <w:tl2br w:val="nil"/>
              <w:tr2bl w:val="nil"/>
            </w:tcBorders>
            <w:noWrap w:val="0"/>
            <w:vAlign w:val="center"/>
          </w:tcPr>
          <w:p w14:paraId="71A534D3">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可能接触其烟雾时，佩戴自吸过滤式防毒面具（全面罩）或空气呼吸器。紧急事态抢救或撤离时，建议佩戴氧气呼吸器。</w:t>
            </w:r>
          </w:p>
        </w:tc>
      </w:tr>
      <w:tr w14:paraId="4D8A6E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0" w:type="dxa"/>
            <w:gridSpan w:val="2"/>
            <w:vMerge w:val="continue"/>
            <w:tcBorders>
              <w:tl2br w:val="nil"/>
              <w:tr2bl w:val="nil"/>
            </w:tcBorders>
            <w:noWrap w:val="0"/>
            <w:vAlign w:val="center"/>
          </w:tcPr>
          <w:p w14:paraId="0DE2492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675" w:type="dxa"/>
            <w:vMerge w:val="continue"/>
            <w:tcBorders>
              <w:tl2br w:val="nil"/>
              <w:tr2bl w:val="nil"/>
            </w:tcBorders>
            <w:noWrap w:val="0"/>
            <w:vAlign w:val="center"/>
          </w:tcPr>
          <w:p w14:paraId="469303B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310" w:type="dxa"/>
            <w:vMerge w:val="continue"/>
            <w:tcBorders>
              <w:tl2br w:val="nil"/>
              <w:tr2bl w:val="nil"/>
            </w:tcBorders>
            <w:noWrap w:val="0"/>
            <w:vAlign w:val="center"/>
          </w:tcPr>
          <w:p w14:paraId="34B24F9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345" w:type="dxa"/>
            <w:vMerge w:val="continue"/>
            <w:tcBorders>
              <w:tl2br w:val="nil"/>
              <w:tr2bl w:val="nil"/>
            </w:tcBorders>
            <w:noWrap w:val="0"/>
            <w:vAlign w:val="center"/>
          </w:tcPr>
          <w:p w14:paraId="55914E50">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80" w:type="dxa"/>
            <w:tcBorders>
              <w:tl2br w:val="nil"/>
              <w:tr2bl w:val="nil"/>
            </w:tcBorders>
            <w:noWrap w:val="0"/>
            <w:vAlign w:val="center"/>
          </w:tcPr>
          <w:p w14:paraId="6832A18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眼睛防护</w:t>
            </w:r>
          </w:p>
        </w:tc>
        <w:tc>
          <w:tcPr>
            <w:tcW w:w="3075" w:type="dxa"/>
            <w:gridSpan w:val="4"/>
            <w:tcBorders>
              <w:tl2br w:val="nil"/>
              <w:tr2bl w:val="nil"/>
            </w:tcBorders>
            <w:noWrap w:val="0"/>
            <w:vAlign w:val="center"/>
          </w:tcPr>
          <w:p w14:paraId="26C3E37C">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呼吸系统防护中已</w:t>
            </w:r>
            <w:r>
              <w:rPr>
                <w:rFonts w:hint="eastAsia" w:cs="Times New Roman"/>
                <w:color w:val="auto"/>
                <w:sz w:val="21"/>
                <w:szCs w:val="21"/>
                <w:lang w:eastAsia="zh-CN"/>
              </w:rPr>
              <w:t>做</w:t>
            </w:r>
            <w:r>
              <w:rPr>
                <w:rFonts w:hint="default" w:ascii="Times New Roman" w:hAnsi="Times New Roman" w:cs="Times New Roman"/>
                <w:color w:val="auto"/>
                <w:sz w:val="21"/>
                <w:szCs w:val="21"/>
              </w:rPr>
              <w:t>防护。</w:t>
            </w:r>
          </w:p>
        </w:tc>
      </w:tr>
      <w:tr w14:paraId="2521BF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0" w:type="dxa"/>
            <w:gridSpan w:val="2"/>
            <w:vMerge w:val="continue"/>
            <w:tcBorders>
              <w:tl2br w:val="nil"/>
              <w:tr2bl w:val="nil"/>
            </w:tcBorders>
            <w:noWrap w:val="0"/>
            <w:vAlign w:val="center"/>
          </w:tcPr>
          <w:p w14:paraId="76279E3B">
            <w:pPr>
              <w:keepNext w:val="0"/>
              <w:keepLines w:val="0"/>
              <w:suppressLineNumbers w:val="0"/>
              <w:spacing w:before="0" w:beforeAutospacing="0" w:after="0" w:afterAutospacing="0"/>
              <w:ind w:left="0" w:right="0"/>
              <w:jc w:val="left"/>
              <w:rPr>
                <w:rFonts w:hint="default"/>
                <w:color w:val="auto"/>
              </w:rPr>
            </w:pPr>
          </w:p>
        </w:tc>
        <w:tc>
          <w:tcPr>
            <w:tcW w:w="675" w:type="dxa"/>
            <w:vMerge w:val="continue"/>
            <w:tcBorders>
              <w:tl2br w:val="nil"/>
              <w:tr2bl w:val="nil"/>
            </w:tcBorders>
            <w:noWrap w:val="0"/>
            <w:vAlign w:val="center"/>
          </w:tcPr>
          <w:p w14:paraId="0A064154">
            <w:pPr>
              <w:keepNext w:val="0"/>
              <w:keepLines w:val="0"/>
              <w:suppressLineNumbers w:val="0"/>
              <w:spacing w:before="0" w:beforeAutospacing="0" w:after="0" w:afterAutospacing="0"/>
              <w:ind w:left="0" w:right="0"/>
              <w:jc w:val="left"/>
              <w:rPr>
                <w:rFonts w:hint="default"/>
                <w:color w:val="auto"/>
              </w:rPr>
            </w:pPr>
          </w:p>
        </w:tc>
        <w:tc>
          <w:tcPr>
            <w:tcW w:w="2310" w:type="dxa"/>
            <w:vMerge w:val="continue"/>
            <w:tcBorders>
              <w:tl2br w:val="nil"/>
              <w:tr2bl w:val="nil"/>
            </w:tcBorders>
            <w:noWrap w:val="0"/>
            <w:vAlign w:val="center"/>
          </w:tcPr>
          <w:p w14:paraId="05788877">
            <w:pPr>
              <w:keepNext w:val="0"/>
              <w:keepLines w:val="0"/>
              <w:suppressLineNumbers w:val="0"/>
              <w:spacing w:before="0" w:beforeAutospacing="0" w:after="0" w:afterAutospacing="0"/>
              <w:ind w:left="0" w:right="0"/>
              <w:jc w:val="left"/>
              <w:rPr>
                <w:rFonts w:hint="default"/>
                <w:color w:val="auto"/>
              </w:rPr>
            </w:pPr>
          </w:p>
        </w:tc>
        <w:tc>
          <w:tcPr>
            <w:tcW w:w="345" w:type="dxa"/>
            <w:vMerge w:val="continue"/>
            <w:tcBorders>
              <w:tl2br w:val="nil"/>
              <w:tr2bl w:val="nil"/>
            </w:tcBorders>
            <w:noWrap w:val="0"/>
            <w:vAlign w:val="center"/>
          </w:tcPr>
          <w:p w14:paraId="02F626F2">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left"/>
              <w:textAlignment w:val="auto"/>
              <w:rPr>
                <w:rFonts w:hint="default"/>
                <w:color w:val="auto"/>
              </w:rPr>
            </w:pPr>
          </w:p>
        </w:tc>
        <w:tc>
          <w:tcPr>
            <w:tcW w:w="1080" w:type="dxa"/>
            <w:tcBorders>
              <w:tl2br w:val="nil"/>
              <w:tr2bl w:val="nil"/>
            </w:tcBorders>
            <w:noWrap w:val="0"/>
            <w:vAlign w:val="center"/>
          </w:tcPr>
          <w:p w14:paraId="1D1D4FF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身体防护</w:t>
            </w:r>
          </w:p>
        </w:tc>
        <w:tc>
          <w:tcPr>
            <w:tcW w:w="3075" w:type="dxa"/>
            <w:gridSpan w:val="4"/>
            <w:tcBorders>
              <w:tl2br w:val="nil"/>
              <w:tr2bl w:val="nil"/>
            </w:tcBorders>
            <w:noWrap w:val="0"/>
            <w:vAlign w:val="center"/>
          </w:tcPr>
          <w:p w14:paraId="5A63DAC5">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穿橡胶耐酸碱服。</w:t>
            </w:r>
          </w:p>
        </w:tc>
      </w:tr>
      <w:tr w14:paraId="20625F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0" w:type="dxa"/>
            <w:gridSpan w:val="2"/>
            <w:vMerge w:val="continue"/>
            <w:tcBorders>
              <w:tl2br w:val="nil"/>
              <w:tr2bl w:val="nil"/>
            </w:tcBorders>
            <w:noWrap w:val="0"/>
            <w:vAlign w:val="center"/>
          </w:tcPr>
          <w:p w14:paraId="52911722">
            <w:pPr>
              <w:keepNext w:val="0"/>
              <w:keepLines w:val="0"/>
              <w:suppressLineNumbers w:val="0"/>
              <w:spacing w:before="0" w:beforeAutospacing="0" w:after="0" w:afterAutospacing="0"/>
              <w:ind w:left="0" w:right="0"/>
              <w:jc w:val="left"/>
              <w:rPr>
                <w:rFonts w:hint="default"/>
                <w:color w:val="auto"/>
              </w:rPr>
            </w:pPr>
          </w:p>
        </w:tc>
        <w:tc>
          <w:tcPr>
            <w:tcW w:w="675" w:type="dxa"/>
            <w:vMerge w:val="continue"/>
            <w:tcBorders>
              <w:tl2br w:val="nil"/>
              <w:tr2bl w:val="nil"/>
            </w:tcBorders>
            <w:noWrap w:val="0"/>
            <w:vAlign w:val="center"/>
          </w:tcPr>
          <w:p w14:paraId="6B13D7CE">
            <w:pPr>
              <w:keepNext w:val="0"/>
              <w:keepLines w:val="0"/>
              <w:suppressLineNumbers w:val="0"/>
              <w:spacing w:before="0" w:beforeAutospacing="0" w:after="0" w:afterAutospacing="0"/>
              <w:ind w:left="0" w:right="0"/>
              <w:jc w:val="left"/>
              <w:rPr>
                <w:rFonts w:hint="default"/>
                <w:color w:val="auto"/>
              </w:rPr>
            </w:pPr>
          </w:p>
        </w:tc>
        <w:tc>
          <w:tcPr>
            <w:tcW w:w="2310" w:type="dxa"/>
            <w:vMerge w:val="continue"/>
            <w:tcBorders>
              <w:tl2br w:val="nil"/>
              <w:tr2bl w:val="nil"/>
            </w:tcBorders>
            <w:noWrap w:val="0"/>
            <w:vAlign w:val="center"/>
          </w:tcPr>
          <w:p w14:paraId="72F072DB">
            <w:pPr>
              <w:keepNext w:val="0"/>
              <w:keepLines w:val="0"/>
              <w:suppressLineNumbers w:val="0"/>
              <w:spacing w:before="0" w:beforeAutospacing="0" w:after="0" w:afterAutospacing="0"/>
              <w:ind w:left="0" w:right="0"/>
              <w:jc w:val="left"/>
              <w:rPr>
                <w:rFonts w:hint="default"/>
                <w:color w:val="auto"/>
              </w:rPr>
            </w:pPr>
          </w:p>
        </w:tc>
        <w:tc>
          <w:tcPr>
            <w:tcW w:w="345" w:type="dxa"/>
            <w:vMerge w:val="continue"/>
            <w:tcBorders>
              <w:tl2br w:val="nil"/>
              <w:tr2bl w:val="nil"/>
            </w:tcBorders>
            <w:noWrap w:val="0"/>
            <w:vAlign w:val="center"/>
          </w:tcPr>
          <w:p w14:paraId="0BD5DBC9">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left"/>
              <w:textAlignment w:val="auto"/>
              <w:rPr>
                <w:rFonts w:hint="default"/>
                <w:color w:val="auto"/>
              </w:rPr>
            </w:pPr>
          </w:p>
        </w:tc>
        <w:tc>
          <w:tcPr>
            <w:tcW w:w="1080" w:type="dxa"/>
            <w:tcBorders>
              <w:tl2br w:val="nil"/>
              <w:tr2bl w:val="nil"/>
            </w:tcBorders>
            <w:noWrap w:val="0"/>
            <w:vAlign w:val="center"/>
          </w:tcPr>
          <w:p w14:paraId="0A80650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手防护</w:t>
            </w:r>
          </w:p>
        </w:tc>
        <w:tc>
          <w:tcPr>
            <w:tcW w:w="3075" w:type="dxa"/>
            <w:gridSpan w:val="4"/>
            <w:tcBorders>
              <w:tl2br w:val="nil"/>
              <w:tr2bl w:val="nil"/>
            </w:tcBorders>
            <w:noWrap w:val="0"/>
            <w:vAlign w:val="center"/>
          </w:tcPr>
          <w:p w14:paraId="41D8621B">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戴橡胶耐酸碱手套。</w:t>
            </w:r>
          </w:p>
        </w:tc>
      </w:tr>
      <w:tr w14:paraId="5B9C84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0" w:type="dxa"/>
            <w:gridSpan w:val="2"/>
            <w:vMerge w:val="continue"/>
            <w:tcBorders>
              <w:tl2br w:val="nil"/>
              <w:tr2bl w:val="nil"/>
            </w:tcBorders>
            <w:noWrap w:val="0"/>
            <w:vAlign w:val="center"/>
          </w:tcPr>
          <w:p w14:paraId="37B3D5B7">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p>
        </w:tc>
        <w:tc>
          <w:tcPr>
            <w:tcW w:w="675" w:type="dxa"/>
            <w:vMerge w:val="continue"/>
            <w:tcBorders>
              <w:tl2br w:val="nil"/>
              <w:tr2bl w:val="nil"/>
            </w:tcBorders>
            <w:noWrap w:val="0"/>
            <w:vAlign w:val="center"/>
          </w:tcPr>
          <w:p w14:paraId="4DD82AA0">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p>
        </w:tc>
        <w:tc>
          <w:tcPr>
            <w:tcW w:w="2310" w:type="dxa"/>
            <w:vMerge w:val="continue"/>
            <w:tcBorders>
              <w:tl2br w:val="nil"/>
              <w:tr2bl w:val="nil"/>
            </w:tcBorders>
            <w:noWrap w:val="0"/>
            <w:vAlign w:val="center"/>
          </w:tcPr>
          <w:p w14:paraId="0DBEE59A">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p>
        </w:tc>
        <w:tc>
          <w:tcPr>
            <w:tcW w:w="345" w:type="dxa"/>
            <w:vMerge w:val="continue"/>
            <w:tcBorders>
              <w:tl2br w:val="nil"/>
              <w:tr2bl w:val="nil"/>
            </w:tcBorders>
            <w:noWrap w:val="0"/>
            <w:vAlign w:val="center"/>
          </w:tcPr>
          <w:p w14:paraId="5DDC0360">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left"/>
              <w:textAlignment w:val="auto"/>
              <w:rPr>
                <w:rFonts w:hint="default" w:ascii="Times New Roman" w:hAnsi="Times New Roman" w:cs="Times New Roman"/>
                <w:color w:val="auto"/>
                <w:sz w:val="21"/>
                <w:szCs w:val="21"/>
              </w:rPr>
            </w:pPr>
          </w:p>
        </w:tc>
        <w:tc>
          <w:tcPr>
            <w:tcW w:w="1080" w:type="dxa"/>
            <w:tcBorders>
              <w:tl2br w:val="nil"/>
              <w:tr2bl w:val="nil"/>
            </w:tcBorders>
            <w:noWrap w:val="0"/>
            <w:vAlign w:val="center"/>
          </w:tcPr>
          <w:p w14:paraId="581851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 w:val="21"/>
                <w:szCs w:val="21"/>
                <w:lang w:eastAsia="zh-CN"/>
              </w:rPr>
              <w:t>其他</w:t>
            </w:r>
          </w:p>
        </w:tc>
        <w:tc>
          <w:tcPr>
            <w:tcW w:w="3075" w:type="dxa"/>
            <w:gridSpan w:val="4"/>
            <w:tcBorders>
              <w:tl2br w:val="nil"/>
              <w:tr2bl w:val="nil"/>
            </w:tcBorders>
            <w:noWrap w:val="0"/>
            <w:vAlign w:val="center"/>
          </w:tcPr>
          <w:p w14:paraId="7EE5C07E">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工作完毕，淋浴更衣。单独存放被毒物污染的衣服，洗后备用。保持良好的卫生习惯。</w:t>
            </w:r>
          </w:p>
        </w:tc>
      </w:tr>
      <w:tr w14:paraId="0F3386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00" w:type="dxa"/>
            <w:gridSpan w:val="2"/>
            <w:vMerge w:val="continue"/>
            <w:tcBorders>
              <w:tl2br w:val="nil"/>
              <w:tr2bl w:val="nil"/>
            </w:tcBorders>
            <w:noWrap w:val="0"/>
            <w:vAlign w:val="center"/>
          </w:tcPr>
          <w:p w14:paraId="655472CB">
            <w:pPr>
              <w:keepNext w:val="0"/>
              <w:keepLines w:val="0"/>
              <w:suppressLineNumbers w:val="0"/>
              <w:spacing w:before="0" w:beforeAutospacing="0" w:after="0" w:afterAutospacing="0"/>
              <w:ind w:left="0" w:right="0"/>
              <w:jc w:val="left"/>
              <w:rPr>
                <w:rFonts w:hint="default"/>
                <w:color w:val="auto"/>
              </w:rPr>
            </w:pPr>
          </w:p>
        </w:tc>
        <w:tc>
          <w:tcPr>
            <w:tcW w:w="675" w:type="dxa"/>
            <w:vMerge w:val="continue"/>
            <w:tcBorders>
              <w:tl2br w:val="nil"/>
              <w:tr2bl w:val="nil"/>
            </w:tcBorders>
            <w:noWrap w:val="0"/>
            <w:vAlign w:val="center"/>
          </w:tcPr>
          <w:p w14:paraId="75475756">
            <w:pPr>
              <w:keepNext w:val="0"/>
              <w:keepLines w:val="0"/>
              <w:suppressLineNumbers w:val="0"/>
              <w:spacing w:before="0" w:beforeAutospacing="0" w:after="0" w:afterAutospacing="0"/>
              <w:ind w:left="0" w:right="0"/>
              <w:jc w:val="left"/>
              <w:rPr>
                <w:rFonts w:hint="default"/>
                <w:color w:val="auto"/>
              </w:rPr>
            </w:pPr>
          </w:p>
        </w:tc>
        <w:tc>
          <w:tcPr>
            <w:tcW w:w="2310" w:type="dxa"/>
            <w:vMerge w:val="continue"/>
            <w:tcBorders>
              <w:tl2br w:val="nil"/>
              <w:tr2bl w:val="nil"/>
            </w:tcBorders>
            <w:noWrap w:val="0"/>
            <w:vAlign w:val="center"/>
          </w:tcPr>
          <w:p w14:paraId="0A98870A">
            <w:pPr>
              <w:keepNext w:val="0"/>
              <w:keepLines w:val="0"/>
              <w:suppressLineNumbers w:val="0"/>
              <w:spacing w:before="0" w:beforeAutospacing="0" w:after="0" w:afterAutospacing="0"/>
              <w:ind w:left="0" w:right="0"/>
              <w:jc w:val="left"/>
              <w:rPr>
                <w:rFonts w:hint="default"/>
                <w:color w:val="auto"/>
              </w:rPr>
            </w:pPr>
          </w:p>
        </w:tc>
        <w:tc>
          <w:tcPr>
            <w:tcW w:w="345" w:type="dxa"/>
            <w:vMerge w:val="continue"/>
            <w:tcBorders>
              <w:tl2br w:val="nil"/>
              <w:tr2bl w:val="nil"/>
            </w:tcBorders>
            <w:noWrap w:val="0"/>
            <w:vAlign w:val="center"/>
          </w:tcPr>
          <w:p w14:paraId="41075EF8">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left"/>
              <w:textAlignment w:val="auto"/>
              <w:rPr>
                <w:rFonts w:hint="default"/>
                <w:color w:val="auto"/>
              </w:rPr>
            </w:pPr>
          </w:p>
        </w:tc>
        <w:tc>
          <w:tcPr>
            <w:tcW w:w="1080" w:type="dxa"/>
            <w:vMerge w:val="restart"/>
            <w:tcBorders>
              <w:tl2br w:val="nil"/>
              <w:tr2bl w:val="nil"/>
            </w:tcBorders>
            <w:noWrap w:val="0"/>
            <w:vAlign w:val="center"/>
          </w:tcPr>
          <w:p w14:paraId="5C79572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危险特性</w:t>
            </w:r>
          </w:p>
        </w:tc>
        <w:tc>
          <w:tcPr>
            <w:tcW w:w="3075" w:type="dxa"/>
            <w:gridSpan w:val="4"/>
            <w:vMerge w:val="restart"/>
            <w:tcBorders>
              <w:tl2br w:val="nil"/>
              <w:tr2bl w:val="nil"/>
            </w:tcBorders>
            <w:noWrap w:val="0"/>
            <w:vAlign w:val="center"/>
          </w:tcPr>
          <w:p w14:paraId="0E8CBFFC">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遇水大量放热</w:t>
            </w:r>
            <w:r>
              <w:rPr>
                <w:rFonts w:hint="eastAsia" w:cs="Times New Roman"/>
                <w:color w:val="auto"/>
                <w:sz w:val="21"/>
                <w:szCs w:val="21"/>
                <w:lang w:eastAsia="zh-CN"/>
              </w:rPr>
              <w:t>，</w:t>
            </w:r>
            <w:r>
              <w:rPr>
                <w:rFonts w:hint="default" w:ascii="Times New Roman" w:hAnsi="Times New Roman" w:cs="Times New Roman"/>
                <w:color w:val="auto"/>
                <w:sz w:val="21"/>
                <w:szCs w:val="21"/>
              </w:rPr>
              <w:t>可发生沸溅。与易燃物（如苯）和可燃物（如糖、纤维素等）接触会发生剧烈反应，甚至引起燃烧。遇电石、高氯酸盐、</w:t>
            </w:r>
            <w:r>
              <w:rPr>
                <w:rFonts w:hint="eastAsia" w:cs="Times New Roman"/>
                <w:color w:val="auto"/>
                <w:sz w:val="21"/>
                <w:szCs w:val="21"/>
                <w:lang w:eastAsia="zh-CN"/>
              </w:rPr>
              <w:t>磷酸</w:t>
            </w:r>
            <w:r>
              <w:rPr>
                <w:rFonts w:hint="default" w:ascii="Times New Roman" w:hAnsi="Times New Roman" w:cs="Times New Roman"/>
                <w:color w:val="auto"/>
                <w:sz w:val="21"/>
                <w:szCs w:val="21"/>
              </w:rPr>
              <w:t>盐、硝酸盐、苦味酸盐、金属粉末等猛烈反应，发生爆炸或燃烧。能与普通金属发生反应</w:t>
            </w:r>
            <w:r>
              <w:rPr>
                <w:rFonts w:hint="eastAsia" w:cs="Times New Roman"/>
                <w:color w:val="auto"/>
                <w:sz w:val="21"/>
                <w:szCs w:val="21"/>
                <w:lang w:eastAsia="zh-CN"/>
              </w:rPr>
              <w:t>，</w:t>
            </w:r>
            <w:r>
              <w:rPr>
                <w:rFonts w:hint="default" w:ascii="Times New Roman" w:hAnsi="Times New Roman" w:cs="Times New Roman"/>
                <w:color w:val="auto"/>
                <w:sz w:val="21"/>
                <w:szCs w:val="21"/>
              </w:rPr>
              <w:t>放出氢气而与空气形成爆炸性混合物。有强烈的腐蚀性和吸水性。</w:t>
            </w:r>
          </w:p>
        </w:tc>
      </w:tr>
      <w:tr w14:paraId="2DE2C3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0" w:type="dxa"/>
            <w:gridSpan w:val="2"/>
            <w:vMerge w:val="continue"/>
            <w:tcBorders>
              <w:tl2br w:val="nil"/>
              <w:tr2bl w:val="nil"/>
            </w:tcBorders>
            <w:noWrap w:val="0"/>
            <w:vAlign w:val="center"/>
          </w:tcPr>
          <w:p w14:paraId="16995CC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675" w:type="dxa"/>
            <w:tcBorders>
              <w:tl2br w:val="nil"/>
              <w:tr2bl w:val="nil"/>
            </w:tcBorders>
            <w:noWrap w:val="0"/>
            <w:vAlign w:val="center"/>
          </w:tcPr>
          <w:p w14:paraId="43E29B0E">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环境危害</w:t>
            </w:r>
          </w:p>
        </w:tc>
        <w:tc>
          <w:tcPr>
            <w:tcW w:w="2310" w:type="dxa"/>
            <w:tcBorders>
              <w:tl2br w:val="nil"/>
              <w:tr2bl w:val="nil"/>
            </w:tcBorders>
            <w:noWrap w:val="0"/>
            <w:vAlign w:val="center"/>
          </w:tcPr>
          <w:p w14:paraId="1837AA69">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对环境有危害，对水体和土壤可造成污染。</w:t>
            </w:r>
          </w:p>
        </w:tc>
        <w:tc>
          <w:tcPr>
            <w:tcW w:w="345" w:type="dxa"/>
            <w:vMerge w:val="continue"/>
            <w:tcBorders>
              <w:tl2br w:val="nil"/>
              <w:tr2bl w:val="nil"/>
            </w:tcBorders>
            <w:noWrap w:val="0"/>
            <w:vAlign w:val="center"/>
          </w:tcPr>
          <w:p w14:paraId="53F8BEC7">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80" w:type="dxa"/>
            <w:vMerge w:val="continue"/>
            <w:tcBorders>
              <w:tl2br w:val="nil"/>
              <w:tr2bl w:val="nil"/>
            </w:tcBorders>
            <w:noWrap w:val="0"/>
            <w:vAlign w:val="center"/>
          </w:tcPr>
          <w:p w14:paraId="3D95295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3075" w:type="dxa"/>
            <w:gridSpan w:val="4"/>
            <w:vMerge w:val="continue"/>
            <w:tcBorders>
              <w:tl2br w:val="nil"/>
              <w:tr2bl w:val="nil"/>
            </w:tcBorders>
            <w:noWrap w:val="0"/>
            <w:vAlign w:val="center"/>
          </w:tcPr>
          <w:p w14:paraId="0FA60DBC">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p>
        </w:tc>
      </w:tr>
      <w:tr w14:paraId="3C9183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600" w:type="dxa"/>
            <w:gridSpan w:val="2"/>
            <w:vMerge w:val="continue"/>
            <w:tcBorders>
              <w:tl2br w:val="nil"/>
              <w:tr2bl w:val="nil"/>
            </w:tcBorders>
            <w:noWrap w:val="0"/>
            <w:vAlign w:val="center"/>
          </w:tcPr>
          <w:p w14:paraId="7A6DD89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675" w:type="dxa"/>
            <w:tcBorders>
              <w:tl2br w:val="nil"/>
              <w:tr2bl w:val="nil"/>
            </w:tcBorders>
            <w:noWrap w:val="0"/>
            <w:vAlign w:val="center"/>
          </w:tcPr>
          <w:p w14:paraId="6E7DE162">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燃爆危险</w:t>
            </w:r>
          </w:p>
        </w:tc>
        <w:tc>
          <w:tcPr>
            <w:tcW w:w="2310" w:type="dxa"/>
            <w:tcBorders>
              <w:tl2br w:val="nil"/>
              <w:tr2bl w:val="nil"/>
            </w:tcBorders>
            <w:noWrap w:val="0"/>
            <w:vAlign w:val="center"/>
          </w:tcPr>
          <w:p w14:paraId="1A9CA285">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本品不燃，具强腐蚀性、强刺激性，可致人体灼伤。</w:t>
            </w:r>
          </w:p>
        </w:tc>
        <w:tc>
          <w:tcPr>
            <w:tcW w:w="345" w:type="dxa"/>
            <w:vMerge w:val="continue"/>
            <w:tcBorders>
              <w:tl2br w:val="nil"/>
              <w:tr2bl w:val="nil"/>
            </w:tcBorders>
            <w:noWrap w:val="0"/>
            <w:vAlign w:val="center"/>
          </w:tcPr>
          <w:p w14:paraId="5C9DAC9B">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cs="Times New Roman"/>
                <w:color w:val="auto"/>
                <w:sz w:val="21"/>
                <w:szCs w:val="21"/>
              </w:rPr>
            </w:pPr>
          </w:p>
        </w:tc>
        <w:tc>
          <w:tcPr>
            <w:tcW w:w="1080" w:type="dxa"/>
            <w:vMerge w:val="continue"/>
            <w:tcBorders>
              <w:tl2br w:val="nil"/>
              <w:tr2bl w:val="nil"/>
            </w:tcBorders>
            <w:noWrap w:val="0"/>
            <w:vAlign w:val="center"/>
          </w:tcPr>
          <w:p w14:paraId="13F0FFE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kern w:val="2"/>
                <w:sz w:val="21"/>
                <w:szCs w:val="21"/>
                <w:lang w:val="en-US" w:eastAsia="zh-CN" w:bidi="ar-SA"/>
              </w:rPr>
            </w:pPr>
          </w:p>
        </w:tc>
        <w:tc>
          <w:tcPr>
            <w:tcW w:w="3075" w:type="dxa"/>
            <w:gridSpan w:val="4"/>
            <w:vMerge w:val="continue"/>
            <w:tcBorders>
              <w:tl2br w:val="nil"/>
              <w:tr2bl w:val="nil"/>
            </w:tcBorders>
            <w:noWrap w:val="0"/>
            <w:vAlign w:val="center"/>
          </w:tcPr>
          <w:p w14:paraId="6B6B0528">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p>
        </w:tc>
      </w:tr>
      <w:tr w14:paraId="705BCF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600" w:type="dxa"/>
            <w:gridSpan w:val="2"/>
            <w:vMerge w:val="restart"/>
            <w:tcBorders>
              <w:tl2br w:val="nil"/>
              <w:tr2bl w:val="nil"/>
            </w:tcBorders>
            <w:noWrap w:val="0"/>
            <w:vAlign w:val="center"/>
          </w:tcPr>
          <w:p w14:paraId="14C16FB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急救措施</w:t>
            </w:r>
          </w:p>
        </w:tc>
        <w:tc>
          <w:tcPr>
            <w:tcW w:w="675" w:type="dxa"/>
            <w:tcBorders>
              <w:tl2br w:val="nil"/>
              <w:tr2bl w:val="nil"/>
            </w:tcBorders>
            <w:noWrap w:val="0"/>
            <w:vAlign w:val="center"/>
          </w:tcPr>
          <w:p w14:paraId="6A4DBA8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皮肤接触</w:t>
            </w:r>
          </w:p>
        </w:tc>
        <w:tc>
          <w:tcPr>
            <w:tcW w:w="2310" w:type="dxa"/>
            <w:tcBorders>
              <w:tl2br w:val="nil"/>
              <w:tr2bl w:val="nil"/>
            </w:tcBorders>
            <w:noWrap w:val="0"/>
            <w:vAlign w:val="center"/>
          </w:tcPr>
          <w:p w14:paraId="41E2CAB4">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立即脱去污染的衣着，用大量流动清水冲洗至少15分钟。就医。</w:t>
            </w:r>
          </w:p>
        </w:tc>
        <w:tc>
          <w:tcPr>
            <w:tcW w:w="345" w:type="dxa"/>
            <w:tcBorders>
              <w:tl2br w:val="nil"/>
              <w:tr2bl w:val="nil"/>
            </w:tcBorders>
            <w:noWrap w:val="0"/>
            <w:vAlign w:val="center"/>
          </w:tcPr>
          <w:p w14:paraId="2E0E6453">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吸入</w:t>
            </w:r>
          </w:p>
        </w:tc>
        <w:tc>
          <w:tcPr>
            <w:tcW w:w="4155" w:type="dxa"/>
            <w:gridSpan w:val="5"/>
            <w:tcBorders>
              <w:tl2br w:val="nil"/>
              <w:tr2bl w:val="nil"/>
            </w:tcBorders>
            <w:noWrap w:val="0"/>
            <w:vAlign w:val="center"/>
          </w:tcPr>
          <w:p w14:paraId="08946D46">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迅速脱离现场至空气新鲜处。保持呼吸道通畅。如呼吸困难，给输氧。如呼吸停止，立即进行人工呼吸。就医。</w:t>
            </w:r>
          </w:p>
        </w:tc>
      </w:tr>
      <w:tr w14:paraId="385EC9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00" w:type="dxa"/>
            <w:gridSpan w:val="2"/>
            <w:vMerge w:val="continue"/>
            <w:tcBorders>
              <w:tl2br w:val="nil"/>
              <w:tr2bl w:val="nil"/>
            </w:tcBorders>
            <w:noWrap w:val="0"/>
            <w:vAlign w:val="center"/>
          </w:tcPr>
          <w:p w14:paraId="181B8B77">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675" w:type="dxa"/>
            <w:tcBorders>
              <w:tl2br w:val="nil"/>
              <w:tr2bl w:val="nil"/>
            </w:tcBorders>
            <w:noWrap w:val="0"/>
            <w:vAlign w:val="center"/>
          </w:tcPr>
          <w:p w14:paraId="20510E9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眼睛接触</w:t>
            </w:r>
          </w:p>
        </w:tc>
        <w:tc>
          <w:tcPr>
            <w:tcW w:w="2310" w:type="dxa"/>
            <w:tcBorders>
              <w:tl2br w:val="nil"/>
              <w:tr2bl w:val="nil"/>
            </w:tcBorders>
            <w:noWrap w:val="0"/>
            <w:vAlign w:val="center"/>
          </w:tcPr>
          <w:p w14:paraId="49EE6985">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立即提起眼睑，用大量流动清水或生理盐水彻底冲洗至少15分钟。就医。</w:t>
            </w:r>
          </w:p>
        </w:tc>
        <w:tc>
          <w:tcPr>
            <w:tcW w:w="345" w:type="dxa"/>
            <w:tcBorders>
              <w:tl2br w:val="nil"/>
              <w:tr2bl w:val="nil"/>
            </w:tcBorders>
            <w:noWrap w:val="0"/>
            <w:vAlign w:val="center"/>
          </w:tcPr>
          <w:p w14:paraId="7EA3360F">
            <w:pPr>
              <w:keepNext w:val="0"/>
              <w:keepLines w:val="0"/>
              <w:pageBreakBefore w:val="0"/>
              <w:widowControl w:val="0"/>
              <w:suppressLineNumbers w:val="0"/>
              <w:kinsoku w:val="0"/>
              <w:wordWrap w:val="0"/>
              <w:overflowPunct/>
              <w:topLinePunct/>
              <w:autoSpaceDE/>
              <w:autoSpaceDN/>
              <w:bidi w:val="0"/>
              <w:adjustRightInd/>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食入</w:t>
            </w:r>
          </w:p>
        </w:tc>
        <w:tc>
          <w:tcPr>
            <w:tcW w:w="4155" w:type="dxa"/>
            <w:gridSpan w:val="5"/>
            <w:tcBorders>
              <w:tl2br w:val="nil"/>
              <w:tr2bl w:val="nil"/>
            </w:tcBorders>
            <w:noWrap w:val="0"/>
            <w:vAlign w:val="center"/>
          </w:tcPr>
          <w:p w14:paraId="3FE2BFBF">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 w:val="21"/>
                <w:szCs w:val="21"/>
              </w:rPr>
              <w:t>用水漱口，给饮牛奶或蛋清。就医。</w:t>
            </w:r>
          </w:p>
        </w:tc>
      </w:tr>
      <w:tr w14:paraId="31E272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85" w:type="dxa"/>
            <w:gridSpan w:val="10"/>
            <w:tcBorders>
              <w:tl2br w:val="nil"/>
              <w:tr2bl w:val="nil"/>
            </w:tcBorders>
            <w:noWrap w:val="0"/>
            <w:vAlign w:val="center"/>
          </w:tcPr>
          <w:p w14:paraId="40F8E4FD">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eastAsia" w:ascii="Times New Roman" w:hAnsi="Times New Roman" w:cs="Times New Roman"/>
                <w:color w:val="auto"/>
                <w:sz w:val="21"/>
                <w:szCs w:val="21"/>
                <w:lang w:eastAsia="zh-CN"/>
              </w:rPr>
              <w:t>泄漏</w:t>
            </w:r>
            <w:r>
              <w:rPr>
                <w:rFonts w:hint="default" w:ascii="Times New Roman" w:hAnsi="Times New Roman" w:cs="Times New Roman"/>
                <w:color w:val="auto"/>
                <w:sz w:val="21"/>
                <w:szCs w:val="21"/>
              </w:rPr>
              <w:t>应急处理</w:t>
            </w:r>
          </w:p>
        </w:tc>
      </w:tr>
      <w:tr w14:paraId="04D98D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8085" w:type="dxa"/>
            <w:gridSpan w:val="10"/>
            <w:tcBorders>
              <w:tl2br w:val="nil"/>
              <w:tr2bl w:val="nil"/>
            </w:tcBorders>
            <w:noWrap w:val="0"/>
            <w:vAlign w:val="center"/>
          </w:tcPr>
          <w:p w14:paraId="23CC844E">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迅速撤离泄漏污染区人员至安全区，并立即隔离150m，严格限制出入。建议应急处理人员戴自给正压式呼吸器，穿防酸碱工作服。不要直接接触泄漏物。尽可能切断泄漏源。小量泄漏：将地面</w:t>
            </w:r>
            <w:r>
              <w:rPr>
                <w:rFonts w:hint="eastAsia" w:cs="Times New Roman"/>
                <w:color w:val="auto"/>
                <w:sz w:val="21"/>
                <w:szCs w:val="21"/>
                <w:lang w:eastAsia="zh-CN"/>
              </w:rPr>
              <w:t>撒上</w:t>
            </w:r>
            <w:r>
              <w:rPr>
                <w:rFonts w:hint="default" w:ascii="Times New Roman" w:hAnsi="Times New Roman" w:cs="Times New Roman"/>
                <w:color w:val="auto"/>
                <w:sz w:val="21"/>
                <w:szCs w:val="21"/>
              </w:rPr>
              <w:t>苏打灰，然后用大量水冲洗，洗水稀释后放入废水系统。大量泄漏：构筑围堤或挖坑收容。在专家指导下清除。</w:t>
            </w:r>
          </w:p>
        </w:tc>
      </w:tr>
      <w:tr w14:paraId="267619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8085" w:type="dxa"/>
            <w:gridSpan w:val="10"/>
            <w:tcBorders>
              <w:tl2br w:val="nil"/>
              <w:tr2bl w:val="nil"/>
            </w:tcBorders>
            <w:noWrap w:val="0"/>
            <w:vAlign w:val="center"/>
          </w:tcPr>
          <w:p w14:paraId="6E659F6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操作处置与储存</w:t>
            </w:r>
          </w:p>
        </w:tc>
      </w:tr>
      <w:tr w14:paraId="707187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5" w:type="dxa"/>
            <w:gridSpan w:val="3"/>
            <w:tcBorders>
              <w:tl2br w:val="nil"/>
              <w:tr2bl w:val="nil"/>
            </w:tcBorders>
            <w:noWrap w:val="0"/>
            <w:vAlign w:val="center"/>
          </w:tcPr>
          <w:p w14:paraId="700989C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操作注意事项</w:t>
            </w:r>
          </w:p>
        </w:tc>
        <w:tc>
          <w:tcPr>
            <w:tcW w:w="6810" w:type="dxa"/>
            <w:gridSpan w:val="7"/>
            <w:tcBorders>
              <w:tl2br w:val="nil"/>
              <w:tr2bl w:val="nil"/>
            </w:tcBorders>
            <w:noWrap w:val="0"/>
            <w:vAlign w:val="center"/>
          </w:tcPr>
          <w:p w14:paraId="2FD4DCDC">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密闭操作，注意通风。操作尽可能机械化、自动化。操作人员必须经过专门培训，严格遵守操作规程。建议操作人员佩戴自吸过滤式防毒面具（全面罩），穿橡胶耐酸碱服，戴橡胶耐酸碱手套。远离易燃、可燃物。防止蒸气泄漏到工作场所空气中。避免与碱类、活性金属粉末、还原剂接触。搬运时要轻装轻卸，防止包装及容器损坏。配备泄漏应急处理设备。倒空的容器可能残留有害物。</w:t>
            </w:r>
          </w:p>
        </w:tc>
      </w:tr>
      <w:tr w14:paraId="4CABAA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5" w:type="dxa"/>
            <w:gridSpan w:val="3"/>
            <w:tcBorders>
              <w:tl2br w:val="nil"/>
              <w:tr2bl w:val="nil"/>
            </w:tcBorders>
            <w:noWrap w:val="0"/>
            <w:vAlign w:val="center"/>
          </w:tcPr>
          <w:p w14:paraId="309ED98F">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储存注意事项</w:t>
            </w:r>
          </w:p>
        </w:tc>
        <w:tc>
          <w:tcPr>
            <w:tcW w:w="6810" w:type="dxa"/>
            <w:gridSpan w:val="7"/>
            <w:tcBorders>
              <w:tl2br w:val="nil"/>
              <w:tr2bl w:val="nil"/>
            </w:tcBorders>
            <w:noWrap w:val="0"/>
            <w:vAlign w:val="center"/>
          </w:tcPr>
          <w:p w14:paraId="2948576F">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储存于阴凉、通风的库房。库温不超过25℃，相对湿度不超过75％。保持容器密封。应与易（可）燃物、碱类、活性金属粉末、还原剂等分开存放，切忌混储。储区应备有泄漏应急处理设备和合适的收容材料。</w:t>
            </w:r>
          </w:p>
        </w:tc>
      </w:tr>
      <w:tr w14:paraId="6762BD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275" w:type="dxa"/>
            <w:gridSpan w:val="3"/>
            <w:tcBorders>
              <w:tl2br w:val="nil"/>
              <w:tr2bl w:val="nil"/>
            </w:tcBorders>
            <w:noWrap w:val="0"/>
            <w:vAlign w:val="center"/>
          </w:tcPr>
          <w:p w14:paraId="2FF24286">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rPr>
              <w:t>职业接触限值</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mg/m</w:t>
            </w:r>
            <w:r>
              <w:rPr>
                <w:rFonts w:hint="default" w:ascii="Times New Roman" w:hAnsi="Times New Roman" w:cs="Times New Roman"/>
                <w:color w:val="auto"/>
                <w:sz w:val="21"/>
                <w:szCs w:val="21"/>
                <w:vertAlign w:val="superscript"/>
              </w:rPr>
              <w:t>3</w:t>
            </w:r>
            <w:r>
              <w:rPr>
                <w:rFonts w:hint="eastAsia" w:ascii="Times New Roman" w:hAnsi="Times New Roman" w:cs="Times New Roman"/>
                <w:color w:val="auto"/>
                <w:sz w:val="21"/>
                <w:szCs w:val="21"/>
                <w:lang w:eastAsia="zh-CN"/>
              </w:rPr>
              <w:t>）</w:t>
            </w:r>
          </w:p>
        </w:tc>
        <w:tc>
          <w:tcPr>
            <w:tcW w:w="2310" w:type="dxa"/>
            <w:tcBorders>
              <w:tl2br w:val="nil"/>
              <w:tr2bl w:val="nil"/>
            </w:tcBorders>
            <w:noWrap w:val="0"/>
            <w:vAlign w:val="center"/>
          </w:tcPr>
          <w:p w14:paraId="2640AA61">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毒理学资料</w:t>
            </w:r>
          </w:p>
        </w:tc>
        <w:tc>
          <w:tcPr>
            <w:tcW w:w="1425" w:type="dxa"/>
            <w:gridSpan w:val="2"/>
            <w:vMerge w:val="restart"/>
            <w:tcBorders>
              <w:tl2br w:val="nil"/>
              <w:tr2bl w:val="nil"/>
            </w:tcBorders>
            <w:noWrap w:val="0"/>
            <w:vAlign w:val="center"/>
          </w:tcPr>
          <w:p w14:paraId="33442E7C">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运</w:t>
            </w:r>
          </w:p>
          <w:p w14:paraId="6304659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输</w:t>
            </w:r>
          </w:p>
          <w:p w14:paraId="6F1407D0">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信</w:t>
            </w:r>
          </w:p>
          <w:p w14:paraId="72D6867B">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息</w:t>
            </w:r>
          </w:p>
        </w:tc>
        <w:tc>
          <w:tcPr>
            <w:tcW w:w="1635" w:type="dxa"/>
            <w:gridSpan w:val="3"/>
            <w:tcBorders>
              <w:tl2br w:val="nil"/>
              <w:tr2bl w:val="nil"/>
            </w:tcBorders>
            <w:noWrap w:val="0"/>
            <w:vAlign w:val="center"/>
          </w:tcPr>
          <w:p w14:paraId="4E65B0B2">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危规号</w:t>
            </w:r>
            <w:r>
              <w:rPr>
                <w:rFonts w:hint="eastAsia" w:cs="Times New Roman"/>
                <w:color w:val="auto"/>
                <w:sz w:val="21"/>
                <w:szCs w:val="21"/>
                <w:lang w:eastAsia="zh-CN"/>
              </w:rPr>
              <w:t>：</w:t>
            </w:r>
            <w:r>
              <w:rPr>
                <w:rFonts w:hint="default" w:ascii="Times New Roman" w:hAnsi="Times New Roman" w:cs="Times New Roman"/>
                <w:color w:val="auto"/>
                <w:sz w:val="21"/>
                <w:szCs w:val="21"/>
              </w:rPr>
              <w:t xml:space="preserve"> 81006</w:t>
            </w:r>
          </w:p>
        </w:tc>
        <w:tc>
          <w:tcPr>
            <w:tcW w:w="1440" w:type="dxa"/>
            <w:tcBorders>
              <w:tl2br w:val="nil"/>
              <w:tr2bl w:val="nil"/>
            </w:tcBorders>
            <w:noWrap w:val="0"/>
            <w:vAlign w:val="center"/>
          </w:tcPr>
          <w:p w14:paraId="34115D4C">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UN编号</w:t>
            </w:r>
            <w:r>
              <w:rPr>
                <w:rFonts w:hint="eastAsia" w:cs="Times New Roman"/>
                <w:color w:val="auto"/>
                <w:sz w:val="21"/>
                <w:szCs w:val="21"/>
                <w:lang w:eastAsia="zh-CN"/>
              </w:rPr>
              <w:t>：</w:t>
            </w:r>
            <w:r>
              <w:rPr>
                <w:rFonts w:hint="default" w:ascii="Times New Roman" w:hAnsi="Times New Roman" w:cs="Times New Roman"/>
                <w:color w:val="auto"/>
                <w:sz w:val="21"/>
                <w:szCs w:val="21"/>
              </w:rPr>
              <w:t xml:space="preserve"> 1831</w:t>
            </w:r>
          </w:p>
        </w:tc>
      </w:tr>
      <w:tr w14:paraId="3CC40F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94" w:type="dxa"/>
            <w:vMerge w:val="restart"/>
            <w:tcBorders>
              <w:tl2br w:val="nil"/>
              <w:tr2bl w:val="nil"/>
            </w:tcBorders>
            <w:noWrap w:val="0"/>
            <w:vAlign w:val="center"/>
          </w:tcPr>
          <w:p w14:paraId="55AAEDA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侵入途径</w:t>
            </w:r>
          </w:p>
        </w:tc>
        <w:tc>
          <w:tcPr>
            <w:tcW w:w="781" w:type="dxa"/>
            <w:gridSpan w:val="2"/>
            <w:vMerge w:val="restart"/>
            <w:tcBorders>
              <w:tl2br w:val="nil"/>
              <w:tr2bl w:val="nil"/>
            </w:tcBorders>
            <w:noWrap w:val="0"/>
            <w:vAlign w:val="center"/>
          </w:tcPr>
          <w:p w14:paraId="013E5809">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吸入、食入</w:t>
            </w:r>
          </w:p>
        </w:tc>
        <w:tc>
          <w:tcPr>
            <w:tcW w:w="2310" w:type="dxa"/>
            <w:vMerge w:val="restart"/>
            <w:tcBorders>
              <w:tl2br w:val="nil"/>
              <w:tr2bl w:val="nil"/>
            </w:tcBorders>
            <w:noWrap w:val="0"/>
            <w:vAlign w:val="center"/>
          </w:tcPr>
          <w:p w14:paraId="716EE8AB">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LD50：80mg/kg</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大鼠经口</w:t>
            </w:r>
            <w:r>
              <w:rPr>
                <w:rFonts w:hint="eastAsia" w:ascii="Times New Roman" w:hAnsi="Times New Roman" w:cs="Times New Roman"/>
                <w:color w:val="auto"/>
                <w:sz w:val="21"/>
                <w:szCs w:val="21"/>
                <w:lang w:eastAsia="zh-CN"/>
              </w:rPr>
              <w:t>）</w:t>
            </w:r>
            <w:r>
              <w:rPr>
                <w:rFonts w:hint="default" w:ascii="Times New Roman" w:hAnsi="Times New Roman" w:cs="Times New Roman"/>
                <w:color w:val="auto"/>
                <w:sz w:val="21"/>
                <w:szCs w:val="21"/>
              </w:rPr>
              <w:t>LC50：无资料</w:t>
            </w:r>
          </w:p>
        </w:tc>
        <w:tc>
          <w:tcPr>
            <w:tcW w:w="1425" w:type="dxa"/>
            <w:gridSpan w:val="2"/>
            <w:vMerge w:val="continue"/>
            <w:tcBorders>
              <w:tl2br w:val="nil"/>
              <w:tr2bl w:val="nil"/>
            </w:tcBorders>
            <w:noWrap w:val="0"/>
            <w:vAlign w:val="center"/>
          </w:tcPr>
          <w:p w14:paraId="6EEE2945">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635" w:type="dxa"/>
            <w:gridSpan w:val="3"/>
            <w:tcBorders>
              <w:tl2br w:val="nil"/>
              <w:tr2bl w:val="nil"/>
            </w:tcBorders>
            <w:noWrap w:val="0"/>
            <w:vAlign w:val="center"/>
          </w:tcPr>
          <w:p w14:paraId="3994317D">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包装类别</w:t>
            </w:r>
            <w:r>
              <w:rPr>
                <w:rFonts w:hint="eastAsia" w:cs="Times New Roman"/>
                <w:color w:val="auto"/>
                <w:sz w:val="21"/>
                <w:szCs w:val="21"/>
                <w:lang w:eastAsia="zh-CN"/>
              </w:rPr>
              <w:t>：</w:t>
            </w:r>
            <w:r>
              <w:rPr>
                <w:rFonts w:hint="default" w:ascii="Times New Roman" w:hAnsi="Times New Roman" w:cs="Times New Roman"/>
                <w:color w:val="auto"/>
                <w:sz w:val="21"/>
                <w:szCs w:val="21"/>
              </w:rPr>
              <w:t xml:space="preserve"> O51</w:t>
            </w:r>
          </w:p>
        </w:tc>
        <w:tc>
          <w:tcPr>
            <w:tcW w:w="1440" w:type="dxa"/>
            <w:tcBorders>
              <w:tl2br w:val="nil"/>
              <w:tr2bl w:val="nil"/>
            </w:tcBorders>
            <w:noWrap w:val="0"/>
            <w:vAlign w:val="center"/>
          </w:tcPr>
          <w:p w14:paraId="0A821CEE">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包装标志</w:t>
            </w:r>
            <w:r>
              <w:rPr>
                <w:rFonts w:hint="eastAsia" w:cs="Times New Roman"/>
                <w:color w:val="auto"/>
                <w:sz w:val="21"/>
                <w:szCs w:val="21"/>
                <w:lang w:eastAsia="zh-CN"/>
              </w:rPr>
              <w:t>：</w:t>
            </w:r>
          </w:p>
        </w:tc>
      </w:tr>
      <w:tr w14:paraId="49A5B0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283" w:hRule="atLeast"/>
        </w:trPr>
        <w:tc>
          <w:tcPr>
            <w:tcW w:w="494" w:type="dxa"/>
            <w:vMerge w:val="continue"/>
            <w:tcBorders>
              <w:tl2br w:val="nil"/>
              <w:tr2bl w:val="nil"/>
            </w:tcBorders>
            <w:noWrap w:val="0"/>
            <w:vAlign w:val="center"/>
          </w:tcPr>
          <w:p w14:paraId="46579288">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781" w:type="dxa"/>
            <w:gridSpan w:val="2"/>
            <w:vMerge w:val="continue"/>
            <w:tcBorders>
              <w:tl2br w:val="nil"/>
              <w:tr2bl w:val="nil"/>
            </w:tcBorders>
            <w:noWrap w:val="0"/>
            <w:vAlign w:val="center"/>
          </w:tcPr>
          <w:p w14:paraId="7F5AB67A">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2310" w:type="dxa"/>
            <w:vMerge w:val="continue"/>
            <w:tcBorders>
              <w:tl2br w:val="nil"/>
              <w:tr2bl w:val="nil"/>
            </w:tcBorders>
            <w:noWrap w:val="0"/>
            <w:vAlign w:val="center"/>
          </w:tcPr>
          <w:p w14:paraId="5FBAFEC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1425" w:type="dxa"/>
            <w:gridSpan w:val="2"/>
            <w:vMerge w:val="continue"/>
            <w:tcBorders>
              <w:tl2br w:val="nil"/>
              <w:tr2bl w:val="nil"/>
            </w:tcBorders>
            <w:noWrap w:val="0"/>
            <w:vAlign w:val="center"/>
          </w:tcPr>
          <w:p w14:paraId="79FC70A4">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p>
        </w:tc>
        <w:tc>
          <w:tcPr>
            <w:tcW w:w="613" w:type="dxa"/>
            <w:tcBorders>
              <w:tl2br w:val="nil"/>
              <w:tr2bl w:val="nil"/>
            </w:tcBorders>
            <w:noWrap w:val="0"/>
            <w:vAlign w:val="center"/>
          </w:tcPr>
          <w:p w14:paraId="4C77CFD3">
            <w:pPr>
              <w:keepNext w:val="0"/>
              <w:keepLines w:val="0"/>
              <w:suppressLineNumbers w:val="0"/>
              <w:spacing w:before="0" w:beforeAutospacing="0" w:after="0" w:afterAutospacing="0"/>
              <w:ind w:left="0" w:right="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包装方法</w:t>
            </w:r>
          </w:p>
        </w:tc>
        <w:tc>
          <w:tcPr>
            <w:tcW w:w="2462" w:type="dxa"/>
            <w:gridSpan w:val="3"/>
            <w:tcBorders>
              <w:tl2br w:val="nil"/>
              <w:tr2bl w:val="nil"/>
            </w:tcBorders>
            <w:noWrap w:val="0"/>
            <w:vAlign w:val="center"/>
          </w:tcPr>
          <w:p w14:paraId="49166E88">
            <w:pPr>
              <w:keepNext w:val="0"/>
              <w:keepLines w:val="0"/>
              <w:suppressLineNumbers w:val="0"/>
              <w:spacing w:before="0" w:beforeAutospacing="0" w:after="0" w:afterAutospacing="0"/>
              <w:ind w:left="0" w:right="0"/>
              <w:jc w:val="left"/>
              <w:rPr>
                <w:rFonts w:hint="default" w:ascii="Times New Roman" w:hAnsi="Times New Roman" w:cs="Times New Roman"/>
                <w:color w:val="auto"/>
                <w:sz w:val="21"/>
                <w:szCs w:val="21"/>
              </w:rPr>
            </w:pPr>
            <w:r>
              <w:rPr>
                <w:rFonts w:hint="default" w:ascii="Times New Roman" w:hAnsi="Times New Roman" w:cs="Times New Roman"/>
                <w:color w:val="auto"/>
                <w:sz w:val="21"/>
                <w:szCs w:val="21"/>
              </w:rPr>
              <w:t>耐酸坛或陶瓷瓶外普通木箱或半花格木箱；磨砂口玻璃瓶或螺纹口玻璃瓶外普通木箱。</w:t>
            </w:r>
          </w:p>
        </w:tc>
      </w:tr>
    </w:tbl>
    <w:p w14:paraId="2173C15F">
      <w:pPr>
        <w:keepNext/>
        <w:keepLines/>
        <w:pageBreakBefore w:val="0"/>
        <w:widowControl w:val="0"/>
        <w:kinsoku/>
        <w:wordWrap/>
        <w:overflowPunct/>
        <w:topLinePunct w:val="0"/>
        <w:autoSpaceDE/>
        <w:autoSpaceDN/>
        <w:bidi w:val="0"/>
        <w:adjustRightInd/>
        <w:snapToGrid/>
        <w:spacing w:line="450" w:lineRule="exact"/>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ascii="Times New Roman" w:hAnsi="Times New Roman" w:eastAsia="黑体" w:cs="Times New Roman"/>
          <w:b/>
          <w:bCs/>
          <w:color w:val="auto"/>
          <w:sz w:val="24"/>
          <w:szCs w:val="24"/>
          <w:highlight w:val="none"/>
          <w:lang w:val="en-US" w:eastAsia="zh-CN"/>
        </w:rPr>
        <w:t>1.2</w:t>
      </w:r>
      <w:r>
        <w:rPr>
          <w:rFonts w:hint="default" w:ascii="Times New Roman" w:hAnsi="Times New Roman" w:eastAsia="黑体" w:cs="Times New Roman"/>
          <w:b/>
          <w:bCs/>
          <w:color w:val="auto"/>
          <w:sz w:val="24"/>
          <w:szCs w:val="24"/>
          <w:highlight w:val="none"/>
        </w:rPr>
        <w:t>环境敏感目标调查</w:t>
      </w:r>
    </w:p>
    <w:p w14:paraId="612F5591">
      <w:pPr>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环境敏感目标见表</w:t>
      </w:r>
      <w:r>
        <w:rPr>
          <w:rFonts w:hint="eastAsia" w:ascii="Times New Roman" w:hAnsi="Times New Roman" w:cs="Times New Roman"/>
          <w:bCs/>
          <w:color w:val="auto"/>
          <w:sz w:val="24"/>
          <w:szCs w:val="24"/>
          <w:highlight w:val="none"/>
          <w:lang w:val="en-US" w:eastAsia="zh-CN"/>
        </w:rPr>
        <w:t>1.2-1</w:t>
      </w:r>
      <w:r>
        <w:rPr>
          <w:rFonts w:hint="eastAsia" w:cs="Times New Roman"/>
          <w:bCs/>
          <w:color w:val="auto"/>
          <w:sz w:val="24"/>
          <w:szCs w:val="24"/>
          <w:highlight w:val="none"/>
          <w:lang w:val="en-US" w:eastAsia="zh-CN"/>
        </w:rPr>
        <w:t>、图1.2-1</w:t>
      </w:r>
      <w:r>
        <w:rPr>
          <w:rFonts w:hint="default" w:ascii="Times New Roman" w:hAnsi="Times New Roman" w:cs="Times New Roman"/>
          <w:bCs/>
          <w:color w:val="auto"/>
          <w:sz w:val="24"/>
          <w:szCs w:val="24"/>
          <w:highlight w:val="none"/>
        </w:rPr>
        <w:t>。</w:t>
      </w:r>
    </w:p>
    <w:p w14:paraId="2370F5EB">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1.2-1</w:t>
      </w:r>
      <w:r>
        <w:rPr>
          <w:rFonts w:hint="default" w:ascii="Times New Roman" w:hAnsi="Times New Roman" w:eastAsia="黑体" w:cs="Times New Roman"/>
          <w:b/>
          <w:bCs/>
          <w:color w:val="auto"/>
          <w:sz w:val="21"/>
          <w:szCs w:val="21"/>
          <w:highlight w:val="none"/>
        </w:rPr>
        <w:t xml:space="preserve">  环境敏感目标特征表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723"/>
        <w:gridCol w:w="1500"/>
        <w:gridCol w:w="1219"/>
        <w:gridCol w:w="227"/>
        <w:gridCol w:w="433"/>
        <w:gridCol w:w="854"/>
        <w:gridCol w:w="423"/>
        <w:gridCol w:w="378"/>
        <w:gridCol w:w="453"/>
        <w:gridCol w:w="141"/>
        <w:gridCol w:w="227"/>
        <w:gridCol w:w="1128"/>
      </w:tblGrid>
      <w:tr w14:paraId="77885F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noWrap w:val="0"/>
            <w:vAlign w:val="center"/>
          </w:tcPr>
          <w:p w14:paraId="398CF6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类别</w:t>
            </w:r>
          </w:p>
        </w:tc>
        <w:tc>
          <w:tcPr>
            <w:tcW w:w="4521" w:type="pct"/>
            <w:gridSpan w:val="12"/>
            <w:noWrap w:val="0"/>
            <w:vAlign w:val="center"/>
          </w:tcPr>
          <w:p w14:paraId="0412444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环境敏感特征</w:t>
            </w:r>
          </w:p>
        </w:tc>
      </w:tr>
      <w:tr w14:paraId="221E11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restart"/>
            <w:noWrap w:val="0"/>
            <w:vAlign w:val="center"/>
          </w:tcPr>
          <w:p w14:paraId="48ECE8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环境空气</w:t>
            </w:r>
          </w:p>
        </w:tc>
        <w:tc>
          <w:tcPr>
            <w:tcW w:w="4521" w:type="pct"/>
            <w:gridSpan w:val="12"/>
            <w:noWrap w:val="0"/>
            <w:vAlign w:val="center"/>
          </w:tcPr>
          <w:p w14:paraId="2E8F6C9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厂址周边5km范围内</w:t>
            </w:r>
          </w:p>
        </w:tc>
      </w:tr>
      <w:tr w14:paraId="6F13B2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3188D3C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3654727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80" w:type="pct"/>
            <w:noWrap w:val="0"/>
            <w:vAlign w:val="center"/>
          </w:tcPr>
          <w:p w14:paraId="08EF9B8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敏感目标名称</w:t>
            </w:r>
          </w:p>
        </w:tc>
        <w:tc>
          <w:tcPr>
            <w:tcW w:w="715" w:type="pct"/>
            <w:noWrap w:val="0"/>
            <w:vAlign w:val="center"/>
          </w:tcPr>
          <w:p w14:paraId="4A44FE8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相对方位</w:t>
            </w:r>
          </w:p>
        </w:tc>
        <w:tc>
          <w:tcPr>
            <w:tcW w:w="888" w:type="pct"/>
            <w:gridSpan w:val="3"/>
            <w:noWrap w:val="0"/>
            <w:vAlign w:val="center"/>
          </w:tcPr>
          <w:p w14:paraId="5C55F81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距离/m</w:t>
            </w:r>
          </w:p>
        </w:tc>
        <w:tc>
          <w:tcPr>
            <w:tcW w:w="735" w:type="pct"/>
            <w:gridSpan w:val="3"/>
            <w:noWrap w:val="0"/>
            <w:vAlign w:val="center"/>
          </w:tcPr>
          <w:p w14:paraId="19DCBC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属性</w:t>
            </w:r>
          </w:p>
        </w:tc>
        <w:tc>
          <w:tcPr>
            <w:tcW w:w="877" w:type="pct"/>
            <w:gridSpan w:val="3"/>
            <w:noWrap w:val="0"/>
            <w:vAlign w:val="center"/>
          </w:tcPr>
          <w:p w14:paraId="7CDAAD4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人口数</w:t>
            </w:r>
          </w:p>
        </w:tc>
      </w:tr>
      <w:tr w14:paraId="64F032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0072E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38293BE8">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p>
        </w:tc>
        <w:tc>
          <w:tcPr>
            <w:tcW w:w="880" w:type="pct"/>
            <w:noWrap w:val="0"/>
            <w:vAlign w:val="center"/>
          </w:tcPr>
          <w:p w14:paraId="15BEABF8">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南韩村</w:t>
            </w:r>
          </w:p>
        </w:tc>
        <w:tc>
          <w:tcPr>
            <w:tcW w:w="715" w:type="pct"/>
            <w:noWrap w:val="0"/>
            <w:vAlign w:val="center"/>
          </w:tcPr>
          <w:p w14:paraId="1E294D0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WSW</w:t>
            </w:r>
          </w:p>
        </w:tc>
        <w:tc>
          <w:tcPr>
            <w:tcW w:w="888" w:type="pct"/>
            <w:gridSpan w:val="3"/>
            <w:noWrap w:val="0"/>
            <w:vAlign w:val="center"/>
          </w:tcPr>
          <w:p w14:paraId="3C469B3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400</w:t>
            </w:r>
          </w:p>
        </w:tc>
        <w:tc>
          <w:tcPr>
            <w:tcW w:w="735" w:type="pct"/>
            <w:gridSpan w:val="3"/>
            <w:noWrap w:val="0"/>
            <w:vAlign w:val="center"/>
          </w:tcPr>
          <w:p w14:paraId="2A8509D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30A82C54">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w:t>
            </w:r>
            <w:r>
              <w:rPr>
                <w:rFonts w:hint="eastAsia" w:eastAsia="宋体"/>
                <w:color w:val="auto"/>
                <w:sz w:val="21"/>
                <w:lang w:val="en-US" w:eastAsia="zh-CN"/>
              </w:rPr>
              <w:t>2</w:t>
            </w:r>
            <w:r>
              <w:rPr>
                <w:rFonts w:hint="default" w:eastAsia="宋体"/>
                <w:color w:val="auto"/>
                <w:sz w:val="21"/>
                <w:lang w:val="en-US"/>
              </w:rPr>
              <w:t>40</w:t>
            </w:r>
          </w:p>
        </w:tc>
      </w:tr>
      <w:tr w14:paraId="50BA59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32364C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0A5D2BDB">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w:t>
            </w:r>
          </w:p>
        </w:tc>
        <w:tc>
          <w:tcPr>
            <w:tcW w:w="880" w:type="pct"/>
            <w:noWrap w:val="0"/>
            <w:vAlign w:val="center"/>
          </w:tcPr>
          <w:p w14:paraId="22DBFC64">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北韩村</w:t>
            </w:r>
          </w:p>
        </w:tc>
        <w:tc>
          <w:tcPr>
            <w:tcW w:w="715" w:type="pct"/>
            <w:noWrap w:val="0"/>
            <w:vAlign w:val="center"/>
          </w:tcPr>
          <w:p w14:paraId="4B1C510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w:t>
            </w:r>
          </w:p>
        </w:tc>
        <w:tc>
          <w:tcPr>
            <w:tcW w:w="888" w:type="pct"/>
            <w:gridSpan w:val="3"/>
            <w:noWrap w:val="0"/>
            <w:vAlign w:val="center"/>
          </w:tcPr>
          <w:p w14:paraId="3286E79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620</w:t>
            </w:r>
          </w:p>
        </w:tc>
        <w:tc>
          <w:tcPr>
            <w:tcW w:w="735" w:type="pct"/>
            <w:gridSpan w:val="3"/>
            <w:noWrap w:val="0"/>
            <w:vAlign w:val="center"/>
          </w:tcPr>
          <w:p w14:paraId="0864592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5ECE158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764</w:t>
            </w:r>
          </w:p>
        </w:tc>
      </w:tr>
      <w:tr w14:paraId="5D6AE07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E669EE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3DA6A9C5">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w:t>
            </w:r>
          </w:p>
        </w:tc>
        <w:tc>
          <w:tcPr>
            <w:tcW w:w="880" w:type="pct"/>
            <w:noWrap w:val="0"/>
            <w:vAlign w:val="center"/>
          </w:tcPr>
          <w:p w14:paraId="29FBCFA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洼子村</w:t>
            </w:r>
          </w:p>
        </w:tc>
        <w:tc>
          <w:tcPr>
            <w:tcW w:w="715" w:type="pct"/>
            <w:noWrap w:val="0"/>
            <w:vAlign w:val="center"/>
          </w:tcPr>
          <w:p w14:paraId="44FB721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SW</w:t>
            </w:r>
          </w:p>
        </w:tc>
        <w:tc>
          <w:tcPr>
            <w:tcW w:w="888" w:type="pct"/>
            <w:gridSpan w:val="3"/>
            <w:noWrap w:val="0"/>
            <w:vAlign w:val="center"/>
          </w:tcPr>
          <w:p w14:paraId="1196EF4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1230</w:t>
            </w:r>
          </w:p>
        </w:tc>
        <w:tc>
          <w:tcPr>
            <w:tcW w:w="735" w:type="pct"/>
            <w:gridSpan w:val="3"/>
            <w:noWrap w:val="0"/>
            <w:vAlign w:val="center"/>
          </w:tcPr>
          <w:p w14:paraId="1BB913A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1CC9142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w:t>
            </w:r>
            <w:r>
              <w:rPr>
                <w:rFonts w:hint="eastAsia" w:eastAsia="宋体"/>
                <w:color w:val="auto"/>
                <w:sz w:val="21"/>
                <w:lang w:val="en-US" w:eastAsia="zh-CN"/>
              </w:rPr>
              <w:t>3</w:t>
            </w:r>
            <w:r>
              <w:rPr>
                <w:rFonts w:hint="default" w:eastAsia="宋体"/>
                <w:color w:val="auto"/>
                <w:sz w:val="21"/>
                <w:lang w:val="en-US"/>
              </w:rPr>
              <w:t>96</w:t>
            </w:r>
          </w:p>
        </w:tc>
      </w:tr>
      <w:tr w14:paraId="20671F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0653F3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24361A4F">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4</w:t>
            </w:r>
          </w:p>
        </w:tc>
        <w:tc>
          <w:tcPr>
            <w:tcW w:w="880" w:type="pct"/>
            <w:noWrap w:val="0"/>
            <w:vAlign w:val="center"/>
          </w:tcPr>
          <w:p w14:paraId="1041C99B">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东官村</w:t>
            </w:r>
          </w:p>
        </w:tc>
        <w:tc>
          <w:tcPr>
            <w:tcW w:w="715" w:type="pct"/>
            <w:noWrap w:val="0"/>
            <w:vAlign w:val="center"/>
          </w:tcPr>
          <w:p w14:paraId="7851E3A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w:t>
            </w:r>
          </w:p>
        </w:tc>
        <w:tc>
          <w:tcPr>
            <w:tcW w:w="888" w:type="pct"/>
            <w:gridSpan w:val="3"/>
            <w:noWrap w:val="0"/>
            <w:vAlign w:val="center"/>
          </w:tcPr>
          <w:p w14:paraId="3962535B">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1420</w:t>
            </w:r>
          </w:p>
        </w:tc>
        <w:tc>
          <w:tcPr>
            <w:tcW w:w="735" w:type="pct"/>
            <w:gridSpan w:val="3"/>
            <w:noWrap w:val="0"/>
            <w:vAlign w:val="center"/>
          </w:tcPr>
          <w:p w14:paraId="288823A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39E5CBE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1172</w:t>
            </w:r>
          </w:p>
        </w:tc>
      </w:tr>
      <w:tr w14:paraId="12868B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DD5B0E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77FF906D">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5</w:t>
            </w:r>
          </w:p>
        </w:tc>
        <w:tc>
          <w:tcPr>
            <w:tcW w:w="880" w:type="pct"/>
            <w:noWrap w:val="0"/>
            <w:vAlign w:val="center"/>
          </w:tcPr>
          <w:p w14:paraId="24AD3B3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河东村</w:t>
            </w:r>
          </w:p>
        </w:tc>
        <w:tc>
          <w:tcPr>
            <w:tcW w:w="715" w:type="pct"/>
            <w:noWrap w:val="0"/>
            <w:vAlign w:val="center"/>
          </w:tcPr>
          <w:p w14:paraId="31D6D60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SSW</w:t>
            </w:r>
          </w:p>
        </w:tc>
        <w:tc>
          <w:tcPr>
            <w:tcW w:w="888" w:type="pct"/>
            <w:gridSpan w:val="3"/>
            <w:noWrap w:val="0"/>
            <w:vAlign w:val="center"/>
          </w:tcPr>
          <w:p w14:paraId="4C17418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1600</w:t>
            </w:r>
          </w:p>
        </w:tc>
        <w:tc>
          <w:tcPr>
            <w:tcW w:w="735" w:type="pct"/>
            <w:gridSpan w:val="3"/>
            <w:noWrap w:val="0"/>
            <w:vAlign w:val="center"/>
          </w:tcPr>
          <w:p w14:paraId="3FB8B2B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504AE16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2</w:t>
            </w:r>
            <w:r>
              <w:rPr>
                <w:rFonts w:hint="default" w:eastAsia="宋体"/>
                <w:color w:val="auto"/>
                <w:sz w:val="21"/>
                <w:lang w:val="en-US"/>
              </w:rPr>
              <w:t>712</w:t>
            </w:r>
          </w:p>
        </w:tc>
      </w:tr>
      <w:tr w14:paraId="3E5940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2E94D99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725E1C8F">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6</w:t>
            </w:r>
          </w:p>
        </w:tc>
        <w:tc>
          <w:tcPr>
            <w:tcW w:w="880" w:type="pct"/>
            <w:noWrap w:val="0"/>
            <w:vAlign w:val="center"/>
          </w:tcPr>
          <w:p w14:paraId="4C095F7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西官村</w:t>
            </w:r>
          </w:p>
        </w:tc>
        <w:tc>
          <w:tcPr>
            <w:tcW w:w="715" w:type="pct"/>
            <w:noWrap w:val="0"/>
            <w:vAlign w:val="center"/>
          </w:tcPr>
          <w:p w14:paraId="17CFE52A">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WNW</w:t>
            </w:r>
          </w:p>
        </w:tc>
        <w:tc>
          <w:tcPr>
            <w:tcW w:w="888" w:type="pct"/>
            <w:gridSpan w:val="3"/>
            <w:noWrap w:val="0"/>
            <w:vAlign w:val="center"/>
          </w:tcPr>
          <w:p w14:paraId="6B9D091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1900</w:t>
            </w:r>
          </w:p>
        </w:tc>
        <w:tc>
          <w:tcPr>
            <w:tcW w:w="735" w:type="pct"/>
            <w:gridSpan w:val="3"/>
            <w:noWrap w:val="0"/>
            <w:vAlign w:val="center"/>
          </w:tcPr>
          <w:p w14:paraId="5CF03C6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733EAC8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1140</w:t>
            </w:r>
          </w:p>
        </w:tc>
      </w:tr>
      <w:tr w14:paraId="4D9526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00A3EA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7627C00A">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7</w:t>
            </w:r>
          </w:p>
        </w:tc>
        <w:tc>
          <w:tcPr>
            <w:tcW w:w="880" w:type="pct"/>
            <w:noWrap w:val="0"/>
            <w:vAlign w:val="center"/>
          </w:tcPr>
          <w:p w14:paraId="03FADA0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下黄村</w:t>
            </w:r>
          </w:p>
        </w:tc>
        <w:tc>
          <w:tcPr>
            <w:tcW w:w="715" w:type="pct"/>
            <w:noWrap w:val="0"/>
            <w:vAlign w:val="center"/>
          </w:tcPr>
          <w:p w14:paraId="2067120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SW</w:t>
            </w:r>
          </w:p>
        </w:tc>
        <w:tc>
          <w:tcPr>
            <w:tcW w:w="888" w:type="pct"/>
            <w:gridSpan w:val="3"/>
            <w:noWrap w:val="0"/>
            <w:vAlign w:val="center"/>
          </w:tcPr>
          <w:p w14:paraId="5546660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2150</w:t>
            </w:r>
          </w:p>
        </w:tc>
        <w:tc>
          <w:tcPr>
            <w:tcW w:w="735" w:type="pct"/>
            <w:gridSpan w:val="3"/>
            <w:noWrap w:val="0"/>
            <w:vAlign w:val="center"/>
          </w:tcPr>
          <w:p w14:paraId="4DA06BE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77DEDC62">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726</w:t>
            </w:r>
          </w:p>
        </w:tc>
      </w:tr>
      <w:tr w14:paraId="1A81405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29D389F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098736D6">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8</w:t>
            </w:r>
          </w:p>
        </w:tc>
        <w:tc>
          <w:tcPr>
            <w:tcW w:w="880" w:type="pct"/>
            <w:noWrap w:val="0"/>
            <w:vAlign w:val="center"/>
          </w:tcPr>
          <w:p w14:paraId="2C7DFFB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上黄村</w:t>
            </w:r>
          </w:p>
        </w:tc>
        <w:tc>
          <w:tcPr>
            <w:tcW w:w="715" w:type="pct"/>
            <w:noWrap w:val="0"/>
            <w:vAlign w:val="center"/>
          </w:tcPr>
          <w:p w14:paraId="30123A64">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SSW</w:t>
            </w:r>
          </w:p>
        </w:tc>
        <w:tc>
          <w:tcPr>
            <w:tcW w:w="888" w:type="pct"/>
            <w:gridSpan w:val="3"/>
            <w:noWrap w:val="0"/>
            <w:vAlign w:val="center"/>
          </w:tcPr>
          <w:p w14:paraId="0E6FD04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2350</w:t>
            </w:r>
          </w:p>
        </w:tc>
        <w:tc>
          <w:tcPr>
            <w:tcW w:w="735" w:type="pct"/>
            <w:gridSpan w:val="3"/>
            <w:noWrap w:val="0"/>
            <w:vAlign w:val="center"/>
          </w:tcPr>
          <w:p w14:paraId="032D8D4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4B586E1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384</w:t>
            </w:r>
          </w:p>
        </w:tc>
      </w:tr>
      <w:tr w14:paraId="18E91E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0E14904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25778B03">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9</w:t>
            </w:r>
          </w:p>
        </w:tc>
        <w:tc>
          <w:tcPr>
            <w:tcW w:w="880" w:type="pct"/>
            <w:noWrap w:val="0"/>
            <w:vAlign w:val="center"/>
          </w:tcPr>
          <w:p w14:paraId="1C15AF5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鲁家村</w:t>
            </w:r>
          </w:p>
        </w:tc>
        <w:tc>
          <w:tcPr>
            <w:tcW w:w="715" w:type="pct"/>
            <w:noWrap w:val="0"/>
            <w:vAlign w:val="center"/>
          </w:tcPr>
          <w:p w14:paraId="43BDD62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WSW</w:t>
            </w:r>
          </w:p>
        </w:tc>
        <w:tc>
          <w:tcPr>
            <w:tcW w:w="888" w:type="pct"/>
            <w:gridSpan w:val="3"/>
            <w:noWrap w:val="0"/>
            <w:vAlign w:val="center"/>
          </w:tcPr>
          <w:p w14:paraId="61F8560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2350</w:t>
            </w:r>
          </w:p>
        </w:tc>
        <w:tc>
          <w:tcPr>
            <w:tcW w:w="735" w:type="pct"/>
            <w:gridSpan w:val="3"/>
            <w:noWrap w:val="0"/>
            <w:vAlign w:val="center"/>
          </w:tcPr>
          <w:p w14:paraId="04F1489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347BF81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834</w:t>
            </w:r>
          </w:p>
        </w:tc>
      </w:tr>
      <w:tr w14:paraId="2CF898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5F57D5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07684190">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10</w:t>
            </w:r>
          </w:p>
        </w:tc>
        <w:tc>
          <w:tcPr>
            <w:tcW w:w="880" w:type="pct"/>
            <w:noWrap w:val="0"/>
            <w:vAlign w:val="center"/>
          </w:tcPr>
          <w:p w14:paraId="2C3884E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辛庄村</w:t>
            </w:r>
          </w:p>
        </w:tc>
        <w:tc>
          <w:tcPr>
            <w:tcW w:w="715" w:type="pct"/>
            <w:noWrap w:val="0"/>
            <w:vAlign w:val="center"/>
          </w:tcPr>
          <w:p w14:paraId="332FE61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E</w:t>
            </w:r>
          </w:p>
        </w:tc>
        <w:tc>
          <w:tcPr>
            <w:tcW w:w="888" w:type="pct"/>
            <w:gridSpan w:val="3"/>
            <w:noWrap w:val="0"/>
            <w:vAlign w:val="center"/>
          </w:tcPr>
          <w:p w14:paraId="27B4B0F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2600</w:t>
            </w:r>
          </w:p>
        </w:tc>
        <w:tc>
          <w:tcPr>
            <w:tcW w:w="735" w:type="pct"/>
            <w:gridSpan w:val="3"/>
            <w:noWrap w:val="0"/>
            <w:vAlign w:val="center"/>
          </w:tcPr>
          <w:p w14:paraId="2DB75D7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7A411B2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735</w:t>
            </w:r>
          </w:p>
        </w:tc>
      </w:tr>
      <w:tr w14:paraId="2F8C1D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434B7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6D31F272">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11</w:t>
            </w:r>
          </w:p>
        </w:tc>
        <w:tc>
          <w:tcPr>
            <w:tcW w:w="880" w:type="pct"/>
            <w:noWrap w:val="0"/>
            <w:vAlign w:val="center"/>
          </w:tcPr>
          <w:p w14:paraId="5CF7193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岳店村</w:t>
            </w:r>
          </w:p>
        </w:tc>
        <w:tc>
          <w:tcPr>
            <w:tcW w:w="715" w:type="pct"/>
            <w:noWrap w:val="0"/>
            <w:vAlign w:val="center"/>
          </w:tcPr>
          <w:p w14:paraId="5580C2FB">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NW</w:t>
            </w:r>
          </w:p>
        </w:tc>
        <w:tc>
          <w:tcPr>
            <w:tcW w:w="888" w:type="pct"/>
            <w:gridSpan w:val="3"/>
            <w:noWrap w:val="0"/>
            <w:vAlign w:val="center"/>
          </w:tcPr>
          <w:p w14:paraId="578C1AE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2700</w:t>
            </w:r>
          </w:p>
        </w:tc>
        <w:tc>
          <w:tcPr>
            <w:tcW w:w="735" w:type="pct"/>
            <w:gridSpan w:val="3"/>
            <w:noWrap w:val="0"/>
            <w:vAlign w:val="center"/>
          </w:tcPr>
          <w:p w14:paraId="3F8A50C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5AE85BF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1097</w:t>
            </w:r>
          </w:p>
        </w:tc>
      </w:tr>
      <w:tr w14:paraId="331023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602701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5FCF900B">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12</w:t>
            </w:r>
          </w:p>
        </w:tc>
        <w:tc>
          <w:tcPr>
            <w:tcW w:w="880" w:type="pct"/>
            <w:noWrap w:val="0"/>
            <w:vAlign w:val="center"/>
          </w:tcPr>
          <w:p w14:paraId="22D9941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于家村</w:t>
            </w:r>
          </w:p>
        </w:tc>
        <w:tc>
          <w:tcPr>
            <w:tcW w:w="715" w:type="pct"/>
            <w:noWrap w:val="0"/>
            <w:vAlign w:val="center"/>
          </w:tcPr>
          <w:p w14:paraId="14FDDEB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SSW</w:t>
            </w:r>
          </w:p>
        </w:tc>
        <w:tc>
          <w:tcPr>
            <w:tcW w:w="888" w:type="pct"/>
            <w:gridSpan w:val="3"/>
            <w:noWrap w:val="0"/>
            <w:vAlign w:val="center"/>
          </w:tcPr>
          <w:p w14:paraId="64864BD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2890</w:t>
            </w:r>
          </w:p>
        </w:tc>
        <w:tc>
          <w:tcPr>
            <w:tcW w:w="735" w:type="pct"/>
            <w:gridSpan w:val="3"/>
            <w:noWrap w:val="0"/>
            <w:vAlign w:val="center"/>
          </w:tcPr>
          <w:p w14:paraId="13F918A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043B05F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1254</w:t>
            </w:r>
          </w:p>
        </w:tc>
      </w:tr>
      <w:tr w14:paraId="397418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09B11BC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66AD25D5">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13</w:t>
            </w:r>
          </w:p>
        </w:tc>
        <w:tc>
          <w:tcPr>
            <w:tcW w:w="880" w:type="pct"/>
            <w:noWrap w:val="0"/>
            <w:vAlign w:val="center"/>
          </w:tcPr>
          <w:p w14:paraId="04ED2C9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大鸢桥村</w:t>
            </w:r>
          </w:p>
        </w:tc>
        <w:tc>
          <w:tcPr>
            <w:tcW w:w="715" w:type="pct"/>
            <w:noWrap w:val="0"/>
            <w:vAlign w:val="center"/>
          </w:tcPr>
          <w:p w14:paraId="7EEB057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WSW</w:t>
            </w:r>
          </w:p>
        </w:tc>
        <w:tc>
          <w:tcPr>
            <w:tcW w:w="888" w:type="pct"/>
            <w:gridSpan w:val="3"/>
            <w:noWrap w:val="0"/>
            <w:vAlign w:val="center"/>
          </w:tcPr>
          <w:p w14:paraId="1957C03B">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3000</w:t>
            </w:r>
          </w:p>
        </w:tc>
        <w:tc>
          <w:tcPr>
            <w:tcW w:w="735" w:type="pct"/>
            <w:gridSpan w:val="3"/>
            <w:noWrap w:val="0"/>
            <w:vAlign w:val="center"/>
          </w:tcPr>
          <w:p w14:paraId="7ED7C33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0ADE8E4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2</w:t>
            </w:r>
            <w:r>
              <w:rPr>
                <w:rFonts w:hint="default" w:eastAsia="宋体"/>
                <w:color w:val="auto"/>
                <w:sz w:val="21"/>
                <w:lang w:val="en-US"/>
              </w:rPr>
              <w:t>149</w:t>
            </w:r>
          </w:p>
        </w:tc>
      </w:tr>
      <w:tr w14:paraId="199A3D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8A319D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25AAF70C">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14</w:t>
            </w:r>
          </w:p>
        </w:tc>
        <w:tc>
          <w:tcPr>
            <w:tcW w:w="880" w:type="pct"/>
            <w:noWrap w:val="0"/>
            <w:vAlign w:val="center"/>
          </w:tcPr>
          <w:p w14:paraId="4921311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四角方村</w:t>
            </w:r>
          </w:p>
        </w:tc>
        <w:tc>
          <w:tcPr>
            <w:tcW w:w="715" w:type="pct"/>
            <w:noWrap w:val="0"/>
            <w:vAlign w:val="center"/>
          </w:tcPr>
          <w:p w14:paraId="53C7E14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NNE</w:t>
            </w:r>
          </w:p>
        </w:tc>
        <w:tc>
          <w:tcPr>
            <w:tcW w:w="888" w:type="pct"/>
            <w:gridSpan w:val="3"/>
            <w:noWrap w:val="0"/>
            <w:vAlign w:val="center"/>
          </w:tcPr>
          <w:p w14:paraId="6DEB4B8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3000</w:t>
            </w:r>
          </w:p>
        </w:tc>
        <w:tc>
          <w:tcPr>
            <w:tcW w:w="735" w:type="pct"/>
            <w:gridSpan w:val="3"/>
            <w:noWrap w:val="0"/>
            <w:vAlign w:val="center"/>
          </w:tcPr>
          <w:p w14:paraId="3215A5F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2C2EE15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1701</w:t>
            </w:r>
          </w:p>
        </w:tc>
      </w:tr>
      <w:tr w14:paraId="29EC77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3865CE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75F55ED8">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15</w:t>
            </w:r>
          </w:p>
        </w:tc>
        <w:tc>
          <w:tcPr>
            <w:tcW w:w="880" w:type="pct"/>
            <w:noWrap w:val="0"/>
            <w:vAlign w:val="center"/>
          </w:tcPr>
          <w:p w14:paraId="3277E46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罗村村</w:t>
            </w:r>
          </w:p>
        </w:tc>
        <w:tc>
          <w:tcPr>
            <w:tcW w:w="715" w:type="pct"/>
            <w:noWrap w:val="0"/>
            <w:vAlign w:val="center"/>
          </w:tcPr>
          <w:p w14:paraId="7B71E56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SW</w:t>
            </w:r>
          </w:p>
        </w:tc>
        <w:tc>
          <w:tcPr>
            <w:tcW w:w="888" w:type="pct"/>
            <w:gridSpan w:val="3"/>
            <w:noWrap w:val="0"/>
            <w:vAlign w:val="center"/>
          </w:tcPr>
          <w:p w14:paraId="3F54823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3020</w:t>
            </w:r>
          </w:p>
        </w:tc>
        <w:tc>
          <w:tcPr>
            <w:tcW w:w="735" w:type="pct"/>
            <w:gridSpan w:val="3"/>
            <w:noWrap w:val="0"/>
            <w:vAlign w:val="center"/>
          </w:tcPr>
          <w:p w14:paraId="3F55FD82">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47F24B92">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4</w:t>
            </w:r>
            <w:r>
              <w:rPr>
                <w:rFonts w:hint="default" w:eastAsia="宋体"/>
                <w:color w:val="auto"/>
                <w:sz w:val="21"/>
                <w:lang w:val="en-US"/>
              </w:rPr>
              <w:t>769</w:t>
            </w:r>
          </w:p>
        </w:tc>
      </w:tr>
      <w:tr w14:paraId="168D2B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C68F2B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4D5A1CCB">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16</w:t>
            </w:r>
          </w:p>
        </w:tc>
        <w:tc>
          <w:tcPr>
            <w:tcW w:w="880" w:type="pct"/>
            <w:noWrap w:val="0"/>
            <w:vAlign w:val="center"/>
          </w:tcPr>
          <w:p w14:paraId="2143994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郭辛村</w:t>
            </w:r>
          </w:p>
        </w:tc>
        <w:tc>
          <w:tcPr>
            <w:tcW w:w="715" w:type="pct"/>
            <w:noWrap w:val="0"/>
            <w:vAlign w:val="center"/>
          </w:tcPr>
          <w:p w14:paraId="0E39A26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NW</w:t>
            </w:r>
          </w:p>
        </w:tc>
        <w:tc>
          <w:tcPr>
            <w:tcW w:w="888" w:type="pct"/>
            <w:gridSpan w:val="3"/>
            <w:noWrap w:val="0"/>
            <w:vAlign w:val="center"/>
          </w:tcPr>
          <w:p w14:paraId="468E8FBA">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3200</w:t>
            </w:r>
          </w:p>
        </w:tc>
        <w:tc>
          <w:tcPr>
            <w:tcW w:w="735" w:type="pct"/>
            <w:gridSpan w:val="3"/>
            <w:noWrap w:val="0"/>
            <w:vAlign w:val="center"/>
          </w:tcPr>
          <w:p w14:paraId="6DAD485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38D4D81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622</w:t>
            </w:r>
          </w:p>
        </w:tc>
      </w:tr>
      <w:tr w14:paraId="2AE43D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3F1A0D0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5D62E747">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17</w:t>
            </w:r>
          </w:p>
        </w:tc>
        <w:tc>
          <w:tcPr>
            <w:tcW w:w="880" w:type="pct"/>
            <w:noWrap w:val="0"/>
            <w:vAlign w:val="center"/>
          </w:tcPr>
          <w:p w14:paraId="6A4860B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太平村</w:t>
            </w:r>
          </w:p>
        </w:tc>
        <w:tc>
          <w:tcPr>
            <w:tcW w:w="715" w:type="pct"/>
            <w:noWrap w:val="0"/>
            <w:vAlign w:val="center"/>
          </w:tcPr>
          <w:p w14:paraId="4C27804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SSW</w:t>
            </w:r>
          </w:p>
        </w:tc>
        <w:tc>
          <w:tcPr>
            <w:tcW w:w="888" w:type="pct"/>
            <w:gridSpan w:val="3"/>
            <w:noWrap w:val="0"/>
            <w:vAlign w:val="center"/>
          </w:tcPr>
          <w:p w14:paraId="41C7AF4A">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3290</w:t>
            </w:r>
          </w:p>
        </w:tc>
        <w:tc>
          <w:tcPr>
            <w:tcW w:w="735" w:type="pct"/>
            <w:gridSpan w:val="3"/>
            <w:noWrap w:val="0"/>
            <w:vAlign w:val="center"/>
          </w:tcPr>
          <w:p w14:paraId="6A18E511">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0129DE4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532</w:t>
            </w:r>
          </w:p>
        </w:tc>
      </w:tr>
      <w:tr w14:paraId="70E1F0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396DFB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337078D1">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18</w:t>
            </w:r>
          </w:p>
        </w:tc>
        <w:tc>
          <w:tcPr>
            <w:tcW w:w="880" w:type="pct"/>
            <w:noWrap w:val="0"/>
            <w:vAlign w:val="center"/>
          </w:tcPr>
          <w:p w14:paraId="3800FB7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聂村</w:t>
            </w:r>
          </w:p>
        </w:tc>
        <w:tc>
          <w:tcPr>
            <w:tcW w:w="715" w:type="pct"/>
            <w:noWrap w:val="0"/>
            <w:vAlign w:val="center"/>
          </w:tcPr>
          <w:p w14:paraId="75D7E80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WNW</w:t>
            </w:r>
          </w:p>
        </w:tc>
        <w:tc>
          <w:tcPr>
            <w:tcW w:w="888" w:type="pct"/>
            <w:gridSpan w:val="3"/>
            <w:noWrap w:val="0"/>
            <w:vAlign w:val="center"/>
          </w:tcPr>
          <w:p w14:paraId="62F09B7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3300</w:t>
            </w:r>
          </w:p>
        </w:tc>
        <w:tc>
          <w:tcPr>
            <w:tcW w:w="735" w:type="pct"/>
            <w:gridSpan w:val="3"/>
            <w:noWrap w:val="0"/>
            <w:vAlign w:val="center"/>
          </w:tcPr>
          <w:p w14:paraId="5DD1728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71D5722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2144</w:t>
            </w:r>
          </w:p>
        </w:tc>
      </w:tr>
      <w:tr w14:paraId="7C1373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020149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480FD5FA">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19</w:t>
            </w:r>
          </w:p>
        </w:tc>
        <w:tc>
          <w:tcPr>
            <w:tcW w:w="880" w:type="pct"/>
            <w:noWrap w:val="0"/>
            <w:vAlign w:val="center"/>
          </w:tcPr>
          <w:p w14:paraId="5ABF673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田家村</w:t>
            </w:r>
          </w:p>
        </w:tc>
        <w:tc>
          <w:tcPr>
            <w:tcW w:w="715" w:type="pct"/>
            <w:noWrap w:val="0"/>
            <w:vAlign w:val="center"/>
          </w:tcPr>
          <w:p w14:paraId="7204F5E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NW</w:t>
            </w:r>
          </w:p>
        </w:tc>
        <w:tc>
          <w:tcPr>
            <w:tcW w:w="888" w:type="pct"/>
            <w:gridSpan w:val="3"/>
            <w:noWrap w:val="0"/>
            <w:vAlign w:val="center"/>
          </w:tcPr>
          <w:p w14:paraId="0D979F64">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3600</w:t>
            </w:r>
          </w:p>
        </w:tc>
        <w:tc>
          <w:tcPr>
            <w:tcW w:w="735" w:type="pct"/>
            <w:gridSpan w:val="3"/>
            <w:noWrap w:val="0"/>
            <w:vAlign w:val="center"/>
          </w:tcPr>
          <w:p w14:paraId="055BD99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2675187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2</w:t>
            </w:r>
            <w:r>
              <w:rPr>
                <w:rFonts w:hint="default" w:eastAsia="宋体"/>
                <w:color w:val="auto"/>
                <w:sz w:val="21"/>
                <w:lang w:val="en-US"/>
              </w:rPr>
              <w:t>045</w:t>
            </w:r>
          </w:p>
        </w:tc>
      </w:tr>
      <w:tr w14:paraId="329F8D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EFB99A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2B95F545">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20</w:t>
            </w:r>
          </w:p>
        </w:tc>
        <w:tc>
          <w:tcPr>
            <w:tcW w:w="880" w:type="pct"/>
            <w:noWrap w:val="0"/>
            <w:vAlign w:val="center"/>
          </w:tcPr>
          <w:p w14:paraId="09D11A5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小鸢桥村</w:t>
            </w:r>
          </w:p>
        </w:tc>
        <w:tc>
          <w:tcPr>
            <w:tcW w:w="715" w:type="pct"/>
            <w:noWrap w:val="0"/>
            <w:vAlign w:val="center"/>
          </w:tcPr>
          <w:p w14:paraId="24F253E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SW</w:t>
            </w:r>
          </w:p>
        </w:tc>
        <w:tc>
          <w:tcPr>
            <w:tcW w:w="888" w:type="pct"/>
            <w:gridSpan w:val="3"/>
            <w:noWrap w:val="0"/>
            <w:vAlign w:val="center"/>
          </w:tcPr>
          <w:p w14:paraId="64D0871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3850</w:t>
            </w:r>
          </w:p>
        </w:tc>
        <w:tc>
          <w:tcPr>
            <w:tcW w:w="735" w:type="pct"/>
            <w:gridSpan w:val="3"/>
            <w:noWrap w:val="0"/>
            <w:vAlign w:val="center"/>
          </w:tcPr>
          <w:p w14:paraId="361E339C">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0D49E948">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1343</w:t>
            </w:r>
          </w:p>
        </w:tc>
      </w:tr>
      <w:tr w14:paraId="694DCE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73A448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6E991876">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21</w:t>
            </w:r>
          </w:p>
        </w:tc>
        <w:tc>
          <w:tcPr>
            <w:tcW w:w="880" w:type="pct"/>
            <w:noWrap w:val="0"/>
            <w:vAlign w:val="center"/>
          </w:tcPr>
          <w:p w14:paraId="2CD811FA">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前河村</w:t>
            </w:r>
          </w:p>
        </w:tc>
        <w:tc>
          <w:tcPr>
            <w:tcW w:w="715" w:type="pct"/>
            <w:noWrap w:val="0"/>
            <w:vAlign w:val="center"/>
          </w:tcPr>
          <w:p w14:paraId="6D09498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SW</w:t>
            </w:r>
          </w:p>
        </w:tc>
        <w:tc>
          <w:tcPr>
            <w:tcW w:w="888" w:type="pct"/>
            <w:gridSpan w:val="3"/>
            <w:noWrap w:val="0"/>
            <w:vAlign w:val="center"/>
          </w:tcPr>
          <w:p w14:paraId="70D3ECEA">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3900</w:t>
            </w:r>
          </w:p>
        </w:tc>
        <w:tc>
          <w:tcPr>
            <w:tcW w:w="735" w:type="pct"/>
            <w:gridSpan w:val="3"/>
            <w:noWrap w:val="0"/>
            <w:vAlign w:val="center"/>
          </w:tcPr>
          <w:p w14:paraId="7ED745BE">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26E6F13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410</w:t>
            </w:r>
          </w:p>
        </w:tc>
      </w:tr>
      <w:tr w14:paraId="2A1B9C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381CF55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55428A98">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22</w:t>
            </w:r>
          </w:p>
        </w:tc>
        <w:tc>
          <w:tcPr>
            <w:tcW w:w="880" w:type="pct"/>
            <w:noWrap w:val="0"/>
            <w:vAlign w:val="center"/>
          </w:tcPr>
          <w:p w14:paraId="132C145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史家村</w:t>
            </w:r>
          </w:p>
        </w:tc>
        <w:tc>
          <w:tcPr>
            <w:tcW w:w="715" w:type="pct"/>
            <w:noWrap w:val="0"/>
            <w:vAlign w:val="center"/>
          </w:tcPr>
          <w:p w14:paraId="3628E20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w:t>
            </w:r>
          </w:p>
        </w:tc>
        <w:tc>
          <w:tcPr>
            <w:tcW w:w="888" w:type="pct"/>
            <w:gridSpan w:val="3"/>
            <w:noWrap w:val="0"/>
            <w:vAlign w:val="center"/>
          </w:tcPr>
          <w:p w14:paraId="73F1849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4000</w:t>
            </w:r>
          </w:p>
        </w:tc>
        <w:tc>
          <w:tcPr>
            <w:tcW w:w="735" w:type="pct"/>
            <w:gridSpan w:val="3"/>
            <w:noWrap w:val="0"/>
            <w:vAlign w:val="center"/>
          </w:tcPr>
          <w:p w14:paraId="5EC6E3B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0FD9F0F4">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1330</w:t>
            </w:r>
          </w:p>
        </w:tc>
      </w:tr>
      <w:tr w14:paraId="7ECAC5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60E75EB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2B0839AF">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23</w:t>
            </w:r>
          </w:p>
        </w:tc>
        <w:tc>
          <w:tcPr>
            <w:tcW w:w="880" w:type="pct"/>
            <w:noWrap w:val="0"/>
            <w:vAlign w:val="center"/>
          </w:tcPr>
          <w:p w14:paraId="78CFAAAA">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罗村镇中心学校</w:t>
            </w:r>
          </w:p>
        </w:tc>
        <w:tc>
          <w:tcPr>
            <w:tcW w:w="715" w:type="pct"/>
            <w:noWrap w:val="0"/>
            <w:vAlign w:val="center"/>
          </w:tcPr>
          <w:p w14:paraId="3BFE011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SW</w:t>
            </w:r>
          </w:p>
        </w:tc>
        <w:tc>
          <w:tcPr>
            <w:tcW w:w="888" w:type="pct"/>
            <w:gridSpan w:val="3"/>
            <w:noWrap w:val="0"/>
            <w:vAlign w:val="center"/>
          </w:tcPr>
          <w:p w14:paraId="6CB58474">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4100</w:t>
            </w:r>
          </w:p>
        </w:tc>
        <w:tc>
          <w:tcPr>
            <w:tcW w:w="735" w:type="pct"/>
            <w:gridSpan w:val="3"/>
            <w:noWrap w:val="0"/>
            <w:vAlign w:val="center"/>
          </w:tcPr>
          <w:p w14:paraId="77AA9E63">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学校</w:t>
            </w:r>
          </w:p>
        </w:tc>
        <w:tc>
          <w:tcPr>
            <w:tcW w:w="877" w:type="pct"/>
            <w:gridSpan w:val="3"/>
            <w:noWrap w:val="0"/>
            <w:vAlign w:val="center"/>
          </w:tcPr>
          <w:p w14:paraId="2A1F3DD8">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1400</w:t>
            </w:r>
          </w:p>
        </w:tc>
      </w:tr>
      <w:tr w14:paraId="5F1C39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7AC8FE4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4371BEE3">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24</w:t>
            </w:r>
          </w:p>
        </w:tc>
        <w:tc>
          <w:tcPr>
            <w:tcW w:w="880" w:type="pct"/>
            <w:noWrap w:val="0"/>
            <w:vAlign w:val="center"/>
          </w:tcPr>
          <w:p w14:paraId="2DA02DC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小旦村</w:t>
            </w:r>
          </w:p>
        </w:tc>
        <w:tc>
          <w:tcPr>
            <w:tcW w:w="715" w:type="pct"/>
            <w:noWrap w:val="0"/>
            <w:vAlign w:val="center"/>
          </w:tcPr>
          <w:p w14:paraId="4122E0F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NW</w:t>
            </w:r>
          </w:p>
        </w:tc>
        <w:tc>
          <w:tcPr>
            <w:tcW w:w="888" w:type="pct"/>
            <w:gridSpan w:val="3"/>
            <w:noWrap w:val="0"/>
            <w:vAlign w:val="center"/>
          </w:tcPr>
          <w:p w14:paraId="077308C2">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4200</w:t>
            </w:r>
          </w:p>
        </w:tc>
        <w:tc>
          <w:tcPr>
            <w:tcW w:w="735" w:type="pct"/>
            <w:gridSpan w:val="3"/>
            <w:noWrap w:val="0"/>
            <w:vAlign w:val="center"/>
          </w:tcPr>
          <w:p w14:paraId="06871B58">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2C1A2E9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615</w:t>
            </w:r>
          </w:p>
        </w:tc>
      </w:tr>
      <w:tr w14:paraId="71FBF1C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216A9F9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2317EF17">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25</w:t>
            </w:r>
          </w:p>
        </w:tc>
        <w:tc>
          <w:tcPr>
            <w:tcW w:w="880" w:type="pct"/>
            <w:noWrap w:val="0"/>
            <w:vAlign w:val="center"/>
          </w:tcPr>
          <w:p w14:paraId="33EE18E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大旦村</w:t>
            </w:r>
          </w:p>
        </w:tc>
        <w:tc>
          <w:tcPr>
            <w:tcW w:w="715" w:type="pct"/>
            <w:noWrap w:val="0"/>
            <w:vAlign w:val="center"/>
          </w:tcPr>
          <w:p w14:paraId="29A45A2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NW</w:t>
            </w:r>
          </w:p>
        </w:tc>
        <w:tc>
          <w:tcPr>
            <w:tcW w:w="888" w:type="pct"/>
            <w:gridSpan w:val="3"/>
            <w:noWrap w:val="0"/>
            <w:vAlign w:val="center"/>
          </w:tcPr>
          <w:p w14:paraId="4C11447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4200</w:t>
            </w:r>
          </w:p>
        </w:tc>
        <w:tc>
          <w:tcPr>
            <w:tcW w:w="735" w:type="pct"/>
            <w:gridSpan w:val="3"/>
            <w:noWrap w:val="0"/>
            <w:vAlign w:val="center"/>
          </w:tcPr>
          <w:p w14:paraId="11D0093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625B281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1260</w:t>
            </w:r>
          </w:p>
        </w:tc>
      </w:tr>
      <w:tr w14:paraId="3F6E6A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3CDFF0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06F8A23B">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26</w:t>
            </w:r>
          </w:p>
        </w:tc>
        <w:tc>
          <w:tcPr>
            <w:tcW w:w="880" w:type="pct"/>
            <w:noWrap w:val="0"/>
            <w:vAlign w:val="center"/>
          </w:tcPr>
          <w:p w14:paraId="53E712C1">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暖水河村</w:t>
            </w:r>
          </w:p>
        </w:tc>
        <w:tc>
          <w:tcPr>
            <w:tcW w:w="715" w:type="pct"/>
            <w:noWrap w:val="0"/>
            <w:vAlign w:val="center"/>
          </w:tcPr>
          <w:p w14:paraId="2B9C6DD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WNW</w:t>
            </w:r>
          </w:p>
        </w:tc>
        <w:tc>
          <w:tcPr>
            <w:tcW w:w="888" w:type="pct"/>
            <w:gridSpan w:val="3"/>
            <w:noWrap w:val="0"/>
            <w:vAlign w:val="center"/>
          </w:tcPr>
          <w:p w14:paraId="009D76F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4500</w:t>
            </w:r>
          </w:p>
        </w:tc>
        <w:tc>
          <w:tcPr>
            <w:tcW w:w="735" w:type="pct"/>
            <w:gridSpan w:val="3"/>
            <w:noWrap w:val="0"/>
            <w:vAlign w:val="center"/>
          </w:tcPr>
          <w:p w14:paraId="422B72B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698CCD1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526</w:t>
            </w:r>
          </w:p>
        </w:tc>
      </w:tr>
      <w:tr w14:paraId="652CB3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55B98B6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659144C1">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27</w:t>
            </w:r>
          </w:p>
        </w:tc>
        <w:tc>
          <w:tcPr>
            <w:tcW w:w="880" w:type="pct"/>
            <w:noWrap w:val="0"/>
            <w:vAlign w:val="center"/>
          </w:tcPr>
          <w:p w14:paraId="19C2E9EB">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eastAsia"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北沣村</w:t>
            </w:r>
          </w:p>
        </w:tc>
        <w:tc>
          <w:tcPr>
            <w:tcW w:w="715" w:type="pct"/>
            <w:noWrap w:val="0"/>
            <w:vAlign w:val="center"/>
          </w:tcPr>
          <w:p w14:paraId="0BC83FA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w:t>
            </w:r>
          </w:p>
        </w:tc>
        <w:tc>
          <w:tcPr>
            <w:tcW w:w="888" w:type="pct"/>
            <w:gridSpan w:val="3"/>
            <w:noWrap w:val="0"/>
            <w:vAlign w:val="center"/>
          </w:tcPr>
          <w:p w14:paraId="082BEC4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4500</w:t>
            </w:r>
          </w:p>
        </w:tc>
        <w:tc>
          <w:tcPr>
            <w:tcW w:w="735" w:type="pct"/>
            <w:gridSpan w:val="3"/>
            <w:noWrap w:val="0"/>
            <w:vAlign w:val="center"/>
          </w:tcPr>
          <w:p w14:paraId="5656EDAA">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3CF62E8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5</w:t>
            </w:r>
            <w:r>
              <w:rPr>
                <w:rFonts w:hint="default" w:eastAsia="宋体"/>
                <w:color w:val="auto"/>
                <w:sz w:val="21"/>
                <w:lang w:val="en-US"/>
              </w:rPr>
              <w:t>888</w:t>
            </w:r>
          </w:p>
        </w:tc>
      </w:tr>
      <w:tr w14:paraId="30E4AC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E2A942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703AF7DB">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28</w:t>
            </w:r>
          </w:p>
        </w:tc>
        <w:tc>
          <w:tcPr>
            <w:tcW w:w="880" w:type="pct"/>
            <w:noWrap w:val="0"/>
            <w:vAlign w:val="center"/>
          </w:tcPr>
          <w:p w14:paraId="7B3AAD8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大王村</w:t>
            </w:r>
          </w:p>
        </w:tc>
        <w:tc>
          <w:tcPr>
            <w:tcW w:w="715" w:type="pct"/>
            <w:noWrap w:val="0"/>
            <w:vAlign w:val="center"/>
          </w:tcPr>
          <w:p w14:paraId="778684C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SSW</w:t>
            </w:r>
          </w:p>
        </w:tc>
        <w:tc>
          <w:tcPr>
            <w:tcW w:w="888" w:type="pct"/>
            <w:gridSpan w:val="3"/>
            <w:noWrap w:val="0"/>
            <w:vAlign w:val="center"/>
          </w:tcPr>
          <w:p w14:paraId="4E35952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4520</w:t>
            </w:r>
          </w:p>
        </w:tc>
        <w:tc>
          <w:tcPr>
            <w:tcW w:w="735" w:type="pct"/>
            <w:gridSpan w:val="3"/>
            <w:noWrap w:val="0"/>
            <w:vAlign w:val="center"/>
          </w:tcPr>
          <w:p w14:paraId="2D74571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05F252B7">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1062</w:t>
            </w:r>
          </w:p>
        </w:tc>
      </w:tr>
      <w:tr w14:paraId="36426F3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0CC7F2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31C5B26D">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29</w:t>
            </w:r>
          </w:p>
        </w:tc>
        <w:tc>
          <w:tcPr>
            <w:tcW w:w="880" w:type="pct"/>
            <w:noWrap w:val="0"/>
            <w:vAlign w:val="center"/>
          </w:tcPr>
          <w:p w14:paraId="2AEEDE59">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涧西村</w:t>
            </w:r>
          </w:p>
        </w:tc>
        <w:tc>
          <w:tcPr>
            <w:tcW w:w="715" w:type="pct"/>
            <w:noWrap w:val="0"/>
            <w:vAlign w:val="center"/>
          </w:tcPr>
          <w:p w14:paraId="7DCCAE3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ENE</w:t>
            </w:r>
          </w:p>
        </w:tc>
        <w:tc>
          <w:tcPr>
            <w:tcW w:w="888" w:type="pct"/>
            <w:gridSpan w:val="3"/>
            <w:noWrap w:val="0"/>
            <w:vAlign w:val="center"/>
          </w:tcPr>
          <w:p w14:paraId="159AE55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4600</w:t>
            </w:r>
          </w:p>
        </w:tc>
        <w:tc>
          <w:tcPr>
            <w:tcW w:w="735" w:type="pct"/>
            <w:gridSpan w:val="3"/>
            <w:noWrap w:val="0"/>
            <w:vAlign w:val="center"/>
          </w:tcPr>
          <w:p w14:paraId="3EEB25D6">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550F845F">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1200</w:t>
            </w:r>
          </w:p>
        </w:tc>
      </w:tr>
      <w:tr w14:paraId="0EFF18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269C785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654A0C37">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30</w:t>
            </w:r>
          </w:p>
        </w:tc>
        <w:tc>
          <w:tcPr>
            <w:tcW w:w="880" w:type="pct"/>
            <w:noWrap w:val="0"/>
            <w:vAlign w:val="center"/>
          </w:tcPr>
          <w:p w14:paraId="4EF0DCE3">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河庄村</w:t>
            </w:r>
          </w:p>
        </w:tc>
        <w:tc>
          <w:tcPr>
            <w:tcW w:w="715" w:type="pct"/>
            <w:noWrap w:val="0"/>
            <w:vAlign w:val="center"/>
          </w:tcPr>
          <w:p w14:paraId="16F81E7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NNE</w:t>
            </w:r>
          </w:p>
        </w:tc>
        <w:tc>
          <w:tcPr>
            <w:tcW w:w="888" w:type="pct"/>
            <w:gridSpan w:val="3"/>
            <w:noWrap w:val="0"/>
            <w:vAlign w:val="center"/>
          </w:tcPr>
          <w:p w14:paraId="6804FD6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4700</w:t>
            </w:r>
          </w:p>
        </w:tc>
        <w:tc>
          <w:tcPr>
            <w:tcW w:w="735" w:type="pct"/>
            <w:gridSpan w:val="3"/>
            <w:noWrap w:val="0"/>
            <w:vAlign w:val="center"/>
          </w:tcPr>
          <w:p w14:paraId="603F4FFD">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6210BD9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1580</w:t>
            </w:r>
          </w:p>
        </w:tc>
      </w:tr>
      <w:tr w14:paraId="3DE093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B7A20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6CBB4AB9">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31</w:t>
            </w:r>
          </w:p>
        </w:tc>
        <w:tc>
          <w:tcPr>
            <w:tcW w:w="880" w:type="pct"/>
            <w:noWrap w:val="0"/>
            <w:vAlign w:val="center"/>
          </w:tcPr>
          <w:p w14:paraId="74046EE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张炳村</w:t>
            </w:r>
          </w:p>
        </w:tc>
        <w:tc>
          <w:tcPr>
            <w:tcW w:w="715" w:type="pct"/>
            <w:noWrap w:val="0"/>
            <w:vAlign w:val="center"/>
          </w:tcPr>
          <w:p w14:paraId="3F94BEA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NE</w:t>
            </w:r>
          </w:p>
        </w:tc>
        <w:tc>
          <w:tcPr>
            <w:tcW w:w="888" w:type="pct"/>
            <w:gridSpan w:val="3"/>
            <w:noWrap w:val="0"/>
            <w:vAlign w:val="center"/>
          </w:tcPr>
          <w:p w14:paraId="6495B26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4900</w:t>
            </w:r>
          </w:p>
        </w:tc>
        <w:tc>
          <w:tcPr>
            <w:tcW w:w="735" w:type="pct"/>
            <w:gridSpan w:val="3"/>
            <w:noWrap w:val="0"/>
            <w:vAlign w:val="center"/>
          </w:tcPr>
          <w:p w14:paraId="5783320B">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4B22BA3C">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937</w:t>
            </w:r>
          </w:p>
        </w:tc>
      </w:tr>
      <w:tr w14:paraId="6AF60A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2708DE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14D27ED4">
            <w:pPr>
              <w:pStyle w:val="35"/>
              <w:keepNext w:val="0"/>
              <w:keepLines w:val="0"/>
              <w:suppressLineNumbers w:val="0"/>
              <w:spacing w:before="0" w:beforeAutospacing="0" w:after="0" w:afterAutospacing="0"/>
              <w:ind w:left="0" w:right="0" w:firstLine="0" w:firstLineChars="0"/>
              <w:jc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32</w:t>
            </w:r>
          </w:p>
        </w:tc>
        <w:tc>
          <w:tcPr>
            <w:tcW w:w="880" w:type="pct"/>
            <w:noWrap w:val="0"/>
            <w:vAlign w:val="center"/>
          </w:tcPr>
          <w:p w14:paraId="67D96ADD">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干峪村</w:t>
            </w:r>
          </w:p>
        </w:tc>
        <w:tc>
          <w:tcPr>
            <w:tcW w:w="715" w:type="pct"/>
            <w:noWrap w:val="0"/>
            <w:vAlign w:val="center"/>
          </w:tcPr>
          <w:p w14:paraId="14913E4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SSE</w:t>
            </w:r>
          </w:p>
        </w:tc>
        <w:tc>
          <w:tcPr>
            <w:tcW w:w="888" w:type="pct"/>
            <w:gridSpan w:val="3"/>
            <w:noWrap w:val="0"/>
            <w:vAlign w:val="center"/>
          </w:tcPr>
          <w:p w14:paraId="50D74BB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5000</w:t>
            </w:r>
          </w:p>
        </w:tc>
        <w:tc>
          <w:tcPr>
            <w:tcW w:w="735" w:type="pct"/>
            <w:gridSpan w:val="3"/>
            <w:noWrap w:val="0"/>
            <w:vAlign w:val="center"/>
          </w:tcPr>
          <w:p w14:paraId="17E79DC7">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kern w:val="2"/>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村庄</w:t>
            </w:r>
          </w:p>
        </w:tc>
        <w:tc>
          <w:tcPr>
            <w:tcW w:w="877" w:type="pct"/>
            <w:gridSpan w:val="3"/>
            <w:noWrap w:val="0"/>
            <w:vAlign w:val="center"/>
          </w:tcPr>
          <w:p w14:paraId="2C871F8E">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eastAsia" w:eastAsia="宋体"/>
                <w:color w:val="auto"/>
                <w:sz w:val="21"/>
                <w:lang w:val="en-US" w:eastAsia="zh-CN"/>
              </w:rPr>
              <w:t>3</w:t>
            </w:r>
            <w:r>
              <w:rPr>
                <w:rFonts w:hint="default" w:eastAsia="宋体"/>
                <w:color w:val="auto"/>
                <w:sz w:val="21"/>
                <w:lang w:val="en-US"/>
              </w:rPr>
              <w:t>554</w:t>
            </w:r>
          </w:p>
        </w:tc>
      </w:tr>
      <w:tr w14:paraId="0896D6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740813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3643" w:type="pct"/>
            <w:gridSpan w:val="9"/>
            <w:noWrap w:val="0"/>
            <w:vAlign w:val="center"/>
          </w:tcPr>
          <w:p w14:paraId="56DCB5E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厂址周边500m范围内人口数小计</w:t>
            </w:r>
          </w:p>
        </w:tc>
        <w:tc>
          <w:tcPr>
            <w:tcW w:w="877" w:type="pct"/>
            <w:gridSpan w:val="3"/>
            <w:noWrap w:val="0"/>
            <w:vAlign w:val="center"/>
          </w:tcPr>
          <w:p w14:paraId="301EB34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2240</w:t>
            </w:r>
          </w:p>
        </w:tc>
      </w:tr>
      <w:tr w14:paraId="4520E3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453DAA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3643" w:type="pct"/>
            <w:gridSpan w:val="9"/>
            <w:noWrap w:val="0"/>
            <w:vAlign w:val="center"/>
          </w:tcPr>
          <w:p w14:paraId="298360C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厂址周边5km范围内人口数小计</w:t>
            </w:r>
          </w:p>
        </w:tc>
        <w:tc>
          <w:tcPr>
            <w:tcW w:w="877" w:type="pct"/>
            <w:gridSpan w:val="3"/>
            <w:noWrap w:val="0"/>
            <w:vAlign w:val="center"/>
          </w:tcPr>
          <w:p w14:paraId="24343CF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49521</w:t>
            </w:r>
          </w:p>
        </w:tc>
      </w:tr>
      <w:tr w14:paraId="670E69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0A390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07365A5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80" w:type="pct"/>
            <w:noWrap w:val="0"/>
            <w:vAlign w:val="center"/>
          </w:tcPr>
          <w:p w14:paraId="54F6F3B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敏感目标名称</w:t>
            </w:r>
          </w:p>
        </w:tc>
        <w:tc>
          <w:tcPr>
            <w:tcW w:w="715" w:type="pct"/>
            <w:noWrap w:val="0"/>
            <w:vAlign w:val="center"/>
          </w:tcPr>
          <w:p w14:paraId="4CFACC4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相对方位</w:t>
            </w:r>
          </w:p>
        </w:tc>
        <w:tc>
          <w:tcPr>
            <w:tcW w:w="888" w:type="pct"/>
            <w:gridSpan w:val="3"/>
            <w:noWrap w:val="0"/>
            <w:vAlign w:val="center"/>
          </w:tcPr>
          <w:p w14:paraId="1A5B619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距离/m</w:t>
            </w:r>
          </w:p>
        </w:tc>
        <w:tc>
          <w:tcPr>
            <w:tcW w:w="735" w:type="pct"/>
            <w:gridSpan w:val="3"/>
            <w:noWrap w:val="0"/>
            <w:vAlign w:val="center"/>
          </w:tcPr>
          <w:p w14:paraId="5C3E28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属性</w:t>
            </w:r>
          </w:p>
        </w:tc>
        <w:tc>
          <w:tcPr>
            <w:tcW w:w="877" w:type="pct"/>
            <w:gridSpan w:val="3"/>
            <w:noWrap w:val="0"/>
            <w:vAlign w:val="center"/>
          </w:tcPr>
          <w:p w14:paraId="35B4F56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人口数</w:t>
            </w:r>
          </w:p>
        </w:tc>
      </w:tr>
      <w:tr w14:paraId="5E79BE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FFAA5A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149F77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80" w:type="pct"/>
            <w:noWrap w:val="0"/>
            <w:vAlign w:val="center"/>
          </w:tcPr>
          <w:p w14:paraId="03008C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15" w:type="pct"/>
            <w:noWrap w:val="0"/>
            <w:vAlign w:val="center"/>
          </w:tcPr>
          <w:p w14:paraId="1F3F858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88" w:type="pct"/>
            <w:gridSpan w:val="3"/>
            <w:noWrap w:val="0"/>
            <w:vAlign w:val="center"/>
          </w:tcPr>
          <w:p w14:paraId="7D031AF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735" w:type="pct"/>
            <w:gridSpan w:val="3"/>
            <w:noWrap w:val="0"/>
            <w:vAlign w:val="center"/>
          </w:tcPr>
          <w:p w14:paraId="3FE4EB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77" w:type="pct"/>
            <w:gridSpan w:val="3"/>
            <w:noWrap w:val="0"/>
            <w:vAlign w:val="center"/>
          </w:tcPr>
          <w:p w14:paraId="2601CF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7878A7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AD1B0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3643" w:type="pct"/>
            <w:gridSpan w:val="9"/>
            <w:noWrap w:val="0"/>
            <w:vAlign w:val="center"/>
          </w:tcPr>
          <w:p w14:paraId="1DEDD8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每公里管段人口数（最大）</w:t>
            </w:r>
          </w:p>
        </w:tc>
        <w:tc>
          <w:tcPr>
            <w:tcW w:w="877" w:type="pct"/>
            <w:gridSpan w:val="3"/>
            <w:noWrap w:val="0"/>
            <w:vAlign w:val="center"/>
          </w:tcPr>
          <w:p w14:paraId="4079048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r>
      <w:tr w14:paraId="529B1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5F81B2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3643" w:type="pct"/>
            <w:gridSpan w:val="9"/>
            <w:noWrap w:val="0"/>
            <w:vAlign w:val="center"/>
          </w:tcPr>
          <w:p w14:paraId="478AC1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大气环境敏感程度E值</w:t>
            </w:r>
          </w:p>
        </w:tc>
        <w:tc>
          <w:tcPr>
            <w:tcW w:w="877" w:type="pct"/>
            <w:gridSpan w:val="3"/>
            <w:noWrap w:val="0"/>
            <w:vAlign w:val="center"/>
          </w:tcPr>
          <w:p w14:paraId="50E2C25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E</w:t>
            </w:r>
            <w:r>
              <w:rPr>
                <w:rFonts w:hint="eastAsia" w:cs="Times New Roman"/>
                <w:color w:val="auto"/>
                <w:sz w:val="21"/>
                <w:szCs w:val="21"/>
                <w:highlight w:val="none"/>
                <w:lang w:val="en-US" w:eastAsia="zh-CN"/>
              </w:rPr>
              <w:t>2</w:t>
            </w:r>
          </w:p>
        </w:tc>
      </w:tr>
      <w:tr w14:paraId="08B21B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restart"/>
            <w:noWrap w:val="0"/>
            <w:vAlign w:val="center"/>
          </w:tcPr>
          <w:p w14:paraId="13A9899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w:t>
            </w:r>
          </w:p>
        </w:tc>
        <w:tc>
          <w:tcPr>
            <w:tcW w:w="4521" w:type="pct"/>
            <w:gridSpan w:val="12"/>
            <w:noWrap w:val="0"/>
            <w:vAlign w:val="center"/>
          </w:tcPr>
          <w:p w14:paraId="77DEB9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受纳水体</w:t>
            </w:r>
          </w:p>
        </w:tc>
      </w:tr>
      <w:tr w14:paraId="085FB4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589525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49A8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80" w:type="pct"/>
            <w:noWrap w:val="0"/>
            <w:vAlign w:val="center"/>
          </w:tcPr>
          <w:p w14:paraId="0363698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受纳水体名称</w:t>
            </w:r>
          </w:p>
        </w:tc>
        <w:tc>
          <w:tcPr>
            <w:tcW w:w="2073" w:type="pct"/>
            <w:gridSpan w:val="6"/>
            <w:noWrap w:val="0"/>
            <w:vAlign w:val="center"/>
          </w:tcPr>
          <w:p w14:paraId="4032067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排放点水域环境功能</w:t>
            </w:r>
          </w:p>
        </w:tc>
        <w:tc>
          <w:tcPr>
            <w:tcW w:w="1143" w:type="pct"/>
            <w:gridSpan w:val="4"/>
            <w:noWrap w:val="0"/>
            <w:vAlign w:val="center"/>
          </w:tcPr>
          <w:p w14:paraId="6F7542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24h内流经范围/km</w:t>
            </w:r>
          </w:p>
        </w:tc>
      </w:tr>
      <w:tr w14:paraId="673EAD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48B1108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16B863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0" w:type="pct"/>
            <w:noWrap w:val="0"/>
            <w:vAlign w:val="center"/>
          </w:tcPr>
          <w:p w14:paraId="6E6B394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eastAsia="zh-CN"/>
              </w:rPr>
            </w:pPr>
            <w:r>
              <w:rPr>
                <w:rFonts w:hint="eastAsia" w:eastAsia="宋体"/>
                <w:color w:val="auto"/>
                <w:sz w:val="21"/>
                <w:lang w:val="en-US" w:eastAsia="zh-CN"/>
              </w:rPr>
              <w:t>漫泗河</w:t>
            </w:r>
          </w:p>
        </w:tc>
        <w:tc>
          <w:tcPr>
            <w:tcW w:w="2073" w:type="pct"/>
            <w:gridSpan w:val="6"/>
            <w:noWrap w:val="0"/>
            <w:vAlign w:val="center"/>
          </w:tcPr>
          <w:p w14:paraId="269FE07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GB3838-2002</w:t>
            </w:r>
            <w:r>
              <w:rPr>
                <w:rFonts w:hint="eastAsia" w:ascii="Times New Roman" w:hAnsi="Times New Roman" w:cs="Times New Roman"/>
                <w:color w:val="auto"/>
                <w:kern w:val="0"/>
                <w:sz w:val="21"/>
                <w:szCs w:val="21"/>
                <w:highlight w:val="none"/>
                <w:lang w:val="en-US" w:eastAsia="zh-CN"/>
              </w:rPr>
              <w:t xml:space="preserve"> </w:t>
            </w:r>
            <w:r>
              <w:rPr>
                <w:rFonts w:hint="eastAsia" w:ascii="Times New Roman" w:hAnsi="Times New Roman" w:cs="Times New Roman"/>
                <w:color w:val="auto"/>
                <w:kern w:val="0"/>
                <w:sz w:val="21"/>
                <w:szCs w:val="21"/>
                <w:highlight w:val="none"/>
                <w:lang w:val="en-US" w:eastAsia="zh-CN"/>
              </w:rPr>
              <w:fldChar w:fldCharType="begin"/>
            </w:r>
            <w:r>
              <w:rPr>
                <w:rFonts w:hint="eastAsia" w:ascii="Times New Roman" w:hAnsi="Times New Roman" w:cs="Times New Roman"/>
                <w:color w:val="auto"/>
                <w:kern w:val="0"/>
                <w:sz w:val="21"/>
                <w:szCs w:val="21"/>
                <w:highlight w:val="none"/>
                <w:lang w:val="en-US" w:eastAsia="zh-CN"/>
              </w:rPr>
              <w:instrText xml:space="preserve"> = 4 \* ROMAN \* MERGEFORMAT </w:instrText>
            </w:r>
            <w:r>
              <w:rPr>
                <w:rFonts w:hint="eastAsia" w:ascii="Times New Roman" w:hAnsi="Times New Roman" w:cs="Times New Roman"/>
                <w:color w:val="auto"/>
                <w:kern w:val="0"/>
                <w:sz w:val="21"/>
                <w:szCs w:val="21"/>
                <w:highlight w:val="none"/>
                <w:lang w:val="en-US" w:eastAsia="zh-CN"/>
              </w:rPr>
              <w:fldChar w:fldCharType="separate"/>
            </w:r>
            <w:r>
              <w:rPr>
                <w:rFonts w:hint="default"/>
                <w:color w:val="auto"/>
              </w:rPr>
              <w:t>IV</w:t>
            </w:r>
            <w:r>
              <w:rPr>
                <w:rFonts w:hint="eastAsia" w:ascii="Times New Roman" w:hAnsi="Times New Roman" w:cs="Times New Roman"/>
                <w:color w:val="auto"/>
                <w:kern w:val="0"/>
                <w:sz w:val="21"/>
                <w:szCs w:val="21"/>
                <w:highlight w:val="none"/>
                <w:lang w:val="en-US" w:eastAsia="zh-CN"/>
              </w:rPr>
              <w:fldChar w:fldCharType="end"/>
            </w:r>
            <w:r>
              <w:rPr>
                <w:rFonts w:hint="default" w:ascii="Times New Roman" w:hAnsi="Times New Roman" w:cs="Times New Roman"/>
                <w:color w:val="auto"/>
                <w:sz w:val="21"/>
                <w:szCs w:val="21"/>
                <w:highlight w:val="none"/>
              </w:rPr>
              <w:t>类</w:t>
            </w:r>
          </w:p>
        </w:tc>
        <w:tc>
          <w:tcPr>
            <w:tcW w:w="1143" w:type="pct"/>
            <w:gridSpan w:val="4"/>
            <w:noWrap w:val="0"/>
            <w:vAlign w:val="center"/>
          </w:tcPr>
          <w:p w14:paraId="2B0C853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w:t>
            </w:r>
          </w:p>
        </w:tc>
      </w:tr>
      <w:tr w14:paraId="1AD7F6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5E9DBA5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521" w:type="pct"/>
            <w:gridSpan w:val="12"/>
            <w:noWrap w:val="0"/>
            <w:vAlign w:val="center"/>
          </w:tcPr>
          <w:p w14:paraId="0E45AA6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内陆水体排放点下游10 km（近岸海域一个潮周期最大水平距离两倍）范围内敏感目标</w:t>
            </w:r>
          </w:p>
        </w:tc>
      </w:tr>
      <w:tr w14:paraId="61EBA6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179D9E1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7278BA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80" w:type="pct"/>
            <w:noWrap w:val="0"/>
            <w:vAlign w:val="center"/>
          </w:tcPr>
          <w:p w14:paraId="08429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敏感目标名称</w:t>
            </w:r>
          </w:p>
        </w:tc>
        <w:tc>
          <w:tcPr>
            <w:tcW w:w="1102" w:type="pct"/>
            <w:gridSpan w:val="3"/>
            <w:noWrap w:val="0"/>
            <w:vAlign w:val="center"/>
          </w:tcPr>
          <w:p w14:paraId="2CF5459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环境敏感特征</w:t>
            </w:r>
          </w:p>
        </w:tc>
        <w:tc>
          <w:tcPr>
            <w:tcW w:w="1319" w:type="pct"/>
            <w:gridSpan w:val="5"/>
            <w:noWrap w:val="0"/>
            <w:vAlign w:val="center"/>
          </w:tcPr>
          <w:p w14:paraId="4C678B9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水质目标</w:t>
            </w:r>
          </w:p>
        </w:tc>
        <w:tc>
          <w:tcPr>
            <w:tcW w:w="795" w:type="pct"/>
            <w:gridSpan w:val="2"/>
            <w:noWrap w:val="0"/>
            <w:vAlign w:val="center"/>
          </w:tcPr>
          <w:p w14:paraId="40178FD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与排放点距离/m</w:t>
            </w:r>
          </w:p>
        </w:tc>
      </w:tr>
      <w:tr w14:paraId="4C283D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72C447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12B0B78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0" w:type="pct"/>
            <w:noWrap w:val="0"/>
            <w:vAlign w:val="center"/>
          </w:tcPr>
          <w:p w14:paraId="5A4B86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1102" w:type="pct"/>
            <w:gridSpan w:val="3"/>
            <w:noWrap w:val="0"/>
            <w:vAlign w:val="center"/>
          </w:tcPr>
          <w:p w14:paraId="41D2D98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低敏感F3</w:t>
            </w:r>
          </w:p>
        </w:tc>
        <w:tc>
          <w:tcPr>
            <w:tcW w:w="1319" w:type="pct"/>
            <w:gridSpan w:val="5"/>
            <w:noWrap w:val="0"/>
            <w:vAlign w:val="center"/>
          </w:tcPr>
          <w:p w14:paraId="7814239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Ⅲ类</w:t>
            </w:r>
          </w:p>
        </w:tc>
        <w:tc>
          <w:tcPr>
            <w:tcW w:w="795" w:type="pct"/>
            <w:gridSpan w:val="2"/>
            <w:noWrap w:val="0"/>
            <w:vAlign w:val="center"/>
          </w:tcPr>
          <w:p w14:paraId="3FB79D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65ABE8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63E2AA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3726" w:type="pct"/>
            <w:gridSpan w:val="10"/>
            <w:noWrap w:val="0"/>
            <w:vAlign w:val="center"/>
          </w:tcPr>
          <w:p w14:paraId="6D2444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地表水环境敏感程度E值</w:t>
            </w:r>
          </w:p>
        </w:tc>
        <w:tc>
          <w:tcPr>
            <w:tcW w:w="795" w:type="pct"/>
            <w:gridSpan w:val="2"/>
            <w:noWrap w:val="0"/>
            <w:vAlign w:val="center"/>
          </w:tcPr>
          <w:p w14:paraId="0B2674A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E3</w:t>
            </w:r>
          </w:p>
        </w:tc>
      </w:tr>
      <w:tr w14:paraId="0CB7AE2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restart"/>
            <w:noWrap w:val="0"/>
            <w:vAlign w:val="center"/>
          </w:tcPr>
          <w:p w14:paraId="2B26E22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地下水</w:t>
            </w:r>
          </w:p>
        </w:tc>
        <w:tc>
          <w:tcPr>
            <w:tcW w:w="424" w:type="pct"/>
            <w:noWrap w:val="0"/>
            <w:vAlign w:val="center"/>
          </w:tcPr>
          <w:p w14:paraId="1FD0CD6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880" w:type="pct"/>
            <w:noWrap w:val="0"/>
            <w:vAlign w:val="center"/>
          </w:tcPr>
          <w:p w14:paraId="072DDF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敏感目标名称</w:t>
            </w:r>
          </w:p>
        </w:tc>
        <w:tc>
          <w:tcPr>
            <w:tcW w:w="848" w:type="pct"/>
            <w:gridSpan w:val="2"/>
            <w:noWrap w:val="0"/>
            <w:vAlign w:val="center"/>
          </w:tcPr>
          <w:p w14:paraId="621B02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环境敏感特征</w:t>
            </w:r>
          </w:p>
        </w:tc>
        <w:tc>
          <w:tcPr>
            <w:tcW w:w="1003" w:type="pct"/>
            <w:gridSpan w:val="3"/>
            <w:noWrap w:val="0"/>
            <w:vAlign w:val="center"/>
          </w:tcPr>
          <w:p w14:paraId="120367C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水质目标</w:t>
            </w:r>
          </w:p>
        </w:tc>
        <w:tc>
          <w:tcPr>
            <w:tcW w:w="703" w:type="pct"/>
            <w:gridSpan w:val="4"/>
            <w:noWrap w:val="0"/>
            <w:vAlign w:val="center"/>
          </w:tcPr>
          <w:p w14:paraId="4BFC04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包气带防污性能</w:t>
            </w:r>
          </w:p>
        </w:tc>
        <w:tc>
          <w:tcPr>
            <w:tcW w:w="661" w:type="pct"/>
            <w:noWrap w:val="0"/>
            <w:vAlign w:val="center"/>
          </w:tcPr>
          <w:p w14:paraId="552403D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与下游厂界距离/m</w:t>
            </w:r>
          </w:p>
        </w:tc>
      </w:tr>
      <w:tr w14:paraId="06FD6C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7E5B77C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424" w:type="pct"/>
            <w:noWrap w:val="0"/>
            <w:vAlign w:val="center"/>
          </w:tcPr>
          <w:p w14:paraId="4D23AC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880" w:type="pct"/>
            <w:noWrap w:val="0"/>
            <w:vAlign w:val="center"/>
          </w:tcPr>
          <w:p w14:paraId="1D1D2E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848" w:type="pct"/>
            <w:gridSpan w:val="2"/>
            <w:noWrap w:val="0"/>
            <w:vAlign w:val="center"/>
          </w:tcPr>
          <w:p w14:paraId="2815435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不敏感G3</w:t>
            </w:r>
          </w:p>
        </w:tc>
        <w:tc>
          <w:tcPr>
            <w:tcW w:w="1003" w:type="pct"/>
            <w:gridSpan w:val="3"/>
            <w:noWrap w:val="0"/>
            <w:vAlign w:val="center"/>
          </w:tcPr>
          <w:p w14:paraId="10EA57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Ⅲ类</w:t>
            </w:r>
          </w:p>
        </w:tc>
        <w:tc>
          <w:tcPr>
            <w:tcW w:w="703" w:type="pct"/>
            <w:gridSpan w:val="4"/>
            <w:noWrap w:val="0"/>
            <w:vAlign w:val="center"/>
          </w:tcPr>
          <w:p w14:paraId="26BC35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c>
          <w:tcPr>
            <w:tcW w:w="661" w:type="pct"/>
            <w:noWrap w:val="0"/>
            <w:vAlign w:val="center"/>
          </w:tcPr>
          <w:p w14:paraId="4DAC49A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43764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478" w:type="pct"/>
            <w:vMerge w:val="continue"/>
            <w:noWrap w:val="0"/>
            <w:vAlign w:val="center"/>
          </w:tcPr>
          <w:p w14:paraId="240F89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3859" w:type="pct"/>
            <w:gridSpan w:val="11"/>
            <w:noWrap w:val="0"/>
            <w:vAlign w:val="center"/>
          </w:tcPr>
          <w:p w14:paraId="4DF7D2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地下水环境敏感程度E值</w:t>
            </w:r>
          </w:p>
        </w:tc>
        <w:tc>
          <w:tcPr>
            <w:tcW w:w="661" w:type="pct"/>
            <w:noWrap w:val="0"/>
            <w:vAlign w:val="center"/>
          </w:tcPr>
          <w:p w14:paraId="278C5C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E3</w:t>
            </w:r>
          </w:p>
        </w:tc>
      </w:tr>
    </w:tbl>
    <w:p w14:paraId="754D9740">
      <w:pPr>
        <w:pStyle w:val="3"/>
        <w:pageBreakBefore w:val="0"/>
        <w:widowControl w:val="0"/>
        <w:kinsoku/>
        <w:wordWrap/>
        <w:overflowPunct/>
        <w:topLinePunct w:val="0"/>
        <w:autoSpaceDE/>
        <w:autoSpaceDN/>
        <w:bidi w:val="0"/>
        <w:spacing w:beforeLines="0" w:afterLines="0" w:line="450" w:lineRule="exact"/>
        <w:ind w:left="0" w:leftChars="0" w:firstLine="482" w:firstLineChars="200"/>
        <w:textAlignment w:val="auto"/>
        <w:rPr>
          <w:rFonts w:hint="eastAsia" w:cs="Times New Roman"/>
          <w:color w:val="auto"/>
          <w:sz w:val="24"/>
          <w:szCs w:val="24"/>
          <w:highlight w:val="none"/>
          <w:lang w:val="en-US" w:eastAsia="zh-CN"/>
        </w:rPr>
        <w:sectPr>
          <w:pgSz w:w="11905" w:h="16838"/>
          <w:pgMar w:top="1440" w:right="1800" w:bottom="1440" w:left="1800" w:header="851" w:footer="1077" w:gutter="0"/>
          <w:pgBorders>
            <w:top w:val="none" w:sz="0" w:space="0"/>
            <w:left w:val="none" w:sz="0" w:space="0"/>
            <w:bottom w:val="none" w:sz="0" w:space="0"/>
            <w:right w:val="none" w:sz="0" w:space="0"/>
          </w:pgBorders>
          <w:pgNumType w:fmt="decimal"/>
          <w:cols w:space="720" w:num="1"/>
          <w:rtlGutter w:val="0"/>
          <w:docGrid w:linePitch="319" w:charSpace="0"/>
        </w:sectPr>
      </w:pPr>
      <w:bookmarkStart w:id="7" w:name="_Toc11827"/>
    </w:p>
    <w:p w14:paraId="6CBB006D">
      <w:pPr>
        <w:pStyle w:val="3"/>
        <w:pageBreakBefore w:val="0"/>
        <w:widowControl w:val="0"/>
        <w:kinsoku/>
        <w:wordWrap/>
        <w:overflowPunct/>
        <w:topLinePunct w:val="0"/>
        <w:autoSpaceDE/>
        <w:autoSpaceDN/>
        <w:bidi w:val="0"/>
        <w:spacing w:beforeLines="0" w:afterLines="0" w:line="450" w:lineRule="exact"/>
        <w:ind w:left="0" w:leftChars="0" w:firstLine="562" w:firstLineChars="200"/>
        <w:textAlignment w:val="auto"/>
        <w:rPr>
          <w:rFonts w:hint="eastAsia" w:cs="Times New Roman"/>
          <w:color w:val="auto"/>
          <w:sz w:val="24"/>
          <w:szCs w:val="24"/>
          <w:highlight w:val="none"/>
          <w:lang w:val="en-US" w:eastAsia="zh-CN"/>
        </w:rPr>
        <w:sectPr>
          <w:headerReference r:id="rId5" w:type="default"/>
          <w:pgSz w:w="16838" w:h="11905" w:orient="landscape"/>
          <w:pgMar w:top="720" w:right="720" w:bottom="720" w:left="720" w:header="851" w:footer="1077" w:gutter="0"/>
          <w:pgBorders>
            <w:top w:val="none" w:sz="0" w:space="0"/>
            <w:left w:val="none" w:sz="0" w:space="0"/>
            <w:bottom w:val="none" w:sz="0" w:space="0"/>
            <w:right w:val="none" w:sz="0" w:space="0"/>
          </w:pgBorders>
          <w:pgNumType w:fmt="decimal"/>
          <w:cols w:space="720" w:num="1"/>
          <w:rtlGutter w:val="0"/>
          <w:docGrid w:linePitch="319" w:charSpace="0"/>
        </w:sectPr>
      </w:pPr>
      <w:r>
        <w:rPr>
          <w:color w:val="auto"/>
          <w:sz w:val="28"/>
        </w:rPr>
        <mc:AlternateContent>
          <mc:Choice Requires="wps">
            <w:drawing>
              <wp:anchor distT="0" distB="0" distL="114300" distR="114300" simplePos="0" relativeHeight="251667456" behindDoc="0" locked="0" layoutInCell="1" allowOverlap="1">
                <wp:simplePos x="0" y="0"/>
                <wp:positionH relativeFrom="column">
                  <wp:posOffset>1236345</wp:posOffset>
                </wp:positionH>
                <wp:positionV relativeFrom="paragraph">
                  <wp:posOffset>5120005</wp:posOffset>
                </wp:positionV>
                <wp:extent cx="1562100" cy="275590"/>
                <wp:effectExtent l="6350" t="327660" r="469900" b="6350"/>
                <wp:wrapNone/>
                <wp:docPr id="10" name="矩形标注 10"/>
                <wp:cNvGraphicFramePr/>
                <a:graphic xmlns:a="http://schemas.openxmlformats.org/drawingml/2006/main">
                  <a:graphicData uri="http://schemas.microsoft.com/office/word/2010/wordprocessingShape">
                    <wps:wsp>
                      <wps:cNvSpPr/>
                      <wps:spPr>
                        <a:xfrm>
                          <a:off x="0" y="0"/>
                          <a:ext cx="1562100" cy="275590"/>
                        </a:xfrm>
                        <a:prstGeom prst="wedgeRectCallout">
                          <a:avLst>
                            <a:gd name="adj1" fmla="val 76544"/>
                            <a:gd name="adj2" fmla="val -161520"/>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FA886DD">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环境风险敏感目标范围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97.35pt;margin-top:403.15pt;height:21.7pt;width:123pt;z-index:251667456;v-text-anchor:middle;mso-width-relative:page;mso-height-relative:page;" fillcolor="#FFFFFF [3212]" filled="t" stroked="t" coordsize="21600,21600" o:gfxdata="UEsDBAoAAAAAAIdO4kAAAAAAAAAAAAAAAAAEAAAAZHJzL1BLAwQUAAAACACHTuJAdtbaENcAAAAL&#10;AQAADwAAAGRycy9kb3ducmV2LnhtbE2PzU7DMBCE70i8g7VIXCJqF6w0TeNUgMQRoaY8gBtvk6j+&#10;iWI3bd+e5QTHmf00O1Ntr86yGac4BK9guRDA0LfBDL5T8L3/eCqAxaS90TZ4VHDDCNv6/q7SpQkX&#10;v8O5SR2jEB9LraBPaSw5j22PTsdFGNHT7RgmpxPJqeNm0hcKd5Y/C5FzpwdPH3o94nuP7ak5OwVZ&#10;dsK3WeP+9RZs9lV8NtLkjVKPD0uxAZbwmv5g+K1P1aGmTodw9iYyS3otV4QqKET+AowIKQU5B3Lk&#10;egW8rvj/DfUPUEsDBBQAAAAIAIdO4kA9FlaTrAIAAGYFAAAOAAAAZHJzL2Uyb0RvYy54bWytVM1u&#10;EzEQviPxDpbv7WajJKVRN1WUKAipohUFcXa83mSR/7CdbMoL8BggTnDmzONQXoPP3m2blh56IIfN&#10;jD2eme/7PD453SlJtsL52uiC5oc9SoTmpqz1qqDv3i4OXlDiA9Mlk0aLgl4JT08nz5+dNHYs+mZt&#10;ZCkcQRLtx40t6DoEO84yz9dCMX9orNDYrIxTLMB1q6x0rEF2JbN+rzfKGuNK6wwX3mN13m7SLqN7&#10;SkJTVTUXc8M3SujQZnVCsgBIfl1bTyep26oSPJxXlReByIICaUhfFIG9jN9scsLGK8fsuuZdC+wp&#10;LTzApFitUfQ21ZwFRjau/ieVqrkz3lThkBuVtUASI0CR9x5wc7lmViQsoNrbW9L9/0vLX28vHKlL&#10;3ARQopmC4n++/Pj969v118/XP78TLIOjxvoxQi/thes8DzMC3lVOxX9AIbvE69Utr2IXCMdiPhz1&#10;8x7yc+z1j4bD45Q0uzttnQ8vhVEkGgVtRLkSbyDejElpNiFRy7ZnPiSOy65RVn7IKamUhGRbJsnR&#10;aDgYdJLuxfT3Yw7yUT7s39TvcqKTmw5iAW9kXS5qKZPjVsuZdAQFCrpIv1gCR+6FSU0aIO0fJZwM&#10;g1HhQgKysiDX6xUlTK4wcTy4BOfeab9fpJd+jxWJTc6ZX7fNpAwtXFUHDKWsVUFf7J+WGp1G8Vq5&#10;ohV2y12n4dKUV1DfmXYsvOWLGhXOmA8XzIFUSIaXIpzjU0kDfKazKFkb9+mx9RiP64ldShrMFbB/&#10;3DAnKJGvNC7ucT4YIG1IzmB4BCmI299Z7u/ojZoZ8A6Z0V0yY3yQN2bljHqPB2Uaq2KLaY7aLcud&#10;MwvtvONJ4mI6TWEYPsvCmb60PCaPOmsz3QRT1SGKG4lq2ekcjF/SvHsq4nzv+ynq7nmc/A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B21toQ1wAAAAsBAAAPAAAAAAAAAAEAIAAAACIAAABkcnMvZG93&#10;bnJldi54bWxQSwECFAAUAAAACACHTuJAPRZWk6wCAABmBQAADgAAAAAAAAABACAAAAAmAQAAZHJz&#10;L2Uyb0RvYy54bWxQSwUGAAAAAAYABgBZAQAARAYAAAAA&#10;" adj="27334,-24088">
                <v:fill on="t" focussize="0,0"/>
                <v:stroke weight="1pt" color="#000000 [3213]" miterlimit="8" joinstyle="miter"/>
                <v:imagedata o:title=""/>
                <o:lock v:ext="edit" aspectratio="f"/>
                <v:textbox>
                  <w:txbxContent>
                    <w:p w14:paraId="6FA886DD">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环境风险敏感目标范围</w:t>
                      </w:r>
                    </w:p>
                  </w:txbxContent>
                </v:textbox>
              </v:shape>
            </w:pict>
          </mc:Fallback>
        </mc:AlternateContent>
      </w:r>
      <w:r>
        <w:rPr>
          <w:color w:val="auto"/>
          <w:sz w:val="28"/>
        </w:rPr>
        <mc:AlternateContent>
          <mc:Choice Requires="wps">
            <w:drawing>
              <wp:anchor distT="0" distB="0" distL="114300" distR="114300" simplePos="0" relativeHeight="251666432" behindDoc="0" locked="0" layoutInCell="1" allowOverlap="1">
                <wp:simplePos x="0" y="0"/>
                <wp:positionH relativeFrom="column">
                  <wp:posOffset>2551430</wp:posOffset>
                </wp:positionH>
                <wp:positionV relativeFrom="paragraph">
                  <wp:posOffset>490855</wp:posOffset>
                </wp:positionV>
                <wp:extent cx="5970905" cy="4667885"/>
                <wp:effectExtent l="6350" t="6350" r="23495" b="12065"/>
                <wp:wrapNone/>
                <wp:docPr id="3" name="圆角矩形 3"/>
                <wp:cNvGraphicFramePr/>
                <a:graphic xmlns:a="http://schemas.openxmlformats.org/drawingml/2006/main">
                  <a:graphicData uri="http://schemas.microsoft.com/office/word/2010/wordprocessingShape">
                    <wps:wsp>
                      <wps:cNvSpPr/>
                      <wps:spPr>
                        <a:xfrm>
                          <a:off x="3693795" y="2134870"/>
                          <a:ext cx="5970905" cy="4667885"/>
                        </a:xfrm>
                        <a:prstGeom prst="roundRect">
                          <a:avLst/>
                        </a:prstGeom>
                        <a:solidFill>
                          <a:srgbClr val="FFFF00">
                            <a:alpha val="13000"/>
                          </a:srgbClr>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00.9pt;margin-top:38.65pt;height:367.55pt;width:470.15pt;z-index:251666432;v-text-anchor:middle;mso-width-relative:page;mso-height-relative:page;" fillcolor="#FFFF00" filled="t" stroked="t" coordsize="21600,21600" arcsize="0.166666666666667" o:gfxdata="UEsDBAoAAAAAAIdO4kAAAAAAAAAAAAAAAAAEAAAAZHJzL1BLAwQUAAAACACHTuJAM7UeZ9kAAAAL&#10;AQAADwAAAGRycy9kb3ducmV2LnhtbE2PQU7DMBBF90jcwRokNhW1k0a0CnG6QCJdsCLhAG48jSPi&#10;cWQ7beH0uCtYfs3Xm/er/dVO7Iw+jI4kZGsBDKl3eqRBwmf39rQDFqIirSZHKOEbA+zr+7tKldpd&#10;6APPbRxYglAolQQT41xyHnqDVoW1m5HS7eS8VTFFP3Dt1SXB7cRzIZ65VSOlD0bN+Gqw/2oXK2HX&#10;2sL703tnhtWh+3FL0xxWjZSPD5l4ARbxGv/KcNNP6lAnp6NbSAc2SShEltSjhO12A+xW2BR5BuyY&#10;8FleAK8r/n9D/QtQSwMEFAAAAAgAh07iQE12zYmdAgAALQUAAA4AAABkcnMvZTJvRG9jLnhtbK1U&#10;y24TMRTdI/EPlvd0Ju+HOqmiREFIFa0oiLXj8WQs+YXtZFI+gA9gjYTEBvERfE4Fn8G1PWnSwqIL&#10;spjc63t87tvnF3sp0I5Zx7UqcOcsx4gpqkuuNgV+93b1YoyR80SVRGjFCnzLHL6YPX923pgp6+pa&#10;i5JZBCTKTRtT4Np7M80yR2smiTvThikwVtpK4kG1m6y0pAF2KbJung+zRtvSWE2Zc3C6TEbcMtqn&#10;EOqq4pQtNd1KpnxitUwQDym5mhuHZzHaqmLUX1WVYx6JAkOmPn7BCcjr8M1m52S6scTUnLYhkKeE&#10;8CgnSbgCp/dUS+IJ2lr+F5Xk1GqnK39GtcxSIrEikEUnf1Sbm5oYFnOBUjtzX3T3/2jp6921Rbws&#10;cA8jRSQ0/O7Lp9/fP//6+uPu5zfUCxVqjJsC8MZc21ZzIIZ095WV4R8SQXvgGE56o8kAo9sCdzu9&#10;/njUVpjtPaIAGExG+SQHAAVEfzgcjceD4CE7Uhnr/EumJQpCga3eqvIN9DGWl+wunU/4Ay64d1rw&#10;csWFiIrdrBfCoh2Bnq/gl+fprjA1SaedXg6HiccleIzhAY9QqIEF6Y4AiiiBUa9gxECUBsrl1AYj&#10;IjawQ9Tb6ODB7Zb2EAX4u3d4GmzIYklcnXCRIcRFppJ7WDPBZYHH4fLhtlAQaWhIakGQ1rq8hSZa&#10;nabbGbriQHtJnL8mFsYZ4oeF91fwqYSGpHQrYVRr+/Ff5wEPUwZWjBpYD0j4w5ZYhpF4pWD+Jp1+&#10;P+xTVPqDURcUe2pZn1rUVi40dKMDT4uhUQx4Lw5iZbV8D+/CPHgFE1EUfKfStsrCp7WFl4Wy+TzC&#10;YIcM8ZfqxtBAHuqm9HzrdcXjlByr0xYNtig2ut34sKanekQdX7nZ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DO1HmfZAAAACwEAAA8AAAAAAAAAAQAgAAAAIgAAAGRycy9kb3ducmV2LnhtbFBLAQIU&#10;ABQAAAAIAIdO4kBNds2JnQIAAC0FAAAOAAAAAAAAAAEAIAAAACgBAABkcnMvZTJvRG9jLnhtbFBL&#10;BQYAAAAABgAGAFkBAAA3BgAAAAA=&#10;">
                <v:fill on="t" opacity="8519f" focussize="0,0"/>
                <v:stroke weight="1pt" color="#FF0000 [2404]" miterlimit="8" joinstyle="miter"/>
                <v:imagedata o:title=""/>
                <o:lock v:ext="edit" aspectratio="f"/>
              </v:roundrect>
            </w:pict>
          </mc:Fallback>
        </mc:AlternateContent>
      </w:r>
      <w:r>
        <w:rPr>
          <w:color w:val="auto"/>
          <w:sz w:val="28"/>
        </w:rPr>
        <mc:AlternateContent>
          <mc:Choice Requires="wps">
            <w:drawing>
              <wp:anchor distT="0" distB="0" distL="114300" distR="114300" simplePos="0" relativeHeight="251665408" behindDoc="0" locked="0" layoutInCell="1" allowOverlap="1">
                <wp:simplePos x="0" y="0"/>
                <wp:positionH relativeFrom="column">
                  <wp:posOffset>5370195</wp:posOffset>
                </wp:positionH>
                <wp:positionV relativeFrom="paragraph">
                  <wp:posOffset>3119755</wp:posOffset>
                </wp:positionV>
                <wp:extent cx="943610" cy="275590"/>
                <wp:effectExtent l="6350" t="255905" r="21590" b="20955"/>
                <wp:wrapNone/>
                <wp:docPr id="11" name="矩形标注 11"/>
                <wp:cNvGraphicFramePr/>
                <a:graphic xmlns:a="http://schemas.openxmlformats.org/drawingml/2006/main">
                  <a:graphicData uri="http://schemas.microsoft.com/office/word/2010/wordprocessingShape">
                    <wps:wsp>
                      <wps:cNvSpPr/>
                      <wps:spPr>
                        <a:xfrm>
                          <a:off x="0" y="0"/>
                          <a:ext cx="943610" cy="275590"/>
                        </a:xfrm>
                        <a:prstGeom prst="wedgeRectCallout">
                          <a:avLst>
                            <a:gd name="adj1" fmla="val -31991"/>
                            <a:gd name="adj2" fmla="val -137327"/>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779C72D">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422.85pt;margin-top:245.65pt;height:21.7pt;width:74.3pt;z-index:251665408;v-text-anchor:middle;mso-width-relative:page;mso-height-relative:page;" fillcolor="#FFFFFF [3212]" filled="t" stroked="t" coordsize="21600,21600" o:gfxdata="UEsDBAoAAAAAAIdO4kAAAAAAAAAAAAAAAAAEAAAAZHJzL1BLAwQUAAAACACHTuJAnM/o3NkAAAAL&#10;AQAADwAAAGRycy9kb3ducmV2LnhtbE2PwU7DMAyG70i8Q2Qkbiwp69ha6u4waRIXDpQ9QNp4bUWT&#10;lCbdCk+POcHNlj/9/v5iv9hBXGgKvXcIyUqBINd407sW4fR+fNiBCFE7owfvCOGLAuzL25tC58Zf&#10;3RtdqtgKDnEh1whdjGMuZWg6sjqs/EiOb2c/WR15nVppJn3lcDvIR6WepNW94w+dHunQUfNRzRbh&#10;bKu69S/Hw2f9Oi9hrE7fjVGI93eJegYRaYl/MPzqszqU7FT72ZkgBoRdutkyipBmyRoEE1mW8lAj&#10;bNbpFmRZyP8dyh9QSwMEFAAAAAgAh07iQMpMBgOuAgAAZgUAAA4AAABkcnMvZTJvRG9jLnhtbK1U&#10;zW4TMRC+I/EOlu/t5q9NE3VTRYmCkCpaURBnx+vNLvIftvNTXoDHAHGCM2ceh/IafPZu27T0wIE9&#10;eGc845n5vvH49GynJNkI52ujc9o97FAiNDdFrVc5fftmcXBCiQ9MF0waLXJ6LTw9mzx/drq1Y9Ez&#10;lZGFcARBtB9vbU6rEOw4yzyvhGL+0FihYSyNUyxAdauscGyL6EpmvU7nONsaV1hnuPAeu/PGSNuI&#10;7l8CmrKsuZgbvlZChyaqE5IFQPJVbT2dpGrLUvBwUZZeBCJzCqQhrUgCeRnXbHLKxivHbFXztgT2&#10;LyU8wqRYrZH0LtScBUbWrv4rlKq5M96U4ZAblTVAEiNA0e084uaqYlYkLKDa2zvS/f8Ly19tLh2p&#10;C9yELiWaKXT89+fvv35+vfny6ebHN4JtcLS1fgzXK3vpWs1DjIB3pVPxDyhkl3i9vuNV7ALh2BwN&#10;+sddMM5h6g2PjkaJ9+z+sHU+vBBGkSjkdCuKlXiN3s2YlGYdErNsc+5Dorho62TFe9RcKomObZgk&#10;B/3uaJTKRR/2nHoPnLr9Yb83jKBQQBsU0m0JMYM3si4WtZRJcavlTDqCDDldpK89/MBNarIFib1h&#10;JwJlGIwSFxKisiDX6xUlTK4wcTy4hOfBab+fpJO+p5LEIufMV00xKUJ0Y2NVBwylrFVOT/ZPSw2Y&#10;sXlNu6IUdstd28OlKa7RfWeasfCWL2pkOGc+XDIHVgEFL0W4wFJKA3ymlSipjPv41H70x/WElZIt&#10;5grYP6yZE5TIlxoXd9QdDBA2JGVwNOxBcfuW5b5Fr9XMgHf0GdUlMfoHeSuWzqh3eFCmMStMTHPk&#10;blhulVlo5h1PEhfTaXLD8FkWzvWV5TF4pFCb6TqYsg7xZkSiGnZaBeOXLkz7VMT53teT1/3zOP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nM/o3NkAAAALAQAADwAAAAAAAAABACAAAAAiAAAAZHJz&#10;L2Rvd25yZXYueG1sUEsBAhQAFAAAAAgAh07iQMpMBgOuAgAAZgUAAA4AAAAAAAAAAQAgAAAAKAEA&#10;AGRycy9lMm9Eb2MueG1sUEsFBgAAAAAGAAYAWQEAAEgGAAAAAA==&#10;" adj="3890,-18863">
                <v:fill on="t" focussize="0,0"/>
                <v:stroke weight="1pt" color="#000000 [3213]" miterlimit="8" joinstyle="miter"/>
                <v:imagedata o:title=""/>
                <o:lock v:ext="edit" aspectratio="f"/>
                <v:textbox>
                  <w:txbxContent>
                    <w:p w14:paraId="5779C72D">
                      <w:pPr>
                        <w:jc w:val="center"/>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项目所在地</w:t>
                      </w:r>
                    </w:p>
                  </w:txbxContent>
                </v:textbox>
              </v:shape>
            </w:pict>
          </mc:Fallback>
        </mc:AlternateContent>
      </w:r>
      <w:r>
        <w:rPr>
          <w:color w:val="auto"/>
          <w:sz w:val="28"/>
        </w:rPr>
        <mc:AlternateContent>
          <mc:Choice Requires="wps">
            <w:drawing>
              <wp:anchor distT="0" distB="0" distL="114300" distR="114300" simplePos="0" relativeHeight="251664384" behindDoc="0" locked="0" layoutInCell="1" allowOverlap="1">
                <wp:simplePos x="0" y="0"/>
                <wp:positionH relativeFrom="column">
                  <wp:posOffset>1093470</wp:posOffset>
                </wp:positionH>
                <wp:positionV relativeFrom="paragraph">
                  <wp:posOffset>82550</wp:posOffset>
                </wp:positionV>
                <wp:extent cx="8381365" cy="5638800"/>
                <wp:effectExtent l="0" t="0" r="0" b="0"/>
                <wp:wrapNone/>
                <wp:docPr id="6" name="文本框 6"/>
                <wp:cNvGraphicFramePr/>
                <a:graphic xmlns:a="http://schemas.openxmlformats.org/drawingml/2006/main">
                  <a:graphicData uri="http://schemas.microsoft.com/office/word/2010/wordprocessingShape">
                    <wps:wsp>
                      <wps:cNvSpPr txBox="1"/>
                      <wps:spPr>
                        <a:xfrm>
                          <a:off x="712470" y="831850"/>
                          <a:ext cx="8381365" cy="563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EA42E">
                            <w:r>
                              <w:drawing>
                                <wp:inline distT="0" distB="0" distL="114300" distR="114300">
                                  <wp:extent cx="8263890" cy="5501005"/>
                                  <wp:effectExtent l="0" t="0" r="3810" b="444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4"/>
                                          <a:stretch>
                                            <a:fillRect/>
                                          </a:stretch>
                                        </pic:blipFill>
                                        <pic:spPr>
                                          <a:xfrm>
                                            <a:off x="0" y="0"/>
                                            <a:ext cx="8263890" cy="5501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6.1pt;margin-top:6.5pt;height:444pt;width:659.95pt;z-index:251664384;mso-width-relative:page;mso-height-relative:page;" filled="f" stroked="f" coordsize="21600,21600" o:gfxdata="UEsDBAoAAAAAAIdO4kAAAAAAAAAAAAAAAAAEAAAAZHJzL1BLAwQUAAAACACHTuJAGPMZJdoAAAAL&#10;AQAADwAAAGRycy9kb3ducmV2LnhtbE2PyU7DMBCG70i8gzVI3Kgds7VpnApFqpAQPbT00tskdpMI&#10;LyF2F3h6pie4za/59C/F4uwsO5ox9sEryCYCmPFN0L1vFWw/lndTYDGh12iDNwq+TYRFeX1VYK7D&#10;ya/NcZNaRiY+5qigS2nIOY9NZxzGSRiMp98+jA4TybHlesQTmTvLpRBP3GHvKaHDwVSdaT43B6fg&#10;rVqucF1LN/2x1ev7/mX42u4elbq9ycQcWDLn9AfDpT5Vh5I61eHgdWSW9LOUhNJxT5suwMNMZsBq&#10;BTORCeBlwf9vKH8BUEsDBBQAAAAIAIdO4kDQ/HzJRgIAAHEEAAAOAAAAZHJzL2Uyb0RvYy54bWyt&#10;VM2O0zAQviPxDpbvNE1/Q7XpquyqCKliVyqIs+s4m0i2x9huk/IA8AacuHDnufocjJ10d1k47IGL&#10;O/ZMZub75pteXLZKkoOwrgad03QwpERoDkWt73L68cP6VUaJ80wXTIIWOT0KRy+XL19cNGYhRlCB&#10;LIQlmES7RWNyWnlvFknieCUUcwMwQqOzBKuYx6u9SwrLGsyuZDIaDmdJA7YwFrhwDl+vOyftM9rn&#10;JISyrLm4Br5XQvsuqxWSeYTkqto4uozdlqXg/qYsnfBE5hSR+nhiEbR34UyWF2xxZ5mpat63wJ7T&#10;whNMitUai96numaekb2t/0qlam7BQekHHFTSAYmMIIp0+ISbbcWMiFiQamfuSXf/Ly1/f7i1pC5y&#10;OqNEM4UDP33/dvrx6/TzK5kFehrjFhi1NRjn2zfQomjO7w4fA+q2tCr8Ih6C/nk6msyR4WNOs3Ga&#10;TXuaResJR3c2ztLxbEoJx4DpbJxlwxiRPCQy1vm3AhQJRk4tzjHSyw4b57EpDD2HhLoa1rWUcZZS&#10;kwbBjLHoHx78Qmr8MMDp2g6Wb3dtj3EHxREhWug04gxf11h8w5y/ZRZFgYBwbfwNHqUELAK9RUkF&#10;9su/3kM8zgq9lDQospy6z3tmBSXyncYpvk4nk6DKeJlM5yO82Mee3WOP3qsrQB2nuKCGRzPEe3k2&#10;SwvqE27XKlRFF9Mca+fUn80r30kft5OL1SoGoQ4N8xu9NTyk7khb7T2UdWQ60NRx07OHSowD6Lcm&#10;SP3xPUY9/FMs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Y8xkl2gAAAAsBAAAPAAAAAAAAAAEA&#10;IAAAACIAAABkcnMvZG93bnJldi54bWxQSwECFAAUAAAACACHTuJA0Px8yUYCAABxBAAADgAAAAAA&#10;AAABACAAAAApAQAAZHJzL2Uyb0RvYy54bWxQSwUGAAAAAAYABgBZAQAA4QUAAAAA&#10;">
                <v:fill on="f" focussize="0,0"/>
                <v:stroke on="f" weight="0.5pt"/>
                <v:imagedata o:title=""/>
                <o:lock v:ext="edit" aspectratio="f"/>
                <v:textbox>
                  <w:txbxContent>
                    <w:p w14:paraId="417EA42E">
                      <w:r>
                        <w:drawing>
                          <wp:inline distT="0" distB="0" distL="114300" distR="114300">
                            <wp:extent cx="8263890" cy="5501005"/>
                            <wp:effectExtent l="0" t="0" r="3810" b="444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4"/>
                                    <a:stretch>
                                      <a:fillRect/>
                                    </a:stretch>
                                  </pic:blipFill>
                                  <pic:spPr>
                                    <a:xfrm>
                                      <a:off x="0" y="0"/>
                                      <a:ext cx="8263890" cy="5501005"/>
                                    </a:xfrm>
                                    <a:prstGeom prst="rect">
                                      <a:avLst/>
                                    </a:prstGeom>
                                    <a:noFill/>
                                    <a:ln>
                                      <a:noFill/>
                                    </a:ln>
                                  </pic:spPr>
                                </pic:pic>
                              </a:graphicData>
                            </a:graphic>
                          </wp:inline>
                        </w:drawing>
                      </w:r>
                    </w:p>
                  </w:txbxContent>
                </v:textbox>
              </v:shape>
            </w:pict>
          </mc:Fallback>
        </mc:AlternateContent>
      </w:r>
      <w:r>
        <w:rPr>
          <w:color w:val="auto"/>
          <w:sz w:val="28"/>
        </w:rPr>
        <mc:AlternateContent>
          <mc:Choice Requires="wps">
            <w:drawing>
              <wp:anchor distT="0" distB="0" distL="114300" distR="114300" simplePos="0" relativeHeight="251662336" behindDoc="0" locked="0" layoutInCell="1" allowOverlap="1">
                <wp:simplePos x="0" y="0"/>
                <wp:positionH relativeFrom="column">
                  <wp:posOffset>3520440</wp:posOffset>
                </wp:positionH>
                <wp:positionV relativeFrom="paragraph">
                  <wp:posOffset>5645785</wp:posOffset>
                </wp:positionV>
                <wp:extent cx="2567940" cy="289560"/>
                <wp:effectExtent l="0" t="0" r="0" b="0"/>
                <wp:wrapNone/>
                <wp:docPr id="176" name="文本框 176"/>
                <wp:cNvGraphicFramePr/>
                <a:graphic xmlns:a="http://schemas.openxmlformats.org/drawingml/2006/main">
                  <a:graphicData uri="http://schemas.microsoft.com/office/word/2010/wordprocessingShape">
                    <wps:wsp>
                      <wps:cNvSpPr txBox="1"/>
                      <wps:spPr>
                        <a:xfrm>
                          <a:off x="3623310" y="6240780"/>
                          <a:ext cx="2567940" cy="289560"/>
                        </a:xfrm>
                        <a:prstGeom prst="rect">
                          <a:avLst/>
                        </a:prstGeom>
                        <a:noFill/>
                        <a:ln w="6350">
                          <a:noFill/>
                        </a:ln>
                        <a:effectLst/>
                      </wps:spPr>
                      <wps:txbx>
                        <w:txbxContent>
                          <w:p w14:paraId="6AD26F8F">
                            <w:pPr>
                              <w:jc w:val="center"/>
                              <w:rPr>
                                <w:rFonts w:hint="default" w:eastAsia="宋体"/>
                                <w:b/>
                                <w:bCs/>
                                <w:lang w:val="en-US" w:eastAsia="zh-CN"/>
                              </w:rPr>
                            </w:pPr>
                            <w:r>
                              <w:rPr>
                                <w:rFonts w:hint="eastAsia"/>
                                <w:b/>
                                <w:bCs/>
                                <w:lang w:eastAsia="zh-CN"/>
                              </w:rPr>
                              <w:t>图</w:t>
                            </w:r>
                            <w:r>
                              <w:rPr>
                                <w:rFonts w:hint="eastAsia"/>
                                <w:b/>
                                <w:bCs/>
                                <w:lang w:val="en-US" w:eastAsia="zh-CN"/>
                              </w:rPr>
                              <w:t>1.2-1 敏感目标分布图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2pt;margin-top:444.55pt;height:22.8pt;width:202.2pt;z-index:251662336;mso-width-relative:page;mso-height-relative:page;" filled="f" stroked="f" coordsize="21600,21600" o:gfxdata="UEsDBAoAAAAAAIdO4kAAAAAAAAAAAAAAAAAEAAAAZHJzL1BLAwQUAAAACACHTuJAaXsG+NwAAAAL&#10;AQAADwAAAGRycy9kb3ducmV2LnhtbE2Py07DMBBF90j8gzVI7KiTkoCbxqlQpAoJwaKlG3ZO7CZR&#10;7XGI3Qd8PcMKdjOaozvnlquLs+xkpjB4lJDOEmAGW68H7CTs3td3AliICrWyHo2ELxNgVV1flarQ&#10;/owbc9rGjlEIhkJJ6GMcC85D2xunwsyPBum295NTkdap43pSZwp3ls+T5IE7NSB96NVo6t60h+3R&#10;SXip129q08yd+Lb18+v+afzcfeRS3t6kyRJYNJf4B8OvPqlDRU6NP6IOzErI8ywjVIIQixQYEYtc&#10;UJmGhvvsEXhV8v8dqh9QSwMEFAAAAAgAh07iQPhEh2BPAgAAhAQAAA4AAABkcnMvZTJvRG9jLnht&#10;bK1US27bMBDdF+gdCO4b2fIvMSwHboIUBYImQFp0TVNUJIC/knSk9ADtDbrqpvueK+foIyUnRtpF&#10;Ft3QQ87TzLw3M16ddkqSO+F8Y3RBx0cjSoTmpmz0bUE/fbx4c0yJD0yXTBotCnovPD1dv361au1S&#10;5KY2shSOIIj2y9YWtA7BLrPM81oo5o+MFRrOyjjFAq7uNisdaxFdySwfjeZZa1xpneHCe7ye9046&#10;RHQvCWiqquHi3PCdEjr0UZ2QLICSrxvr6TpVW1WCh6uq8iIQWVAwDelEEtjbeGbrFVveOmbrhg8l&#10;sJeU8IyTYo1G0sdQ5ywwsnPNX6FUw53xpgpH3KisJ5IUAYvx6Jk2NzWzInGB1N4+iu7/X1j+4e7a&#10;kabEJCzmlGim0PKHH98ffv5++PWNxEdI1Fq/BPLGAhu6t6YDfP/u8RiZd5VT8RecCPyTeT6ZjCHz&#10;fUHn+XS0OB7EFl0gHIB8Nl+cTAHgQOTHJ7N5AmRPkazz4Z0wikSjoA7NTBqzu0sfUBWge0hMrM1F&#10;I2VqqNSkRdrJbJQ+ePTgC6kjVqTRGMJEdj2LaIVu2w2Ut6a8B2Nn+rHxll80KOWS+XDNHOYE1WOT&#10;whWOShqkNINFSW3c13+9RzzaBy8lLeauoP7LjjlBiXyv0diT8TSKEtJlOlvkuLhDz/bQo3fqzGC0&#10;x9hZy5MZ8UHuzcoZ9RkLt4lZ4WKaI3dBw948C/02YGG52GwSCKNpWbjUN5bH0L24m10wVZN0jzL1&#10;2qAJ8YLhTO0YFilO/+E9oZ7+PN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Gl7BvjcAAAACwEA&#10;AA8AAAAAAAAAAQAgAAAAIgAAAGRycy9kb3ducmV2LnhtbFBLAQIUABQAAAAIAIdO4kD4RIdgTwIA&#10;AIQEAAAOAAAAAAAAAAEAIAAAACsBAABkcnMvZTJvRG9jLnhtbFBLBQYAAAAABgAGAFkBAADsBQAA&#10;AAA=&#10;">
                <v:fill on="f" focussize="0,0"/>
                <v:stroke on="f" weight="0.5pt"/>
                <v:imagedata o:title=""/>
                <o:lock v:ext="edit" aspectratio="f"/>
                <v:textbox>
                  <w:txbxContent>
                    <w:p w14:paraId="6AD26F8F">
                      <w:pPr>
                        <w:jc w:val="center"/>
                        <w:rPr>
                          <w:rFonts w:hint="default" w:eastAsia="宋体"/>
                          <w:b/>
                          <w:bCs/>
                          <w:lang w:val="en-US" w:eastAsia="zh-CN"/>
                        </w:rPr>
                      </w:pPr>
                      <w:r>
                        <w:rPr>
                          <w:rFonts w:hint="eastAsia"/>
                          <w:b/>
                          <w:bCs/>
                          <w:lang w:eastAsia="zh-CN"/>
                        </w:rPr>
                        <w:t>图</w:t>
                      </w:r>
                      <w:r>
                        <w:rPr>
                          <w:rFonts w:hint="eastAsia"/>
                          <w:b/>
                          <w:bCs/>
                          <w:lang w:val="en-US" w:eastAsia="zh-CN"/>
                        </w:rPr>
                        <w:t>1.2-1 敏感目标分布图</w:t>
                      </w:r>
                    </w:p>
                  </w:txbxContent>
                </v:textbox>
              </v:shape>
            </w:pict>
          </mc:Fallback>
        </mc:AlternateContent>
      </w:r>
    </w:p>
    <w:p w14:paraId="79FA997B">
      <w:pPr>
        <w:pStyle w:val="3"/>
        <w:keepNext/>
        <w:keepLines/>
        <w:pageBreakBefore w:val="0"/>
        <w:widowControl w:val="0"/>
        <w:kinsoku/>
        <w:wordWrap/>
        <w:overflowPunct/>
        <w:topLinePunct w:val="0"/>
        <w:autoSpaceDE/>
        <w:autoSpaceDN/>
        <w:bidi w:val="0"/>
        <w:adjustRightInd/>
        <w:snapToGrid w:val="0"/>
        <w:spacing w:before="0" w:after="0" w:line="360" w:lineRule="auto"/>
        <w:ind w:left="0" w:leftChars="0"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.3环境风险潜势初判</w:t>
      </w:r>
      <w:bookmarkEnd w:id="7"/>
    </w:p>
    <w:p w14:paraId="31E1266A">
      <w:pPr>
        <w:keepNext/>
        <w:keepLines/>
        <w:pageBreakBefore w:val="0"/>
        <w:widowControl w:val="0"/>
        <w:kinsoku/>
        <w:wordWrap/>
        <w:overflowPunct/>
        <w:topLinePunct w:val="0"/>
        <w:autoSpaceDE/>
        <w:autoSpaceDN/>
        <w:bidi w:val="0"/>
        <w:snapToGrid w:val="0"/>
        <w:spacing w:line="360" w:lineRule="auto"/>
        <w:ind w:left="0" w:leftChars="0"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ascii="Times New Roman" w:hAnsi="Times New Roman"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.3.1危险物质及工艺系统危险性（P）分级</w:t>
      </w:r>
    </w:p>
    <w:p w14:paraId="309A57D8">
      <w:pPr>
        <w:pageBreakBefore w:val="0"/>
        <w:widowControl w:val="0"/>
        <w:kinsoku/>
        <w:wordWrap/>
        <w:overflowPunct/>
        <w:topLinePunct w:val="0"/>
        <w:autoSpaceDE/>
        <w:autoSpaceDN/>
        <w:bidi w:val="0"/>
        <w:snapToGrid w:val="0"/>
        <w:spacing w:line="360" w:lineRule="auto"/>
        <w:ind w:left="0" w:leftChars="0" w:firstLine="482" w:firstLineChars="200"/>
        <w:textAlignment w:val="auto"/>
        <w:outlineLvl w:val="3"/>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.3.1.1危险物质数量与临界量比值（Q）</w:t>
      </w:r>
    </w:p>
    <w:p w14:paraId="125C0DA4">
      <w:pPr>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（1）计算公式</w:t>
      </w:r>
    </w:p>
    <w:p w14:paraId="557D2723">
      <w:pPr>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当只涉及一种危险物质时，计算该物质的总量与其临界量比值，即为Q；</w:t>
      </w:r>
    </w:p>
    <w:p w14:paraId="7324D122">
      <w:pPr>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当存在多种危险物质时，则按下列公式计算物质总量与其临界量比值（Q）：</w:t>
      </w:r>
    </w:p>
    <w:p w14:paraId="54FF93A0">
      <w:pPr>
        <w:keepNext w:val="0"/>
        <w:keepLines w:val="0"/>
        <w:pageBreakBefore w:val="0"/>
        <w:widowControl w:val="0"/>
        <w:kinsoku/>
        <w:wordWrap/>
        <w:overflowPunct/>
        <w:topLinePunct w:val="0"/>
        <w:autoSpaceDE/>
        <w:autoSpaceDN/>
        <w:bidi w:val="0"/>
        <w:adjustRightInd w:val="0"/>
        <w:snapToGrid w:val="0"/>
        <w:spacing w:line="1100" w:lineRule="exact"/>
        <w:ind w:left="0" w:leftChars="0" w:firstLine="480" w:firstLineChars="20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drawing>
          <wp:anchor distT="0" distB="0" distL="114300" distR="114300" simplePos="0" relativeHeight="251659264" behindDoc="0" locked="0" layoutInCell="1" allowOverlap="1">
            <wp:simplePos x="0" y="0"/>
            <wp:positionH relativeFrom="column">
              <wp:posOffset>1501140</wp:posOffset>
            </wp:positionH>
            <wp:positionV relativeFrom="paragraph">
              <wp:posOffset>101600</wp:posOffset>
            </wp:positionV>
            <wp:extent cx="1786890" cy="531495"/>
            <wp:effectExtent l="0" t="0" r="11430" b="1905"/>
            <wp:wrapNone/>
            <wp:docPr id="18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30"/>
                    <pic:cNvPicPr>
                      <a:picLocks noChangeAspect="1"/>
                    </pic:cNvPicPr>
                  </pic:nvPicPr>
                  <pic:blipFill>
                    <a:blip r:embed="rId15"/>
                    <a:stretch>
                      <a:fillRect/>
                    </a:stretch>
                  </pic:blipFill>
                  <pic:spPr>
                    <a:xfrm>
                      <a:off x="0" y="0"/>
                      <a:ext cx="1786890" cy="531495"/>
                    </a:xfrm>
                    <a:prstGeom prst="rect">
                      <a:avLst/>
                    </a:prstGeom>
                    <a:noFill/>
                    <a:ln>
                      <a:noFill/>
                    </a:ln>
                  </pic:spPr>
                </pic:pic>
              </a:graphicData>
            </a:graphic>
          </wp:anchor>
        </w:drawing>
      </w:r>
    </w:p>
    <w:p w14:paraId="12FEEA5B">
      <w:pPr>
        <w:pageBreakBefore w:val="0"/>
        <w:widowControl w:val="0"/>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式中：</w:t>
      </w:r>
    </w:p>
    <w:p w14:paraId="550BBC02">
      <w:pPr>
        <w:pageBreakBefore w:val="0"/>
        <w:widowControl w:val="0"/>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q</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、q</w:t>
      </w:r>
      <w:r>
        <w:rPr>
          <w:rFonts w:hint="default" w:ascii="Times New Roman" w:hAnsi="Times New Roman" w:cs="Times New Roman"/>
          <w:color w:val="auto"/>
          <w:sz w:val="24"/>
          <w:szCs w:val="24"/>
          <w:highlight w:val="none"/>
          <w:vertAlign w:val="subscript"/>
        </w:rPr>
        <w:t xml:space="preserve">2   </w:t>
      </w:r>
      <w:r>
        <w:rPr>
          <w:rFonts w:hint="default" w:ascii="Times New Roman" w:hAnsi="Times New Roman" w:cs="Times New Roman"/>
          <w:color w:val="auto"/>
          <w:sz w:val="24"/>
          <w:szCs w:val="24"/>
          <w:highlight w:val="none"/>
        </w:rPr>
        <w:t>…，q</w:t>
      </w:r>
      <w:r>
        <w:rPr>
          <w:rFonts w:hint="default" w:ascii="Times New Roman" w:hAnsi="Times New Roman" w:cs="Times New Roman"/>
          <w:color w:val="auto"/>
          <w:sz w:val="24"/>
          <w:szCs w:val="24"/>
          <w:highlight w:val="none"/>
          <w:vertAlign w:val="subscript"/>
        </w:rPr>
        <w:t>n</w:t>
      </w:r>
      <w:r>
        <w:rPr>
          <w:rFonts w:hint="default" w:ascii="Times New Roman" w:hAnsi="Times New Roman" w:cs="Times New Roman"/>
          <w:color w:val="auto"/>
          <w:sz w:val="24"/>
          <w:szCs w:val="24"/>
          <w:highlight w:val="none"/>
        </w:rPr>
        <w:t>----每种危险物质的最大存在总量，t；</w:t>
      </w:r>
    </w:p>
    <w:p w14:paraId="797F94B8">
      <w:pPr>
        <w:pageBreakBefore w:val="0"/>
        <w:widowControl w:val="0"/>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Q</w:t>
      </w:r>
      <w:r>
        <w:rPr>
          <w:rFonts w:hint="default" w:ascii="Times New Roman" w:hAnsi="Times New Roman" w:cs="Times New Roman"/>
          <w:color w:val="auto"/>
          <w:sz w:val="24"/>
          <w:szCs w:val="24"/>
          <w:highlight w:val="none"/>
          <w:vertAlign w:val="subscript"/>
        </w:rPr>
        <w:t>1</w:t>
      </w:r>
      <w:r>
        <w:rPr>
          <w:rFonts w:hint="default" w:ascii="Times New Roman" w:hAnsi="Times New Roman" w:cs="Times New Roman"/>
          <w:color w:val="auto"/>
          <w:sz w:val="24"/>
          <w:szCs w:val="24"/>
          <w:highlight w:val="none"/>
        </w:rPr>
        <w:t>、Q</w:t>
      </w:r>
      <w:r>
        <w:rPr>
          <w:rFonts w:hint="default" w:ascii="Times New Roman" w:hAnsi="Times New Roman" w:cs="Times New Roman"/>
          <w:color w:val="auto"/>
          <w:sz w:val="24"/>
          <w:szCs w:val="24"/>
          <w:highlight w:val="none"/>
          <w:vertAlign w:val="subscript"/>
        </w:rPr>
        <w:t xml:space="preserve">2   </w:t>
      </w:r>
      <w:r>
        <w:rPr>
          <w:rFonts w:hint="default" w:ascii="Times New Roman" w:hAnsi="Times New Roman" w:cs="Times New Roman"/>
          <w:color w:val="auto"/>
          <w:sz w:val="24"/>
          <w:szCs w:val="24"/>
          <w:highlight w:val="none"/>
        </w:rPr>
        <w:t>…… Q</w:t>
      </w:r>
      <w:r>
        <w:rPr>
          <w:rFonts w:hint="default" w:ascii="Times New Roman" w:hAnsi="Times New Roman" w:cs="Times New Roman"/>
          <w:color w:val="auto"/>
          <w:sz w:val="24"/>
          <w:szCs w:val="24"/>
          <w:highlight w:val="none"/>
          <w:vertAlign w:val="subscript"/>
        </w:rPr>
        <w:t>n</w:t>
      </w:r>
      <w:r>
        <w:rPr>
          <w:rFonts w:hint="default" w:ascii="Times New Roman" w:hAnsi="Times New Roman" w:cs="Times New Roman"/>
          <w:color w:val="auto"/>
          <w:sz w:val="24"/>
          <w:szCs w:val="24"/>
          <w:highlight w:val="none"/>
        </w:rPr>
        <w:t>----每种危险物质的临界量，t。</w:t>
      </w:r>
    </w:p>
    <w:p w14:paraId="55803492">
      <w:pPr>
        <w:pageBreakBefore w:val="0"/>
        <w:widowControl w:val="0"/>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计算出Q值后：</w:t>
      </w:r>
    </w:p>
    <w:p w14:paraId="3622C834">
      <w:pPr>
        <w:keepNext w:val="0"/>
        <w:keepLines w:val="0"/>
        <w:pageBreakBefore w:val="0"/>
        <w:widowControl w:val="0"/>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当Q＜1时，该项目环境风险潜势为I。</w:t>
      </w:r>
    </w:p>
    <w:p w14:paraId="39F1B30F">
      <w:pPr>
        <w:keepNext w:val="0"/>
        <w:keepLines w:val="0"/>
        <w:pageBreakBefore w:val="0"/>
        <w:widowControl w:val="0"/>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当Q≥1时，将Q值划分为：①1≤Q＜10；②10≤Q＜100；③Q≥100。</w:t>
      </w:r>
    </w:p>
    <w:p w14:paraId="60224FB1">
      <w:pPr>
        <w:keepNext w:val="0"/>
        <w:keepLines w:val="0"/>
        <w:pageBreakBefore w:val="0"/>
        <w:widowControl w:val="0"/>
        <w:kinsoku/>
        <w:wordWrap/>
        <w:overflowPunct/>
        <w:topLinePunct w:val="0"/>
        <w:autoSpaceDE/>
        <w:autoSpaceDN/>
        <w:bidi w:val="0"/>
        <w:spacing w:line="450" w:lineRule="exact"/>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（2）参数选择</w:t>
      </w:r>
    </w:p>
    <w:p w14:paraId="50EE0E77">
      <w:pPr>
        <w:pStyle w:val="16"/>
        <w:keepNext w:val="0"/>
        <w:keepLines w:val="0"/>
        <w:pageBreakBefore w:val="0"/>
        <w:widowControl w:val="0"/>
        <w:tabs>
          <w:tab w:val="left" w:pos="1470"/>
        </w:tabs>
        <w:kinsoku/>
        <w:wordWrap/>
        <w:overflowPunct/>
        <w:topLinePunct w:val="0"/>
        <w:autoSpaceDE/>
        <w:autoSpaceDN/>
        <w:bidi w:val="0"/>
        <w:spacing w:line="450" w:lineRule="exact"/>
        <w:ind w:firstLine="480" w:firstLineChars="200"/>
        <w:textAlignment w:val="auto"/>
        <w:rPr>
          <w:rFonts w:hint="default" w:ascii="Times New Roman" w:hAnsi="Times New Roman" w:cs="Times New Roman"/>
          <w:color w:val="auto"/>
          <w:szCs w:val="20"/>
          <w:highlight w:val="none"/>
        </w:rPr>
      </w:pPr>
      <w:r>
        <w:rPr>
          <w:rFonts w:hint="default" w:ascii="Times New Roman" w:hAnsi="Times New Roman" w:cs="Times New Roman"/>
          <w:color w:val="auto"/>
          <w:sz w:val="24"/>
          <w:szCs w:val="24"/>
          <w:highlight w:val="none"/>
        </w:rPr>
        <w:t>对照《建设项目环境风险评价技术导则》（HJ169-2018），本项目列入其中的</w:t>
      </w:r>
      <w:r>
        <w:rPr>
          <w:rFonts w:hint="eastAsia" w:ascii="Times New Roman" w:hAnsi="Times New Roman" w:cs="Times New Roman"/>
          <w:color w:val="auto"/>
          <w:sz w:val="24"/>
          <w:szCs w:val="24"/>
          <w:highlight w:val="none"/>
          <w:lang w:eastAsia="zh-CN"/>
        </w:rPr>
        <w:t>风险物质</w:t>
      </w:r>
      <w:r>
        <w:rPr>
          <w:rFonts w:hint="eastAsia" w:cs="Times New Roman"/>
          <w:color w:val="auto"/>
          <w:sz w:val="24"/>
          <w:szCs w:val="24"/>
          <w:highlight w:val="none"/>
          <w:lang w:val="en-US" w:eastAsia="zh-CN"/>
        </w:rPr>
        <w:t>为</w:t>
      </w:r>
      <w:r>
        <w:rPr>
          <w:rFonts w:hint="eastAsia" w:ascii="Times New Roman" w:hAnsi="Times New Roman" w:eastAsia="宋体" w:cs="Times New Roman"/>
          <w:color w:val="auto"/>
          <w:kern w:val="0"/>
          <w:sz w:val="24"/>
          <w:highlight w:val="none"/>
          <w:lang w:eastAsia="zh-CN"/>
        </w:rPr>
        <w:t>硫酸</w:t>
      </w:r>
      <w:r>
        <w:rPr>
          <w:rFonts w:hint="default" w:ascii="Times New Roman" w:hAnsi="Times New Roman" w:cs="Times New Roman"/>
          <w:color w:val="auto"/>
          <w:sz w:val="24"/>
          <w:szCs w:val="24"/>
          <w:highlight w:val="none"/>
        </w:rPr>
        <w:t>。根据《建设项目环境风险评价技术导则》（HJ169-2018）附录B的规定，对于未列入附录表B.1的物质，根据附录B.2推荐的临界量推荐值进行计算，项目Q值见表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.3-1。</w:t>
      </w:r>
    </w:p>
    <w:p w14:paraId="48683E85">
      <w:pPr>
        <w:spacing w:before="156" w:beforeLines="50" w:line="240" w:lineRule="auto"/>
        <w:ind w:firstLine="48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.3-1  建设项目Q 值确定表</w:t>
      </w:r>
    </w:p>
    <w:tbl>
      <w:tblPr>
        <w:tblStyle w:val="21"/>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55"/>
        <w:gridCol w:w="1186"/>
        <w:gridCol w:w="1188"/>
        <w:gridCol w:w="1137"/>
        <w:gridCol w:w="2147"/>
        <w:gridCol w:w="1307"/>
        <w:gridCol w:w="898"/>
      </w:tblGrid>
      <w:tr w14:paraId="7A27E10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385" w:type="pct"/>
            <w:noWrap w:val="0"/>
            <w:vAlign w:val="center"/>
          </w:tcPr>
          <w:p w14:paraId="0DDE13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696" w:type="pct"/>
            <w:noWrap w:val="0"/>
            <w:vAlign w:val="center"/>
          </w:tcPr>
          <w:p w14:paraId="2706F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eastAsia" w:ascii="Times New Roman" w:hAnsi="Times New Roman" w:eastAsia="宋体" w:cs="Times New Roman"/>
                <w:b/>
                <w:color w:val="auto"/>
                <w:sz w:val="21"/>
                <w:szCs w:val="21"/>
                <w:highlight w:val="none"/>
                <w:lang w:eastAsia="zh-CN"/>
              </w:rPr>
            </w:pPr>
            <w:r>
              <w:rPr>
                <w:rFonts w:hint="eastAsia" w:cs="Times New Roman"/>
                <w:b/>
                <w:color w:val="auto"/>
                <w:sz w:val="21"/>
                <w:szCs w:val="21"/>
                <w:highlight w:val="none"/>
                <w:lang w:eastAsia="zh-CN"/>
              </w:rPr>
              <w:t>项目</w:t>
            </w:r>
          </w:p>
        </w:tc>
        <w:tc>
          <w:tcPr>
            <w:tcW w:w="697" w:type="pct"/>
            <w:shd w:val="clear" w:color="auto" w:fill="auto"/>
            <w:noWrap w:val="0"/>
            <w:vAlign w:val="center"/>
          </w:tcPr>
          <w:p w14:paraId="316D30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b/>
                <w:color w:val="auto"/>
                <w:sz w:val="21"/>
                <w:szCs w:val="21"/>
                <w:highlight w:val="none"/>
              </w:rPr>
              <w:t>危险物质名称</w:t>
            </w:r>
          </w:p>
        </w:tc>
        <w:tc>
          <w:tcPr>
            <w:tcW w:w="667" w:type="pct"/>
            <w:noWrap w:val="0"/>
            <w:vAlign w:val="center"/>
          </w:tcPr>
          <w:p w14:paraId="46AF863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CAS号</w:t>
            </w:r>
          </w:p>
        </w:tc>
        <w:tc>
          <w:tcPr>
            <w:tcW w:w="1260" w:type="pct"/>
            <w:noWrap w:val="0"/>
            <w:vAlign w:val="center"/>
          </w:tcPr>
          <w:p w14:paraId="15658B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最大存在总量q</w:t>
            </w:r>
            <w:r>
              <w:rPr>
                <w:rFonts w:hint="default" w:ascii="Times New Roman" w:hAnsi="Times New Roman" w:cs="Times New Roman"/>
                <w:b/>
                <w:color w:val="auto"/>
                <w:sz w:val="21"/>
                <w:szCs w:val="21"/>
                <w:highlight w:val="none"/>
                <w:vertAlign w:val="subscript"/>
              </w:rPr>
              <w:t>n</w:t>
            </w:r>
            <w:r>
              <w:rPr>
                <w:rFonts w:hint="default" w:ascii="Times New Roman" w:hAnsi="Times New Roman" w:cs="Times New Roman"/>
                <w:b/>
                <w:color w:val="auto"/>
                <w:sz w:val="21"/>
                <w:szCs w:val="21"/>
                <w:highlight w:val="none"/>
              </w:rPr>
              <w:t>/t</w:t>
            </w:r>
          </w:p>
        </w:tc>
        <w:tc>
          <w:tcPr>
            <w:tcW w:w="765" w:type="pct"/>
            <w:noWrap w:val="0"/>
            <w:vAlign w:val="center"/>
          </w:tcPr>
          <w:p w14:paraId="562A98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临界量Q</w:t>
            </w:r>
            <w:r>
              <w:rPr>
                <w:rFonts w:hint="default" w:ascii="Times New Roman" w:hAnsi="Times New Roman" w:cs="Times New Roman"/>
                <w:b/>
                <w:color w:val="auto"/>
                <w:sz w:val="21"/>
                <w:szCs w:val="21"/>
                <w:highlight w:val="none"/>
                <w:vertAlign w:val="subscript"/>
              </w:rPr>
              <w:t>n</w:t>
            </w:r>
            <w:r>
              <w:rPr>
                <w:rFonts w:hint="default" w:ascii="Times New Roman" w:hAnsi="Times New Roman" w:cs="Times New Roman"/>
                <w:b/>
                <w:color w:val="auto"/>
                <w:sz w:val="21"/>
                <w:szCs w:val="21"/>
                <w:highlight w:val="none"/>
              </w:rPr>
              <w:t>/t</w:t>
            </w:r>
          </w:p>
        </w:tc>
        <w:tc>
          <w:tcPr>
            <w:tcW w:w="527" w:type="pct"/>
            <w:noWrap w:val="0"/>
            <w:vAlign w:val="center"/>
          </w:tcPr>
          <w:p w14:paraId="102D25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Q值</w:t>
            </w:r>
          </w:p>
        </w:tc>
      </w:tr>
      <w:tr w14:paraId="136204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385" w:type="pct"/>
            <w:noWrap w:val="0"/>
            <w:vAlign w:val="center"/>
          </w:tcPr>
          <w:p w14:paraId="7EF41A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696" w:type="pct"/>
            <w:shd w:val="clear" w:color="auto" w:fill="auto"/>
            <w:noWrap w:val="0"/>
            <w:vAlign w:val="center"/>
          </w:tcPr>
          <w:p w14:paraId="7813F5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本项目硫酸罐区</w:t>
            </w:r>
          </w:p>
        </w:tc>
        <w:tc>
          <w:tcPr>
            <w:tcW w:w="697" w:type="pct"/>
            <w:shd w:val="clear" w:color="auto" w:fill="auto"/>
            <w:noWrap w:val="0"/>
            <w:vAlign w:val="center"/>
          </w:tcPr>
          <w:p w14:paraId="4D99CD5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1"/>
                <w:highlight w:val="none"/>
                <w:lang w:val="en-US" w:eastAsia="zh-CN" w:bidi="ar"/>
              </w:rPr>
              <w:t>98%硫酸</w:t>
            </w:r>
          </w:p>
        </w:tc>
        <w:tc>
          <w:tcPr>
            <w:tcW w:w="667" w:type="pct"/>
            <w:shd w:val="clear" w:color="auto" w:fill="auto"/>
            <w:noWrap w:val="0"/>
            <w:vAlign w:val="center"/>
          </w:tcPr>
          <w:p w14:paraId="59CA07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HYPERLINK "http://www.ichemistry.cn/chemistry/7664-93-9.htm" \t "http://www.ichemistry.cn/msds/_blank"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7664-93-9</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1260" w:type="pct"/>
            <w:shd w:val="clear" w:color="auto" w:fill="auto"/>
            <w:noWrap w:val="0"/>
            <w:vAlign w:val="center"/>
          </w:tcPr>
          <w:p w14:paraId="768AA64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sz w:val="21"/>
                <w:szCs w:val="21"/>
                <w:highlight w:val="none"/>
                <w:lang w:val="en-US" w:eastAsia="zh-CN"/>
              </w:rPr>
              <w:t>18300</w:t>
            </w:r>
          </w:p>
        </w:tc>
        <w:tc>
          <w:tcPr>
            <w:tcW w:w="765" w:type="pct"/>
            <w:shd w:val="clear" w:color="auto" w:fill="auto"/>
            <w:noWrap w:val="0"/>
            <w:vAlign w:val="center"/>
          </w:tcPr>
          <w:p w14:paraId="4778702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10</w:t>
            </w:r>
          </w:p>
        </w:tc>
        <w:tc>
          <w:tcPr>
            <w:tcW w:w="527" w:type="pct"/>
            <w:shd w:val="clear" w:color="auto" w:fill="auto"/>
            <w:noWrap w:val="0"/>
            <w:vAlign w:val="center"/>
          </w:tcPr>
          <w:p w14:paraId="78B3EF4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1830</w:t>
            </w:r>
          </w:p>
        </w:tc>
      </w:tr>
      <w:tr w14:paraId="652FA0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385" w:type="pct"/>
            <w:noWrap w:val="0"/>
            <w:vAlign w:val="center"/>
          </w:tcPr>
          <w:p w14:paraId="4813E7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696" w:type="pct"/>
            <w:vMerge w:val="restart"/>
            <w:shd w:val="clear" w:color="auto" w:fill="auto"/>
            <w:noWrap w:val="0"/>
            <w:vAlign w:val="center"/>
          </w:tcPr>
          <w:p w14:paraId="3A0C5DE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现有项目罐区</w:t>
            </w:r>
          </w:p>
        </w:tc>
        <w:tc>
          <w:tcPr>
            <w:tcW w:w="697" w:type="pct"/>
            <w:shd w:val="clear" w:color="auto" w:fill="auto"/>
            <w:noWrap w:val="0"/>
            <w:vAlign w:val="center"/>
          </w:tcPr>
          <w:p w14:paraId="7337D972">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0"/>
                <w:sz w:val="21"/>
                <w:szCs w:val="21"/>
                <w:highlight w:val="none"/>
                <w:lang w:val="en-US" w:eastAsia="zh-CN" w:bidi="ar"/>
              </w:rPr>
              <w:t>98%硫酸</w:t>
            </w:r>
          </w:p>
        </w:tc>
        <w:tc>
          <w:tcPr>
            <w:tcW w:w="667" w:type="pct"/>
            <w:shd w:val="clear" w:color="auto" w:fill="auto"/>
            <w:noWrap w:val="0"/>
            <w:vAlign w:val="center"/>
          </w:tcPr>
          <w:p w14:paraId="046C9A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i w:val="0"/>
                <w:color w:val="auto"/>
                <w:kern w:val="0"/>
                <w:sz w:val="21"/>
                <w:szCs w:val="21"/>
                <w:u w:val="none"/>
                <w:lang w:val="en-US" w:eastAsia="zh-CN" w:bidi="ar"/>
              </w:rPr>
              <w:fldChar w:fldCharType="begin"/>
            </w:r>
            <w:r>
              <w:rPr>
                <w:rFonts w:hint="default" w:ascii="Times New Roman" w:hAnsi="Times New Roman" w:eastAsia="宋体" w:cs="Times New Roman"/>
                <w:i w:val="0"/>
                <w:color w:val="auto"/>
                <w:kern w:val="0"/>
                <w:sz w:val="21"/>
                <w:szCs w:val="21"/>
                <w:u w:val="none"/>
                <w:lang w:val="en-US" w:eastAsia="zh-CN" w:bidi="ar"/>
              </w:rPr>
              <w:instrText xml:space="preserve"> HYPERLINK "http://www.ichemistry.cn/chemistry/7664-93-9.htm" \t "http://www.ichemistry.cn/msds/_blank" </w:instrText>
            </w:r>
            <w:r>
              <w:rPr>
                <w:rFonts w:hint="default" w:ascii="Times New Roman" w:hAnsi="Times New Roman" w:eastAsia="宋体" w:cs="Times New Roman"/>
                <w:i w:val="0"/>
                <w:color w:val="auto"/>
                <w:kern w:val="0"/>
                <w:sz w:val="21"/>
                <w:szCs w:val="21"/>
                <w:u w:val="none"/>
                <w:lang w:val="en-US" w:eastAsia="zh-CN" w:bidi="ar"/>
              </w:rPr>
              <w:fldChar w:fldCharType="separate"/>
            </w:r>
            <w:r>
              <w:rPr>
                <w:rFonts w:hint="default" w:ascii="Times New Roman" w:hAnsi="Times New Roman" w:eastAsia="宋体" w:cs="Times New Roman"/>
                <w:i w:val="0"/>
                <w:color w:val="auto"/>
                <w:kern w:val="0"/>
                <w:sz w:val="21"/>
                <w:szCs w:val="21"/>
                <w:u w:val="none"/>
                <w:lang w:val="en-US" w:eastAsia="zh-CN" w:bidi="ar"/>
              </w:rPr>
              <w:t>7664-93-9</w:t>
            </w:r>
            <w:r>
              <w:rPr>
                <w:rFonts w:hint="default" w:ascii="Times New Roman" w:hAnsi="Times New Roman" w:eastAsia="宋体" w:cs="Times New Roman"/>
                <w:i w:val="0"/>
                <w:color w:val="auto"/>
                <w:kern w:val="0"/>
                <w:sz w:val="21"/>
                <w:szCs w:val="21"/>
                <w:u w:val="none"/>
                <w:lang w:val="en-US" w:eastAsia="zh-CN" w:bidi="ar"/>
              </w:rPr>
              <w:fldChar w:fldCharType="end"/>
            </w:r>
          </w:p>
        </w:tc>
        <w:tc>
          <w:tcPr>
            <w:tcW w:w="2147" w:type="dxa"/>
            <w:shd w:val="clear" w:color="auto" w:fill="auto"/>
            <w:noWrap w:val="0"/>
            <w:vAlign w:val="center"/>
          </w:tcPr>
          <w:p w14:paraId="37B8963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lang w:val="en-US" w:eastAsia="zh-CN" w:bidi="ar"/>
              </w:rPr>
              <w:t>3880</w:t>
            </w:r>
          </w:p>
        </w:tc>
        <w:tc>
          <w:tcPr>
            <w:tcW w:w="765" w:type="pct"/>
            <w:shd w:val="clear" w:color="auto" w:fill="auto"/>
            <w:noWrap w:val="0"/>
            <w:vAlign w:val="center"/>
          </w:tcPr>
          <w:p w14:paraId="6458DCE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10</w:t>
            </w:r>
          </w:p>
        </w:tc>
        <w:tc>
          <w:tcPr>
            <w:tcW w:w="527" w:type="pct"/>
            <w:shd w:val="clear" w:color="auto" w:fill="auto"/>
            <w:noWrap w:val="0"/>
            <w:vAlign w:val="center"/>
          </w:tcPr>
          <w:p w14:paraId="0A5A54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388</w:t>
            </w:r>
          </w:p>
        </w:tc>
      </w:tr>
      <w:tr w14:paraId="35BB78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385" w:type="pct"/>
            <w:noWrap w:val="0"/>
            <w:vAlign w:val="center"/>
          </w:tcPr>
          <w:p w14:paraId="6550E821">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696" w:type="pct"/>
            <w:vMerge w:val="continue"/>
            <w:noWrap w:val="0"/>
            <w:vAlign w:val="center"/>
          </w:tcPr>
          <w:p w14:paraId="66AE497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sz w:val="21"/>
                <w:szCs w:val="21"/>
                <w:highlight w:val="none"/>
                <w:lang w:val="en-US" w:eastAsia="zh-CN"/>
              </w:rPr>
            </w:pPr>
          </w:p>
        </w:tc>
        <w:tc>
          <w:tcPr>
            <w:tcW w:w="697" w:type="pct"/>
            <w:shd w:val="clear" w:color="auto" w:fill="auto"/>
            <w:noWrap w:val="0"/>
            <w:vAlign w:val="center"/>
          </w:tcPr>
          <w:p w14:paraId="56504B85">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发烟硫酸</w:t>
            </w:r>
          </w:p>
        </w:tc>
        <w:tc>
          <w:tcPr>
            <w:tcW w:w="667" w:type="pct"/>
            <w:noWrap w:val="0"/>
            <w:vAlign w:val="center"/>
          </w:tcPr>
          <w:p w14:paraId="421B8A75">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rPr>
              <w:t>8014-95-7</w:t>
            </w:r>
          </w:p>
        </w:tc>
        <w:tc>
          <w:tcPr>
            <w:tcW w:w="2147" w:type="dxa"/>
            <w:noWrap w:val="0"/>
            <w:vAlign w:val="center"/>
          </w:tcPr>
          <w:p w14:paraId="0D6AA03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kern w:val="0"/>
                <w:sz w:val="21"/>
                <w:szCs w:val="21"/>
                <w:lang w:val="en-US" w:eastAsia="zh-CN" w:bidi="ar"/>
              </w:rPr>
              <w:t>796</w:t>
            </w:r>
          </w:p>
        </w:tc>
        <w:tc>
          <w:tcPr>
            <w:tcW w:w="765" w:type="pct"/>
            <w:noWrap w:val="0"/>
            <w:vAlign w:val="center"/>
          </w:tcPr>
          <w:p w14:paraId="2B28DB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w:t>
            </w:r>
          </w:p>
        </w:tc>
        <w:tc>
          <w:tcPr>
            <w:tcW w:w="527" w:type="pct"/>
            <w:noWrap w:val="0"/>
            <w:vAlign w:val="center"/>
          </w:tcPr>
          <w:p w14:paraId="25FB43D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159.2</w:t>
            </w:r>
          </w:p>
        </w:tc>
      </w:tr>
      <w:tr w14:paraId="1D24C9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472" w:type="pct"/>
            <w:gridSpan w:val="6"/>
            <w:noWrap w:val="0"/>
            <w:vAlign w:val="center"/>
          </w:tcPr>
          <w:p w14:paraId="7327BA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项目Q值∑</w:t>
            </w:r>
          </w:p>
        </w:tc>
        <w:tc>
          <w:tcPr>
            <w:tcW w:w="527" w:type="pct"/>
            <w:noWrap w:val="0"/>
            <w:vAlign w:val="center"/>
          </w:tcPr>
          <w:p w14:paraId="225EB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2377.2</w:t>
            </w:r>
          </w:p>
        </w:tc>
      </w:tr>
    </w:tbl>
    <w:p w14:paraId="2506A717">
      <w:pPr>
        <w:keepNext w:val="0"/>
        <w:keepLines w:val="0"/>
        <w:pageBreakBefore w:val="0"/>
        <w:widowControl w:val="0"/>
        <w:kinsoku/>
        <w:wordWrap/>
        <w:overflowPunct/>
        <w:topLinePunct w:val="0"/>
        <w:autoSpaceDE/>
        <w:autoSpaceDN/>
        <w:bidi w:val="0"/>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由表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.3-1可知，本项目环境危险物质最大贮存量与临界量比值Q=</w:t>
      </w:r>
      <w:r>
        <w:rPr>
          <w:rFonts w:hint="eastAsia" w:cs="Times New Roman"/>
          <w:color w:val="auto"/>
          <w:sz w:val="24"/>
          <w:szCs w:val="24"/>
          <w:highlight w:val="none"/>
          <w:lang w:val="en-US" w:eastAsia="zh-CN"/>
        </w:rPr>
        <w:t>2377.2</w:t>
      </w:r>
      <w:r>
        <w:rPr>
          <w:rFonts w:hint="default" w:ascii="Times New Roman" w:hAnsi="Times New Roman" w:cs="Times New Roman"/>
          <w:color w:val="auto"/>
          <w:sz w:val="24"/>
          <w:szCs w:val="24"/>
          <w:highlight w:val="none"/>
        </w:rPr>
        <w:t>。</w:t>
      </w:r>
    </w:p>
    <w:p w14:paraId="099F40D0">
      <w:pPr>
        <w:keepNext w:val="0"/>
        <w:keepLines w:val="0"/>
        <w:pageBreakBefore w:val="0"/>
        <w:widowControl w:val="0"/>
        <w:kinsoku/>
        <w:wordWrap/>
        <w:overflowPunct/>
        <w:topLinePunct w:val="0"/>
        <w:autoSpaceDE/>
        <w:autoSpaceDN/>
        <w:bidi w:val="0"/>
        <w:spacing w:line="450" w:lineRule="exact"/>
        <w:ind w:firstLine="482" w:firstLineChars="200"/>
        <w:textAlignment w:val="auto"/>
        <w:outlineLvl w:val="3"/>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.3.1.2行业及生产工艺（M）</w:t>
      </w:r>
    </w:p>
    <w:p w14:paraId="75036C0C">
      <w:pPr>
        <w:keepNext w:val="0"/>
        <w:keepLines w:val="0"/>
        <w:pageBreakBefore w:val="0"/>
        <w:widowControl w:val="0"/>
        <w:kinsoku/>
        <w:wordWrap/>
        <w:overflowPunct/>
        <w:topLinePunct w:val="0"/>
        <w:autoSpaceDE/>
        <w:autoSpaceDN/>
        <w:bidi w:val="0"/>
        <w:adjustRightInd w:val="0"/>
        <w:snapToGrid w:val="0"/>
        <w:spacing w:line="450" w:lineRule="exact"/>
        <w:ind w:firstLine="480" w:firstLineChars="200"/>
        <w:textAlignment w:val="auto"/>
        <w:rPr>
          <w:rFonts w:hint="default" w:ascii="Times New Roman" w:hAnsi="Times New Roman" w:cs="Times New Roman"/>
          <w:color w:val="auto"/>
          <w:szCs w:val="22"/>
          <w:highlight w:val="none"/>
        </w:rPr>
      </w:pPr>
      <w:r>
        <w:rPr>
          <w:rFonts w:hint="default" w:ascii="Times New Roman" w:hAnsi="Times New Roman" w:cs="Times New Roman"/>
          <w:color w:val="auto"/>
          <w:sz w:val="24"/>
          <w:szCs w:val="24"/>
          <w:highlight w:val="none"/>
        </w:rPr>
        <w:t>分析项目所属行业及生产工艺特点，按照表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.3-2来评估企业生产工艺情况。具有多套工艺单元的项目，对每套生产工艺分别评分并求和。将M划分为（1）M＞20；（2）10＜M≤20；（3）5＜M≤10；（4）M=5，分别以M1、M2、M3和M4表示。</w:t>
      </w:r>
    </w:p>
    <w:p w14:paraId="6CDADC16">
      <w:pPr>
        <w:adjustRightInd w:val="0"/>
        <w:snapToGrid w:val="0"/>
        <w:spacing w:line="240" w:lineRule="auto"/>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.3-2 行业及生产工艺分值情况表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268"/>
        <w:gridCol w:w="5070"/>
        <w:gridCol w:w="1183"/>
      </w:tblGrid>
      <w:tr w14:paraId="612FF5B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1" w:type="pct"/>
            <w:noWrap w:val="0"/>
            <w:vAlign w:val="center"/>
          </w:tcPr>
          <w:p w14:paraId="5A387EE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行业</w:t>
            </w:r>
          </w:p>
        </w:tc>
        <w:tc>
          <w:tcPr>
            <w:tcW w:w="2975" w:type="pct"/>
            <w:noWrap w:val="0"/>
            <w:vAlign w:val="center"/>
          </w:tcPr>
          <w:p w14:paraId="01915F2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评估依据</w:t>
            </w:r>
          </w:p>
        </w:tc>
        <w:tc>
          <w:tcPr>
            <w:tcW w:w="695" w:type="pct"/>
            <w:noWrap w:val="0"/>
            <w:vAlign w:val="center"/>
          </w:tcPr>
          <w:p w14:paraId="3AD7FA7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分值标准</w:t>
            </w:r>
          </w:p>
        </w:tc>
      </w:tr>
      <w:tr w14:paraId="40FA5BF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1" w:type="pct"/>
            <w:vMerge w:val="restart"/>
            <w:noWrap w:val="0"/>
            <w:vAlign w:val="center"/>
          </w:tcPr>
          <w:p w14:paraId="4109314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石化、化工、医药、轻工、化纤、有色冶炼等</w:t>
            </w:r>
          </w:p>
        </w:tc>
        <w:tc>
          <w:tcPr>
            <w:tcW w:w="2975" w:type="pct"/>
            <w:noWrap w:val="0"/>
            <w:vAlign w:val="center"/>
          </w:tcPr>
          <w:p w14:paraId="3CA53E2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695" w:type="pct"/>
            <w:noWrap w:val="0"/>
            <w:vAlign w:val="center"/>
          </w:tcPr>
          <w:p w14:paraId="5102EA4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10/套</w:t>
            </w:r>
          </w:p>
        </w:tc>
      </w:tr>
      <w:tr w14:paraId="2768649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1" w:type="pct"/>
            <w:vMerge w:val="continue"/>
            <w:noWrap w:val="0"/>
            <w:vAlign w:val="center"/>
          </w:tcPr>
          <w:p w14:paraId="3DEA621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p>
        </w:tc>
        <w:tc>
          <w:tcPr>
            <w:tcW w:w="2975" w:type="pct"/>
            <w:noWrap w:val="0"/>
            <w:vAlign w:val="center"/>
          </w:tcPr>
          <w:p w14:paraId="59B7A24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无机酸制酸工艺、焦化工艺</w:t>
            </w:r>
          </w:p>
        </w:tc>
        <w:tc>
          <w:tcPr>
            <w:tcW w:w="695" w:type="pct"/>
            <w:noWrap w:val="0"/>
            <w:vAlign w:val="center"/>
          </w:tcPr>
          <w:p w14:paraId="18F10FF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w:t>
            </w:r>
          </w:p>
        </w:tc>
      </w:tr>
      <w:tr w14:paraId="1E6113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1" w:type="pct"/>
            <w:vMerge w:val="continue"/>
            <w:noWrap w:val="0"/>
            <w:vAlign w:val="center"/>
          </w:tcPr>
          <w:p w14:paraId="3EE8713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p>
        </w:tc>
        <w:tc>
          <w:tcPr>
            <w:tcW w:w="2975" w:type="pct"/>
            <w:noWrap w:val="0"/>
            <w:vAlign w:val="center"/>
          </w:tcPr>
          <w:p w14:paraId="61BCCE3B">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其他高温或高压</w:t>
            </w:r>
            <w:r>
              <w:rPr>
                <w:rFonts w:hint="eastAsia" w:cs="Times New Roman"/>
                <w:color w:val="auto"/>
                <w:sz w:val="21"/>
                <w:szCs w:val="21"/>
                <w:highlight w:val="none"/>
                <w:lang w:eastAsia="zh-CN"/>
              </w:rPr>
              <w:t>且</w:t>
            </w:r>
            <w:r>
              <w:rPr>
                <w:rFonts w:hint="default" w:ascii="Times New Roman" w:hAnsi="Times New Roman" w:cs="Times New Roman"/>
                <w:color w:val="auto"/>
                <w:sz w:val="21"/>
                <w:szCs w:val="21"/>
                <w:highlight w:val="none"/>
              </w:rPr>
              <w:t>涉及危险物质的工艺过程</w:t>
            </w:r>
            <w:r>
              <w:rPr>
                <w:rFonts w:hint="default" w:ascii="Times New Roman" w:hAnsi="Times New Roman" w:cs="Times New Roman"/>
                <w:color w:val="auto"/>
                <w:sz w:val="21"/>
                <w:szCs w:val="21"/>
                <w:highlight w:val="none"/>
                <w:vertAlign w:val="superscript"/>
              </w:rPr>
              <w:t>a</w:t>
            </w:r>
            <w:r>
              <w:rPr>
                <w:rFonts w:hint="default" w:ascii="Times New Roman" w:hAnsi="Times New Roman" w:cs="Times New Roman"/>
                <w:color w:val="auto"/>
                <w:sz w:val="21"/>
                <w:szCs w:val="21"/>
                <w:highlight w:val="none"/>
              </w:rPr>
              <w:t>、危险物质贮存罐区</w:t>
            </w:r>
          </w:p>
        </w:tc>
        <w:tc>
          <w:tcPr>
            <w:tcW w:w="695" w:type="pct"/>
            <w:noWrap w:val="0"/>
            <w:vAlign w:val="center"/>
          </w:tcPr>
          <w:p w14:paraId="4A30518F">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5/套（罐区）</w:t>
            </w:r>
          </w:p>
        </w:tc>
      </w:tr>
      <w:tr w14:paraId="68D94BF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1" w:type="pct"/>
            <w:noWrap w:val="0"/>
            <w:vAlign w:val="center"/>
          </w:tcPr>
          <w:p w14:paraId="2836D24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管道、港口/码头等</w:t>
            </w:r>
          </w:p>
        </w:tc>
        <w:tc>
          <w:tcPr>
            <w:tcW w:w="2975" w:type="pct"/>
            <w:noWrap w:val="0"/>
            <w:vAlign w:val="center"/>
          </w:tcPr>
          <w:p w14:paraId="533DF6A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涉及危险物质管道运输项目、港口/码头等</w:t>
            </w:r>
          </w:p>
        </w:tc>
        <w:tc>
          <w:tcPr>
            <w:tcW w:w="695" w:type="pct"/>
            <w:noWrap w:val="0"/>
            <w:vAlign w:val="center"/>
          </w:tcPr>
          <w:p w14:paraId="25E7B0B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r>
      <w:tr w14:paraId="7FA21E4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31" w:type="pct"/>
            <w:noWrap w:val="0"/>
            <w:vAlign w:val="center"/>
          </w:tcPr>
          <w:p w14:paraId="116CA9B6">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石油天然气</w:t>
            </w:r>
          </w:p>
        </w:tc>
        <w:tc>
          <w:tcPr>
            <w:tcW w:w="2975" w:type="pct"/>
            <w:noWrap w:val="0"/>
            <w:vAlign w:val="center"/>
          </w:tcPr>
          <w:p w14:paraId="541A5677">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石油、天然气、页岩气开采（含净化）、气库（不含加气站的气库），油库（不含加油站的油库）、油气管线</w:t>
            </w:r>
            <w:r>
              <w:rPr>
                <w:rFonts w:hint="default" w:ascii="Times New Roman" w:hAnsi="Times New Roman" w:cs="Times New Roman"/>
                <w:color w:val="auto"/>
                <w:sz w:val="21"/>
                <w:szCs w:val="21"/>
                <w:highlight w:val="none"/>
                <w:vertAlign w:val="superscript"/>
              </w:rPr>
              <w:t>b</w:t>
            </w:r>
            <w:r>
              <w:rPr>
                <w:rFonts w:hint="default" w:ascii="Times New Roman" w:hAnsi="Times New Roman" w:cs="Times New Roman"/>
                <w:color w:val="auto"/>
                <w:sz w:val="21"/>
                <w:szCs w:val="21"/>
                <w:highlight w:val="none"/>
              </w:rPr>
              <w:t>（不含城镇燃气管线）</w:t>
            </w:r>
          </w:p>
        </w:tc>
        <w:tc>
          <w:tcPr>
            <w:tcW w:w="695" w:type="pct"/>
            <w:noWrap w:val="0"/>
            <w:vAlign w:val="center"/>
          </w:tcPr>
          <w:p w14:paraId="0D91226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r>
      <w:tr w14:paraId="091667B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37" w:hRule="atLeast"/>
          <w:jc w:val="center"/>
        </w:trPr>
        <w:tc>
          <w:tcPr>
            <w:tcW w:w="1331" w:type="pct"/>
            <w:noWrap w:val="0"/>
            <w:vAlign w:val="center"/>
          </w:tcPr>
          <w:p w14:paraId="42E0E928">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w:t>
            </w:r>
          </w:p>
        </w:tc>
        <w:tc>
          <w:tcPr>
            <w:tcW w:w="2975" w:type="pct"/>
            <w:noWrap w:val="0"/>
            <w:vAlign w:val="center"/>
          </w:tcPr>
          <w:p w14:paraId="2A93DADA">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涉及危险物质使用、贮存的项目</w:t>
            </w:r>
          </w:p>
        </w:tc>
        <w:tc>
          <w:tcPr>
            <w:tcW w:w="695" w:type="pct"/>
            <w:noWrap w:val="0"/>
            <w:vAlign w:val="center"/>
          </w:tcPr>
          <w:p w14:paraId="56BFB19C">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r>
      <w:tr w14:paraId="6ACB34E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3"/>
            <w:noWrap w:val="0"/>
            <w:vAlign w:val="center"/>
          </w:tcPr>
          <w:p w14:paraId="53AEC952">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12" w:lineRule="atLeast"/>
              <w:ind w:left="0" w:right="0" w:firstLine="0" w:firstLineChars="0"/>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vertAlign w:val="superscript"/>
              </w:rPr>
              <w:t>a</w:t>
            </w:r>
            <w:r>
              <w:rPr>
                <w:rFonts w:hint="default" w:ascii="Times New Roman" w:hAnsi="Times New Roman" w:cs="Times New Roman"/>
                <w:bCs/>
                <w:color w:val="auto"/>
                <w:sz w:val="21"/>
                <w:szCs w:val="21"/>
                <w:highlight w:val="none"/>
              </w:rPr>
              <w:t>高温指工艺温度≥300℃，高压指压力容器的设计压力（p）≥10.0MPa；</w:t>
            </w:r>
          </w:p>
          <w:p w14:paraId="59AA215D">
            <w:pPr>
              <w:keepNext w:val="0"/>
              <w:keepLines w:val="0"/>
              <w:pageBreakBefore w:val="0"/>
              <w:widowControl w:val="0"/>
              <w:suppressLineNumbers w:val="0"/>
              <w:kinsoku/>
              <w:wordWrap/>
              <w:overflowPunct/>
              <w:topLinePunct w:val="0"/>
              <w:autoSpaceDE w:val="0"/>
              <w:autoSpaceDN w:val="0"/>
              <w:bidi w:val="0"/>
              <w:adjustRightInd w:val="0"/>
              <w:spacing w:before="0" w:beforeAutospacing="0" w:after="0" w:afterAutospacing="0" w:line="312" w:lineRule="atLeast"/>
              <w:ind w:left="0" w:right="0" w:firstLine="0" w:firstLineChars="0"/>
              <w:textAlignment w:val="auto"/>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2"/>
                <w:highlight w:val="none"/>
                <w:vertAlign w:val="superscript"/>
              </w:rPr>
              <w:t>b</w:t>
            </w:r>
            <w:r>
              <w:rPr>
                <w:rFonts w:hint="default" w:ascii="Times New Roman" w:hAnsi="Times New Roman" w:cs="Times New Roman"/>
                <w:bCs/>
                <w:color w:val="auto"/>
                <w:sz w:val="21"/>
                <w:szCs w:val="22"/>
                <w:highlight w:val="none"/>
              </w:rPr>
              <w:t>指长输管道运输项目应按站场、管线分段进行评价。</w:t>
            </w:r>
          </w:p>
        </w:tc>
      </w:tr>
    </w:tbl>
    <w:p w14:paraId="5068DA07">
      <w:pPr>
        <w:spacing w:before="156" w:beforeLines="50" w:line="240" w:lineRule="auto"/>
        <w:ind w:firstLine="48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.3-3  建设项目M 值确定表</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02"/>
        <w:gridCol w:w="2102"/>
        <w:gridCol w:w="1802"/>
        <w:gridCol w:w="1717"/>
        <w:gridCol w:w="1698"/>
      </w:tblGrid>
      <w:tr w14:paraId="0827E5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06" w:type="pct"/>
            <w:noWrap w:val="0"/>
            <w:vAlign w:val="center"/>
          </w:tcPr>
          <w:p w14:paraId="7784A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1233" w:type="pct"/>
            <w:noWrap w:val="0"/>
            <w:vAlign w:val="center"/>
          </w:tcPr>
          <w:p w14:paraId="021184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工艺单元名称</w:t>
            </w:r>
          </w:p>
        </w:tc>
        <w:tc>
          <w:tcPr>
            <w:tcW w:w="1057" w:type="pct"/>
            <w:noWrap w:val="0"/>
            <w:vAlign w:val="center"/>
          </w:tcPr>
          <w:p w14:paraId="149581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生产工艺</w:t>
            </w:r>
          </w:p>
        </w:tc>
        <w:tc>
          <w:tcPr>
            <w:tcW w:w="1006" w:type="pct"/>
            <w:noWrap w:val="0"/>
            <w:vAlign w:val="center"/>
          </w:tcPr>
          <w:p w14:paraId="530E0B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数量/套</w:t>
            </w:r>
          </w:p>
        </w:tc>
        <w:tc>
          <w:tcPr>
            <w:tcW w:w="996" w:type="pct"/>
            <w:noWrap w:val="0"/>
            <w:vAlign w:val="center"/>
          </w:tcPr>
          <w:p w14:paraId="2AB76D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M分值</w:t>
            </w:r>
          </w:p>
        </w:tc>
      </w:tr>
      <w:tr w14:paraId="2DA918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06" w:type="pct"/>
            <w:noWrap w:val="0"/>
            <w:vAlign w:val="center"/>
          </w:tcPr>
          <w:p w14:paraId="7CBF0C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233" w:type="pct"/>
            <w:noWrap w:val="0"/>
            <w:vAlign w:val="center"/>
          </w:tcPr>
          <w:p w14:paraId="3212F7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eastAsia="zh-CN"/>
              </w:rPr>
              <w:t>现有罐区（1#罐区）</w:t>
            </w:r>
          </w:p>
        </w:tc>
        <w:tc>
          <w:tcPr>
            <w:tcW w:w="1057" w:type="pct"/>
            <w:noWrap w:val="0"/>
            <w:vAlign w:val="center"/>
          </w:tcPr>
          <w:p w14:paraId="2D402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涉及危险物质使用、贮存的项目</w:t>
            </w:r>
          </w:p>
        </w:tc>
        <w:tc>
          <w:tcPr>
            <w:tcW w:w="1006" w:type="pct"/>
            <w:noWrap w:val="0"/>
            <w:vAlign w:val="center"/>
          </w:tcPr>
          <w:p w14:paraId="0783DE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996" w:type="pct"/>
            <w:noWrap w:val="0"/>
            <w:vAlign w:val="center"/>
          </w:tcPr>
          <w:p w14:paraId="1347CC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5</w:t>
            </w:r>
          </w:p>
        </w:tc>
      </w:tr>
      <w:tr w14:paraId="73A3E6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706" w:type="pct"/>
            <w:noWrap w:val="0"/>
            <w:vAlign w:val="center"/>
          </w:tcPr>
          <w:p w14:paraId="14EC8D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1233" w:type="pct"/>
            <w:noWrap w:val="0"/>
            <w:vAlign w:val="center"/>
          </w:tcPr>
          <w:p w14:paraId="365563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2#罐区</w:t>
            </w:r>
          </w:p>
        </w:tc>
        <w:tc>
          <w:tcPr>
            <w:tcW w:w="1057" w:type="pct"/>
            <w:shd w:val="clear" w:color="auto" w:fill="auto"/>
            <w:noWrap w:val="0"/>
            <w:vAlign w:val="center"/>
          </w:tcPr>
          <w:p w14:paraId="47AEF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涉及危险物质使用、贮存的项目</w:t>
            </w:r>
          </w:p>
        </w:tc>
        <w:tc>
          <w:tcPr>
            <w:tcW w:w="1006" w:type="pct"/>
            <w:shd w:val="clear" w:color="auto" w:fill="auto"/>
            <w:noWrap w:val="0"/>
            <w:vAlign w:val="center"/>
          </w:tcPr>
          <w:p w14:paraId="2076FA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1</w:t>
            </w:r>
          </w:p>
        </w:tc>
        <w:tc>
          <w:tcPr>
            <w:tcW w:w="996" w:type="pct"/>
            <w:shd w:val="clear" w:color="auto" w:fill="auto"/>
            <w:noWrap w:val="0"/>
            <w:vAlign w:val="center"/>
          </w:tcPr>
          <w:p w14:paraId="742746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5</w:t>
            </w:r>
          </w:p>
        </w:tc>
      </w:tr>
      <w:tr w14:paraId="4F3211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jc w:val="center"/>
        </w:trPr>
        <w:tc>
          <w:tcPr>
            <w:tcW w:w="4003" w:type="pct"/>
            <w:gridSpan w:val="4"/>
            <w:noWrap w:val="0"/>
            <w:vAlign w:val="center"/>
          </w:tcPr>
          <w:p w14:paraId="56FA0D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项目M值∑</w:t>
            </w:r>
          </w:p>
        </w:tc>
        <w:tc>
          <w:tcPr>
            <w:tcW w:w="996" w:type="pct"/>
            <w:noWrap w:val="0"/>
            <w:vAlign w:val="center"/>
          </w:tcPr>
          <w:p w14:paraId="0E4C77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r>
    </w:tbl>
    <w:p w14:paraId="486A48E3">
      <w:pPr>
        <w:keepNext w:val="0"/>
        <w:keepLines w:val="0"/>
        <w:pageBreakBefore w:val="0"/>
        <w:widowControl w:val="0"/>
        <w:kinsoku/>
        <w:wordWrap/>
        <w:overflowPunct/>
        <w:topLinePunct w:val="0"/>
        <w:autoSpaceDE/>
        <w:autoSpaceDN/>
        <w:bidi w:val="0"/>
        <w:adjustRightInd w:val="0"/>
        <w:snapToGrid w:val="0"/>
        <w:spacing w:line="45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.3-3，本项目M=</w:t>
      </w:r>
      <w:r>
        <w:rPr>
          <w:rFonts w:hint="eastAsia" w:cs="Times New Roman"/>
          <w:color w:val="auto"/>
          <w:sz w:val="24"/>
          <w:szCs w:val="24"/>
          <w:highlight w:val="none"/>
          <w:lang w:val="en-US" w:eastAsia="zh-CN"/>
        </w:rPr>
        <w:t>10</w:t>
      </w:r>
      <w:r>
        <w:rPr>
          <w:rFonts w:hint="default" w:ascii="Times New Roman" w:hAnsi="Times New Roman" w:cs="Times New Roman"/>
          <w:color w:val="auto"/>
          <w:sz w:val="24"/>
          <w:szCs w:val="24"/>
          <w:highlight w:val="none"/>
        </w:rPr>
        <w:t>，以M</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表示。</w:t>
      </w:r>
    </w:p>
    <w:p w14:paraId="32F8CD4F">
      <w:pPr>
        <w:keepNext w:val="0"/>
        <w:keepLines w:val="0"/>
        <w:pageBreakBefore w:val="0"/>
        <w:widowControl w:val="0"/>
        <w:kinsoku/>
        <w:wordWrap/>
        <w:overflowPunct/>
        <w:topLinePunct w:val="0"/>
        <w:autoSpaceDE/>
        <w:autoSpaceDN/>
        <w:bidi w:val="0"/>
        <w:spacing w:line="450" w:lineRule="exact"/>
        <w:ind w:firstLine="482" w:firstLineChars="200"/>
        <w:textAlignment w:val="auto"/>
        <w:outlineLvl w:val="3"/>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.3.1.3危险物质及工艺系统危险性（P）分级</w:t>
      </w:r>
    </w:p>
    <w:p w14:paraId="6B349776">
      <w:pPr>
        <w:keepNext w:val="0"/>
        <w:keepLines w:val="0"/>
        <w:pageBreakBefore w:val="0"/>
        <w:widowControl w:val="0"/>
        <w:kinsoku/>
        <w:wordWrap/>
        <w:overflowPunct/>
        <w:topLinePunct w:val="0"/>
        <w:autoSpaceDE/>
        <w:autoSpaceDN/>
        <w:bidi w:val="0"/>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本项目危险物质及工艺系统危险性（P）分级见表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.3-4。</w:t>
      </w:r>
    </w:p>
    <w:p w14:paraId="4A3234B4">
      <w:pPr>
        <w:keepNext w:val="0"/>
        <w:keepLines w:val="0"/>
        <w:pageBreakBefore w:val="0"/>
        <w:widowControl w:val="0"/>
        <w:kinsoku/>
        <w:wordWrap/>
        <w:overflowPunct/>
        <w:topLinePunct w:val="0"/>
        <w:autoSpaceDE/>
        <w:autoSpaceDN/>
        <w:bidi w:val="0"/>
        <w:adjustRightInd/>
        <w:snapToGrid/>
        <w:spacing w:line="450" w:lineRule="atLeast"/>
        <w:ind w:firstLine="0" w:firstLineChars="0"/>
        <w:jc w:val="center"/>
        <w:textAlignment w:val="auto"/>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.3-4  本项目危险物质及工艺系统危险性等级判断（P）</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02"/>
        <w:gridCol w:w="1703"/>
        <w:gridCol w:w="1703"/>
        <w:gridCol w:w="1703"/>
        <w:gridCol w:w="1710"/>
      </w:tblGrid>
      <w:tr w14:paraId="1C2297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99" w:type="pct"/>
            <w:vMerge w:val="restart"/>
            <w:noWrap w:val="0"/>
            <w:vAlign w:val="center"/>
          </w:tcPr>
          <w:p w14:paraId="24C7F9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危险物质数量与临界量比值（Q）</w:t>
            </w:r>
          </w:p>
        </w:tc>
        <w:tc>
          <w:tcPr>
            <w:tcW w:w="4000" w:type="pct"/>
            <w:gridSpan w:val="4"/>
            <w:noWrap w:val="0"/>
            <w:vAlign w:val="center"/>
          </w:tcPr>
          <w:p w14:paraId="068B6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行业及生产工艺（M）</w:t>
            </w:r>
          </w:p>
        </w:tc>
      </w:tr>
      <w:tr w14:paraId="46F637B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99" w:type="pct"/>
            <w:vMerge w:val="continue"/>
            <w:noWrap w:val="0"/>
            <w:vAlign w:val="center"/>
          </w:tcPr>
          <w:p w14:paraId="2ACFE7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p>
        </w:tc>
        <w:tc>
          <w:tcPr>
            <w:tcW w:w="999" w:type="pct"/>
            <w:noWrap w:val="0"/>
            <w:vAlign w:val="center"/>
          </w:tcPr>
          <w:p w14:paraId="63BE3B6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M1</w:t>
            </w:r>
          </w:p>
        </w:tc>
        <w:tc>
          <w:tcPr>
            <w:tcW w:w="999" w:type="pct"/>
            <w:noWrap w:val="0"/>
            <w:vAlign w:val="center"/>
          </w:tcPr>
          <w:p w14:paraId="6B02C9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M2</w:t>
            </w:r>
          </w:p>
        </w:tc>
        <w:tc>
          <w:tcPr>
            <w:tcW w:w="999" w:type="pct"/>
            <w:noWrap w:val="0"/>
            <w:vAlign w:val="center"/>
          </w:tcPr>
          <w:p w14:paraId="128AA2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M3</w:t>
            </w:r>
          </w:p>
        </w:tc>
        <w:tc>
          <w:tcPr>
            <w:tcW w:w="1000" w:type="pct"/>
            <w:noWrap w:val="0"/>
            <w:vAlign w:val="center"/>
          </w:tcPr>
          <w:p w14:paraId="1C23A2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M4</w:t>
            </w:r>
          </w:p>
        </w:tc>
      </w:tr>
      <w:tr w14:paraId="5470AA1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99" w:type="pct"/>
            <w:shd w:val="clear" w:color="auto" w:fill="auto"/>
            <w:noWrap w:val="0"/>
            <w:vAlign w:val="center"/>
          </w:tcPr>
          <w:p w14:paraId="002E24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Q≥100</w:t>
            </w:r>
          </w:p>
        </w:tc>
        <w:tc>
          <w:tcPr>
            <w:tcW w:w="999" w:type="pct"/>
            <w:shd w:val="clear" w:color="auto" w:fill="auto"/>
            <w:noWrap w:val="0"/>
            <w:vAlign w:val="center"/>
          </w:tcPr>
          <w:p w14:paraId="1F2D9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1"/>
                <w:highlight w:val="none"/>
              </w:rPr>
              <w:t>P1</w:t>
            </w:r>
          </w:p>
        </w:tc>
        <w:tc>
          <w:tcPr>
            <w:tcW w:w="999" w:type="pct"/>
            <w:shd w:val="clear" w:color="auto" w:fill="auto"/>
            <w:noWrap w:val="0"/>
            <w:vAlign w:val="center"/>
          </w:tcPr>
          <w:p w14:paraId="7EDF6C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1"/>
                <w:highlight w:val="none"/>
              </w:rPr>
              <w:t>P1</w:t>
            </w:r>
          </w:p>
        </w:tc>
        <w:tc>
          <w:tcPr>
            <w:tcW w:w="999" w:type="pct"/>
            <w:shd w:val="clear" w:color="auto" w:fill="E7E6E6" w:themeFill="background2"/>
            <w:noWrap w:val="0"/>
            <w:vAlign w:val="center"/>
          </w:tcPr>
          <w:p w14:paraId="3B34D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P2</w:t>
            </w:r>
          </w:p>
        </w:tc>
        <w:tc>
          <w:tcPr>
            <w:tcW w:w="1000" w:type="pct"/>
            <w:shd w:val="clear" w:color="auto" w:fill="FFFFFF" w:themeFill="background1"/>
            <w:noWrap w:val="0"/>
            <w:vAlign w:val="center"/>
          </w:tcPr>
          <w:p w14:paraId="6694DE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P3</w:t>
            </w:r>
          </w:p>
        </w:tc>
      </w:tr>
      <w:tr w14:paraId="2D21001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99" w:type="pct"/>
            <w:noWrap w:val="0"/>
            <w:vAlign w:val="center"/>
          </w:tcPr>
          <w:p w14:paraId="1DE44F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10≤Q＜100</w:t>
            </w:r>
          </w:p>
        </w:tc>
        <w:tc>
          <w:tcPr>
            <w:tcW w:w="999" w:type="pct"/>
            <w:noWrap w:val="0"/>
            <w:vAlign w:val="center"/>
          </w:tcPr>
          <w:p w14:paraId="55D13C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1"/>
                <w:highlight w:val="none"/>
              </w:rPr>
              <w:t>P1</w:t>
            </w:r>
          </w:p>
        </w:tc>
        <w:tc>
          <w:tcPr>
            <w:tcW w:w="999" w:type="pct"/>
            <w:noWrap w:val="0"/>
            <w:vAlign w:val="center"/>
          </w:tcPr>
          <w:p w14:paraId="2C0856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P2</w:t>
            </w:r>
          </w:p>
        </w:tc>
        <w:tc>
          <w:tcPr>
            <w:tcW w:w="999" w:type="pct"/>
            <w:shd w:val="clear" w:color="auto" w:fill="auto"/>
            <w:noWrap w:val="0"/>
            <w:vAlign w:val="center"/>
          </w:tcPr>
          <w:p w14:paraId="21C1D6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P3</w:t>
            </w:r>
          </w:p>
        </w:tc>
        <w:tc>
          <w:tcPr>
            <w:tcW w:w="1000" w:type="pct"/>
            <w:shd w:val="clear" w:color="auto" w:fill="auto"/>
            <w:noWrap w:val="0"/>
            <w:vAlign w:val="center"/>
          </w:tcPr>
          <w:p w14:paraId="779DA6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P4</w:t>
            </w:r>
          </w:p>
        </w:tc>
      </w:tr>
      <w:tr w14:paraId="3BF6CD3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999" w:type="pct"/>
            <w:shd w:val="clear" w:color="auto" w:fill="auto"/>
            <w:noWrap w:val="0"/>
            <w:vAlign w:val="center"/>
          </w:tcPr>
          <w:p w14:paraId="389367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1≤Q＜10</w:t>
            </w:r>
          </w:p>
        </w:tc>
        <w:tc>
          <w:tcPr>
            <w:tcW w:w="999" w:type="pct"/>
            <w:shd w:val="clear" w:color="auto" w:fill="auto"/>
            <w:noWrap w:val="0"/>
            <w:vAlign w:val="center"/>
          </w:tcPr>
          <w:p w14:paraId="0F68D9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1"/>
                <w:highlight w:val="none"/>
              </w:rPr>
              <w:t>P2</w:t>
            </w:r>
          </w:p>
        </w:tc>
        <w:tc>
          <w:tcPr>
            <w:tcW w:w="999" w:type="pct"/>
            <w:shd w:val="clear" w:color="auto" w:fill="auto"/>
            <w:noWrap w:val="0"/>
            <w:vAlign w:val="center"/>
          </w:tcPr>
          <w:p w14:paraId="56D272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P3</w:t>
            </w:r>
          </w:p>
        </w:tc>
        <w:tc>
          <w:tcPr>
            <w:tcW w:w="999" w:type="pct"/>
            <w:noWrap w:val="0"/>
            <w:vAlign w:val="center"/>
          </w:tcPr>
          <w:p w14:paraId="68FAB0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P4</w:t>
            </w:r>
          </w:p>
        </w:tc>
        <w:tc>
          <w:tcPr>
            <w:tcW w:w="1000" w:type="pct"/>
            <w:noWrap w:val="0"/>
            <w:vAlign w:val="center"/>
          </w:tcPr>
          <w:p w14:paraId="2B8E59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P4</w:t>
            </w:r>
          </w:p>
        </w:tc>
      </w:tr>
    </w:tbl>
    <w:p w14:paraId="018D6D66">
      <w:pPr>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.3-4，本项目危险物质及工艺系统危险性等级判断为P</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w:t>
      </w:r>
    </w:p>
    <w:p w14:paraId="3D653E3F">
      <w:pPr>
        <w:keepNext/>
        <w:keepLines/>
        <w:pageBreakBefore w:val="0"/>
        <w:widowControl w:val="0"/>
        <w:kinsoku/>
        <w:wordWrap/>
        <w:overflowPunct/>
        <w:topLinePunct w:val="0"/>
        <w:autoSpaceDE/>
        <w:autoSpaceDN/>
        <w:bidi w:val="0"/>
        <w:snapToGrid w:val="0"/>
        <w:spacing w:line="360" w:lineRule="auto"/>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.3.2环境敏感程度（E）的分级</w:t>
      </w:r>
    </w:p>
    <w:p w14:paraId="0F6539A9">
      <w:pPr>
        <w:pageBreakBefore w:val="0"/>
        <w:widowControl w:val="0"/>
        <w:kinsoku/>
        <w:wordWrap/>
        <w:overflowPunct/>
        <w:topLinePunct w:val="0"/>
        <w:autoSpaceDE/>
        <w:autoSpaceDN/>
        <w:bidi w:val="0"/>
        <w:snapToGrid w:val="0"/>
        <w:spacing w:line="360" w:lineRule="auto"/>
        <w:ind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.3.2.1大气环境</w:t>
      </w:r>
    </w:p>
    <w:p w14:paraId="10791FC7">
      <w:pPr>
        <w:pageBreakBefore w:val="0"/>
        <w:widowControl w:val="0"/>
        <w:kinsoku/>
        <w:wordWrap/>
        <w:overflowPunct/>
        <w:topLinePunct w:val="0"/>
        <w:autoSpaceDE/>
        <w:autoSpaceDN/>
        <w:bidi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依据环境敏感目标环境敏感性及人口密度划分环境风险受体的敏感性，共分为三种类型，E1为环境高度敏感区，E2为环境中度敏感区，E3为环境低度敏感区，分级原则见表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.3-5。</w:t>
      </w:r>
    </w:p>
    <w:p w14:paraId="2FC03B34">
      <w:pPr>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.3-5  大气环境敏感程度分级</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093"/>
        <w:gridCol w:w="6428"/>
      </w:tblGrid>
      <w:tr w14:paraId="789C34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31897D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分级</w:t>
            </w:r>
          </w:p>
        </w:tc>
        <w:tc>
          <w:tcPr>
            <w:tcW w:w="3772" w:type="pct"/>
            <w:noWrap w:val="0"/>
            <w:vAlign w:val="center"/>
          </w:tcPr>
          <w:p w14:paraId="0584AF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大气环境敏感性</w:t>
            </w:r>
          </w:p>
        </w:tc>
      </w:tr>
      <w:tr w14:paraId="66E14CE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134109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E1</w:t>
            </w:r>
          </w:p>
        </w:tc>
        <w:tc>
          <w:tcPr>
            <w:tcW w:w="3772" w:type="pct"/>
            <w:noWrap w:val="0"/>
            <w:vAlign w:val="center"/>
          </w:tcPr>
          <w:p w14:paraId="3879E1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周边5 km 范围内居住区、医疗卫生、文化教育、科研、行政办公等机构人口总数大于5万人，或其他需要特殊保护区域；或周边500 m 范围内人口总数大于1000 人；油气、化学品输送管线管段周边200 m 范围内，每千米管段人口数大于200 人</w:t>
            </w:r>
          </w:p>
        </w:tc>
      </w:tr>
      <w:tr w14:paraId="1D283D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2EE18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E2</w:t>
            </w:r>
          </w:p>
        </w:tc>
        <w:tc>
          <w:tcPr>
            <w:tcW w:w="3772" w:type="pct"/>
            <w:noWrap w:val="0"/>
            <w:vAlign w:val="center"/>
          </w:tcPr>
          <w:p w14:paraId="615C48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周边5 km 范围内居住区、医疗卫生、文化教育、科研、行政办公等机构人口总数大于1万人，小于5万人；或周边500 m 范围内人口总数大于500 人，小于1000 人；油气、化学品输送管线管段周边200 m 范围内，每千米管段人口数大于100 人，小于200 人</w:t>
            </w:r>
          </w:p>
        </w:tc>
      </w:tr>
      <w:tr w14:paraId="17A590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6500B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E3</w:t>
            </w:r>
          </w:p>
        </w:tc>
        <w:tc>
          <w:tcPr>
            <w:tcW w:w="3772" w:type="pct"/>
            <w:noWrap w:val="0"/>
            <w:vAlign w:val="center"/>
          </w:tcPr>
          <w:p w14:paraId="033204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周边5 km 范围内居住区、医疗卫生、文化教育、科研、行政办公等机构人口总数小于1万人；或周边500 m 范围内人口总数小于500人；油气、化学品输送管线管段周边200 m范围内，每千米管段人口数小于100 人</w:t>
            </w:r>
          </w:p>
        </w:tc>
      </w:tr>
    </w:tbl>
    <w:p w14:paraId="0FF89809">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，结合本项目周</w:t>
      </w:r>
      <w:r>
        <w:rPr>
          <w:rFonts w:hint="eastAsia" w:cs="Times New Roman"/>
          <w:color w:val="auto"/>
          <w:sz w:val="24"/>
          <w:szCs w:val="24"/>
          <w:highlight w:val="none"/>
          <w:lang w:eastAsia="zh-CN"/>
        </w:rPr>
        <w:t>边环</w:t>
      </w:r>
      <w:r>
        <w:rPr>
          <w:rFonts w:hint="default" w:ascii="Times New Roman" w:hAnsi="Times New Roman" w:cs="Times New Roman"/>
          <w:color w:val="auto"/>
          <w:sz w:val="24"/>
          <w:szCs w:val="24"/>
          <w:highlight w:val="none"/>
        </w:rPr>
        <w:t>境敏感目标环境敏感性及人口密度，周边5km范围内居住区、医疗卫生、文化教育、科研、行政办公等机构人口总数大于</w:t>
      </w:r>
      <w:r>
        <w:rPr>
          <w:rFonts w:hint="default"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万人，因此大气环境敏感程度分级为环境</w:t>
      </w:r>
      <w:r>
        <w:rPr>
          <w:rFonts w:hint="default" w:ascii="Times New Roman" w:hAnsi="Times New Roman" w:cs="Times New Roman"/>
          <w:color w:val="auto"/>
          <w:sz w:val="24"/>
          <w:szCs w:val="24"/>
          <w:highlight w:val="none"/>
          <w:lang w:eastAsia="zh-CN"/>
        </w:rPr>
        <w:t>高</w:t>
      </w:r>
      <w:r>
        <w:rPr>
          <w:rFonts w:hint="default" w:ascii="Times New Roman" w:hAnsi="Times New Roman" w:cs="Times New Roman"/>
          <w:color w:val="auto"/>
          <w:sz w:val="24"/>
          <w:szCs w:val="24"/>
          <w:highlight w:val="none"/>
        </w:rPr>
        <w:t>度敏感区（E</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w:t>
      </w:r>
    </w:p>
    <w:p w14:paraId="33A77172">
      <w:pPr>
        <w:keepNext w:val="0"/>
        <w:keepLines w:val="0"/>
        <w:pageBreakBefore w:val="0"/>
        <w:widowControl w:val="0"/>
        <w:kinsoku/>
        <w:wordWrap/>
        <w:overflowPunct/>
        <w:topLinePunct w:val="0"/>
        <w:autoSpaceDE/>
        <w:autoSpaceDN/>
        <w:bidi w:val="0"/>
        <w:adjustRightInd/>
        <w:snapToGrid/>
        <w:spacing w:line="450" w:lineRule="exact"/>
        <w:ind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.3.2.2地表水环境</w:t>
      </w:r>
    </w:p>
    <w:p w14:paraId="43B223CB">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1、地表水功能敏感性分区</w:t>
      </w:r>
    </w:p>
    <w:p w14:paraId="1BE95422">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地表水功能敏感性分区见表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.3-6。</w:t>
      </w:r>
    </w:p>
    <w:p w14:paraId="6BC5C6D3">
      <w:pPr>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.3-6  地表水功能敏感性分区</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093"/>
        <w:gridCol w:w="6428"/>
      </w:tblGrid>
      <w:tr w14:paraId="1190271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73EA46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分级</w:t>
            </w:r>
          </w:p>
        </w:tc>
        <w:tc>
          <w:tcPr>
            <w:tcW w:w="3772" w:type="pct"/>
            <w:noWrap w:val="0"/>
            <w:vAlign w:val="center"/>
          </w:tcPr>
          <w:p w14:paraId="730519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地表水环境敏感特征</w:t>
            </w:r>
          </w:p>
        </w:tc>
      </w:tr>
      <w:tr w14:paraId="5DE7AC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6E7371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敏感F1</w:t>
            </w:r>
          </w:p>
        </w:tc>
        <w:tc>
          <w:tcPr>
            <w:tcW w:w="3772" w:type="pct"/>
            <w:noWrap w:val="0"/>
            <w:vAlign w:val="center"/>
          </w:tcPr>
          <w:p w14:paraId="56BCBA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排放点进入地表水水域环境功能为Ⅱ类及以上，或海水水质分类第一类；或以发生事故时，危险物质泄漏到水体的排放点算起，排放进入受纳河流最大流速时，24 h 流经范围内涉跨国界的</w:t>
            </w:r>
          </w:p>
        </w:tc>
      </w:tr>
      <w:tr w14:paraId="132DEAE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6A0A3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较敏感F2</w:t>
            </w:r>
          </w:p>
        </w:tc>
        <w:tc>
          <w:tcPr>
            <w:tcW w:w="3772" w:type="pct"/>
            <w:noWrap w:val="0"/>
            <w:vAlign w:val="center"/>
          </w:tcPr>
          <w:p w14:paraId="7B6D53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排放点进入地表水水域环境功能为Ⅲ类，或海水水质分类第二类；</w:t>
            </w:r>
          </w:p>
          <w:p w14:paraId="756D52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或以发生事故时，危险物质泄漏到水体的排放点算起，排放进入受纳河流最大流速时，24 h 流经范围内涉跨省界的</w:t>
            </w:r>
          </w:p>
        </w:tc>
      </w:tr>
      <w:tr w14:paraId="45D890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60C227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低敏感F3</w:t>
            </w:r>
          </w:p>
        </w:tc>
        <w:tc>
          <w:tcPr>
            <w:tcW w:w="3772" w:type="pct"/>
            <w:noWrap w:val="0"/>
            <w:vAlign w:val="center"/>
          </w:tcPr>
          <w:p w14:paraId="254882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上述地区之外的其他地区</w:t>
            </w:r>
          </w:p>
        </w:tc>
      </w:tr>
    </w:tbl>
    <w:p w14:paraId="6516152D">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本项目废水</w:t>
      </w:r>
      <w:r>
        <w:rPr>
          <w:rFonts w:hint="eastAsia" w:cs="Times New Roman"/>
          <w:color w:val="auto"/>
          <w:sz w:val="24"/>
          <w:szCs w:val="24"/>
          <w:highlight w:val="none"/>
          <w:lang w:val="en-US" w:eastAsia="zh-CN"/>
        </w:rPr>
        <w:t>无废水排放</w:t>
      </w:r>
      <w:r>
        <w:rPr>
          <w:rFonts w:hint="default" w:ascii="Times New Roman" w:hAnsi="Times New Roman" w:cs="Times New Roman"/>
          <w:color w:val="auto"/>
          <w:sz w:val="24"/>
          <w:szCs w:val="24"/>
          <w:highlight w:val="none"/>
        </w:rPr>
        <w:t>；危险物质泄漏到水体的排放点算起，排放进入受纳河流最大流速时，24h流经范围内</w:t>
      </w:r>
      <w:r>
        <w:rPr>
          <w:rFonts w:hint="eastAsia" w:cs="Times New Roman"/>
          <w:color w:val="auto"/>
          <w:sz w:val="24"/>
          <w:szCs w:val="24"/>
          <w:highlight w:val="none"/>
          <w:lang w:eastAsia="zh-CN"/>
        </w:rPr>
        <w:t>未</w:t>
      </w:r>
      <w:r>
        <w:rPr>
          <w:rFonts w:hint="default" w:ascii="Times New Roman" w:hAnsi="Times New Roman" w:cs="Times New Roman"/>
          <w:color w:val="auto"/>
          <w:sz w:val="24"/>
          <w:szCs w:val="24"/>
          <w:highlight w:val="none"/>
        </w:rPr>
        <w:t>跨国界或跨省界。该项目地表水环境敏感特征分级为F3。</w:t>
      </w:r>
    </w:p>
    <w:p w14:paraId="496F594E">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2、环境敏感目标分级</w:t>
      </w:r>
    </w:p>
    <w:p w14:paraId="7AB16D46">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环境敏感目标分级见表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.3-7。</w:t>
      </w:r>
    </w:p>
    <w:p w14:paraId="367E5EC4">
      <w:pPr>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.3-7  环境敏感目标分级</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093"/>
        <w:gridCol w:w="6428"/>
      </w:tblGrid>
      <w:tr w14:paraId="382BE4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2B5E71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分级</w:t>
            </w:r>
          </w:p>
        </w:tc>
        <w:tc>
          <w:tcPr>
            <w:tcW w:w="3772" w:type="pct"/>
            <w:noWrap w:val="0"/>
            <w:vAlign w:val="center"/>
          </w:tcPr>
          <w:p w14:paraId="7A1DE0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环境敏感目标</w:t>
            </w:r>
          </w:p>
        </w:tc>
      </w:tr>
      <w:tr w14:paraId="368326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34C58A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S1</w:t>
            </w:r>
          </w:p>
        </w:tc>
        <w:tc>
          <w:tcPr>
            <w:tcW w:w="3772" w:type="pct"/>
            <w:noWrap w:val="0"/>
            <w:vAlign w:val="center"/>
          </w:tcPr>
          <w:p w14:paraId="1F9DFE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发生事故时，危险物质泄漏到内陆水体的排放点下游（顺水流向）10 km 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14:paraId="226890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7B44A4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S2</w:t>
            </w:r>
          </w:p>
        </w:tc>
        <w:tc>
          <w:tcPr>
            <w:tcW w:w="3772" w:type="pct"/>
            <w:noWrap w:val="0"/>
            <w:vAlign w:val="center"/>
          </w:tcPr>
          <w:p w14:paraId="14B674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发生事故时，危险物质泄漏到内陆水体的排放点下游（顺水流向）10 km 范围内、近岸海域一个潮周期水质点可能达到的最大水平距离的两倍范围内，有如下一类或多类环境风险受体的：水产养殖区；天然渔场；森林公园；地质公园；海滨风景游览区；具有重要经济价值的海洋生物生存区域</w:t>
            </w:r>
          </w:p>
        </w:tc>
      </w:tr>
      <w:tr w14:paraId="542B23D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56C5C5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S3</w:t>
            </w:r>
          </w:p>
        </w:tc>
        <w:tc>
          <w:tcPr>
            <w:tcW w:w="3772" w:type="pct"/>
            <w:noWrap w:val="0"/>
            <w:vAlign w:val="center"/>
          </w:tcPr>
          <w:p w14:paraId="6CC138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排放点下游（顺水流向）10 km 范围、近岸海域一个潮周期水质点可能达到的最大水平距离的两倍范围内无上述类型1和类型2包括的敏感保护目标</w:t>
            </w:r>
          </w:p>
        </w:tc>
      </w:tr>
    </w:tbl>
    <w:p w14:paraId="3EABFF89">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eastAsia="zh-CN"/>
        </w:rPr>
        <w:t>本项目发生事故时，危险物质泄漏后，完全可通过建设单位的水体污染防控体系进行收集、处理，且本项目距离水体较远，基本不会对水体产生影响，也不涉及地表水环境风险受体/敏感保护目标。因此，本项目地表水功能敏感性分区为S3</w:t>
      </w:r>
      <w:r>
        <w:rPr>
          <w:rFonts w:hint="default" w:ascii="Times New Roman" w:hAnsi="Times New Roman" w:cs="Times New Roman"/>
          <w:color w:val="auto"/>
          <w:sz w:val="24"/>
          <w:szCs w:val="24"/>
          <w:highlight w:val="none"/>
        </w:rPr>
        <w:t>。</w:t>
      </w:r>
    </w:p>
    <w:p w14:paraId="08E7DE43">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3、地表水环境敏感程度分级</w:t>
      </w:r>
    </w:p>
    <w:p w14:paraId="65EF1D81">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依据事故情况下危险物质泄漏到水体的排放点受纳地表水体功能敏感性，与下游环境敏感目标情况，共分为三种类型，E1为环境高度敏感区，E2为环境中度敏感区，E3为环境低度敏感区，分级原则见表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.3-8。</w:t>
      </w:r>
    </w:p>
    <w:p w14:paraId="77F62454">
      <w:pPr>
        <w:keepNext w:val="0"/>
        <w:keepLines w:val="0"/>
        <w:pageBreakBefore w:val="0"/>
        <w:widowControl w:val="0"/>
        <w:kinsoku/>
        <w:wordWrap/>
        <w:overflowPunct/>
        <w:topLinePunct w:val="0"/>
        <w:autoSpaceDE/>
        <w:autoSpaceDN/>
        <w:bidi w:val="0"/>
        <w:adjustRightInd/>
        <w:snapToGrid/>
        <w:spacing w:line="450" w:lineRule="atLeast"/>
        <w:ind w:firstLine="0" w:firstLineChars="0"/>
        <w:jc w:val="center"/>
        <w:textAlignment w:val="auto"/>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.3-8  地表水环境敏感程度分级</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29"/>
        <w:gridCol w:w="2130"/>
        <w:gridCol w:w="2132"/>
        <w:gridCol w:w="2130"/>
      </w:tblGrid>
      <w:tr w14:paraId="1C73E1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9" w:type="pct"/>
            <w:vMerge w:val="restart"/>
            <w:noWrap w:val="0"/>
            <w:vAlign w:val="center"/>
          </w:tcPr>
          <w:p w14:paraId="75F3D1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环境敏感目标</w:t>
            </w:r>
          </w:p>
        </w:tc>
        <w:tc>
          <w:tcPr>
            <w:tcW w:w="3751" w:type="pct"/>
            <w:gridSpan w:val="3"/>
            <w:noWrap w:val="0"/>
            <w:vAlign w:val="center"/>
          </w:tcPr>
          <w:p w14:paraId="4F4F1B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地表水功能敏感性</w:t>
            </w:r>
          </w:p>
        </w:tc>
      </w:tr>
      <w:tr w14:paraId="745535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9" w:type="pct"/>
            <w:vMerge w:val="continue"/>
            <w:noWrap w:val="0"/>
            <w:vAlign w:val="center"/>
          </w:tcPr>
          <w:p w14:paraId="4B8A4A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p>
        </w:tc>
        <w:tc>
          <w:tcPr>
            <w:tcW w:w="1250" w:type="pct"/>
            <w:noWrap w:val="0"/>
            <w:vAlign w:val="center"/>
          </w:tcPr>
          <w:p w14:paraId="3219A5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F1</w:t>
            </w:r>
          </w:p>
        </w:tc>
        <w:tc>
          <w:tcPr>
            <w:tcW w:w="1251" w:type="pct"/>
            <w:noWrap w:val="0"/>
            <w:vAlign w:val="center"/>
          </w:tcPr>
          <w:p w14:paraId="050B13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F2</w:t>
            </w:r>
          </w:p>
        </w:tc>
        <w:tc>
          <w:tcPr>
            <w:tcW w:w="1251" w:type="pct"/>
            <w:noWrap w:val="0"/>
            <w:vAlign w:val="center"/>
          </w:tcPr>
          <w:p w14:paraId="5B680E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F3</w:t>
            </w:r>
          </w:p>
        </w:tc>
      </w:tr>
      <w:tr w14:paraId="422A0F8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9" w:type="pct"/>
            <w:noWrap w:val="0"/>
            <w:vAlign w:val="center"/>
          </w:tcPr>
          <w:p w14:paraId="296524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S1</w:t>
            </w:r>
          </w:p>
        </w:tc>
        <w:tc>
          <w:tcPr>
            <w:tcW w:w="1250" w:type="pct"/>
            <w:noWrap w:val="0"/>
            <w:vAlign w:val="center"/>
          </w:tcPr>
          <w:p w14:paraId="1F9589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E1</w:t>
            </w:r>
          </w:p>
        </w:tc>
        <w:tc>
          <w:tcPr>
            <w:tcW w:w="1251" w:type="pct"/>
            <w:noWrap w:val="0"/>
            <w:vAlign w:val="center"/>
          </w:tcPr>
          <w:p w14:paraId="254553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E1</w:t>
            </w:r>
          </w:p>
        </w:tc>
        <w:tc>
          <w:tcPr>
            <w:tcW w:w="1251" w:type="pct"/>
            <w:noWrap w:val="0"/>
            <w:vAlign w:val="center"/>
          </w:tcPr>
          <w:p w14:paraId="6E779D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E2</w:t>
            </w:r>
          </w:p>
        </w:tc>
      </w:tr>
      <w:tr w14:paraId="377846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9" w:type="pct"/>
            <w:noWrap w:val="0"/>
            <w:vAlign w:val="center"/>
          </w:tcPr>
          <w:p w14:paraId="415BF8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S2</w:t>
            </w:r>
          </w:p>
        </w:tc>
        <w:tc>
          <w:tcPr>
            <w:tcW w:w="1250" w:type="pct"/>
            <w:noWrap w:val="0"/>
            <w:vAlign w:val="center"/>
          </w:tcPr>
          <w:p w14:paraId="2F19C4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E1</w:t>
            </w:r>
          </w:p>
        </w:tc>
        <w:tc>
          <w:tcPr>
            <w:tcW w:w="1251" w:type="pct"/>
            <w:noWrap w:val="0"/>
            <w:vAlign w:val="center"/>
          </w:tcPr>
          <w:p w14:paraId="6C5031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E2</w:t>
            </w:r>
          </w:p>
        </w:tc>
        <w:tc>
          <w:tcPr>
            <w:tcW w:w="1251" w:type="pct"/>
            <w:noWrap w:val="0"/>
            <w:vAlign w:val="center"/>
          </w:tcPr>
          <w:p w14:paraId="4F83E4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E3</w:t>
            </w:r>
          </w:p>
        </w:tc>
      </w:tr>
      <w:tr w14:paraId="7E5B0B9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9" w:type="pct"/>
            <w:shd w:val="clear" w:color="auto" w:fill="auto"/>
            <w:noWrap w:val="0"/>
            <w:vAlign w:val="center"/>
          </w:tcPr>
          <w:p w14:paraId="0D885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S3</w:t>
            </w:r>
          </w:p>
        </w:tc>
        <w:tc>
          <w:tcPr>
            <w:tcW w:w="1250" w:type="pct"/>
            <w:shd w:val="clear" w:color="auto" w:fill="auto"/>
            <w:noWrap w:val="0"/>
            <w:vAlign w:val="center"/>
          </w:tcPr>
          <w:p w14:paraId="5350D6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E1</w:t>
            </w:r>
          </w:p>
        </w:tc>
        <w:tc>
          <w:tcPr>
            <w:tcW w:w="1251" w:type="pct"/>
            <w:shd w:val="clear" w:color="auto" w:fill="auto"/>
            <w:noWrap w:val="0"/>
            <w:vAlign w:val="center"/>
          </w:tcPr>
          <w:p w14:paraId="5502EA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E2</w:t>
            </w:r>
          </w:p>
        </w:tc>
        <w:tc>
          <w:tcPr>
            <w:tcW w:w="1251" w:type="pct"/>
            <w:shd w:val="clear" w:color="auto" w:fill="D9D9D9"/>
            <w:noWrap w:val="0"/>
            <w:vAlign w:val="center"/>
          </w:tcPr>
          <w:p w14:paraId="0F5026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E3</w:t>
            </w:r>
          </w:p>
        </w:tc>
      </w:tr>
    </w:tbl>
    <w:p w14:paraId="0E5EB674">
      <w:pPr>
        <w:keepNext w:val="0"/>
        <w:keepLines w:val="0"/>
        <w:pageBreakBefore w:val="0"/>
        <w:widowControl w:val="0"/>
        <w:kinsoku/>
        <w:wordWrap/>
        <w:overflowPunct/>
        <w:topLinePunct w:val="0"/>
        <w:autoSpaceDE/>
        <w:autoSpaceDN/>
        <w:bidi w:val="0"/>
        <w:adjustRightInd w:val="0"/>
        <w:snapToGrid w:val="0"/>
        <w:spacing w:line="45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.3-8，本项目地表水环境敏感程度分级为E3。</w:t>
      </w:r>
    </w:p>
    <w:p w14:paraId="07F4668F">
      <w:pPr>
        <w:keepNext w:val="0"/>
        <w:keepLines w:val="0"/>
        <w:pageBreakBefore w:val="0"/>
        <w:widowControl w:val="0"/>
        <w:kinsoku/>
        <w:wordWrap/>
        <w:overflowPunct/>
        <w:topLinePunct w:val="0"/>
        <w:autoSpaceDE/>
        <w:autoSpaceDN/>
        <w:bidi w:val="0"/>
        <w:spacing w:line="450" w:lineRule="exact"/>
        <w:ind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.3.2.3地下水环境</w:t>
      </w:r>
    </w:p>
    <w:p w14:paraId="72E71D5A">
      <w:pPr>
        <w:keepNext w:val="0"/>
        <w:keepLines w:val="0"/>
        <w:pageBreakBefore w:val="0"/>
        <w:widowControl w:val="0"/>
        <w:kinsoku/>
        <w:wordWrap/>
        <w:overflowPunct/>
        <w:topLinePunct w:val="0"/>
        <w:autoSpaceDE/>
        <w:autoSpaceDN/>
        <w:bidi w:val="0"/>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1、地下水功能敏感性分区</w:t>
      </w:r>
    </w:p>
    <w:p w14:paraId="4D03A8AB">
      <w:pPr>
        <w:keepNext w:val="0"/>
        <w:keepLines w:val="0"/>
        <w:pageBreakBefore w:val="0"/>
        <w:widowControl w:val="0"/>
        <w:kinsoku/>
        <w:wordWrap/>
        <w:overflowPunct/>
        <w:topLinePunct w:val="0"/>
        <w:autoSpaceDE/>
        <w:autoSpaceDN/>
        <w:bidi w:val="0"/>
        <w:spacing w:line="45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地下水功能敏感性分区见表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.3-9。</w:t>
      </w:r>
    </w:p>
    <w:p w14:paraId="07F51686">
      <w:pPr>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.3-9  地下水功能敏感性分区</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093"/>
        <w:gridCol w:w="6428"/>
      </w:tblGrid>
      <w:tr w14:paraId="27C933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572AD7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分级</w:t>
            </w:r>
          </w:p>
        </w:tc>
        <w:tc>
          <w:tcPr>
            <w:tcW w:w="3772" w:type="pct"/>
            <w:noWrap w:val="0"/>
            <w:vAlign w:val="center"/>
          </w:tcPr>
          <w:p w14:paraId="3ACBF4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地下水环境敏感特征</w:t>
            </w:r>
          </w:p>
        </w:tc>
      </w:tr>
      <w:tr w14:paraId="27D918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794428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敏感G1</w:t>
            </w:r>
          </w:p>
        </w:tc>
        <w:tc>
          <w:tcPr>
            <w:tcW w:w="3772" w:type="pct"/>
            <w:noWrap w:val="0"/>
            <w:vAlign w:val="center"/>
          </w:tcPr>
          <w:p w14:paraId="753635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r>
      <w:tr w14:paraId="466BE6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015E07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较敏感G2</w:t>
            </w:r>
          </w:p>
        </w:tc>
        <w:tc>
          <w:tcPr>
            <w:tcW w:w="3772" w:type="pct"/>
            <w:noWrap w:val="0"/>
            <w:vAlign w:val="center"/>
          </w:tcPr>
          <w:p w14:paraId="299292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集中式饮用水水源（包括已建成的在用、备用、应急水源，在建和规划的饮用水水源）准保护区以外的补给径流区；未划定准保护区的集中式饮用水水源，其保护区以外的补给径流区；分散式饮用水水源地；特殊地下水资源（如热水、矿泉水、温泉等）保护区以外的分布区等其他未列入上述敏感分级的环境敏感区</w:t>
            </w:r>
            <w:r>
              <w:rPr>
                <w:rFonts w:hint="default" w:ascii="Times New Roman" w:hAnsi="Times New Roman" w:cs="Times New Roman"/>
                <w:color w:val="auto"/>
                <w:sz w:val="21"/>
                <w:szCs w:val="21"/>
                <w:highlight w:val="none"/>
                <w:vertAlign w:val="superscript"/>
              </w:rPr>
              <w:t>a</w:t>
            </w:r>
          </w:p>
        </w:tc>
      </w:tr>
      <w:tr w14:paraId="5161831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2F5B96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不敏感G3</w:t>
            </w:r>
          </w:p>
        </w:tc>
        <w:tc>
          <w:tcPr>
            <w:tcW w:w="3772" w:type="pct"/>
            <w:noWrap w:val="0"/>
            <w:vAlign w:val="center"/>
          </w:tcPr>
          <w:p w14:paraId="2D96D0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上述地区之外的其他地区</w:t>
            </w:r>
          </w:p>
        </w:tc>
      </w:tr>
      <w:tr w14:paraId="16C9B25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00" w:type="pct"/>
            <w:gridSpan w:val="2"/>
            <w:noWrap w:val="0"/>
            <w:vAlign w:val="center"/>
          </w:tcPr>
          <w:p w14:paraId="3A46C7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vertAlign w:val="superscript"/>
              </w:rPr>
              <w:t>a</w:t>
            </w:r>
            <w:r>
              <w:rPr>
                <w:rFonts w:hint="default" w:ascii="Times New Roman" w:hAnsi="Times New Roman" w:cs="Times New Roman"/>
                <w:color w:val="auto"/>
                <w:sz w:val="21"/>
                <w:szCs w:val="21"/>
                <w:highlight w:val="none"/>
              </w:rPr>
              <w:t>“环境敏感区”是指《建设项目环境影响评价分类管理名录》中所界定的涉及地下水的环境敏感区</w:t>
            </w:r>
          </w:p>
        </w:tc>
      </w:tr>
    </w:tbl>
    <w:p w14:paraId="0021C0B7">
      <w:pPr>
        <w:ind w:firstLine="482"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注：当同一建设项目涉及两个G分区及以上时，取相对高值。</w:t>
      </w:r>
    </w:p>
    <w:p w14:paraId="3E0E8317">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本项目不涉及地下水环境敏感区。因此，本项目地下水功能敏感性分区为G3</w:t>
      </w:r>
      <w:r>
        <w:rPr>
          <w:rFonts w:hint="default" w:ascii="Times New Roman" w:hAnsi="Times New Roman" w:cs="Times New Roman"/>
          <w:color w:val="auto"/>
          <w:sz w:val="24"/>
          <w:szCs w:val="24"/>
          <w:highlight w:val="none"/>
        </w:rPr>
        <w:t>。</w:t>
      </w:r>
    </w:p>
    <w:p w14:paraId="2D4B1A0E">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2、包气带防污性能分级</w:t>
      </w:r>
    </w:p>
    <w:p w14:paraId="19E5E291">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包气带防污性能分级见表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.3-10。</w:t>
      </w:r>
    </w:p>
    <w:p w14:paraId="2C237460">
      <w:pPr>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.3-10  包气带防污性能分级</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093"/>
        <w:gridCol w:w="6428"/>
      </w:tblGrid>
      <w:tr w14:paraId="7620F7E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6F4B1C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分级</w:t>
            </w:r>
          </w:p>
        </w:tc>
        <w:tc>
          <w:tcPr>
            <w:tcW w:w="3772" w:type="pct"/>
            <w:noWrap w:val="0"/>
            <w:vAlign w:val="center"/>
          </w:tcPr>
          <w:p w14:paraId="340BAB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包气带岩土的防渗性能</w:t>
            </w:r>
          </w:p>
        </w:tc>
      </w:tr>
      <w:tr w14:paraId="1CBE6FF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350B1E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D3</w:t>
            </w:r>
          </w:p>
        </w:tc>
        <w:tc>
          <w:tcPr>
            <w:tcW w:w="3772" w:type="pct"/>
            <w:noWrap w:val="0"/>
            <w:vAlign w:val="center"/>
          </w:tcPr>
          <w:p w14:paraId="729018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Mb≥1.0m，K≤1.0×10</w:t>
            </w:r>
            <w:r>
              <w:rPr>
                <w:rFonts w:hint="default" w:ascii="Times New Roman" w:hAnsi="Times New Roman" w:cs="Times New Roman"/>
                <w:color w:val="auto"/>
                <w:sz w:val="21"/>
                <w:szCs w:val="21"/>
                <w:highlight w:val="none"/>
                <w:vertAlign w:val="superscript"/>
              </w:rPr>
              <w:t>-6</w:t>
            </w:r>
            <w:r>
              <w:rPr>
                <w:rFonts w:hint="default" w:ascii="Times New Roman" w:hAnsi="Times New Roman" w:cs="Times New Roman"/>
                <w:color w:val="auto"/>
                <w:sz w:val="21"/>
                <w:szCs w:val="21"/>
                <w:highlight w:val="none"/>
              </w:rPr>
              <w:t>cm/s，且分布连续、稳定</w:t>
            </w:r>
          </w:p>
        </w:tc>
      </w:tr>
      <w:tr w14:paraId="5D0DBE0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48DD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D2</w:t>
            </w:r>
          </w:p>
        </w:tc>
        <w:tc>
          <w:tcPr>
            <w:tcW w:w="3772" w:type="pct"/>
            <w:noWrap w:val="0"/>
            <w:vAlign w:val="center"/>
          </w:tcPr>
          <w:p w14:paraId="7CC5F1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0.5m≤Mb&lt;1.0m，K≤1.0×10</w:t>
            </w:r>
            <w:r>
              <w:rPr>
                <w:rFonts w:hint="default" w:ascii="Times New Roman" w:hAnsi="Times New Roman" w:cs="Times New Roman"/>
                <w:color w:val="auto"/>
                <w:sz w:val="21"/>
                <w:szCs w:val="21"/>
                <w:highlight w:val="none"/>
                <w:vertAlign w:val="superscript"/>
              </w:rPr>
              <w:t>-6</w:t>
            </w:r>
            <w:r>
              <w:rPr>
                <w:rFonts w:hint="default" w:ascii="Times New Roman" w:hAnsi="Times New Roman" w:cs="Times New Roman"/>
                <w:color w:val="auto"/>
                <w:sz w:val="21"/>
                <w:szCs w:val="21"/>
                <w:highlight w:val="none"/>
              </w:rPr>
              <w:t>cm/s，且分布连续、稳定</w:t>
            </w:r>
          </w:p>
          <w:p w14:paraId="5236E5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Mb≥1.0m，1.0×10</w:t>
            </w:r>
            <w:r>
              <w:rPr>
                <w:rFonts w:hint="default" w:ascii="Times New Roman" w:hAnsi="Times New Roman" w:cs="Times New Roman"/>
                <w:color w:val="auto"/>
                <w:sz w:val="21"/>
                <w:szCs w:val="21"/>
                <w:highlight w:val="none"/>
                <w:vertAlign w:val="superscript"/>
              </w:rPr>
              <w:t>-6</w:t>
            </w:r>
            <w:r>
              <w:rPr>
                <w:rFonts w:hint="default" w:ascii="Times New Roman" w:hAnsi="Times New Roman" w:cs="Times New Roman"/>
                <w:color w:val="auto"/>
                <w:sz w:val="21"/>
                <w:szCs w:val="21"/>
                <w:highlight w:val="none"/>
              </w:rPr>
              <w:t>cm/s＜K≤1.0×10</w:t>
            </w:r>
            <w:r>
              <w:rPr>
                <w:rFonts w:hint="default" w:ascii="Times New Roman" w:hAnsi="Times New Roman" w:cs="Times New Roman"/>
                <w:color w:val="auto"/>
                <w:sz w:val="21"/>
                <w:szCs w:val="21"/>
                <w:highlight w:val="none"/>
                <w:vertAlign w:val="superscript"/>
              </w:rPr>
              <w:t>-4</w:t>
            </w:r>
            <w:r>
              <w:rPr>
                <w:rFonts w:hint="default" w:ascii="Times New Roman" w:hAnsi="Times New Roman" w:cs="Times New Roman"/>
                <w:color w:val="auto"/>
                <w:sz w:val="21"/>
                <w:szCs w:val="21"/>
                <w:highlight w:val="none"/>
              </w:rPr>
              <w:t>cm/s，且分布连续、稳定</w:t>
            </w:r>
          </w:p>
        </w:tc>
      </w:tr>
      <w:tr w14:paraId="59542EA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28" w:type="pct"/>
            <w:noWrap w:val="0"/>
            <w:vAlign w:val="center"/>
          </w:tcPr>
          <w:p w14:paraId="0AE6F1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D1</w:t>
            </w:r>
          </w:p>
        </w:tc>
        <w:tc>
          <w:tcPr>
            <w:tcW w:w="3772" w:type="pct"/>
            <w:noWrap w:val="0"/>
            <w:vAlign w:val="center"/>
          </w:tcPr>
          <w:p w14:paraId="68F8E8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岩（土）层不满足上述“D2”和“D3”条件</w:t>
            </w:r>
          </w:p>
        </w:tc>
      </w:tr>
      <w:tr w14:paraId="4BB9965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00" w:type="pct"/>
            <w:gridSpan w:val="2"/>
            <w:noWrap w:val="0"/>
            <w:vAlign w:val="center"/>
          </w:tcPr>
          <w:p w14:paraId="69AE3E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Mb：岩土层单层厚度。</w:t>
            </w:r>
          </w:p>
          <w:p w14:paraId="189DEF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K：渗透系数。</w:t>
            </w:r>
          </w:p>
        </w:tc>
      </w:tr>
    </w:tbl>
    <w:p w14:paraId="3853FCD6">
      <w:pPr>
        <w:keepNext w:val="0"/>
        <w:keepLines w:val="0"/>
        <w:pageBreakBefore w:val="0"/>
        <w:widowControl w:val="0"/>
        <w:kinsoku/>
        <w:wordWrap/>
        <w:overflowPunct/>
        <w:topLinePunct w:val="0"/>
        <w:autoSpaceDE/>
        <w:autoSpaceDN/>
        <w:bidi w:val="0"/>
        <w:adjustRightInd/>
        <w:snapToGrid/>
        <w:spacing w:line="450" w:lineRule="exact"/>
        <w:ind w:firstLine="42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1"/>
          <w:szCs w:val="21"/>
          <w:highlight w:val="none"/>
        </w:rPr>
        <w:t>注：当同一建设项目涉及两个D分级及以上时，取相对高值。</w:t>
      </w:r>
    </w:p>
    <w:p w14:paraId="57F43E3C">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yellow"/>
        </w:rPr>
      </w:pPr>
      <w:r>
        <w:rPr>
          <w:rFonts w:hint="default" w:ascii="Times New Roman" w:hAnsi="Times New Roman" w:cs="Times New Roman"/>
          <w:color w:val="auto"/>
          <w:sz w:val="24"/>
          <w:szCs w:val="24"/>
          <w:highlight w:val="none"/>
        </w:rPr>
        <w:t>根据项目区域地质条件，该项目包气带防污性能分级为D2。</w:t>
      </w:r>
    </w:p>
    <w:p w14:paraId="3837365C">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3、地下水环境敏感程度分级</w:t>
      </w:r>
    </w:p>
    <w:p w14:paraId="064395AD">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地下水环境敏感程度分级见表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.3-11。</w:t>
      </w:r>
    </w:p>
    <w:p w14:paraId="7E2C76A0">
      <w:pPr>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.3-11  地下水环境敏感程度分级</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127"/>
        <w:gridCol w:w="2131"/>
        <w:gridCol w:w="2131"/>
        <w:gridCol w:w="2132"/>
      </w:tblGrid>
      <w:tr w14:paraId="0181780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8" w:type="pct"/>
            <w:vMerge w:val="restart"/>
            <w:noWrap w:val="0"/>
            <w:vAlign w:val="center"/>
          </w:tcPr>
          <w:p w14:paraId="1FB7DC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包气带防污性能</w:t>
            </w:r>
          </w:p>
        </w:tc>
        <w:tc>
          <w:tcPr>
            <w:tcW w:w="3751" w:type="pct"/>
            <w:gridSpan w:val="3"/>
            <w:noWrap w:val="0"/>
            <w:vAlign w:val="center"/>
          </w:tcPr>
          <w:p w14:paraId="434F1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地下水功能敏感性</w:t>
            </w:r>
          </w:p>
        </w:tc>
      </w:tr>
      <w:tr w14:paraId="1DE6D1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8" w:type="pct"/>
            <w:vMerge w:val="continue"/>
            <w:noWrap w:val="0"/>
            <w:vAlign w:val="center"/>
          </w:tcPr>
          <w:p w14:paraId="00B6C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p>
        </w:tc>
        <w:tc>
          <w:tcPr>
            <w:tcW w:w="1250" w:type="pct"/>
            <w:noWrap w:val="0"/>
            <w:vAlign w:val="center"/>
          </w:tcPr>
          <w:p w14:paraId="0B7C5D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G1</w:t>
            </w:r>
          </w:p>
        </w:tc>
        <w:tc>
          <w:tcPr>
            <w:tcW w:w="1250" w:type="pct"/>
            <w:noWrap w:val="0"/>
            <w:vAlign w:val="center"/>
          </w:tcPr>
          <w:p w14:paraId="39345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G2</w:t>
            </w:r>
          </w:p>
        </w:tc>
        <w:tc>
          <w:tcPr>
            <w:tcW w:w="1250" w:type="pct"/>
            <w:noWrap w:val="0"/>
            <w:vAlign w:val="center"/>
          </w:tcPr>
          <w:p w14:paraId="63739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G3</w:t>
            </w:r>
          </w:p>
        </w:tc>
      </w:tr>
      <w:tr w14:paraId="158D24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8" w:type="pct"/>
            <w:noWrap w:val="0"/>
            <w:vAlign w:val="center"/>
          </w:tcPr>
          <w:p w14:paraId="1190CB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D1</w:t>
            </w:r>
          </w:p>
        </w:tc>
        <w:tc>
          <w:tcPr>
            <w:tcW w:w="1250" w:type="pct"/>
            <w:noWrap w:val="0"/>
            <w:vAlign w:val="center"/>
          </w:tcPr>
          <w:p w14:paraId="2C4188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E1</w:t>
            </w:r>
          </w:p>
        </w:tc>
        <w:tc>
          <w:tcPr>
            <w:tcW w:w="1250" w:type="pct"/>
            <w:noWrap w:val="0"/>
            <w:vAlign w:val="center"/>
          </w:tcPr>
          <w:p w14:paraId="7D00D2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E1</w:t>
            </w:r>
          </w:p>
        </w:tc>
        <w:tc>
          <w:tcPr>
            <w:tcW w:w="1250" w:type="pct"/>
            <w:noWrap w:val="0"/>
            <w:vAlign w:val="center"/>
          </w:tcPr>
          <w:p w14:paraId="4422A8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E2</w:t>
            </w:r>
          </w:p>
        </w:tc>
      </w:tr>
      <w:tr w14:paraId="117987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8" w:type="pct"/>
            <w:shd w:val="clear" w:color="auto" w:fill="auto"/>
            <w:noWrap w:val="0"/>
            <w:vAlign w:val="center"/>
          </w:tcPr>
          <w:p w14:paraId="70E50B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D2</w:t>
            </w:r>
          </w:p>
        </w:tc>
        <w:tc>
          <w:tcPr>
            <w:tcW w:w="1250" w:type="pct"/>
            <w:shd w:val="clear" w:color="auto" w:fill="auto"/>
            <w:noWrap w:val="0"/>
            <w:vAlign w:val="center"/>
          </w:tcPr>
          <w:p w14:paraId="1C5D46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E1</w:t>
            </w:r>
          </w:p>
        </w:tc>
        <w:tc>
          <w:tcPr>
            <w:tcW w:w="1250" w:type="pct"/>
            <w:shd w:val="clear" w:color="auto" w:fill="auto"/>
            <w:noWrap w:val="0"/>
            <w:vAlign w:val="center"/>
          </w:tcPr>
          <w:p w14:paraId="18575B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E2</w:t>
            </w:r>
          </w:p>
        </w:tc>
        <w:tc>
          <w:tcPr>
            <w:tcW w:w="1250" w:type="pct"/>
            <w:shd w:val="clear" w:color="auto" w:fill="BEBEBE" w:themeFill="background1" w:themeFillShade="BF"/>
            <w:noWrap w:val="0"/>
            <w:vAlign w:val="center"/>
          </w:tcPr>
          <w:p w14:paraId="1C6B3D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E3</w:t>
            </w:r>
          </w:p>
        </w:tc>
      </w:tr>
      <w:tr w14:paraId="74798E1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48" w:type="pct"/>
            <w:noWrap w:val="0"/>
            <w:vAlign w:val="center"/>
          </w:tcPr>
          <w:p w14:paraId="65ECAA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D3</w:t>
            </w:r>
          </w:p>
        </w:tc>
        <w:tc>
          <w:tcPr>
            <w:tcW w:w="1250" w:type="pct"/>
            <w:noWrap w:val="0"/>
            <w:vAlign w:val="center"/>
          </w:tcPr>
          <w:p w14:paraId="4627C9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E2</w:t>
            </w:r>
          </w:p>
        </w:tc>
        <w:tc>
          <w:tcPr>
            <w:tcW w:w="1250" w:type="pct"/>
            <w:noWrap w:val="0"/>
            <w:vAlign w:val="center"/>
          </w:tcPr>
          <w:p w14:paraId="7F002B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E3</w:t>
            </w:r>
          </w:p>
        </w:tc>
        <w:tc>
          <w:tcPr>
            <w:tcW w:w="1250" w:type="pct"/>
            <w:noWrap w:val="0"/>
            <w:vAlign w:val="center"/>
          </w:tcPr>
          <w:p w14:paraId="7C3D9F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E3</w:t>
            </w:r>
          </w:p>
        </w:tc>
      </w:tr>
    </w:tbl>
    <w:p w14:paraId="37197C12">
      <w:pPr>
        <w:pageBreakBefore w:val="0"/>
        <w:widowControl w:val="0"/>
        <w:kinsoku/>
        <w:wordWrap/>
        <w:overflowPunct/>
        <w:topLinePunct w:val="0"/>
        <w:autoSpaceDE/>
        <w:autoSpaceDN/>
        <w:bidi w:val="0"/>
        <w:adjustRightInd w:val="0"/>
        <w:snapToGrid w:val="0"/>
        <w:spacing w:line="45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.3-11，本项目地下水环境敏感程度分级为E3。</w:t>
      </w:r>
    </w:p>
    <w:p w14:paraId="31D630EC">
      <w:pPr>
        <w:keepNext/>
        <w:keepLines/>
        <w:pageBreakBefore w:val="0"/>
        <w:widowControl w:val="0"/>
        <w:kinsoku/>
        <w:wordWrap/>
        <w:overflowPunct/>
        <w:topLinePunct w:val="0"/>
        <w:autoSpaceDE/>
        <w:autoSpaceDN/>
        <w:bidi w:val="0"/>
        <w:adjustRightInd/>
        <w:snapToGrid/>
        <w:spacing w:line="450" w:lineRule="exact"/>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default" w:ascii="Times New Roman" w:hAnsi="Times New Roman"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.3.3环境风险潜势判断</w:t>
      </w:r>
    </w:p>
    <w:p w14:paraId="4ADF9697">
      <w:pPr>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建设项目环境风险潜势划分为Ⅰ、Ⅱ、Ⅲ、Ⅳ/Ⅳ</w:t>
      </w:r>
      <w:r>
        <w:rPr>
          <w:rFonts w:hint="default" w:ascii="Times New Roman" w:hAnsi="Times New Roman" w:cs="Times New Roman"/>
          <w:color w:val="auto"/>
          <w:sz w:val="24"/>
          <w:szCs w:val="24"/>
          <w:highlight w:val="none"/>
          <w:vertAlign w:val="superscript"/>
        </w:rPr>
        <w:t>+</w:t>
      </w:r>
      <w:r>
        <w:rPr>
          <w:rFonts w:hint="default" w:ascii="Times New Roman" w:hAnsi="Times New Roman" w:cs="Times New Roman"/>
          <w:color w:val="auto"/>
          <w:sz w:val="24"/>
          <w:szCs w:val="24"/>
          <w:highlight w:val="none"/>
        </w:rPr>
        <w:t>级。</w:t>
      </w:r>
    </w:p>
    <w:p w14:paraId="488E5F95">
      <w:pPr>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根据建设项目涉及的物质和工艺系统的危险性及其所在地的环境敏感程度，结合事故情形下环境影响途径，对建设项目潜在环境危害程度进行概化分析，环境风险潜势的确定见表</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.3-12。</w:t>
      </w:r>
    </w:p>
    <w:p w14:paraId="0BC7B444">
      <w:pPr>
        <w:ind w:firstLine="0" w:firstLineChars="0"/>
        <w:jc w:val="center"/>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default"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.3-12  建设项目环境风险潜势划分</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04"/>
        <w:gridCol w:w="1704"/>
        <w:gridCol w:w="1704"/>
        <w:gridCol w:w="1704"/>
        <w:gridCol w:w="1705"/>
      </w:tblGrid>
      <w:tr w14:paraId="5CF82B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00" w:type="pct"/>
            <w:vMerge w:val="restart"/>
            <w:noWrap w:val="0"/>
            <w:vAlign w:val="center"/>
          </w:tcPr>
          <w:p w14:paraId="0C4CF5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环境敏感程度（E）</w:t>
            </w:r>
          </w:p>
        </w:tc>
        <w:tc>
          <w:tcPr>
            <w:tcW w:w="4000" w:type="pct"/>
            <w:gridSpan w:val="4"/>
            <w:noWrap w:val="0"/>
            <w:vAlign w:val="center"/>
          </w:tcPr>
          <w:p w14:paraId="2E7686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危险物质及工艺系统危险性（P）</w:t>
            </w:r>
          </w:p>
        </w:tc>
      </w:tr>
      <w:tr w14:paraId="7930BC4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00" w:type="pct"/>
            <w:vMerge w:val="continue"/>
            <w:noWrap w:val="0"/>
            <w:vAlign w:val="center"/>
          </w:tcPr>
          <w:p w14:paraId="149DF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p>
        </w:tc>
        <w:tc>
          <w:tcPr>
            <w:tcW w:w="1000" w:type="pct"/>
            <w:noWrap w:val="0"/>
            <w:vAlign w:val="center"/>
          </w:tcPr>
          <w:p w14:paraId="7468D6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极高危害（P1）</w:t>
            </w:r>
          </w:p>
        </w:tc>
        <w:tc>
          <w:tcPr>
            <w:tcW w:w="1000" w:type="pct"/>
            <w:noWrap w:val="0"/>
            <w:vAlign w:val="center"/>
          </w:tcPr>
          <w:p w14:paraId="403A99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高度危害（P2）</w:t>
            </w:r>
          </w:p>
        </w:tc>
        <w:tc>
          <w:tcPr>
            <w:tcW w:w="1000" w:type="pct"/>
            <w:noWrap w:val="0"/>
            <w:vAlign w:val="center"/>
          </w:tcPr>
          <w:p w14:paraId="712ACB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中度危害（P3）</w:t>
            </w:r>
          </w:p>
        </w:tc>
        <w:tc>
          <w:tcPr>
            <w:tcW w:w="1000" w:type="pct"/>
            <w:noWrap w:val="0"/>
            <w:vAlign w:val="center"/>
          </w:tcPr>
          <w:p w14:paraId="75F44E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轻度危害（P4）</w:t>
            </w:r>
          </w:p>
        </w:tc>
      </w:tr>
      <w:tr w14:paraId="541729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00" w:type="pct"/>
            <w:shd w:val="clear" w:color="auto" w:fill="auto"/>
            <w:noWrap w:val="0"/>
            <w:vAlign w:val="center"/>
          </w:tcPr>
          <w:p w14:paraId="37E76E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环境高度敏感区（E1</w:t>
            </w:r>
            <w:r>
              <w:rPr>
                <w:rFonts w:hint="eastAsia" w:cs="Times New Roman"/>
                <w:color w:val="auto"/>
                <w:sz w:val="21"/>
                <w:szCs w:val="21"/>
                <w:highlight w:val="none"/>
                <w:lang w:eastAsia="zh-CN"/>
              </w:rPr>
              <w:t>）</w:t>
            </w:r>
          </w:p>
        </w:tc>
        <w:tc>
          <w:tcPr>
            <w:tcW w:w="1000" w:type="pct"/>
            <w:shd w:val="clear" w:color="auto" w:fill="auto"/>
            <w:noWrap w:val="0"/>
            <w:vAlign w:val="center"/>
          </w:tcPr>
          <w:p w14:paraId="56C9E7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r>
              <w:rPr>
                <w:rFonts w:hint="default" w:ascii="Times New Roman" w:hAnsi="Times New Roman" w:cs="Times New Roman"/>
                <w:color w:val="auto"/>
                <w:sz w:val="21"/>
                <w:szCs w:val="21"/>
                <w:highlight w:val="none"/>
                <w:vertAlign w:val="superscript"/>
              </w:rPr>
              <w:t>+</w:t>
            </w:r>
          </w:p>
        </w:tc>
        <w:tc>
          <w:tcPr>
            <w:tcW w:w="1000" w:type="pct"/>
            <w:shd w:val="clear" w:color="auto" w:fill="FFFFFF" w:themeFill="background1"/>
            <w:noWrap w:val="0"/>
            <w:vAlign w:val="center"/>
          </w:tcPr>
          <w:p w14:paraId="7AA92C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1000" w:type="pct"/>
            <w:shd w:val="clear" w:color="auto" w:fill="FFFFFF" w:themeFill="background1"/>
            <w:noWrap w:val="0"/>
            <w:vAlign w:val="center"/>
          </w:tcPr>
          <w:p w14:paraId="4958651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shd w:val="clear" w:color="auto"/>
              </w:rPr>
              <w:t>Ⅲ</w:t>
            </w:r>
          </w:p>
        </w:tc>
        <w:tc>
          <w:tcPr>
            <w:tcW w:w="1000" w:type="pct"/>
            <w:shd w:val="clear" w:color="auto" w:fill="auto"/>
            <w:noWrap w:val="0"/>
            <w:vAlign w:val="center"/>
          </w:tcPr>
          <w:p w14:paraId="0B2CAB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Ⅲ</w:t>
            </w:r>
          </w:p>
        </w:tc>
      </w:tr>
      <w:tr w14:paraId="32B2028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00" w:type="pct"/>
            <w:noWrap w:val="0"/>
            <w:vAlign w:val="center"/>
          </w:tcPr>
          <w:p w14:paraId="153D03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环境中度敏感区（E2）</w:t>
            </w:r>
          </w:p>
        </w:tc>
        <w:tc>
          <w:tcPr>
            <w:tcW w:w="1000" w:type="pct"/>
            <w:noWrap w:val="0"/>
            <w:vAlign w:val="center"/>
          </w:tcPr>
          <w:p w14:paraId="004244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Ⅳ</w:t>
            </w:r>
          </w:p>
        </w:tc>
        <w:tc>
          <w:tcPr>
            <w:tcW w:w="1000" w:type="pct"/>
            <w:shd w:val="clear" w:color="auto" w:fill="E7E6E6" w:themeFill="background2"/>
            <w:noWrap w:val="0"/>
            <w:vAlign w:val="center"/>
          </w:tcPr>
          <w:p w14:paraId="0BE6CE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Ⅲ</w:t>
            </w:r>
          </w:p>
        </w:tc>
        <w:tc>
          <w:tcPr>
            <w:tcW w:w="1000" w:type="pct"/>
            <w:shd w:val="clear" w:color="auto" w:fill="FFFFFF" w:themeFill="background1"/>
            <w:noWrap w:val="0"/>
            <w:vAlign w:val="center"/>
          </w:tcPr>
          <w:p w14:paraId="4C186D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shd w:val="clear" w:color="auto" w:fill="auto"/>
              </w:rPr>
              <w:t>Ⅲ</w:t>
            </w:r>
          </w:p>
        </w:tc>
        <w:tc>
          <w:tcPr>
            <w:tcW w:w="1000" w:type="pct"/>
            <w:shd w:val="clear" w:color="auto" w:fill="auto"/>
            <w:noWrap w:val="0"/>
            <w:vAlign w:val="center"/>
          </w:tcPr>
          <w:p w14:paraId="78A117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Ⅱ</w:t>
            </w:r>
          </w:p>
        </w:tc>
      </w:tr>
      <w:tr w14:paraId="011A617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000" w:type="pct"/>
            <w:shd w:val="clear" w:color="auto" w:fill="auto"/>
            <w:noWrap w:val="0"/>
            <w:vAlign w:val="center"/>
          </w:tcPr>
          <w:p w14:paraId="14F78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环境低度敏感区（E3）</w:t>
            </w:r>
          </w:p>
        </w:tc>
        <w:tc>
          <w:tcPr>
            <w:tcW w:w="1000" w:type="pct"/>
            <w:shd w:val="clear" w:color="auto" w:fill="auto"/>
            <w:noWrap w:val="0"/>
            <w:vAlign w:val="center"/>
          </w:tcPr>
          <w:p w14:paraId="2001FE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Ⅲ</w:t>
            </w:r>
          </w:p>
        </w:tc>
        <w:tc>
          <w:tcPr>
            <w:tcW w:w="1000" w:type="pct"/>
            <w:shd w:val="clear" w:color="auto" w:fill="E7E6E6" w:themeFill="background2"/>
            <w:noWrap w:val="0"/>
            <w:vAlign w:val="center"/>
          </w:tcPr>
          <w:p w14:paraId="1635E9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Ⅲ</w:t>
            </w:r>
          </w:p>
        </w:tc>
        <w:tc>
          <w:tcPr>
            <w:tcW w:w="1000" w:type="pct"/>
            <w:shd w:val="clear" w:color="auto" w:fill="FFFFFF" w:themeFill="background1"/>
            <w:noWrap w:val="0"/>
            <w:vAlign w:val="center"/>
          </w:tcPr>
          <w:p w14:paraId="3ED54D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Ⅱ</w:t>
            </w:r>
          </w:p>
        </w:tc>
        <w:tc>
          <w:tcPr>
            <w:tcW w:w="1000" w:type="pct"/>
            <w:shd w:val="clear" w:color="auto" w:fill="auto"/>
            <w:noWrap w:val="0"/>
            <w:vAlign w:val="center"/>
          </w:tcPr>
          <w:p w14:paraId="709FAD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Ⅰ</w:t>
            </w:r>
          </w:p>
        </w:tc>
      </w:tr>
      <w:tr w14:paraId="2026C0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5000" w:type="pct"/>
            <w:gridSpan w:val="5"/>
            <w:noWrap w:val="0"/>
            <w:vAlign w:val="center"/>
          </w:tcPr>
          <w:p w14:paraId="09BD18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注Ⅳ</w:t>
            </w:r>
            <w:r>
              <w:rPr>
                <w:rFonts w:hint="default" w:ascii="Times New Roman" w:hAnsi="Times New Roman" w:cs="Times New Roman"/>
                <w:color w:val="auto"/>
                <w:sz w:val="21"/>
                <w:szCs w:val="21"/>
                <w:highlight w:val="none"/>
                <w:vertAlign w:val="superscript"/>
              </w:rPr>
              <w:t>+</w:t>
            </w:r>
            <w:r>
              <w:rPr>
                <w:rFonts w:hint="default" w:ascii="Times New Roman" w:hAnsi="Times New Roman" w:cs="Times New Roman"/>
                <w:color w:val="auto"/>
                <w:sz w:val="21"/>
                <w:szCs w:val="21"/>
                <w:highlight w:val="none"/>
              </w:rPr>
              <w:t>为极高环境风险。</w:t>
            </w:r>
          </w:p>
        </w:tc>
      </w:tr>
    </w:tbl>
    <w:p w14:paraId="31B471B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u w:val="none"/>
        </w:rPr>
        <w:t>根据表</w:t>
      </w:r>
      <w:r>
        <w:rPr>
          <w:rFonts w:hint="default" w:ascii="Times New Roman" w:hAnsi="Times New Roman" w:cs="Times New Roman"/>
          <w:color w:val="auto"/>
          <w:sz w:val="24"/>
          <w:szCs w:val="24"/>
          <w:highlight w:val="none"/>
          <w:u w:val="none"/>
          <w:lang w:val="en-US" w:eastAsia="zh-CN"/>
        </w:rPr>
        <w:t>1</w:t>
      </w:r>
      <w:r>
        <w:rPr>
          <w:rFonts w:hint="default" w:ascii="Times New Roman" w:hAnsi="Times New Roman" w:cs="Times New Roman"/>
          <w:color w:val="auto"/>
          <w:sz w:val="24"/>
          <w:szCs w:val="24"/>
          <w:highlight w:val="none"/>
          <w:u w:val="none"/>
        </w:rPr>
        <w:t>.3-12，本项目大气环境风险潜势划分</w:t>
      </w:r>
      <w:r>
        <w:rPr>
          <w:rFonts w:hint="default" w:ascii="Times New Roman" w:hAnsi="Times New Roman" w:cs="Times New Roman"/>
          <w:color w:val="auto"/>
          <w:sz w:val="21"/>
          <w:szCs w:val="21"/>
          <w:highlight w:val="none"/>
          <w:u w:val="none"/>
        </w:rPr>
        <w:t>Ⅲ</w:t>
      </w:r>
      <w:r>
        <w:rPr>
          <w:rFonts w:hint="default" w:ascii="Times New Roman" w:hAnsi="Times New Roman" w:cs="Times New Roman"/>
          <w:color w:val="auto"/>
          <w:sz w:val="24"/>
          <w:szCs w:val="24"/>
          <w:highlight w:val="none"/>
          <w:u w:val="none"/>
        </w:rPr>
        <w:t>级；地表水环境风险潜势划分</w:t>
      </w:r>
      <w:r>
        <w:rPr>
          <w:rFonts w:hint="eastAsia" w:cs="Times New Roman"/>
          <w:color w:val="auto"/>
          <w:sz w:val="24"/>
          <w:szCs w:val="24"/>
          <w:highlight w:val="none"/>
          <w:u w:val="none"/>
          <w:lang w:val="en-US" w:eastAsia="zh-CN"/>
        </w:rPr>
        <w:t>II</w:t>
      </w:r>
      <w:r>
        <w:rPr>
          <w:rFonts w:hint="default" w:ascii="Times New Roman" w:hAnsi="Times New Roman" w:cs="Times New Roman"/>
          <w:color w:val="auto"/>
          <w:sz w:val="24"/>
          <w:szCs w:val="24"/>
          <w:highlight w:val="none"/>
          <w:u w:val="none"/>
        </w:rPr>
        <w:t>级；地下</w:t>
      </w:r>
      <w:r>
        <w:rPr>
          <w:rFonts w:hint="default" w:ascii="Times New Roman" w:hAnsi="Times New Roman" w:cs="Times New Roman"/>
          <w:color w:val="auto"/>
          <w:sz w:val="24"/>
          <w:szCs w:val="24"/>
          <w:highlight w:val="none"/>
        </w:rPr>
        <w:t>水环境风险潜势划分</w:t>
      </w:r>
      <w:r>
        <w:rPr>
          <w:rFonts w:hint="default" w:ascii="Times New Roman" w:hAnsi="Times New Roman" w:cs="Times New Roman"/>
          <w:color w:val="auto"/>
          <w:sz w:val="21"/>
          <w:szCs w:val="21"/>
          <w:highlight w:val="none"/>
        </w:rPr>
        <w:t>Ⅲ</w:t>
      </w:r>
      <w:r>
        <w:rPr>
          <w:rFonts w:hint="default" w:ascii="Times New Roman" w:hAnsi="Times New Roman" w:cs="Times New Roman"/>
          <w:color w:val="auto"/>
          <w:sz w:val="24"/>
          <w:szCs w:val="24"/>
          <w:highlight w:val="none"/>
        </w:rPr>
        <w:t>级。</w:t>
      </w:r>
    </w:p>
    <w:p w14:paraId="79D70553">
      <w:pPr>
        <w:pStyle w:val="16"/>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建设项目环境风险潜势综合等级取各要素等级的相对高值，为Ⅲ级，属于中度环境风险。</w:t>
      </w:r>
    </w:p>
    <w:p w14:paraId="287EA65C">
      <w:pPr>
        <w:keepNext/>
        <w:keepLines/>
        <w:pageBreakBefore w:val="0"/>
        <w:widowControl w:val="0"/>
        <w:kinsoku/>
        <w:wordWrap/>
        <w:overflowPunct/>
        <w:topLinePunct w:val="0"/>
        <w:autoSpaceDE/>
        <w:autoSpaceDN/>
        <w:bidi w:val="0"/>
        <w:adjustRightInd/>
        <w:snapToGrid/>
        <w:spacing w:line="360" w:lineRule="auto"/>
        <w:ind w:firstLine="482" w:firstLineChars="200"/>
        <w:textAlignment w:val="auto"/>
        <w:outlineLvl w:val="1"/>
        <w:rPr>
          <w:rFonts w:hint="default" w:ascii="Times New Roman" w:hAnsi="Times New Roman" w:eastAsia="黑体" w:cs="Times New Roman"/>
          <w:b/>
          <w:bCs/>
          <w:color w:val="auto"/>
          <w:sz w:val="24"/>
          <w:szCs w:val="24"/>
          <w:highlight w:val="none"/>
        </w:rPr>
      </w:pPr>
      <w:bookmarkStart w:id="8" w:name="_Toc1344"/>
      <w:r>
        <w:rPr>
          <w:rFonts w:hint="eastAsia"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.4评价工作等级确定</w:t>
      </w:r>
      <w:bookmarkEnd w:id="8"/>
    </w:p>
    <w:p w14:paraId="53F953C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环境风险评价工作等级划分为一级、二级、三级。根据建设项目涉及的物质及工艺系统危险性和所在地的环境敏感性确定环境风险潜势，按照表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.4-1确定评价工作等级。</w:t>
      </w:r>
    </w:p>
    <w:p w14:paraId="5CEA35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黑体" w:cs="Times New Roman"/>
          <w:b/>
          <w:color w:val="auto"/>
          <w:sz w:val="21"/>
          <w:szCs w:val="21"/>
          <w:highlight w:val="none"/>
        </w:rPr>
      </w:pPr>
      <w:r>
        <w:rPr>
          <w:rFonts w:hint="default" w:ascii="Times New Roman" w:hAnsi="Times New Roman" w:eastAsia="黑体" w:cs="Times New Roman"/>
          <w:b/>
          <w:color w:val="auto"/>
          <w:sz w:val="21"/>
          <w:szCs w:val="21"/>
          <w:highlight w:val="none"/>
        </w:rPr>
        <w:t>表</w:t>
      </w:r>
      <w:r>
        <w:rPr>
          <w:rFonts w:hint="eastAsia"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rPr>
        <w:t>.4-1  评价工作等级划分</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shd w:val="clear" w:color="auto" w:fill="FFFFFF" w:themeFill="background1"/>
        <w:tblLayout w:type="autofit"/>
        <w:tblCellMar>
          <w:top w:w="0" w:type="dxa"/>
          <w:left w:w="108" w:type="dxa"/>
          <w:bottom w:w="0" w:type="dxa"/>
          <w:right w:w="108" w:type="dxa"/>
        </w:tblCellMar>
      </w:tblPr>
      <w:tblGrid>
        <w:gridCol w:w="1700"/>
        <w:gridCol w:w="1701"/>
        <w:gridCol w:w="1701"/>
        <w:gridCol w:w="1701"/>
        <w:gridCol w:w="1718"/>
      </w:tblGrid>
      <w:tr w14:paraId="0DADFEB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shd w:val="clear" w:color="auto" w:fill="FFFFFF" w:themeFill="background1"/>
          <w:tblCellMar>
            <w:top w:w="0" w:type="dxa"/>
            <w:left w:w="108" w:type="dxa"/>
            <w:bottom w:w="0" w:type="dxa"/>
            <w:right w:w="108" w:type="dxa"/>
          </w:tblCellMar>
        </w:tblPrEx>
        <w:tc>
          <w:tcPr>
            <w:tcW w:w="998" w:type="pct"/>
            <w:shd w:val="clear" w:color="auto" w:fill="FFFFFF" w:themeFill="background1"/>
            <w:noWrap w:val="0"/>
            <w:vAlign w:val="center"/>
          </w:tcPr>
          <w:p w14:paraId="1165A3B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环境风险潜势</w:t>
            </w:r>
          </w:p>
        </w:tc>
        <w:tc>
          <w:tcPr>
            <w:tcW w:w="998" w:type="pct"/>
            <w:shd w:val="clear" w:color="auto" w:fill="FFFFFF" w:themeFill="background1"/>
            <w:noWrap w:val="0"/>
            <w:vAlign w:val="center"/>
          </w:tcPr>
          <w:p w14:paraId="5EF4D7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rPr>
            </w:pPr>
            <w:r>
              <w:rPr>
                <w:rFonts w:hint="default" w:ascii="Times New Roman" w:hAnsi="Times New Roman" w:cs="Times New Roman"/>
                <w:b/>
                <w:color w:val="auto"/>
                <w:sz w:val="21"/>
                <w:szCs w:val="22"/>
                <w:highlight w:val="none"/>
              </w:rPr>
              <w:t>Ⅳ、</w:t>
            </w:r>
            <w:r>
              <w:rPr>
                <w:rFonts w:hint="default" w:ascii="Times New Roman" w:hAnsi="Times New Roman" w:cs="Times New Roman"/>
                <w:b/>
                <w:color w:val="auto"/>
                <w:sz w:val="21"/>
                <w:szCs w:val="21"/>
                <w:highlight w:val="none"/>
              </w:rPr>
              <w:t>Ⅳ</w:t>
            </w:r>
            <w:r>
              <w:rPr>
                <w:rFonts w:hint="default" w:ascii="Times New Roman" w:hAnsi="Times New Roman" w:cs="Times New Roman"/>
                <w:b/>
                <w:color w:val="auto"/>
                <w:sz w:val="21"/>
                <w:szCs w:val="21"/>
                <w:highlight w:val="none"/>
                <w:vertAlign w:val="superscript"/>
              </w:rPr>
              <w:t>+</w:t>
            </w:r>
          </w:p>
        </w:tc>
        <w:tc>
          <w:tcPr>
            <w:tcW w:w="998" w:type="pct"/>
            <w:shd w:val="clear" w:color="auto" w:fill="FFFFFF" w:themeFill="background1"/>
            <w:noWrap w:val="0"/>
            <w:vAlign w:val="center"/>
          </w:tcPr>
          <w:p w14:paraId="341476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rPr>
            </w:pPr>
            <w:r>
              <w:rPr>
                <w:rFonts w:hint="default" w:ascii="Times New Roman" w:hAnsi="Times New Roman" w:cs="Times New Roman"/>
                <w:b/>
                <w:color w:val="auto"/>
                <w:sz w:val="21"/>
                <w:szCs w:val="22"/>
                <w:highlight w:val="none"/>
              </w:rPr>
              <w:t>Ⅲ</w:t>
            </w:r>
          </w:p>
        </w:tc>
        <w:tc>
          <w:tcPr>
            <w:tcW w:w="998" w:type="pct"/>
            <w:shd w:val="clear" w:color="auto" w:fill="FFFFFF" w:themeFill="background1"/>
            <w:noWrap w:val="0"/>
            <w:vAlign w:val="center"/>
          </w:tcPr>
          <w:p w14:paraId="4D3ABA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rPr>
            </w:pPr>
            <w:r>
              <w:rPr>
                <w:rFonts w:hint="default" w:ascii="Times New Roman" w:hAnsi="Times New Roman" w:cs="Times New Roman"/>
                <w:b/>
                <w:color w:val="auto"/>
                <w:sz w:val="21"/>
                <w:szCs w:val="22"/>
                <w:highlight w:val="none"/>
              </w:rPr>
              <w:t>Ⅱ</w:t>
            </w:r>
          </w:p>
        </w:tc>
        <w:tc>
          <w:tcPr>
            <w:tcW w:w="1006" w:type="pct"/>
            <w:shd w:val="clear" w:color="auto" w:fill="FFFFFF" w:themeFill="background1"/>
            <w:noWrap w:val="0"/>
            <w:vAlign w:val="center"/>
          </w:tcPr>
          <w:p w14:paraId="7B95DB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rPr>
            </w:pPr>
            <w:r>
              <w:rPr>
                <w:rFonts w:hint="default" w:ascii="Times New Roman" w:hAnsi="Times New Roman" w:cs="Times New Roman"/>
                <w:b/>
                <w:color w:val="auto"/>
                <w:sz w:val="21"/>
                <w:szCs w:val="22"/>
                <w:highlight w:val="none"/>
              </w:rPr>
              <w:t>Ⅰ</w:t>
            </w:r>
          </w:p>
        </w:tc>
      </w:tr>
      <w:tr w14:paraId="39D1C26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shd w:val="clear" w:color="auto" w:fill="FFFFFF" w:themeFill="background1"/>
          <w:tblCellMar>
            <w:top w:w="0" w:type="dxa"/>
            <w:left w:w="108" w:type="dxa"/>
            <w:bottom w:w="0" w:type="dxa"/>
            <w:right w:w="108" w:type="dxa"/>
          </w:tblCellMar>
        </w:tblPrEx>
        <w:tc>
          <w:tcPr>
            <w:tcW w:w="998" w:type="pct"/>
            <w:shd w:val="clear" w:color="auto" w:fill="FFFFFF" w:themeFill="background1"/>
            <w:noWrap w:val="0"/>
            <w:vAlign w:val="center"/>
          </w:tcPr>
          <w:p w14:paraId="4C9A8A9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评价工作等级</w:t>
            </w:r>
          </w:p>
        </w:tc>
        <w:tc>
          <w:tcPr>
            <w:tcW w:w="998" w:type="pct"/>
            <w:shd w:val="clear" w:color="auto" w:fill="FFFFFF" w:themeFill="background1"/>
            <w:noWrap w:val="0"/>
            <w:vAlign w:val="center"/>
          </w:tcPr>
          <w:p w14:paraId="1AB0CA9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一</w:t>
            </w:r>
          </w:p>
        </w:tc>
        <w:tc>
          <w:tcPr>
            <w:tcW w:w="998" w:type="pct"/>
            <w:shd w:val="clear" w:color="auto" w:fill="E7E6E6" w:themeFill="background2"/>
            <w:noWrap w:val="0"/>
            <w:vAlign w:val="center"/>
          </w:tcPr>
          <w:p w14:paraId="0366E69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二</w:t>
            </w:r>
          </w:p>
        </w:tc>
        <w:tc>
          <w:tcPr>
            <w:tcW w:w="998" w:type="pct"/>
            <w:shd w:val="clear" w:color="auto" w:fill="FFFFFF" w:themeFill="background1"/>
            <w:noWrap w:val="0"/>
            <w:vAlign w:val="center"/>
          </w:tcPr>
          <w:p w14:paraId="415F87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三</w:t>
            </w:r>
          </w:p>
        </w:tc>
        <w:tc>
          <w:tcPr>
            <w:tcW w:w="1006" w:type="pct"/>
            <w:shd w:val="clear" w:color="auto" w:fill="FFFFFF" w:themeFill="background1"/>
            <w:noWrap w:val="0"/>
            <w:vAlign w:val="center"/>
          </w:tcPr>
          <w:p w14:paraId="0AB90E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简单分析</w:t>
            </w:r>
            <w:r>
              <w:rPr>
                <w:rFonts w:hint="default" w:ascii="Times New Roman" w:hAnsi="Times New Roman" w:cs="Times New Roman"/>
                <w:color w:val="auto"/>
                <w:sz w:val="21"/>
                <w:szCs w:val="22"/>
                <w:highlight w:val="none"/>
                <w:vertAlign w:val="superscript"/>
              </w:rPr>
              <w:t>a</w:t>
            </w:r>
          </w:p>
        </w:tc>
      </w:tr>
      <w:tr w14:paraId="3AA73A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shd w:val="clear" w:color="auto" w:fill="FFFFFF" w:themeFill="background1"/>
          <w:tblCellMar>
            <w:top w:w="0" w:type="dxa"/>
            <w:left w:w="108" w:type="dxa"/>
            <w:bottom w:w="0" w:type="dxa"/>
            <w:right w:w="108" w:type="dxa"/>
          </w:tblCellMar>
        </w:tblPrEx>
        <w:tc>
          <w:tcPr>
            <w:tcW w:w="5000" w:type="pct"/>
            <w:gridSpan w:val="5"/>
            <w:shd w:val="clear" w:color="auto" w:fill="FFFFFF" w:themeFill="background1"/>
            <w:noWrap w:val="0"/>
            <w:vAlign w:val="center"/>
          </w:tcPr>
          <w:p w14:paraId="09E4FDAE">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vertAlign w:val="superscript"/>
              </w:rPr>
              <w:t xml:space="preserve">a </w:t>
            </w:r>
            <w:r>
              <w:rPr>
                <w:rFonts w:hint="default" w:ascii="Times New Roman" w:hAnsi="Times New Roman" w:cs="Times New Roman"/>
                <w:color w:val="auto"/>
                <w:sz w:val="21"/>
                <w:szCs w:val="22"/>
                <w:highlight w:val="none"/>
              </w:rPr>
              <w:t>是相对于详细评价工作内容而言，在描述危险物质、环境影响途径、环境危害后果、风险防范措施等方面给出定性的说明。</w:t>
            </w:r>
          </w:p>
        </w:tc>
      </w:tr>
    </w:tbl>
    <w:p w14:paraId="583C8A84">
      <w:pPr>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.4-1，建设项目环境风险潜势综合等级为</w:t>
      </w:r>
      <w:r>
        <w:rPr>
          <w:rFonts w:hint="default" w:ascii="Times New Roman" w:hAnsi="Times New Roman" w:cs="Times New Roman"/>
          <w:color w:val="auto"/>
          <w:sz w:val="21"/>
          <w:szCs w:val="21"/>
          <w:highlight w:val="none"/>
          <w:shd w:val="clear" w:color="auto" w:fill="auto"/>
        </w:rPr>
        <w:t>Ⅲ</w:t>
      </w:r>
      <w:r>
        <w:rPr>
          <w:rFonts w:hint="default" w:ascii="Times New Roman" w:hAnsi="Times New Roman" w:cs="Times New Roman"/>
          <w:color w:val="auto"/>
          <w:sz w:val="24"/>
          <w:szCs w:val="24"/>
          <w:highlight w:val="none"/>
        </w:rPr>
        <w:t>级，属于中度环境风险，项目的环境风险评价等级为</w:t>
      </w:r>
      <w:r>
        <w:rPr>
          <w:rFonts w:hint="eastAsia" w:cs="Times New Roman"/>
          <w:color w:val="auto"/>
          <w:sz w:val="24"/>
          <w:szCs w:val="24"/>
          <w:highlight w:val="none"/>
          <w:lang w:eastAsia="zh-CN"/>
        </w:rPr>
        <w:t>二</w:t>
      </w:r>
      <w:r>
        <w:rPr>
          <w:rFonts w:hint="default" w:ascii="Times New Roman" w:hAnsi="Times New Roman" w:cs="Times New Roman"/>
          <w:color w:val="auto"/>
          <w:sz w:val="24"/>
          <w:szCs w:val="24"/>
          <w:highlight w:val="none"/>
        </w:rPr>
        <w:t>级。</w:t>
      </w:r>
    </w:p>
    <w:p w14:paraId="5A3BF197">
      <w:pPr>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上述分析，该项目大气环境敏感程度分级为E2，其对应的环境风险潜势为Ⅲ级，应按导则4.4.4.1开展二级评价。二级评价需选取最不利气象条件，选择适用的数值方法进行分析预测，给出风险事故情形下危险物质释放可能造成的大气环境影响范围与程度。大气环境风险评价范围为距建设项目边界5km范围内。</w:t>
      </w:r>
    </w:p>
    <w:p w14:paraId="5307B33B">
      <w:pPr>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该项目地表水环境敏感程度分级为E3，其对应的环境风险潜势为</w:t>
      </w:r>
      <w:r>
        <w:rPr>
          <w:rFonts w:hint="eastAsia" w:cs="Times New Roman"/>
          <w:color w:val="auto"/>
          <w:sz w:val="24"/>
          <w:szCs w:val="24"/>
          <w:highlight w:val="none"/>
          <w:lang w:val="en-US" w:eastAsia="zh-CN"/>
        </w:rPr>
        <w:t>II</w:t>
      </w:r>
      <w:r>
        <w:rPr>
          <w:rFonts w:hint="default" w:ascii="Times New Roman" w:hAnsi="Times New Roman" w:cs="Times New Roman"/>
          <w:color w:val="auto"/>
          <w:sz w:val="24"/>
          <w:szCs w:val="24"/>
          <w:highlight w:val="none"/>
        </w:rPr>
        <w:t>级，应按导则4.4.4.2开展三级评价。三级评价应定性分析说明地表水环境影响后果。</w:t>
      </w:r>
    </w:p>
    <w:p w14:paraId="5DD299C2">
      <w:pPr>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该项目地下水环境敏感程度分级为E3，其对应的环境风险潜势为</w:t>
      </w:r>
      <w:r>
        <w:rPr>
          <w:rFonts w:hint="eastAsia" w:cs="Times New Roman"/>
          <w:color w:val="auto"/>
          <w:sz w:val="24"/>
          <w:szCs w:val="24"/>
          <w:highlight w:val="none"/>
          <w:lang w:val="en-US" w:eastAsia="zh-CN"/>
        </w:rPr>
        <w:t>II</w:t>
      </w:r>
      <w:r>
        <w:rPr>
          <w:rFonts w:hint="default" w:ascii="Times New Roman" w:hAnsi="Times New Roman" w:cs="Times New Roman"/>
          <w:color w:val="auto"/>
          <w:sz w:val="24"/>
          <w:szCs w:val="24"/>
          <w:highlight w:val="none"/>
        </w:rPr>
        <w:t>级，应按导则4.4.4.3开展三级评价。风险预测分析与评价要求参照HJ610执行。</w:t>
      </w:r>
    </w:p>
    <w:p w14:paraId="4E1E8290">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482" w:firstLineChars="200"/>
        <w:textAlignment w:val="auto"/>
        <w:rPr>
          <w:rFonts w:hint="default" w:ascii="Times New Roman" w:hAnsi="Times New Roman" w:cs="Times New Roman"/>
          <w:color w:val="auto"/>
          <w:sz w:val="24"/>
          <w:szCs w:val="24"/>
          <w:highlight w:val="none"/>
        </w:rPr>
      </w:pPr>
      <w:bookmarkStart w:id="9" w:name="_Toc17595"/>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.5环境风险识别</w:t>
      </w:r>
      <w:bookmarkEnd w:id="9"/>
    </w:p>
    <w:p w14:paraId="4EF04B43">
      <w:pPr>
        <w:keepNext/>
        <w:keepLines/>
        <w:pageBreakBefore w:val="0"/>
        <w:widowControl w:val="0"/>
        <w:kinsoku/>
        <w:wordWrap/>
        <w:overflowPunct/>
        <w:topLinePunct w:val="0"/>
        <w:autoSpaceDE/>
        <w:autoSpaceDN/>
        <w:bidi w:val="0"/>
        <w:spacing w:line="360" w:lineRule="auto"/>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.5.1风险识别的内容</w:t>
      </w:r>
    </w:p>
    <w:p w14:paraId="559012C0">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1、物质危险性识别，包括主要原辅材料、燃料、中间产品、副产品、最终产品、污染物、火灾和爆炸伴生/次生物等。</w:t>
      </w:r>
    </w:p>
    <w:p w14:paraId="7FFF8DD3">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2、生产系统危险性识别，包括主要生产装置、储运设施、公用工程和辅助生产设施，以及环境保护设施等。</w:t>
      </w:r>
    </w:p>
    <w:p w14:paraId="67E9E916">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3、危险物质向环境转移的途径识别，包括分析危险物质特性及可能的环境风险类型，识别危险物质影响环境的途径，分析可能影响的环境敏感目标。</w:t>
      </w:r>
    </w:p>
    <w:p w14:paraId="0A60AFAF">
      <w:pPr>
        <w:keepNext/>
        <w:keepLines/>
        <w:pageBreakBefore w:val="0"/>
        <w:widowControl w:val="0"/>
        <w:kinsoku/>
        <w:wordWrap/>
        <w:overflowPunct/>
        <w:topLinePunct w:val="0"/>
        <w:autoSpaceDE/>
        <w:autoSpaceDN/>
        <w:bidi w:val="0"/>
        <w:spacing w:line="360" w:lineRule="auto"/>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.5.2风险事故可能发生的条件</w:t>
      </w:r>
    </w:p>
    <w:p w14:paraId="4410DFDB">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环境风险类型包括危险物质泄漏，以及火灾、爆炸等引发的伴生/次生污染物排放。</w:t>
      </w:r>
    </w:p>
    <w:p w14:paraId="79F2AF30">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1、火灾爆炸的必要条件</w:t>
      </w:r>
    </w:p>
    <w:p w14:paraId="1C782E8A">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火灾爆炸必须具备以下三个条件：（1）要有可燃物质；（2）要有助燃物质；（3）要有火源，着火源有电火花、静电火花、高温表面、热辐射、明火、自然着火、冲击、摩擦、绝热压缩及雷击等。</w:t>
      </w:r>
    </w:p>
    <w:p w14:paraId="2011AA91">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2、泄漏的必要条件</w:t>
      </w:r>
    </w:p>
    <w:p w14:paraId="48062BDC">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容易发生泄漏的设备主要有管道、接头、阀门、反应器、储罐等。可能发生泄漏事故的主要原因有：</w:t>
      </w:r>
    </w:p>
    <w:p w14:paraId="3B20D786">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（1）罐体腐蚀破裂；</w:t>
      </w:r>
    </w:p>
    <w:p w14:paraId="795ACB2B">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（2）罐体焊缝开裂；</w:t>
      </w:r>
    </w:p>
    <w:p w14:paraId="55603DC0">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（3）罐体与线接头密封损坏或螺丝松动；</w:t>
      </w:r>
    </w:p>
    <w:p w14:paraId="2E97036B">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（4）进料口阀门密封不严或螺丝松动；</w:t>
      </w:r>
    </w:p>
    <w:p w14:paraId="2FC6779D">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（5）输送管道破裂。</w:t>
      </w:r>
    </w:p>
    <w:p w14:paraId="1BD04FC8">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以上可能发生泄漏的原因中，</w:t>
      </w:r>
      <w:r>
        <w:rPr>
          <w:rFonts w:hint="eastAsia" w:cs="Times New Roman"/>
          <w:color w:val="auto"/>
          <w:sz w:val="24"/>
          <w:szCs w:val="24"/>
          <w:highlight w:val="none"/>
          <w:lang w:eastAsia="zh-CN"/>
        </w:rPr>
        <w:t>（1）</w:t>
      </w:r>
      <w:r>
        <w:rPr>
          <w:rFonts w:hint="default" w:ascii="Times New Roman" w:hAnsi="Times New Roman" w:cs="Times New Roman"/>
          <w:color w:val="auto"/>
          <w:sz w:val="24"/>
          <w:szCs w:val="24"/>
          <w:highlight w:val="none"/>
        </w:rPr>
        <w:t>（2）项设备腐蚀发生破裂的情况，可以在安装设备前通过对设备质量的严格检查使其发生的可能性降至</w:t>
      </w:r>
      <w:r>
        <w:rPr>
          <w:rFonts w:hint="eastAsia" w:cs="Times New Roman"/>
          <w:color w:val="auto"/>
          <w:sz w:val="24"/>
          <w:szCs w:val="24"/>
          <w:highlight w:val="none"/>
          <w:lang w:eastAsia="zh-CN"/>
        </w:rPr>
        <w:t>最低</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（3）（4）</w:t>
      </w:r>
      <w:r>
        <w:rPr>
          <w:rFonts w:hint="default" w:ascii="Times New Roman" w:hAnsi="Times New Roman" w:cs="Times New Roman"/>
          <w:color w:val="auto"/>
          <w:sz w:val="24"/>
          <w:szCs w:val="24"/>
          <w:highlight w:val="none"/>
        </w:rPr>
        <w:t>（5）项均与设备相互连接处的密封有关，也是工艺装置在生产中最容易出现事故的方面，其中以输送管线接头破裂或阀门螺丝松动可能性较大。</w:t>
      </w:r>
    </w:p>
    <w:p w14:paraId="0D3900BA">
      <w:pPr>
        <w:keepNext/>
        <w:keepLines/>
        <w:pageBreakBefore w:val="0"/>
        <w:widowControl w:val="0"/>
        <w:kinsoku/>
        <w:wordWrap/>
        <w:overflowPunct/>
        <w:topLinePunct w:val="0"/>
        <w:autoSpaceDE/>
        <w:autoSpaceDN/>
        <w:bidi w:val="0"/>
        <w:adjustRightInd/>
        <w:snapToGrid w:val="0"/>
        <w:spacing w:line="360" w:lineRule="auto"/>
        <w:ind w:firstLine="482" w:firstLineChars="200"/>
        <w:jc w:val="both"/>
        <w:textAlignment w:val="auto"/>
        <w:outlineLvl w:val="2"/>
        <w:rPr>
          <w:rFonts w:hint="default" w:ascii="Times New Roman" w:hAnsi="Times New Roman" w:eastAsia="黑体" w:cs="Times New Roman"/>
          <w:b/>
          <w:bCs/>
          <w:color w:val="auto"/>
          <w:sz w:val="24"/>
          <w:szCs w:val="24"/>
          <w:highlight w:val="none"/>
        </w:rPr>
      </w:pPr>
      <w:r>
        <w:rPr>
          <w:rFonts w:hint="eastAsia"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.5.3风险事故类型</w:t>
      </w:r>
    </w:p>
    <w:p w14:paraId="0F832513">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根据对我国企业目前的安全技术状况所做出的综合分析，毒物泄漏扩散事故一般可以划分为小型、中型、大型三个等级。</w:t>
      </w:r>
    </w:p>
    <w:p w14:paraId="1117ADB4">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1、小型泄漏事故</w:t>
      </w:r>
    </w:p>
    <w:p w14:paraId="7403EBEB">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毒物泄漏量较小，泄漏时间较短的事故称为小型泄漏事故。如：因密封材料失效引起冒滴漏造成的蒸气逸散；或因装卸过满造成溢漏等。</w:t>
      </w:r>
    </w:p>
    <w:p w14:paraId="793DC40A">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对大多数物料而言，小型泄漏事故中形成的有毒蒸气逸散量不大，因此扩散危险较小，往往不会引起生产区内环境发生重大变化。</w:t>
      </w:r>
    </w:p>
    <w:p w14:paraId="0B3DF45A">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根据目前的安全技术水平判断，小型泄漏事故的发生频率较高。</w:t>
      </w:r>
    </w:p>
    <w:p w14:paraId="2C753132">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2、中型泄漏事故</w:t>
      </w:r>
    </w:p>
    <w:p w14:paraId="67CAC02E">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毒物泄漏量较大，泄漏时间中等的事故称为中型泄漏事故。如：输送管线破裂等。</w:t>
      </w:r>
    </w:p>
    <w:p w14:paraId="2DDA692D">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中型泄漏事故可能生产区内受到明显影响，并有可能恶化</w:t>
      </w:r>
      <w:r>
        <w:rPr>
          <w:rFonts w:hint="eastAsia" w:cs="Times New Roman"/>
          <w:color w:val="auto"/>
          <w:sz w:val="24"/>
          <w:szCs w:val="24"/>
          <w:highlight w:val="none"/>
          <w:lang w:eastAsia="zh-CN"/>
        </w:rPr>
        <w:t>邻近</w:t>
      </w:r>
      <w:r>
        <w:rPr>
          <w:rFonts w:hint="default" w:ascii="Times New Roman" w:hAnsi="Times New Roman" w:cs="Times New Roman"/>
          <w:color w:val="auto"/>
          <w:sz w:val="24"/>
          <w:szCs w:val="24"/>
          <w:highlight w:val="none"/>
        </w:rPr>
        <w:t>区域的职业安全卫生状况，如：引起火灾爆炸事故和损害作业人员身体健康等。中型泄漏事故对厂区环境造成危害的程度及其范围会比较明显。</w:t>
      </w:r>
    </w:p>
    <w:p w14:paraId="3534B3F0">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按照我国目前的安全管理水平，只要采取了系统有效的化工区安全生产管理措施，就可以明显减少厂区内发生中型泄漏事故的可能性。因此，中型泄漏事故发生概率较小。</w:t>
      </w:r>
    </w:p>
    <w:p w14:paraId="0F2EC584">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3、大型泄漏事故</w:t>
      </w:r>
    </w:p>
    <w:p w14:paraId="5A51252A">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毒物泄漏量很大，泄漏时间较长的事故称为大型泄漏事故。如：运输工具</w:t>
      </w:r>
      <w:r>
        <w:rPr>
          <w:rFonts w:hint="eastAsia" w:cs="Times New Roman"/>
          <w:color w:val="auto"/>
          <w:sz w:val="24"/>
          <w:szCs w:val="24"/>
          <w:highlight w:val="none"/>
          <w:lang w:eastAsia="zh-CN"/>
        </w:rPr>
        <w:t>及其他</w:t>
      </w:r>
      <w:r>
        <w:rPr>
          <w:rFonts w:hint="default" w:ascii="Times New Roman" w:hAnsi="Times New Roman" w:cs="Times New Roman"/>
          <w:color w:val="auto"/>
          <w:sz w:val="24"/>
          <w:szCs w:val="24"/>
          <w:highlight w:val="none"/>
        </w:rPr>
        <w:t>场所起火爆炸，引起大量毒物泄漏于陆地或大气。</w:t>
      </w:r>
    </w:p>
    <w:p w14:paraId="70189013">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大型泄漏事故一旦发生，项目生产在一定时间内很可能陷于瘫痪，并且往往伴有人员伤亡和财产损失。与此同时，起火爆炸和相应的管路、贮槽破损所引起的溢漏、扩散及燃烧等，有可能严重恶化拟建项目</w:t>
      </w:r>
      <w:r>
        <w:rPr>
          <w:rFonts w:hint="eastAsia" w:cs="Times New Roman"/>
          <w:color w:val="auto"/>
          <w:sz w:val="24"/>
          <w:szCs w:val="24"/>
          <w:highlight w:val="none"/>
          <w:lang w:eastAsia="zh-CN"/>
        </w:rPr>
        <w:t>邻近</w:t>
      </w:r>
      <w:r>
        <w:rPr>
          <w:rFonts w:hint="default" w:ascii="Times New Roman" w:hAnsi="Times New Roman" w:cs="Times New Roman"/>
          <w:color w:val="auto"/>
          <w:sz w:val="24"/>
          <w:szCs w:val="24"/>
          <w:highlight w:val="none"/>
        </w:rPr>
        <w:t>区域的空气质量。因此，大型泄漏事故是对周围环境</w:t>
      </w:r>
      <w:r>
        <w:rPr>
          <w:rFonts w:hint="eastAsia" w:cs="Times New Roman"/>
          <w:color w:val="auto"/>
          <w:sz w:val="24"/>
          <w:szCs w:val="24"/>
          <w:highlight w:val="none"/>
          <w:lang w:eastAsia="zh-CN"/>
        </w:rPr>
        <w:t>安全</w:t>
      </w:r>
      <w:r>
        <w:rPr>
          <w:rFonts w:hint="default" w:ascii="Times New Roman" w:hAnsi="Times New Roman" w:cs="Times New Roman"/>
          <w:color w:val="auto"/>
          <w:sz w:val="24"/>
          <w:szCs w:val="24"/>
          <w:highlight w:val="none"/>
        </w:rPr>
        <w:t>构成严重威胁的灾难性重大事故。</w:t>
      </w:r>
    </w:p>
    <w:p w14:paraId="34C1F99B">
      <w:pPr>
        <w:keepNext/>
        <w:keepLines/>
        <w:pageBreakBefore w:val="0"/>
        <w:widowControl w:val="0"/>
        <w:kinsoku/>
        <w:wordWrap/>
        <w:overflowPunct/>
        <w:topLinePunct w:val="0"/>
        <w:autoSpaceDE/>
        <w:autoSpaceDN/>
        <w:bidi w:val="0"/>
        <w:adjustRightInd/>
        <w:snapToGrid w:val="0"/>
        <w:spacing w:line="360" w:lineRule="auto"/>
        <w:ind w:firstLine="482" w:firstLineChars="200"/>
        <w:jc w:val="both"/>
        <w:textAlignment w:val="auto"/>
        <w:outlineLvl w:val="2"/>
        <w:rPr>
          <w:rFonts w:hint="default" w:ascii="Times New Roman" w:hAnsi="Times New Roman" w:eastAsia="黑体" w:cs="Times New Roman"/>
          <w:b/>
          <w:bCs/>
          <w:color w:val="auto"/>
          <w:sz w:val="24"/>
          <w:szCs w:val="24"/>
          <w:highlight w:val="none"/>
        </w:rPr>
      </w:pPr>
      <w:r>
        <w:rPr>
          <w:rFonts w:hint="eastAsia"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.5.4事故</w:t>
      </w:r>
      <w:r>
        <w:rPr>
          <w:rFonts w:hint="eastAsia" w:eastAsia="黑体" w:cs="Times New Roman"/>
          <w:b/>
          <w:bCs/>
          <w:color w:val="auto"/>
          <w:sz w:val="24"/>
          <w:szCs w:val="24"/>
          <w:highlight w:val="none"/>
          <w:lang w:eastAsia="zh-CN"/>
        </w:rPr>
        <w:t>连锁反应</w:t>
      </w:r>
      <w:r>
        <w:rPr>
          <w:rFonts w:hint="default" w:ascii="Times New Roman" w:hAnsi="Times New Roman" w:eastAsia="黑体" w:cs="Times New Roman"/>
          <w:b/>
          <w:bCs/>
          <w:color w:val="auto"/>
          <w:sz w:val="24"/>
          <w:szCs w:val="24"/>
          <w:highlight w:val="none"/>
        </w:rPr>
        <w:t>和事故重叠引发继发事故的可能性和后果</w:t>
      </w:r>
    </w:p>
    <w:p w14:paraId="3E93D833">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在</w:t>
      </w:r>
      <w:r>
        <w:rPr>
          <w:rFonts w:hint="eastAsia" w:cs="Times New Roman"/>
          <w:bCs/>
          <w:color w:val="auto"/>
          <w:sz w:val="24"/>
          <w:szCs w:val="24"/>
          <w:highlight w:val="none"/>
          <w:lang w:eastAsia="zh-CN"/>
        </w:rPr>
        <w:t>生产过程</w:t>
      </w:r>
      <w:r>
        <w:rPr>
          <w:rFonts w:hint="default" w:ascii="Times New Roman" w:hAnsi="Times New Roman" w:cs="Times New Roman"/>
          <w:bCs/>
          <w:color w:val="auto"/>
          <w:sz w:val="24"/>
          <w:szCs w:val="24"/>
          <w:highlight w:val="none"/>
        </w:rPr>
        <w:t>中火灾和爆炸事故存在引起继发事故和</w:t>
      </w:r>
      <w:r>
        <w:rPr>
          <w:rFonts w:hint="eastAsia" w:cs="Times New Roman"/>
          <w:bCs/>
          <w:color w:val="auto"/>
          <w:sz w:val="24"/>
          <w:szCs w:val="24"/>
          <w:highlight w:val="none"/>
          <w:lang w:eastAsia="zh-CN"/>
        </w:rPr>
        <w:t>次生灾害</w:t>
      </w:r>
      <w:r>
        <w:rPr>
          <w:rFonts w:hint="default" w:ascii="Times New Roman" w:hAnsi="Times New Roman" w:cs="Times New Roman"/>
          <w:bCs/>
          <w:color w:val="auto"/>
          <w:sz w:val="24"/>
          <w:szCs w:val="24"/>
          <w:highlight w:val="none"/>
        </w:rPr>
        <w:t>的可能性，这种危险性表现在：</w:t>
      </w:r>
    </w:p>
    <w:p w14:paraId="41A3A81B">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1、生产装置系统</w:t>
      </w:r>
    </w:p>
    <w:p w14:paraId="4790C845">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生产装置存在易燃物质，如果泄漏造成火灾爆炸，其热辐射可能会引起临近设备表面达到燃烧温度，可能会发生事故连锁反应和继发事故。</w:t>
      </w:r>
    </w:p>
    <w:p w14:paraId="5C120892">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2、贮运系统</w:t>
      </w:r>
    </w:p>
    <w:p w14:paraId="04BE5BED">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罐区如果泄漏会造成污染事故，如果防范措施不当或措施不利，可能会进入排水系统或大气环境，造成事故连锁效应和继发事故。</w:t>
      </w:r>
    </w:p>
    <w:p w14:paraId="13D5A0B3">
      <w:pPr>
        <w:pageBreakBefore w:val="0"/>
        <w:widowControl w:val="0"/>
        <w:kinsoku/>
        <w:wordWrap/>
        <w:overflowPunct/>
        <w:topLinePunct w:val="0"/>
        <w:autoSpaceDE/>
        <w:autoSpaceDN/>
        <w:bidi w:val="0"/>
        <w:adjustRightInd/>
        <w:snapToGrid w:val="0"/>
        <w:spacing w:line="360" w:lineRule="auto"/>
        <w:ind w:firstLine="480" w:firstLineChars="200"/>
        <w:jc w:val="both"/>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szCs w:val="24"/>
          <w:highlight w:val="none"/>
        </w:rPr>
        <w:t>事故原因及事故类型见图</w:t>
      </w:r>
      <w:r>
        <w:rPr>
          <w:rFonts w:hint="eastAsia"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.5-1。</w:t>
      </w:r>
    </w:p>
    <w:p w14:paraId="3F62AE1E">
      <w:pPr>
        <w:ind w:firstLine="0" w:firstLineChars="0"/>
        <w:jc w:val="center"/>
        <w:rPr>
          <w:rFonts w:hint="default" w:ascii="Times New Roman" w:hAnsi="Times New Roman" w:cs="Times New Roman"/>
          <w:color w:val="auto"/>
          <w:sz w:val="21"/>
          <w:highlight w:val="none"/>
        </w:rPr>
      </w:pPr>
      <w:r>
        <w:rPr>
          <w:rFonts w:hint="default" w:ascii="Times New Roman" w:hAnsi="Times New Roman" w:cs="Times New Roman"/>
          <w:color w:val="auto"/>
          <w:sz w:val="21"/>
          <w:highlight w:val="none"/>
        </w:rPr>
        <w:drawing>
          <wp:inline distT="0" distB="0" distL="114300" distR="114300">
            <wp:extent cx="5429250" cy="2319655"/>
            <wp:effectExtent l="0" t="0" r="11430" b="12065"/>
            <wp:docPr id="1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8"/>
                    <pic:cNvPicPr>
                      <a:picLocks noChangeAspect="1"/>
                    </pic:cNvPicPr>
                  </pic:nvPicPr>
                  <pic:blipFill>
                    <a:blip r:embed="rId16"/>
                    <a:stretch>
                      <a:fillRect/>
                    </a:stretch>
                  </pic:blipFill>
                  <pic:spPr>
                    <a:xfrm>
                      <a:off x="0" y="0"/>
                      <a:ext cx="5429250" cy="2319655"/>
                    </a:xfrm>
                    <a:prstGeom prst="rect">
                      <a:avLst/>
                    </a:prstGeom>
                    <a:noFill/>
                    <a:ln>
                      <a:noFill/>
                    </a:ln>
                  </pic:spPr>
                </pic:pic>
              </a:graphicData>
            </a:graphic>
          </wp:inline>
        </w:drawing>
      </w:r>
    </w:p>
    <w:p w14:paraId="361A7520">
      <w:pPr>
        <w:ind w:firstLine="0" w:firstLineChars="0"/>
        <w:jc w:val="center"/>
        <w:rPr>
          <w:rFonts w:hint="default" w:ascii="Times New Roman" w:hAnsi="Times New Roman" w:eastAsia="黑体" w:cs="Times New Roman"/>
          <w:b/>
          <w:bCs/>
          <w:color w:val="auto"/>
          <w:highlight w:val="none"/>
        </w:rPr>
      </w:pPr>
      <w:r>
        <w:rPr>
          <w:rFonts w:hint="default" w:ascii="Times New Roman" w:hAnsi="Times New Roman" w:cs="Times New Roman"/>
          <w:b/>
          <w:bCs/>
          <w:color w:val="auto"/>
          <w:highlight w:val="none"/>
        </w:rPr>
        <w:t>图</w:t>
      </w:r>
      <w:r>
        <w:rPr>
          <w:rFonts w:hint="eastAsia" w:eastAsia="黑体" w:cs="Times New Roman"/>
          <w:b/>
          <w:bCs/>
          <w:color w:val="auto"/>
          <w:highlight w:val="none"/>
          <w:lang w:val="en-US" w:eastAsia="zh-CN"/>
        </w:rPr>
        <w:t>1</w:t>
      </w:r>
      <w:r>
        <w:rPr>
          <w:rFonts w:hint="default" w:ascii="Times New Roman" w:hAnsi="Times New Roman" w:eastAsia="黑体" w:cs="Times New Roman"/>
          <w:b/>
          <w:bCs/>
          <w:color w:val="auto"/>
          <w:highlight w:val="none"/>
        </w:rPr>
        <w:t>.5-1  事故原因及事故类型关联图</w:t>
      </w:r>
    </w:p>
    <w:p w14:paraId="35A95148">
      <w:pPr>
        <w:pStyle w:val="16"/>
        <w:keepNext w:val="0"/>
        <w:keepLines w:val="0"/>
        <w:pageBreakBefore w:val="0"/>
        <w:widowControl w:val="0"/>
        <w:tabs>
          <w:tab w:val="left" w:pos="1470"/>
        </w:tabs>
        <w:kinsoku/>
        <w:wordWrap/>
        <w:overflowPunct/>
        <w:topLinePunct w:val="0"/>
        <w:autoSpaceDE/>
        <w:autoSpaceDN/>
        <w:bidi w:val="0"/>
        <w:adjustRightInd w:val="0"/>
        <w:snapToGrid w:val="0"/>
        <w:spacing w:line="360" w:lineRule="auto"/>
        <w:ind w:left="0" w:leftChars="0" w:firstLine="482" w:firstLineChars="200"/>
        <w:textAlignment w:val="auto"/>
        <w:rPr>
          <w:rFonts w:hint="default" w:ascii="Times New Roman" w:hAnsi="Times New Roman" w:eastAsia="黑体" w:cs="Times New Roman"/>
          <w:b/>
          <w:bCs/>
          <w:color w:val="auto"/>
          <w:sz w:val="24"/>
          <w:szCs w:val="24"/>
          <w:highlight w:val="none"/>
        </w:rPr>
      </w:pPr>
      <w:r>
        <w:rPr>
          <w:rFonts w:hint="eastAsia"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.5.5事故案例分析</w:t>
      </w:r>
    </w:p>
    <w:p w14:paraId="4C7C622C">
      <w:pPr>
        <w:keepNext w:val="0"/>
        <w:keepLines w:val="0"/>
        <w:pageBreakBefore w:val="0"/>
        <w:widowControl w:val="0"/>
        <w:kinsoku/>
        <w:wordWrap/>
        <w:overflowPunct/>
        <w:topLinePunct w:val="0"/>
        <w:autoSpaceDE/>
        <w:autoSpaceDN/>
        <w:bidi w:val="0"/>
        <w:adjustRightInd/>
        <w:snapToGrid w:val="0"/>
        <w:spacing w:line="360" w:lineRule="auto"/>
        <w:ind w:left="0" w:leftChars="0" w:firstLine="482" w:firstLineChars="200"/>
        <w:textAlignment w:val="auto"/>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eastAsia="zh-CN"/>
        </w:rPr>
        <w:t>潍坊市昌乐县星宝印刷厂盐酸泄漏</w:t>
      </w:r>
      <w:r>
        <w:rPr>
          <w:rFonts w:hint="default" w:ascii="Times New Roman" w:hAnsi="Times New Roman" w:cs="Times New Roman"/>
          <w:b/>
          <w:bCs/>
          <w:color w:val="auto"/>
          <w:sz w:val="24"/>
          <w:szCs w:val="24"/>
          <w:highlight w:val="none"/>
        </w:rPr>
        <w:t>事故</w:t>
      </w:r>
    </w:p>
    <w:p w14:paraId="0D0778DE">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1．事故经过</w:t>
      </w:r>
    </w:p>
    <w:p w14:paraId="0024C094">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20</w:t>
      </w:r>
      <w:r>
        <w:rPr>
          <w:rFonts w:hint="eastAsia" w:ascii="Times New Roman" w:hAnsi="Times New Roman" w:cs="Times New Roman"/>
          <w:color w:val="auto"/>
          <w:sz w:val="24"/>
          <w:szCs w:val="24"/>
          <w:highlight w:val="none"/>
          <w:lang w:val="en-US" w:eastAsia="zh-CN"/>
        </w:rPr>
        <w:t>11</w:t>
      </w:r>
      <w:r>
        <w:rPr>
          <w:rFonts w:hint="default" w:ascii="Times New Roman" w:hAnsi="Times New Roman"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月</w:t>
      </w:r>
      <w:r>
        <w:rPr>
          <w:rFonts w:hint="eastAsia" w:ascii="Times New Roman" w:hAnsi="Times New Roman" w:cs="Times New Roman"/>
          <w:color w:val="auto"/>
          <w:sz w:val="24"/>
          <w:szCs w:val="24"/>
          <w:highlight w:val="none"/>
          <w:lang w:val="en-US" w:eastAsia="zh-CN"/>
        </w:rPr>
        <w:t>31</w:t>
      </w:r>
      <w:r>
        <w:rPr>
          <w:rFonts w:hint="default" w:ascii="Times New Roman" w:hAnsi="Times New Roman" w:cs="Times New Roman"/>
          <w:color w:val="auto"/>
          <w:sz w:val="24"/>
          <w:szCs w:val="24"/>
          <w:highlight w:val="none"/>
        </w:rPr>
        <w:t>日，</w:t>
      </w:r>
      <w:r>
        <w:rPr>
          <w:rFonts w:hint="eastAsia" w:ascii="Times New Roman" w:hAnsi="Times New Roman" w:cs="Times New Roman"/>
          <w:b w:val="0"/>
          <w:bCs w:val="0"/>
          <w:color w:val="auto"/>
          <w:sz w:val="24"/>
          <w:szCs w:val="24"/>
          <w:highlight w:val="none"/>
          <w:lang w:eastAsia="zh-CN"/>
        </w:rPr>
        <w:t>潍坊市昌乐县星宝印刷厂因盐酸储存池法兰连接处密封圈破裂，导致</w:t>
      </w:r>
      <w:r>
        <w:rPr>
          <w:rFonts w:hint="eastAsia" w:ascii="Times New Roman" w:hAnsi="Times New Roman" w:cs="Times New Roman"/>
          <w:b w:val="0"/>
          <w:bCs w:val="0"/>
          <w:color w:val="auto"/>
          <w:sz w:val="24"/>
          <w:szCs w:val="24"/>
          <w:highlight w:val="none"/>
          <w:lang w:val="en-US" w:eastAsia="zh-CN"/>
        </w:rPr>
        <w:t>10余吨盐酸泄漏</w:t>
      </w:r>
      <w:r>
        <w:rPr>
          <w:rFonts w:hint="default" w:ascii="Times New Roman" w:hAnsi="Times New Roman" w:cs="Times New Roman"/>
          <w:color w:val="auto"/>
          <w:sz w:val="24"/>
          <w:szCs w:val="24"/>
          <w:highlight w:val="none"/>
        </w:rPr>
        <w:t>，事故发生后，</w:t>
      </w:r>
      <w:r>
        <w:rPr>
          <w:rFonts w:hint="eastAsia" w:ascii="Times New Roman" w:hAnsi="Times New Roman" w:cs="Times New Roman"/>
          <w:color w:val="auto"/>
          <w:sz w:val="24"/>
          <w:szCs w:val="24"/>
          <w:highlight w:val="none"/>
          <w:lang w:eastAsia="zh-CN"/>
        </w:rPr>
        <w:t>在当地公安、消防、安监、环保等部门的积极努力下，事故得到及时处置，无人员伤亡。</w:t>
      </w:r>
    </w:p>
    <w:p w14:paraId="1DB03E6B">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Times New Roman" w:hAnsi="Times New Roman" w:cs="Times New Roman"/>
          <w:color w:val="auto"/>
          <w:sz w:val="24"/>
          <w:szCs w:val="24"/>
          <w:highlight w:val="none"/>
          <w:lang w:eastAsia="zh-CN"/>
        </w:rPr>
      </w:pPr>
      <w:r>
        <w:rPr>
          <w:rFonts w:hint="default" w:ascii="Times New Roman" w:hAnsi="Times New Roman" w:cs="Times New Roman"/>
          <w:color w:val="auto"/>
          <w:sz w:val="24"/>
          <w:szCs w:val="24"/>
          <w:highlight w:val="none"/>
        </w:rPr>
        <w:t>20</w:t>
      </w:r>
      <w:r>
        <w:rPr>
          <w:rFonts w:hint="eastAsia" w:ascii="Times New Roman" w:hAnsi="Times New Roman" w:cs="Times New Roman"/>
          <w:color w:val="auto"/>
          <w:sz w:val="24"/>
          <w:szCs w:val="24"/>
          <w:highlight w:val="none"/>
          <w:lang w:val="en-US" w:eastAsia="zh-CN"/>
        </w:rPr>
        <w:t>11</w:t>
      </w:r>
      <w:r>
        <w:rPr>
          <w:rFonts w:hint="default" w:ascii="Times New Roman" w:hAnsi="Times New Roman" w:cs="Times New Roman"/>
          <w:color w:val="auto"/>
          <w:sz w:val="24"/>
          <w:szCs w:val="24"/>
          <w:highlight w:val="none"/>
        </w:rPr>
        <w:t>年</w:t>
      </w:r>
      <w:r>
        <w:rPr>
          <w:rFonts w:hint="eastAsia" w:ascii="Times New Roman" w:hAnsi="Times New Roman" w:cs="Times New Roman"/>
          <w:color w:val="auto"/>
          <w:sz w:val="24"/>
          <w:szCs w:val="24"/>
          <w:highlight w:val="none"/>
          <w:lang w:val="en-US" w:eastAsia="zh-CN"/>
        </w:rPr>
        <w:t>7</w:t>
      </w:r>
      <w:r>
        <w:rPr>
          <w:rFonts w:hint="default" w:ascii="Times New Roman" w:hAnsi="Times New Roman" w:cs="Times New Roman"/>
          <w:color w:val="auto"/>
          <w:sz w:val="24"/>
          <w:szCs w:val="24"/>
          <w:highlight w:val="none"/>
        </w:rPr>
        <w:t>月</w:t>
      </w:r>
      <w:r>
        <w:rPr>
          <w:rFonts w:hint="eastAsia" w:ascii="Times New Roman" w:hAnsi="Times New Roman" w:cs="Times New Roman"/>
          <w:color w:val="auto"/>
          <w:sz w:val="24"/>
          <w:szCs w:val="24"/>
          <w:highlight w:val="none"/>
          <w:lang w:val="en-US" w:eastAsia="zh-CN"/>
        </w:rPr>
        <w:t>31</w:t>
      </w:r>
      <w:r>
        <w:rPr>
          <w:rFonts w:hint="default" w:ascii="Times New Roman" w:hAnsi="Times New Roman" w:cs="Times New Roman"/>
          <w:color w:val="auto"/>
          <w:sz w:val="24"/>
          <w:szCs w:val="24"/>
          <w:highlight w:val="none"/>
        </w:rPr>
        <w:t>日</w:t>
      </w:r>
      <w:r>
        <w:rPr>
          <w:rFonts w:hint="eastAsia" w:ascii="Times New Roman" w:hAnsi="Times New Roman" w:cs="Times New Roman"/>
          <w:color w:val="auto"/>
          <w:sz w:val="24"/>
          <w:szCs w:val="24"/>
          <w:highlight w:val="none"/>
          <w:lang w:eastAsia="zh-CN"/>
        </w:rPr>
        <w:t>凌晨</w:t>
      </w:r>
      <w:r>
        <w:rPr>
          <w:rFonts w:hint="eastAsia" w:ascii="Times New Roman" w:hAnsi="Times New Roman" w:cs="Times New Roman"/>
          <w:color w:val="auto"/>
          <w:sz w:val="24"/>
          <w:szCs w:val="24"/>
          <w:highlight w:val="none"/>
          <w:lang w:val="en-US" w:eastAsia="zh-CN"/>
        </w:rPr>
        <w:t>2点左右</w:t>
      </w:r>
      <w:r>
        <w:rPr>
          <w:rFonts w:hint="default" w:ascii="Times New Roman" w:hAnsi="Times New Roman" w:cs="Times New Roman"/>
          <w:color w:val="auto"/>
          <w:sz w:val="24"/>
          <w:szCs w:val="24"/>
          <w:highlight w:val="none"/>
        </w:rPr>
        <w:t>，</w:t>
      </w:r>
      <w:r>
        <w:rPr>
          <w:rFonts w:hint="eastAsia" w:ascii="Times New Roman" w:hAnsi="Times New Roman" w:cs="Times New Roman"/>
          <w:b w:val="0"/>
          <w:bCs w:val="0"/>
          <w:color w:val="auto"/>
          <w:sz w:val="24"/>
          <w:szCs w:val="24"/>
          <w:highlight w:val="none"/>
          <w:lang w:eastAsia="zh-CN"/>
        </w:rPr>
        <w:t>潍坊市昌乐县星宝印刷厂因盐酸储存池法兰连接处密封圈破裂，导致</w:t>
      </w:r>
      <w:r>
        <w:rPr>
          <w:rFonts w:hint="eastAsia" w:ascii="Times New Roman" w:hAnsi="Times New Roman" w:cs="Times New Roman"/>
          <w:b w:val="0"/>
          <w:bCs w:val="0"/>
          <w:color w:val="auto"/>
          <w:sz w:val="24"/>
          <w:szCs w:val="24"/>
          <w:highlight w:val="none"/>
          <w:lang w:val="en-US" w:eastAsia="zh-CN"/>
        </w:rPr>
        <w:t>10余吨盐酸泄漏</w:t>
      </w: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eastAsia="zh-CN"/>
        </w:rPr>
        <w:t>由于是深夜凌晨，厂内没有安排夜间值班人员，当发现泄漏的时候，已经是泄漏的严重阶段，人员无法靠近，厂内人员随即拨打报警电话。</w:t>
      </w:r>
    </w:p>
    <w:p w14:paraId="332E22C0">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eastAsia="zh-CN"/>
        </w:rPr>
        <w:t>事故发生后，弥漫的盐酸挥发气体很快</w:t>
      </w:r>
      <w:r>
        <w:rPr>
          <w:rFonts w:hint="eastAsia" w:cs="Times New Roman"/>
          <w:color w:val="auto"/>
          <w:sz w:val="24"/>
          <w:szCs w:val="24"/>
          <w:highlight w:val="none"/>
          <w:lang w:eastAsia="zh-CN"/>
        </w:rPr>
        <w:t>向</w:t>
      </w:r>
      <w:r>
        <w:rPr>
          <w:rFonts w:hint="eastAsia" w:ascii="Times New Roman" w:hAnsi="Times New Roman" w:cs="Times New Roman"/>
          <w:color w:val="auto"/>
          <w:sz w:val="24"/>
          <w:szCs w:val="24"/>
          <w:highlight w:val="none"/>
          <w:lang w:eastAsia="zh-CN"/>
        </w:rPr>
        <w:t>周围扩散，因为事故发生在凌晨，大气气压较低，盐酸气体很快影响到周围</w:t>
      </w:r>
      <w:r>
        <w:rPr>
          <w:rFonts w:hint="eastAsia" w:ascii="Times New Roman" w:hAnsi="Times New Roman" w:cs="Times New Roman"/>
          <w:color w:val="auto"/>
          <w:sz w:val="24"/>
          <w:szCs w:val="24"/>
          <w:highlight w:val="none"/>
          <w:lang w:val="en-US" w:eastAsia="zh-CN"/>
        </w:rPr>
        <w:t>1平方公里的居民，2时20分，昌乐县消防大队接到报警后，迅速出动</w:t>
      </w:r>
      <w:r>
        <w:rPr>
          <w:rFonts w:hint="eastAsia" w:cs="Times New Roman"/>
          <w:color w:val="auto"/>
          <w:sz w:val="24"/>
          <w:szCs w:val="24"/>
          <w:highlight w:val="none"/>
          <w:lang w:val="en-US" w:eastAsia="zh-CN"/>
        </w:rPr>
        <w:t>两部</w:t>
      </w:r>
      <w:r>
        <w:rPr>
          <w:rFonts w:hint="eastAsia" w:ascii="Times New Roman" w:hAnsi="Times New Roman" w:cs="Times New Roman"/>
          <w:color w:val="auto"/>
          <w:sz w:val="24"/>
          <w:szCs w:val="24"/>
          <w:highlight w:val="none"/>
          <w:lang w:val="en-US" w:eastAsia="zh-CN"/>
        </w:rPr>
        <w:t>水罐消防车和一部照明车，16名</w:t>
      </w:r>
      <w:r>
        <w:rPr>
          <w:rFonts w:hint="eastAsia" w:cs="Times New Roman"/>
          <w:color w:val="auto"/>
          <w:sz w:val="24"/>
          <w:szCs w:val="24"/>
          <w:highlight w:val="none"/>
          <w:lang w:val="en-US" w:eastAsia="zh-CN"/>
        </w:rPr>
        <w:t>消防队员</w:t>
      </w:r>
      <w:r>
        <w:rPr>
          <w:rFonts w:hint="eastAsia" w:ascii="Times New Roman" w:hAnsi="Times New Roman" w:cs="Times New Roman"/>
          <w:color w:val="auto"/>
          <w:sz w:val="24"/>
          <w:szCs w:val="24"/>
          <w:highlight w:val="none"/>
          <w:lang w:val="en-US" w:eastAsia="zh-CN"/>
        </w:rPr>
        <w:t>及时赶到现场。到达现场后，经询问当事人后确定这是一起高纯度盐酸泄漏事故，指挥员代理副中队长薛建龙立即对大队值班员进行了汇报，同时迅速与公安、环保、安监等部门取得联系，经过与各部门负责人和事故单位技术人员分析情况后，及时下达命令采取以下措施：</w:t>
      </w:r>
    </w:p>
    <w:p w14:paraId="21971A1C">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（1）对现场</w:t>
      </w:r>
      <w:r>
        <w:rPr>
          <w:rFonts w:hint="eastAsia" w:cs="Times New Roman"/>
          <w:color w:val="auto"/>
          <w:sz w:val="24"/>
          <w:szCs w:val="24"/>
          <w:highlight w:val="none"/>
          <w:lang w:val="en-US" w:eastAsia="zh-CN"/>
        </w:rPr>
        <w:t>实施</w:t>
      </w:r>
      <w:r>
        <w:rPr>
          <w:rFonts w:hint="eastAsia" w:ascii="Times New Roman" w:hAnsi="Times New Roman" w:cs="Times New Roman"/>
          <w:color w:val="auto"/>
          <w:sz w:val="24"/>
          <w:szCs w:val="24"/>
          <w:highlight w:val="none"/>
          <w:lang w:val="en-US" w:eastAsia="zh-CN"/>
        </w:rPr>
        <w:t>警戒，严格限制出入；</w:t>
      </w:r>
    </w:p>
    <w:p w14:paraId="58BF051A">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（2）协调公安和当地政府工作人员，紧急疏散中毒污染区域内的居民；</w:t>
      </w:r>
    </w:p>
    <w:p w14:paraId="257DF6DA">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（3）迅速撤离泄漏污染区域人员至安全区，并进行检查、隔离；</w:t>
      </w:r>
    </w:p>
    <w:p w14:paraId="21D97E99">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eastAsia" w:ascii="Times New Roman" w:hAnsi="Times New Roman"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（4）采用堵漏、稀释、酸碱中和的处理方法对泄漏盐酸进行处置。</w:t>
      </w:r>
    </w:p>
    <w:p w14:paraId="5408695F">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eastAsia="zh-CN"/>
        </w:rPr>
        <w:t>消防队员</w:t>
      </w:r>
      <w:r>
        <w:rPr>
          <w:rFonts w:hint="eastAsia" w:ascii="Times New Roman" w:hAnsi="Times New Roman" w:cs="Times New Roman"/>
          <w:color w:val="auto"/>
          <w:sz w:val="24"/>
          <w:szCs w:val="24"/>
          <w:highlight w:val="none"/>
          <w:lang w:eastAsia="zh-CN"/>
        </w:rPr>
        <w:t>和技术小组人员，在水枪的掩护下，找到泄漏点，用橡胶皮封堵住泄漏点，紧急调取附近企业的纯碱对盐酸进行中和，经过</w:t>
      </w:r>
      <w:r>
        <w:rPr>
          <w:rFonts w:hint="eastAsia" w:ascii="Times New Roman" w:hAnsi="Times New Roman" w:cs="Times New Roman"/>
          <w:color w:val="auto"/>
          <w:sz w:val="24"/>
          <w:szCs w:val="24"/>
          <w:highlight w:val="none"/>
          <w:lang w:val="en-US" w:eastAsia="zh-CN"/>
        </w:rPr>
        <w:t>4个小时的奋战，泄漏盐酸全部得到中和，环保部门对周围空气进行检测，空气中氯化氢浓度达标后，事故危机得到解除。</w:t>
      </w:r>
    </w:p>
    <w:p w14:paraId="7FB1CC52">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2．事故原因</w:t>
      </w:r>
    </w:p>
    <w:p w14:paraId="216C1A8F">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b w:val="0"/>
          <w:bCs w:val="0"/>
          <w:color w:val="auto"/>
          <w:sz w:val="24"/>
          <w:szCs w:val="24"/>
          <w:highlight w:val="none"/>
          <w:lang w:eastAsia="zh-CN"/>
        </w:rPr>
        <w:t>潍坊市昌乐县星宝印刷厂储罐、管路及其附属连接件长时间使用，未进行定期检查更换；企业管理松懈，夜间值班人员未执行巡检制度，未能及时发现泄漏事故，造成事故扩大，险些酿成重大损失</w:t>
      </w:r>
      <w:r>
        <w:rPr>
          <w:rFonts w:hint="default" w:ascii="Times New Roman" w:hAnsi="Times New Roman" w:cs="Times New Roman"/>
          <w:color w:val="auto"/>
          <w:sz w:val="24"/>
          <w:szCs w:val="24"/>
          <w:highlight w:val="none"/>
        </w:rPr>
        <w:t>，教训十分深刻，暴露出危险化学品生产</w:t>
      </w:r>
      <w:r>
        <w:rPr>
          <w:rFonts w:hint="eastAsia" w:ascii="Times New Roman" w:hAnsi="Times New Roman" w:cs="Times New Roman"/>
          <w:color w:val="auto"/>
          <w:sz w:val="24"/>
          <w:szCs w:val="24"/>
          <w:highlight w:val="none"/>
          <w:lang w:eastAsia="zh-CN"/>
        </w:rPr>
        <w:t>、使用</w:t>
      </w:r>
      <w:r>
        <w:rPr>
          <w:rFonts w:hint="default" w:ascii="Times New Roman" w:hAnsi="Times New Roman" w:cs="Times New Roman"/>
          <w:color w:val="auto"/>
          <w:sz w:val="24"/>
          <w:szCs w:val="24"/>
          <w:highlight w:val="none"/>
        </w:rPr>
        <w:t>企业</w:t>
      </w:r>
      <w:r>
        <w:rPr>
          <w:rFonts w:hint="eastAsia" w:ascii="Times New Roman" w:hAnsi="Times New Roman" w:cs="Times New Roman"/>
          <w:color w:val="auto"/>
          <w:sz w:val="24"/>
          <w:szCs w:val="24"/>
          <w:highlight w:val="none"/>
          <w:lang w:eastAsia="zh-CN"/>
        </w:rPr>
        <w:t>在</w:t>
      </w:r>
      <w:r>
        <w:rPr>
          <w:rFonts w:hint="default" w:ascii="Times New Roman" w:hAnsi="Times New Roman" w:cs="Times New Roman"/>
          <w:color w:val="auto"/>
          <w:sz w:val="24"/>
          <w:szCs w:val="24"/>
          <w:highlight w:val="none"/>
        </w:rPr>
        <w:t>安全管理和安全监管上存在的一些突出问题。</w:t>
      </w:r>
    </w:p>
    <w:p w14:paraId="5DED46C0">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3．防范措施</w:t>
      </w:r>
    </w:p>
    <w:p w14:paraId="066CEF27">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（1）切实加强对危险化学品生产、储存场所的安全监管，对</w:t>
      </w:r>
      <w:r>
        <w:rPr>
          <w:rFonts w:hint="eastAsia" w:ascii="Times New Roman" w:hAnsi="Times New Roman" w:cs="Times New Roman"/>
          <w:color w:val="auto"/>
          <w:sz w:val="24"/>
          <w:szCs w:val="24"/>
          <w:highlight w:val="none"/>
          <w:lang w:eastAsia="zh-CN"/>
        </w:rPr>
        <w:t>腐蚀性较强的化学品</w:t>
      </w:r>
      <w:r>
        <w:rPr>
          <w:rFonts w:hint="default" w:ascii="Times New Roman" w:hAnsi="Times New Roman" w:cs="Times New Roman"/>
          <w:color w:val="auto"/>
          <w:sz w:val="24"/>
          <w:szCs w:val="24"/>
          <w:highlight w:val="none"/>
        </w:rPr>
        <w:t>生产、储存场所</w:t>
      </w:r>
      <w:r>
        <w:rPr>
          <w:rFonts w:hint="eastAsia" w:ascii="Times New Roman" w:hAnsi="Times New Roman" w:cs="Times New Roman"/>
          <w:color w:val="auto"/>
          <w:sz w:val="24"/>
          <w:szCs w:val="24"/>
          <w:highlight w:val="none"/>
          <w:lang w:eastAsia="zh-CN"/>
        </w:rPr>
        <w:t>定期进行硬件的检查和更换</w:t>
      </w:r>
      <w:r>
        <w:rPr>
          <w:rFonts w:hint="default" w:ascii="Times New Roman" w:hAnsi="Times New Roman" w:cs="Times New Roman"/>
          <w:color w:val="auto"/>
          <w:sz w:val="24"/>
          <w:szCs w:val="24"/>
          <w:highlight w:val="none"/>
        </w:rPr>
        <w:t>。</w:t>
      </w:r>
    </w:p>
    <w:p w14:paraId="02EA6D0B">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各地要立即将本通报转发辖区内危险化学品从业单位和各级监管部门，督促企业认真吸取事故教训，组织企业立即开展全面的自查自纠，对自查自纠工作不落实、走过场的企业，要加大处罚力度，切实消除安全隐患。</w:t>
      </w:r>
    </w:p>
    <w:p w14:paraId="77F4E2A8">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3</w:t>
      </w:r>
      <w:r>
        <w:rPr>
          <w:rFonts w:hint="default" w:ascii="Times New Roman" w:hAnsi="Times New Roman" w:cs="Times New Roman"/>
          <w:color w:val="auto"/>
          <w:sz w:val="24"/>
          <w:szCs w:val="24"/>
          <w:highlight w:val="none"/>
        </w:rPr>
        <w:t>）各级安监部门要切实加强对危险化学品企业的监管，确保安全生产隐患排查治理专项行动和百日督查专项行动的各项要求落实到位，确保安全监管主体责任落实到位。</w:t>
      </w:r>
    </w:p>
    <w:p w14:paraId="138ABF64">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4</w:t>
      </w:r>
      <w:r>
        <w:rPr>
          <w:rFonts w:hint="default" w:ascii="Times New Roman" w:hAnsi="Times New Roman" w:cs="Times New Roman"/>
          <w:color w:val="auto"/>
          <w:sz w:val="24"/>
          <w:szCs w:val="24"/>
          <w:highlight w:val="none"/>
        </w:rPr>
        <w:t>）企业应加强对从业人员的</w:t>
      </w:r>
      <w:r>
        <w:rPr>
          <w:rFonts w:hint="eastAsia" w:ascii="Times New Roman" w:hAnsi="Times New Roman" w:cs="Times New Roman"/>
          <w:color w:val="auto"/>
          <w:sz w:val="24"/>
          <w:szCs w:val="24"/>
          <w:highlight w:val="none"/>
          <w:lang w:eastAsia="zh-CN"/>
        </w:rPr>
        <w:t>应急</w:t>
      </w:r>
      <w:r>
        <w:rPr>
          <w:rFonts w:hint="default" w:ascii="Times New Roman" w:hAnsi="Times New Roman" w:cs="Times New Roman"/>
          <w:color w:val="auto"/>
          <w:sz w:val="24"/>
          <w:szCs w:val="24"/>
          <w:highlight w:val="none"/>
        </w:rPr>
        <w:t>培训工作，增强员工安全意识，安全知识，以及应急能力</w:t>
      </w:r>
      <w:r>
        <w:rPr>
          <w:rFonts w:hint="eastAsia" w:ascii="Times New Roman" w:hAnsi="Times New Roman" w:cs="Times New Roman"/>
          <w:color w:val="auto"/>
          <w:sz w:val="24"/>
          <w:szCs w:val="24"/>
          <w:highlight w:val="none"/>
          <w:lang w:eastAsia="zh-CN"/>
        </w:rPr>
        <w:t>，严格执行巡检制度</w:t>
      </w:r>
      <w:r>
        <w:rPr>
          <w:rFonts w:hint="default" w:ascii="Times New Roman" w:hAnsi="Times New Roman" w:cs="Times New Roman"/>
          <w:color w:val="auto"/>
          <w:sz w:val="24"/>
          <w:szCs w:val="24"/>
          <w:highlight w:val="none"/>
        </w:rPr>
        <w:t>。</w:t>
      </w:r>
    </w:p>
    <w:p w14:paraId="667F8459">
      <w:pPr>
        <w:keepNext/>
        <w:keepLines/>
        <w:pageBreakBefore w:val="0"/>
        <w:widowControl w:val="0"/>
        <w:kinsoku/>
        <w:wordWrap/>
        <w:overflowPunct/>
        <w:topLinePunct w:val="0"/>
        <w:autoSpaceDE/>
        <w:autoSpaceDN/>
        <w:bidi w:val="0"/>
        <w:adjustRightInd/>
        <w:snapToGrid w:val="0"/>
        <w:spacing w:line="360" w:lineRule="auto"/>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ascii="Times New Roman" w:hAnsi="Times New Roman"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.5.6重点事故案例原因分析</w:t>
      </w:r>
    </w:p>
    <w:p w14:paraId="563C8B07">
      <w:pPr>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根据资料报道，在95个国家登记的化学品事故中，发生突发性化学品事故的化学品物质形态比例及事故原因分析见表</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.5-1。</w:t>
      </w:r>
    </w:p>
    <w:p w14:paraId="244FDE1F">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w:t>
      </w:r>
      <w:r>
        <w:rPr>
          <w:rFonts w:hint="default" w:ascii="Times New Roman" w:hAnsi="Times New Roman" w:eastAsia="黑体" w:cs="Times New Roman"/>
          <w:b/>
          <w:bCs/>
          <w:color w:val="auto"/>
          <w:sz w:val="21"/>
          <w:szCs w:val="21"/>
          <w:highlight w:val="none"/>
        </w:rPr>
        <w:t>.5-1  化学品事故分类情况</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839"/>
        <w:gridCol w:w="2840"/>
        <w:gridCol w:w="2842"/>
      </w:tblGrid>
      <w:tr w14:paraId="0EE5769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noWrap w:val="0"/>
            <w:vAlign w:val="center"/>
          </w:tcPr>
          <w:p w14:paraId="44B22DC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类别</w:t>
            </w:r>
          </w:p>
        </w:tc>
        <w:tc>
          <w:tcPr>
            <w:tcW w:w="1666" w:type="pct"/>
            <w:noWrap w:val="0"/>
            <w:vAlign w:val="center"/>
          </w:tcPr>
          <w:p w14:paraId="5A91D16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名称</w:t>
            </w:r>
          </w:p>
        </w:tc>
        <w:tc>
          <w:tcPr>
            <w:tcW w:w="1667" w:type="pct"/>
            <w:noWrap w:val="0"/>
            <w:vAlign w:val="center"/>
          </w:tcPr>
          <w:p w14:paraId="3A463C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百分数（%）</w:t>
            </w:r>
          </w:p>
        </w:tc>
      </w:tr>
      <w:tr w14:paraId="348EBE0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restart"/>
            <w:noWrap w:val="0"/>
            <w:vAlign w:val="center"/>
          </w:tcPr>
          <w:p w14:paraId="055507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化学品的物质形态</w:t>
            </w:r>
          </w:p>
        </w:tc>
        <w:tc>
          <w:tcPr>
            <w:tcW w:w="1666" w:type="pct"/>
            <w:noWrap w:val="0"/>
            <w:vAlign w:val="center"/>
          </w:tcPr>
          <w:p w14:paraId="7F141F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液体</w:t>
            </w:r>
          </w:p>
        </w:tc>
        <w:tc>
          <w:tcPr>
            <w:tcW w:w="1667" w:type="pct"/>
            <w:noWrap w:val="0"/>
            <w:vAlign w:val="center"/>
          </w:tcPr>
          <w:p w14:paraId="531F93A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45.4</w:t>
            </w:r>
          </w:p>
        </w:tc>
      </w:tr>
      <w:tr w14:paraId="615AA76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continue"/>
            <w:noWrap w:val="0"/>
            <w:vAlign w:val="center"/>
          </w:tcPr>
          <w:p w14:paraId="08BA34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666" w:type="pct"/>
            <w:noWrap w:val="0"/>
            <w:vAlign w:val="center"/>
          </w:tcPr>
          <w:p w14:paraId="3E9006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液化气</w:t>
            </w:r>
          </w:p>
        </w:tc>
        <w:tc>
          <w:tcPr>
            <w:tcW w:w="1667" w:type="pct"/>
            <w:noWrap w:val="0"/>
            <w:vAlign w:val="center"/>
          </w:tcPr>
          <w:p w14:paraId="6BDB8B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27.6</w:t>
            </w:r>
          </w:p>
        </w:tc>
      </w:tr>
      <w:tr w14:paraId="128E6FD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continue"/>
            <w:noWrap w:val="0"/>
            <w:vAlign w:val="center"/>
          </w:tcPr>
          <w:p w14:paraId="625F378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666" w:type="pct"/>
            <w:noWrap w:val="0"/>
            <w:vAlign w:val="center"/>
          </w:tcPr>
          <w:p w14:paraId="3F5C47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气体</w:t>
            </w:r>
          </w:p>
        </w:tc>
        <w:tc>
          <w:tcPr>
            <w:tcW w:w="1667" w:type="pct"/>
            <w:noWrap w:val="0"/>
            <w:vAlign w:val="center"/>
          </w:tcPr>
          <w:p w14:paraId="4691422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18.8</w:t>
            </w:r>
          </w:p>
        </w:tc>
      </w:tr>
      <w:tr w14:paraId="108E8C2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continue"/>
            <w:noWrap w:val="0"/>
            <w:vAlign w:val="center"/>
          </w:tcPr>
          <w:p w14:paraId="7856A6A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666" w:type="pct"/>
            <w:noWrap w:val="0"/>
            <w:vAlign w:val="center"/>
          </w:tcPr>
          <w:p w14:paraId="578405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固体</w:t>
            </w:r>
          </w:p>
        </w:tc>
        <w:tc>
          <w:tcPr>
            <w:tcW w:w="1667" w:type="pct"/>
            <w:noWrap w:val="0"/>
            <w:vAlign w:val="center"/>
          </w:tcPr>
          <w:p w14:paraId="2D65252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8.2</w:t>
            </w:r>
          </w:p>
        </w:tc>
      </w:tr>
      <w:tr w14:paraId="3B3104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restart"/>
            <w:noWrap w:val="0"/>
            <w:vAlign w:val="center"/>
          </w:tcPr>
          <w:p w14:paraId="148C1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事故来源</w:t>
            </w:r>
          </w:p>
        </w:tc>
        <w:tc>
          <w:tcPr>
            <w:tcW w:w="1666" w:type="pct"/>
            <w:noWrap w:val="0"/>
            <w:vAlign w:val="center"/>
          </w:tcPr>
          <w:p w14:paraId="3F6F0F1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机械故障</w:t>
            </w:r>
          </w:p>
        </w:tc>
        <w:tc>
          <w:tcPr>
            <w:tcW w:w="1667" w:type="pct"/>
            <w:noWrap w:val="0"/>
            <w:vAlign w:val="center"/>
          </w:tcPr>
          <w:p w14:paraId="2953B9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34.2</w:t>
            </w:r>
          </w:p>
        </w:tc>
      </w:tr>
      <w:tr w14:paraId="3C4D3D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continue"/>
            <w:noWrap w:val="0"/>
            <w:vAlign w:val="center"/>
          </w:tcPr>
          <w:p w14:paraId="5C02969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666" w:type="pct"/>
            <w:noWrap w:val="0"/>
            <w:vAlign w:val="center"/>
          </w:tcPr>
          <w:p w14:paraId="517CFE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碰撞事故</w:t>
            </w:r>
          </w:p>
        </w:tc>
        <w:tc>
          <w:tcPr>
            <w:tcW w:w="1667" w:type="pct"/>
            <w:noWrap w:val="0"/>
            <w:vAlign w:val="center"/>
          </w:tcPr>
          <w:p w14:paraId="3215468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26.8</w:t>
            </w:r>
          </w:p>
        </w:tc>
      </w:tr>
      <w:tr w14:paraId="77F7E33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continue"/>
            <w:noWrap w:val="0"/>
            <w:vAlign w:val="center"/>
          </w:tcPr>
          <w:p w14:paraId="298D025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666" w:type="pct"/>
            <w:noWrap w:val="0"/>
            <w:vAlign w:val="center"/>
          </w:tcPr>
          <w:p w14:paraId="5999EF0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人为因素</w:t>
            </w:r>
          </w:p>
        </w:tc>
        <w:tc>
          <w:tcPr>
            <w:tcW w:w="1667" w:type="pct"/>
            <w:noWrap w:val="0"/>
            <w:vAlign w:val="center"/>
          </w:tcPr>
          <w:p w14:paraId="7DFF5FB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22.8</w:t>
            </w:r>
          </w:p>
        </w:tc>
      </w:tr>
      <w:tr w14:paraId="5BBB83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666" w:type="pct"/>
            <w:vMerge w:val="continue"/>
            <w:noWrap w:val="0"/>
            <w:vAlign w:val="center"/>
          </w:tcPr>
          <w:p w14:paraId="6B8D20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666" w:type="pct"/>
            <w:noWrap w:val="0"/>
            <w:vAlign w:val="center"/>
          </w:tcPr>
          <w:p w14:paraId="6C3B25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外部因素</w:t>
            </w:r>
          </w:p>
        </w:tc>
        <w:tc>
          <w:tcPr>
            <w:tcW w:w="1667" w:type="pct"/>
            <w:noWrap w:val="0"/>
            <w:vAlign w:val="center"/>
          </w:tcPr>
          <w:p w14:paraId="10328BC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16.2</w:t>
            </w:r>
          </w:p>
        </w:tc>
      </w:tr>
    </w:tbl>
    <w:p w14:paraId="667C0A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szCs w:val="24"/>
          <w:highlight w:val="none"/>
        </w:rPr>
        <w:t>从表</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.5-1可看出，液体化学品最易发生事故，机械故障最容易导致事故发生。近几年国内化工行业116次主要事故原因统计分析结果见表</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.5-2。</w:t>
      </w:r>
    </w:p>
    <w:p w14:paraId="0EA94C7F">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w:t>
      </w:r>
      <w:r>
        <w:rPr>
          <w:rFonts w:hint="default" w:ascii="Times New Roman" w:hAnsi="Times New Roman" w:eastAsia="黑体" w:cs="Times New Roman"/>
          <w:b/>
          <w:bCs/>
          <w:color w:val="auto"/>
          <w:sz w:val="21"/>
          <w:szCs w:val="21"/>
          <w:highlight w:val="none"/>
        </w:rPr>
        <w:t>.5-2  国内主要化工事故原因统计结果（引自《全国化工事故案例集》）</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40"/>
        <w:gridCol w:w="3120"/>
        <w:gridCol w:w="2130"/>
        <w:gridCol w:w="2131"/>
      </w:tblGrid>
      <w:tr w14:paraId="14A7F7D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05B9BE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831" w:type="pct"/>
            <w:noWrap w:val="0"/>
            <w:vAlign w:val="center"/>
          </w:tcPr>
          <w:p w14:paraId="5F49710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主要事故原因</w:t>
            </w:r>
          </w:p>
        </w:tc>
        <w:tc>
          <w:tcPr>
            <w:tcW w:w="1250" w:type="pct"/>
            <w:noWrap w:val="0"/>
            <w:vAlign w:val="center"/>
          </w:tcPr>
          <w:p w14:paraId="159D1E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出现次数</w:t>
            </w:r>
          </w:p>
        </w:tc>
        <w:tc>
          <w:tcPr>
            <w:tcW w:w="1250" w:type="pct"/>
            <w:noWrap w:val="0"/>
            <w:vAlign w:val="center"/>
          </w:tcPr>
          <w:p w14:paraId="44A867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所占百分比（%）</w:t>
            </w:r>
          </w:p>
        </w:tc>
      </w:tr>
      <w:tr w14:paraId="05246AA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300A03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831" w:type="pct"/>
            <w:noWrap w:val="0"/>
            <w:vAlign w:val="center"/>
          </w:tcPr>
          <w:p w14:paraId="1303DAC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违反操作规程</w:t>
            </w:r>
          </w:p>
        </w:tc>
        <w:tc>
          <w:tcPr>
            <w:tcW w:w="1250" w:type="pct"/>
            <w:noWrap w:val="0"/>
            <w:vAlign w:val="center"/>
          </w:tcPr>
          <w:p w14:paraId="2CACE0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60</w:t>
            </w:r>
          </w:p>
        </w:tc>
        <w:tc>
          <w:tcPr>
            <w:tcW w:w="1250" w:type="pct"/>
            <w:noWrap w:val="0"/>
            <w:vAlign w:val="center"/>
          </w:tcPr>
          <w:p w14:paraId="0B398C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51.7</w:t>
            </w:r>
          </w:p>
        </w:tc>
      </w:tr>
      <w:tr w14:paraId="7B7E98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7FFCA5E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831" w:type="pct"/>
            <w:noWrap w:val="0"/>
            <w:vAlign w:val="center"/>
          </w:tcPr>
          <w:p w14:paraId="0093955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不懂技术操作</w:t>
            </w:r>
          </w:p>
        </w:tc>
        <w:tc>
          <w:tcPr>
            <w:tcW w:w="1250" w:type="pct"/>
            <w:noWrap w:val="0"/>
            <w:vAlign w:val="center"/>
          </w:tcPr>
          <w:p w14:paraId="2472388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w:t>
            </w:r>
          </w:p>
        </w:tc>
        <w:tc>
          <w:tcPr>
            <w:tcW w:w="1250" w:type="pct"/>
            <w:noWrap w:val="0"/>
            <w:vAlign w:val="center"/>
          </w:tcPr>
          <w:p w14:paraId="2525DC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6.0</w:t>
            </w:r>
          </w:p>
        </w:tc>
      </w:tr>
      <w:tr w14:paraId="1BF0CE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2C70C48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3</w:t>
            </w:r>
          </w:p>
        </w:tc>
        <w:tc>
          <w:tcPr>
            <w:tcW w:w="1831" w:type="pct"/>
            <w:noWrap w:val="0"/>
            <w:vAlign w:val="center"/>
          </w:tcPr>
          <w:p w14:paraId="42D781E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违反劳动纪律</w:t>
            </w:r>
          </w:p>
        </w:tc>
        <w:tc>
          <w:tcPr>
            <w:tcW w:w="1250" w:type="pct"/>
            <w:noWrap w:val="0"/>
            <w:vAlign w:val="center"/>
          </w:tcPr>
          <w:p w14:paraId="59CE2F3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1250" w:type="pct"/>
            <w:noWrap w:val="0"/>
            <w:vAlign w:val="center"/>
          </w:tcPr>
          <w:p w14:paraId="5CA3B4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4.3</w:t>
            </w:r>
          </w:p>
        </w:tc>
      </w:tr>
      <w:tr w14:paraId="5597C9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5925B1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4</w:t>
            </w:r>
          </w:p>
        </w:tc>
        <w:tc>
          <w:tcPr>
            <w:tcW w:w="1831" w:type="pct"/>
            <w:noWrap w:val="0"/>
            <w:vAlign w:val="center"/>
          </w:tcPr>
          <w:p w14:paraId="324371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指挥失误</w:t>
            </w:r>
          </w:p>
        </w:tc>
        <w:tc>
          <w:tcPr>
            <w:tcW w:w="1250" w:type="pct"/>
            <w:noWrap w:val="0"/>
            <w:vAlign w:val="center"/>
          </w:tcPr>
          <w:p w14:paraId="620F83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250" w:type="pct"/>
            <w:noWrap w:val="0"/>
            <w:vAlign w:val="center"/>
          </w:tcPr>
          <w:p w14:paraId="0D100E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1.7</w:t>
            </w:r>
          </w:p>
        </w:tc>
      </w:tr>
      <w:tr w14:paraId="7FB8E05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08C8C78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5</w:t>
            </w:r>
          </w:p>
        </w:tc>
        <w:tc>
          <w:tcPr>
            <w:tcW w:w="1831" w:type="pct"/>
            <w:noWrap w:val="0"/>
            <w:vAlign w:val="center"/>
          </w:tcPr>
          <w:p w14:paraId="1756033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缺乏现场检查</w:t>
            </w:r>
          </w:p>
        </w:tc>
        <w:tc>
          <w:tcPr>
            <w:tcW w:w="1250" w:type="pct"/>
            <w:noWrap w:val="0"/>
            <w:vAlign w:val="center"/>
          </w:tcPr>
          <w:p w14:paraId="082E963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250" w:type="pct"/>
            <w:noWrap w:val="0"/>
            <w:vAlign w:val="center"/>
          </w:tcPr>
          <w:p w14:paraId="5615DA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1.7</w:t>
            </w:r>
          </w:p>
        </w:tc>
      </w:tr>
      <w:tr w14:paraId="5378581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53E7C84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6</w:t>
            </w:r>
          </w:p>
        </w:tc>
        <w:tc>
          <w:tcPr>
            <w:tcW w:w="1831" w:type="pct"/>
            <w:noWrap w:val="0"/>
            <w:vAlign w:val="center"/>
          </w:tcPr>
          <w:p w14:paraId="5BC057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个人防护用具缺陷</w:t>
            </w:r>
          </w:p>
        </w:tc>
        <w:tc>
          <w:tcPr>
            <w:tcW w:w="1250" w:type="pct"/>
            <w:noWrap w:val="0"/>
            <w:vAlign w:val="center"/>
          </w:tcPr>
          <w:p w14:paraId="6037E4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250" w:type="pct"/>
            <w:noWrap w:val="0"/>
            <w:vAlign w:val="center"/>
          </w:tcPr>
          <w:p w14:paraId="7828B73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0.9</w:t>
            </w:r>
          </w:p>
        </w:tc>
      </w:tr>
      <w:tr w14:paraId="2535BAA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7FAF8FE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w:t>
            </w:r>
          </w:p>
        </w:tc>
        <w:tc>
          <w:tcPr>
            <w:tcW w:w="1831" w:type="pct"/>
            <w:noWrap w:val="0"/>
            <w:vAlign w:val="center"/>
          </w:tcPr>
          <w:p w14:paraId="43975CB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设备缺陷</w:t>
            </w:r>
          </w:p>
        </w:tc>
        <w:tc>
          <w:tcPr>
            <w:tcW w:w="1250" w:type="pct"/>
            <w:noWrap w:val="0"/>
            <w:vAlign w:val="center"/>
          </w:tcPr>
          <w:p w14:paraId="1569E4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25</w:t>
            </w:r>
          </w:p>
        </w:tc>
        <w:tc>
          <w:tcPr>
            <w:tcW w:w="1250" w:type="pct"/>
            <w:noWrap w:val="0"/>
            <w:vAlign w:val="center"/>
          </w:tcPr>
          <w:p w14:paraId="5FA0D2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21.6</w:t>
            </w:r>
          </w:p>
        </w:tc>
      </w:tr>
      <w:tr w14:paraId="759E8A8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5209951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8</w:t>
            </w:r>
          </w:p>
        </w:tc>
        <w:tc>
          <w:tcPr>
            <w:tcW w:w="1831" w:type="pct"/>
            <w:noWrap w:val="0"/>
            <w:vAlign w:val="center"/>
          </w:tcPr>
          <w:p w14:paraId="7582A1A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个人防护用品缺乏</w:t>
            </w:r>
          </w:p>
        </w:tc>
        <w:tc>
          <w:tcPr>
            <w:tcW w:w="1250" w:type="pct"/>
            <w:noWrap w:val="0"/>
            <w:vAlign w:val="center"/>
          </w:tcPr>
          <w:p w14:paraId="505ECBA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w:t>
            </w:r>
          </w:p>
        </w:tc>
        <w:tc>
          <w:tcPr>
            <w:tcW w:w="1250" w:type="pct"/>
            <w:noWrap w:val="0"/>
            <w:vAlign w:val="center"/>
          </w:tcPr>
          <w:p w14:paraId="27DF630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7.8</w:t>
            </w:r>
          </w:p>
        </w:tc>
      </w:tr>
      <w:tr w14:paraId="5665FA1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60668E2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9</w:t>
            </w:r>
          </w:p>
        </w:tc>
        <w:tc>
          <w:tcPr>
            <w:tcW w:w="1831" w:type="pct"/>
            <w:noWrap w:val="0"/>
            <w:vAlign w:val="center"/>
          </w:tcPr>
          <w:p w14:paraId="6CDBCA2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设计缺陷</w:t>
            </w:r>
          </w:p>
        </w:tc>
        <w:tc>
          <w:tcPr>
            <w:tcW w:w="1250" w:type="pct"/>
            <w:noWrap w:val="0"/>
            <w:vAlign w:val="center"/>
          </w:tcPr>
          <w:p w14:paraId="7F3B9EC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250" w:type="pct"/>
            <w:noWrap w:val="0"/>
            <w:vAlign w:val="center"/>
          </w:tcPr>
          <w:p w14:paraId="0C33190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1.7</w:t>
            </w:r>
          </w:p>
        </w:tc>
      </w:tr>
      <w:tr w14:paraId="2A7157B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55CFCB6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w:t>
            </w:r>
          </w:p>
        </w:tc>
        <w:tc>
          <w:tcPr>
            <w:tcW w:w="1831" w:type="pct"/>
            <w:noWrap w:val="0"/>
            <w:vAlign w:val="center"/>
          </w:tcPr>
          <w:p w14:paraId="454D5E3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原料质量控制不严</w:t>
            </w:r>
          </w:p>
        </w:tc>
        <w:tc>
          <w:tcPr>
            <w:tcW w:w="1250" w:type="pct"/>
            <w:noWrap w:val="0"/>
            <w:vAlign w:val="center"/>
          </w:tcPr>
          <w:p w14:paraId="4F068F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250" w:type="pct"/>
            <w:noWrap w:val="0"/>
            <w:vAlign w:val="center"/>
          </w:tcPr>
          <w:p w14:paraId="141639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0.9</w:t>
            </w:r>
          </w:p>
        </w:tc>
      </w:tr>
      <w:tr w14:paraId="2DFC98C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304D2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w:t>
            </w:r>
          </w:p>
        </w:tc>
        <w:tc>
          <w:tcPr>
            <w:tcW w:w="1831" w:type="pct"/>
            <w:noWrap w:val="0"/>
            <w:vAlign w:val="center"/>
          </w:tcPr>
          <w:p w14:paraId="7897B7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操作失灵</w:t>
            </w:r>
          </w:p>
        </w:tc>
        <w:tc>
          <w:tcPr>
            <w:tcW w:w="1250" w:type="pct"/>
            <w:noWrap w:val="0"/>
            <w:vAlign w:val="center"/>
          </w:tcPr>
          <w:p w14:paraId="2CB641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250" w:type="pct"/>
            <w:noWrap w:val="0"/>
            <w:vAlign w:val="center"/>
          </w:tcPr>
          <w:p w14:paraId="1FC042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0.9</w:t>
            </w:r>
          </w:p>
        </w:tc>
      </w:tr>
      <w:tr w14:paraId="50F689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1DF20C8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12</w:t>
            </w:r>
          </w:p>
        </w:tc>
        <w:tc>
          <w:tcPr>
            <w:tcW w:w="1831" w:type="pct"/>
            <w:noWrap w:val="0"/>
            <w:vAlign w:val="center"/>
          </w:tcPr>
          <w:p w14:paraId="65497F5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没有安全规程</w:t>
            </w:r>
          </w:p>
        </w:tc>
        <w:tc>
          <w:tcPr>
            <w:tcW w:w="1250" w:type="pct"/>
            <w:noWrap w:val="0"/>
            <w:vAlign w:val="center"/>
          </w:tcPr>
          <w:p w14:paraId="1A886F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250" w:type="pct"/>
            <w:noWrap w:val="0"/>
            <w:vAlign w:val="center"/>
          </w:tcPr>
          <w:p w14:paraId="0DA3B2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0.9</w:t>
            </w:r>
          </w:p>
        </w:tc>
      </w:tr>
      <w:tr w14:paraId="0A433D2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669" w:type="pct"/>
            <w:noWrap w:val="0"/>
            <w:vAlign w:val="center"/>
          </w:tcPr>
          <w:p w14:paraId="56A3367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13</w:t>
            </w:r>
          </w:p>
        </w:tc>
        <w:tc>
          <w:tcPr>
            <w:tcW w:w="1831" w:type="pct"/>
            <w:noWrap w:val="0"/>
            <w:vAlign w:val="center"/>
          </w:tcPr>
          <w:p w14:paraId="2EBBAF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合计</w:t>
            </w:r>
          </w:p>
        </w:tc>
        <w:tc>
          <w:tcPr>
            <w:tcW w:w="1250" w:type="pct"/>
            <w:noWrap w:val="0"/>
            <w:vAlign w:val="center"/>
          </w:tcPr>
          <w:p w14:paraId="410C47E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116</w:t>
            </w:r>
          </w:p>
        </w:tc>
        <w:tc>
          <w:tcPr>
            <w:tcW w:w="1250" w:type="pct"/>
            <w:noWrap w:val="0"/>
            <w:vAlign w:val="center"/>
          </w:tcPr>
          <w:p w14:paraId="57EF5B0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100</w:t>
            </w:r>
          </w:p>
        </w:tc>
      </w:tr>
    </w:tbl>
    <w:p w14:paraId="4E18D7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由表</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.5-2可见，由于违反操作规程、违反劳动纪律、不懂技术操作等人为因素发生的事故最多，占65%以上，因设备缺陷、设计缺陷等引起事故次数约占23.3%。</w:t>
      </w:r>
    </w:p>
    <w:p w14:paraId="6E3F3ECC">
      <w:pPr>
        <w:keepNext/>
        <w:keepLines/>
        <w:pageBreakBefore w:val="0"/>
        <w:widowControl w:val="0"/>
        <w:kinsoku/>
        <w:wordWrap/>
        <w:overflowPunct/>
        <w:topLinePunct w:val="0"/>
        <w:autoSpaceDE/>
        <w:autoSpaceDN/>
        <w:bidi w:val="0"/>
        <w:spacing w:line="360" w:lineRule="auto"/>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ascii="Times New Roman" w:hAnsi="Times New Roman"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.5.7物质危险性识别</w:t>
      </w:r>
    </w:p>
    <w:p w14:paraId="54572A88">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Cs w:val="22"/>
          <w:highlight w:val="none"/>
          <w:lang w:val="zh-CN"/>
        </w:rPr>
      </w:pPr>
      <w:r>
        <w:rPr>
          <w:rFonts w:hint="default" w:ascii="Times New Roman" w:hAnsi="Times New Roman" w:cs="Times New Roman"/>
          <w:color w:val="auto"/>
          <w:sz w:val="24"/>
          <w:szCs w:val="24"/>
          <w:highlight w:val="none"/>
          <w:lang w:val="zh-CN"/>
        </w:rPr>
        <w:t>物质危险性标准见表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zh-CN"/>
        </w:rPr>
        <w:t>.5-3。</w:t>
      </w:r>
    </w:p>
    <w:p w14:paraId="795BD7DB">
      <w:pPr>
        <w:adjustRightInd w:val="0"/>
        <w:snapToGrid w:val="0"/>
        <w:ind w:firstLine="0" w:firstLineChars="0"/>
        <w:jc w:val="center"/>
        <w:rPr>
          <w:rFonts w:hint="default" w:ascii="Times New Roman" w:hAnsi="Times New Roman" w:eastAsia="黑体" w:cs="Times New Roman"/>
          <w:color w:val="auto"/>
          <w:sz w:val="21"/>
          <w:szCs w:val="21"/>
          <w:highlight w:val="none"/>
          <w:lang w:val="zh-CN"/>
        </w:rPr>
      </w:pPr>
      <w:r>
        <w:rPr>
          <w:rFonts w:hint="default" w:ascii="Times New Roman" w:hAnsi="Times New Roman" w:eastAsia="黑体" w:cs="Times New Roman"/>
          <w:b/>
          <w:color w:val="auto"/>
          <w:sz w:val="21"/>
          <w:szCs w:val="21"/>
          <w:highlight w:val="none"/>
          <w:lang w:val="zh-CN"/>
        </w:rPr>
        <w:t>表</w:t>
      </w:r>
      <w:r>
        <w:rPr>
          <w:rFonts w:hint="eastAsia"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lang w:val="zh-CN"/>
        </w:rPr>
        <w:t>.5</w:t>
      </w:r>
      <w:r>
        <w:rPr>
          <w:rFonts w:hint="default" w:ascii="Times New Roman" w:hAnsi="Times New Roman" w:eastAsia="黑体" w:cs="Times New Roman"/>
          <w:b/>
          <w:color w:val="auto"/>
          <w:sz w:val="21"/>
          <w:szCs w:val="21"/>
          <w:highlight w:val="none"/>
          <w:lang w:val="zh-CN"/>
        </w:rPr>
        <w:noBreakHyphen/>
      </w:r>
      <w:r>
        <w:rPr>
          <w:rFonts w:hint="default" w:ascii="Times New Roman" w:hAnsi="Times New Roman" w:eastAsia="黑体" w:cs="Times New Roman"/>
          <w:b/>
          <w:color w:val="auto"/>
          <w:sz w:val="21"/>
          <w:szCs w:val="21"/>
          <w:highlight w:val="none"/>
          <w:lang w:val="zh-CN"/>
        </w:rPr>
        <w:t>3  物质危险性标准</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46"/>
        <w:gridCol w:w="542"/>
        <w:gridCol w:w="2413"/>
        <w:gridCol w:w="2413"/>
        <w:gridCol w:w="2699"/>
      </w:tblGrid>
      <w:tr w14:paraId="15AF42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 w:type="pct"/>
            <w:noWrap w:val="0"/>
            <w:tcMar>
              <w:left w:w="0" w:type="dxa"/>
              <w:right w:w="0" w:type="dxa"/>
            </w:tcMar>
            <w:vAlign w:val="center"/>
          </w:tcPr>
          <w:p w14:paraId="2D5F626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物质</w:t>
            </w:r>
          </w:p>
          <w:p w14:paraId="6A14F3B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类别</w:t>
            </w:r>
          </w:p>
        </w:tc>
        <w:tc>
          <w:tcPr>
            <w:tcW w:w="322" w:type="pct"/>
            <w:noWrap w:val="0"/>
            <w:vAlign w:val="center"/>
          </w:tcPr>
          <w:p w14:paraId="2166112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等级</w:t>
            </w:r>
          </w:p>
        </w:tc>
        <w:tc>
          <w:tcPr>
            <w:tcW w:w="1434" w:type="pct"/>
            <w:noWrap w:val="0"/>
            <w:vAlign w:val="center"/>
          </w:tcPr>
          <w:p w14:paraId="05B8226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LD</w:t>
            </w:r>
            <w:r>
              <w:rPr>
                <w:rFonts w:hint="default" w:ascii="Times New Roman" w:hAnsi="Times New Roman" w:cs="Times New Roman"/>
                <w:b/>
                <w:color w:val="auto"/>
                <w:sz w:val="21"/>
                <w:szCs w:val="22"/>
                <w:highlight w:val="none"/>
                <w:vertAlign w:val="subscript"/>
                <w:lang w:val="zh-CN"/>
              </w:rPr>
              <w:t>50</w:t>
            </w:r>
            <w:r>
              <w:rPr>
                <w:rFonts w:hint="default" w:ascii="Times New Roman" w:hAnsi="Times New Roman" w:cs="Times New Roman"/>
                <w:b/>
                <w:color w:val="auto"/>
                <w:sz w:val="21"/>
                <w:szCs w:val="22"/>
                <w:highlight w:val="none"/>
                <w:lang w:val="zh-CN"/>
              </w:rPr>
              <w:t>（大鼠经口）mg/kg</w:t>
            </w:r>
          </w:p>
        </w:tc>
        <w:tc>
          <w:tcPr>
            <w:tcW w:w="1434" w:type="pct"/>
            <w:noWrap w:val="0"/>
            <w:vAlign w:val="center"/>
          </w:tcPr>
          <w:p w14:paraId="6977EEB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LD</w:t>
            </w:r>
            <w:r>
              <w:rPr>
                <w:rFonts w:hint="default" w:ascii="Times New Roman" w:hAnsi="Times New Roman" w:cs="Times New Roman"/>
                <w:b/>
                <w:color w:val="auto"/>
                <w:sz w:val="21"/>
                <w:szCs w:val="22"/>
                <w:highlight w:val="none"/>
                <w:vertAlign w:val="subscript"/>
                <w:lang w:val="zh-CN"/>
              </w:rPr>
              <w:t>50</w:t>
            </w:r>
            <w:r>
              <w:rPr>
                <w:rFonts w:hint="default" w:ascii="Times New Roman" w:hAnsi="Times New Roman" w:cs="Times New Roman"/>
                <w:b/>
                <w:color w:val="auto"/>
                <w:sz w:val="21"/>
                <w:szCs w:val="22"/>
                <w:highlight w:val="none"/>
                <w:lang w:val="zh-CN"/>
              </w:rPr>
              <w:t>（大鼠经皮）mg/kg</w:t>
            </w:r>
          </w:p>
        </w:tc>
        <w:tc>
          <w:tcPr>
            <w:tcW w:w="1603" w:type="pct"/>
            <w:noWrap w:val="0"/>
            <w:vAlign w:val="center"/>
          </w:tcPr>
          <w:p w14:paraId="79D06DD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LC</w:t>
            </w:r>
            <w:r>
              <w:rPr>
                <w:rFonts w:hint="default" w:ascii="Times New Roman" w:hAnsi="Times New Roman" w:cs="Times New Roman"/>
                <w:b/>
                <w:color w:val="auto"/>
                <w:sz w:val="21"/>
                <w:szCs w:val="22"/>
                <w:highlight w:val="none"/>
                <w:vertAlign w:val="subscript"/>
                <w:lang w:val="zh-CN"/>
              </w:rPr>
              <w:t>50</w:t>
            </w:r>
            <w:r>
              <w:rPr>
                <w:rFonts w:hint="default" w:ascii="Times New Roman" w:hAnsi="Times New Roman" w:cs="Times New Roman"/>
                <w:b/>
                <w:color w:val="auto"/>
                <w:sz w:val="21"/>
                <w:szCs w:val="22"/>
                <w:highlight w:val="none"/>
                <w:lang w:val="zh-CN"/>
              </w:rPr>
              <w:t>（小鼠吸入，4h）mg/L</w:t>
            </w:r>
          </w:p>
        </w:tc>
      </w:tr>
      <w:tr w14:paraId="16D7E5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 w:type="pct"/>
            <w:vMerge w:val="restart"/>
            <w:noWrap w:val="0"/>
            <w:tcMar>
              <w:left w:w="0" w:type="dxa"/>
              <w:right w:w="0" w:type="dxa"/>
            </w:tcMar>
            <w:vAlign w:val="center"/>
          </w:tcPr>
          <w:p w14:paraId="24DD77D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有</w:t>
            </w:r>
          </w:p>
          <w:p w14:paraId="0DCD8DC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毒</w:t>
            </w:r>
          </w:p>
          <w:p w14:paraId="4EE1DE9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物</w:t>
            </w:r>
          </w:p>
          <w:p w14:paraId="69B6960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质</w:t>
            </w:r>
          </w:p>
        </w:tc>
        <w:tc>
          <w:tcPr>
            <w:tcW w:w="322" w:type="pct"/>
            <w:noWrap w:val="0"/>
            <w:vAlign w:val="center"/>
          </w:tcPr>
          <w:p w14:paraId="26EC684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w:t>
            </w:r>
          </w:p>
        </w:tc>
        <w:tc>
          <w:tcPr>
            <w:tcW w:w="1434" w:type="pct"/>
            <w:noWrap w:val="0"/>
            <w:vAlign w:val="center"/>
          </w:tcPr>
          <w:p w14:paraId="1F69D7A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＜5</w:t>
            </w:r>
          </w:p>
        </w:tc>
        <w:tc>
          <w:tcPr>
            <w:tcW w:w="1434" w:type="pct"/>
            <w:noWrap w:val="0"/>
            <w:vAlign w:val="center"/>
          </w:tcPr>
          <w:p w14:paraId="088450C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w:t>
            </w:r>
          </w:p>
        </w:tc>
        <w:tc>
          <w:tcPr>
            <w:tcW w:w="1603" w:type="pct"/>
            <w:noWrap w:val="0"/>
            <w:vAlign w:val="center"/>
          </w:tcPr>
          <w:p w14:paraId="6CF745F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＜0.01</w:t>
            </w:r>
          </w:p>
        </w:tc>
      </w:tr>
      <w:tr w14:paraId="64CC99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 w:type="pct"/>
            <w:vMerge w:val="continue"/>
            <w:noWrap w:val="0"/>
            <w:tcMar>
              <w:left w:w="0" w:type="dxa"/>
              <w:right w:w="0" w:type="dxa"/>
            </w:tcMar>
            <w:vAlign w:val="center"/>
          </w:tcPr>
          <w:p w14:paraId="58BE85A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p>
        </w:tc>
        <w:tc>
          <w:tcPr>
            <w:tcW w:w="322" w:type="pct"/>
            <w:noWrap w:val="0"/>
            <w:vAlign w:val="center"/>
          </w:tcPr>
          <w:p w14:paraId="11C7FCE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2</w:t>
            </w:r>
          </w:p>
        </w:tc>
        <w:tc>
          <w:tcPr>
            <w:tcW w:w="1434" w:type="pct"/>
            <w:noWrap w:val="0"/>
            <w:vAlign w:val="center"/>
          </w:tcPr>
          <w:p w14:paraId="16C01D3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5＜LD</w:t>
            </w:r>
            <w:r>
              <w:rPr>
                <w:rFonts w:hint="default" w:ascii="Times New Roman" w:hAnsi="Times New Roman" w:cs="Times New Roman"/>
                <w:color w:val="auto"/>
                <w:sz w:val="21"/>
                <w:szCs w:val="22"/>
                <w:highlight w:val="none"/>
                <w:vertAlign w:val="subscript"/>
                <w:lang w:val="zh-CN"/>
              </w:rPr>
              <w:t>50</w:t>
            </w:r>
            <w:r>
              <w:rPr>
                <w:rFonts w:hint="default" w:ascii="Times New Roman" w:hAnsi="Times New Roman" w:cs="Times New Roman"/>
                <w:color w:val="auto"/>
                <w:sz w:val="21"/>
                <w:szCs w:val="22"/>
                <w:highlight w:val="none"/>
                <w:lang w:val="zh-CN"/>
              </w:rPr>
              <w:t>＜25</w:t>
            </w:r>
          </w:p>
        </w:tc>
        <w:tc>
          <w:tcPr>
            <w:tcW w:w="1434" w:type="pct"/>
            <w:noWrap w:val="0"/>
            <w:vAlign w:val="center"/>
          </w:tcPr>
          <w:p w14:paraId="57CA855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10＜LD</w:t>
            </w:r>
            <w:r>
              <w:rPr>
                <w:rFonts w:hint="default" w:ascii="Times New Roman" w:hAnsi="Times New Roman" w:cs="Times New Roman"/>
                <w:color w:val="auto"/>
                <w:sz w:val="21"/>
                <w:szCs w:val="22"/>
                <w:highlight w:val="none"/>
                <w:vertAlign w:val="subscript"/>
                <w:lang w:val="zh-CN"/>
              </w:rPr>
              <w:t>50</w:t>
            </w:r>
            <w:r>
              <w:rPr>
                <w:rFonts w:hint="default" w:ascii="Times New Roman" w:hAnsi="Times New Roman" w:cs="Times New Roman"/>
                <w:color w:val="auto"/>
                <w:sz w:val="21"/>
                <w:szCs w:val="22"/>
                <w:highlight w:val="none"/>
                <w:lang w:val="zh-CN"/>
              </w:rPr>
              <w:t>＜50</w:t>
            </w:r>
          </w:p>
        </w:tc>
        <w:tc>
          <w:tcPr>
            <w:tcW w:w="1603" w:type="pct"/>
            <w:noWrap w:val="0"/>
            <w:vAlign w:val="center"/>
          </w:tcPr>
          <w:p w14:paraId="6889A7F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0.1＜LC</w:t>
            </w:r>
            <w:r>
              <w:rPr>
                <w:rFonts w:hint="default" w:ascii="Times New Roman" w:hAnsi="Times New Roman" w:cs="Times New Roman"/>
                <w:color w:val="auto"/>
                <w:sz w:val="21"/>
                <w:szCs w:val="22"/>
                <w:highlight w:val="none"/>
                <w:vertAlign w:val="subscript"/>
                <w:lang w:val="zh-CN"/>
              </w:rPr>
              <w:t>50</w:t>
            </w:r>
            <w:r>
              <w:rPr>
                <w:rFonts w:hint="default" w:ascii="Times New Roman" w:hAnsi="Times New Roman" w:cs="Times New Roman"/>
                <w:color w:val="auto"/>
                <w:sz w:val="21"/>
                <w:szCs w:val="22"/>
                <w:highlight w:val="none"/>
                <w:lang w:val="zh-CN"/>
              </w:rPr>
              <w:t>＜0.5</w:t>
            </w:r>
          </w:p>
        </w:tc>
      </w:tr>
      <w:tr w14:paraId="42BB36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 w:type="pct"/>
            <w:vMerge w:val="continue"/>
            <w:noWrap w:val="0"/>
            <w:tcMar>
              <w:left w:w="0" w:type="dxa"/>
              <w:right w:w="0" w:type="dxa"/>
            </w:tcMar>
            <w:vAlign w:val="center"/>
          </w:tcPr>
          <w:p w14:paraId="27CC102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p>
        </w:tc>
        <w:tc>
          <w:tcPr>
            <w:tcW w:w="322" w:type="pct"/>
            <w:noWrap w:val="0"/>
            <w:vAlign w:val="center"/>
          </w:tcPr>
          <w:p w14:paraId="455DA2D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3</w:t>
            </w:r>
          </w:p>
        </w:tc>
        <w:tc>
          <w:tcPr>
            <w:tcW w:w="1434" w:type="pct"/>
            <w:noWrap w:val="0"/>
            <w:vAlign w:val="center"/>
          </w:tcPr>
          <w:p w14:paraId="4FFA088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25＜LD</w:t>
            </w:r>
            <w:r>
              <w:rPr>
                <w:rFonts w:hint="default" w:ascii="Times New Roman" w:hAnsi="Times New Roman" w:cs="Times New Roman"/>
                <w:color w:val="auto"/>
                <w:sz w:val="21"/>
                <w:szCs w:val="22"/>
                <w:highlight w:val="none"/>
                <w:vertAlign w:val="subscript"/>
                <w:lang w:val="zh-CN"/>
              </w:rPr>
              <w:t>50</w:t>
            </w:r>
            <w:r>
              <w:rPr>
                <w:rFonts w:hint="default" w:ascii="Times New Roman" w:hAnsi="Times New Roman" w:cs="Times New Roman"/>
                <w:color w:val="auto"/>
                <w:sz w:val="21"/>
                <w:szCs w:val="22"/>
                <w:highlight w:val="none"/>
                <w:lang w:val="zh-CN"/>
              </w:rPr>
              <w:t>＜200</w:t>
            </w:r>
          </w:p>
        </w:tc>
        <w:tc>
          <w:tcPr>
            <w:tcW w:w="1434" w:type="pct"/>
            <w:noWrap w:val="0"/>
            <w:vAlign w:val="center"/>
          </w:tcPr>
          <w:p w14:paraId="5450556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50＜LD</w:t>
            </w:r>
            <w:r>
              <w:rPr>
                <w:rFonts w:hint="default" w:ascii="Times New Roman" w:hAnsi="Times New Roman" w:cs="Times New Roman"/>
                <w:color w:val="auto"/>
                <w:sz w:val="21"/>
                <w:szCs w:val="22"/>
                <w:highlight w:val="none"/>
                <w:vertAlign w:val="subscript"/>
                <w:lang w:val="zh-CN"/>
              </w:rPr>
              <w:t>50</w:t>
            </w:r>
            <w:r>
              <w:rPr>
                <w:rFonts w:hint="default" w:ascii="Times New Roman" w:hAnsi="Times New Roman" w:cs="Times New Roman"/>
                <w:color w:val="auto"/>
                <w:sz w:val="21"/>
                <w:szCs w:val="22"/>
                <w:highlight w:val="none"/>
                <w:lang w:val="zh-CN"/>
              </w:rPr>
              <w:t>＜400</w:t>
            </w:r>
          </w:p>
        </w:tc>
        <w:tc>
          <w:tcPr>
            <w:tcW w:w="1603" w:type="pct"/>
            <w:noWrap w:val="0"/>
            <w:vAlign w:val="center"/>
          </w:tcPr>
          <w:p w14:paraId="0193897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0.5＜LC</w:t>
            </w:r>
            <w:r>
              <w:rPr>
                <w:rFonts w:hint="default" w:ascii="Times New Roman" w:hAnsi="Times New Roman" w:cs="Times New Roman"/>
                <w:color w:val="auto"/>
                <w:sz w:val="21"/>
                <w:szCs w:val="22"/>
                <w:highlight w:val="none"/>
                <w:vertAlign w:val="subscript"/>
                <w:lang w:val="zh-CN"/>
              </w:rPr>
              <w:t>50</w:t>
            </w:r>
            <w:r>
              <w:rPr>
                <w:rFonts w:hint="default" w:ascii="Times New Roman" w:hAnsi="Times New Roman" w:cs="Times New Roman"/>
                <w:color w:val="auto"/>
                <w:sz w:val="21"/>
                <w:szCs w:val="22"/>
                <w:highlight w:val="none"/>
                <w:lang w:val="zh-CN"/>
              </w:rPr>
              <w:t>＜2</w:t>
            </w:r>
          </w:p>
        </w:tc>
      </w:tr>
      <w:tr w14:paraId="4C2CF2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 w:type="pct"/>
            <w:vMerge w:val="restart"/>
            <w:noWrap w:val="0"/>
            <w:tcMar>
              <w:left w:w="0" w:type="dxa"/>
              <w:right w:w="0" w:type="dxa"/>
            </w:tcMar>
            <w:vAlign w:val="center"/>
          </w:tcPr>
          <w:p w14:paraId="73E5A07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易</w:t>
            </w:r>
          </w:p>
          <w:p w14:paraId="2060899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燃</w:t>
            </w:r>
          </w:p>
          <w:p w14:paraId="5D8B76C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物</w:t>
            </w:r>
          </w:p>
          <w:p w14:paraId="248DC01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质</w:t>
            </w:r>
          </w:p>
        </w:tc>
        <w:tc>
          <w:tcPr>
            <w:tcW w:w="322" w:type="pct"/>
            <w:noWrap w:val="0"/>
            <w:vAlign w:val="center"/>
          </w:tcPr>
          <w:p w14:paraId="3A3AEAC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w:t>
            </w:r>
          </w:p>
        </w:tc>
        <w:tc>
          <w:tcPr>
            <w:tcW w:w="4472" w:type="pct"/>
            <w:gridSpan w:val="3"/>
            <w:noWrap w:val="0"/>
            <w:vAlign w:val="center"/>
          </w:tcPr>
          <w:p w14:paraId="02B7B90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可燃气体：在常压下以气态存在并与空气混合形成可燃混合物；其沸点（常压下）</w:t>
            </w:r>
          </w:p>
          <w:p w14:paraId="05B48FB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是20℃或20℃以下的物质</w:t>
            </w:r>
          </w:p>
        </w:tc>
      </w:tr>
      <w:tr w14:paraId="478A4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 w:type="pct"/>
            <w:vMerge w:val="continue"/>
            <w:noWrap w:val="0"/>
            <w:tcMar>
              <w:left w:w="0" w:type="dxa"/>
              <w:right w:w="0" w:type="dxa"/>
            </w:tcMar>
            <w:vAlign w:val="center"/>
          </w:tcPr>
          <w:p w14:paraId="11E4EE8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p>
        </w:tc>
        <w:tc>
          <w:tcPr>
            <w:tcW w:w="322" w:type="pct"/>
            <w:noWrap w:val="0"/>
            <w:vAlign w:val="center"/>
          </w:tcPr>
          <w:p w14:paraId="6F094F3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2</w:t>
            </w:r>
          </w:p>
        </w:tc>
        <w:tc>
          <w:tcPr>
            <w:tcW w:w="4472" w:type="pct"/>
            <w:gridSpan w:val="3"/>
            <w:noWrap w:val="0"/>
            <w:vAlign w:val="center"/>
          </w:tcPr>
          <w:p w14:paraId="0917DDF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易燃液体：闪点低于21℃，沸点高于20℃的物质</w:t>
            </w:r>
          </w:p>
        </w:tc>
      </w:tr>
      <w:tr w14:paraId="02D040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06" w:type="pct"/>
            <w:vMerge w:val="continue"/>
            <w:noWrap w:val="0"/>
            <w:tcMar>
              <w:left w:w="0" w:type="dxa"/>
              <w:right w:w="0" w:type="dxa"/>
            </w:tcMar>
            <w:vAlign w:val="center"/>
          </w:tcPr>
          <w:p w14:paraId="50AC16E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p>
        </w:tc>
        <w:tc>
          <w:tcPr>
            <w:tcW w:w="322" w:type="pct"/>
            <w:noWrap w:val="0"/>
            <w:vAlign w:val="center"/>
          </w:tcPr>
          <w:p w14:paraId="7764B44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3</w:t>
            </w:r>
          </w:p>
        </w:tc>
        <w:tc>
          <w:tcPr>
            <w:tcW w:w="4472" w:type="pct"/>
            <w:gridSpan w:val="3"/>
            <w:noWrap w:val="0"/>
            <w:vAlign w:val="center"/>
          </w:tcPr>
          <w:p w14:paraId="0793E8D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可燃液体：闪点低于55℃，压力下保持液态，在实际操作条件下（如高温高压）可以引起重大事故的物质</w:t>
            </w:r>
          </w:p>
        </w:tc>
      </w:tr>
      <w:tr w14:paraId="314A17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8" w:type="pct"/>
            <w:gridSpan w:val="2"/>
            <w:noWrap w:val="0"/>
            <w:tcMar>
              <w:left w:w="0" w:type="dxa"/>
              <w:right w:w="0" w:type="dxa"/>
            </w:tcMar>
            <w:vAlign w:val="center"/>
          </w:tcPr>
          <w:p w14:paraId="5A8AFD5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爆炸性物质</w:t>
            </w:r>
          </w:p>
        </w:tc>
        <w:tc>
          <w:tcPr>
            <w:tcW w:w="4472" w:type="pct"/>
            <w:gridSpan w:val="3"/>
            <w:noWrap w:val="0"/>
            <w:vAlign w:val="center"/>
          </w:tcPr>
          <w:p w14:paraId="2999A84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在火焰影响下可以爆炸，或者对冲击、摩擦比硝基苯更为敏感的物质</w:t>
            </w:r>
          </w:p>
        </w:tc>
      </w:tr>
    </w:tbl>
    <w:p w14:paraId="68CF647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注：① 有毒物质判定标准序号为1、2的物质，属于剧毒物质；符合有毒物质判定标准序号3的属于一般毒物。</w:t>
      </w:r>
    </w:p>
    <w:p w14:paraId="4D85BD8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cs="Times New Roman"/>
          <w:color w:val="auto"/>
          <w:sz w:val="21"/>
          <w:szCs w:val="22"/>
          <w:highlight w:val="none"/>
        </w:rPr>
      </w:pPr>
      <w:r>
        <w:rPr>
          <w:rFonts w:hint="default" w:ascii="Times New Roman" w:hAnsi="Times New Roman" w:cs="Times New Roman"/>
          <w:color w:val="auto"/>
          <w:sz w:val="21"/>
          <w:szCs w:val="22"/>
          <w:highlight w:val="none"/>
        </w:rPr>
        <w:t>② 凡符合表中易燃物质和爆炸性物质标准的物质，均视为火灾、爆炸危险物质。</w:t>
      </w:r>
    </w:p>
    <w:p w14:paraId="5E4323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Cs w:val="22"/>
          <w:highlight w:val="none"/>
          <w:lang w:val="zh-CN"/>
        </w:rPr>
      </w:pPr>
      <w:r>
        <w:rPr>
          <w:rFonts w:hint="default" w:ascii="Times New Roman" w:hAnsi="Times New Roman" w:cs="Times New Roman"/>
          <w:color w:val="auto"/>
          <w:sz w:val="24"/>
          <w:szCs w:val="24"/>
          <w:highlight w:val="none"/>
          <w:lang w:val="zh-CN"/>
        </w:rPr>
        <w:t>根据《职业性接触毒物危害程度分级》（GB230-2010）中规定：按职业接触毒物危害程度分为极度危害、高度危害、中度危害和轻度危害四级，如下表所示。</w:t>
      </w:r>
    </w:p>
    <w:p w14:paraId="545DA669">
      <w:pPr>
        <w:adjustRightInd w:val="0"/>
        <w:snapToGrid w:val="0"/>
        <w:ind w:firstLine="0" w:firstLineChars="0"/>
        <w:jc w:val="center"/>
        <w:rPr>
          <w:rFonts w:hint="default" w:ascii="Times New Roman" w:hAnsi="Times New Roman" w:eastAsia="黑体" w:cs="Times New Roman"/>
          <w:b/>
          <w:color w:val="auto"/>
          <w:sz w:val="21"/>
          <w:szCs w:val="21"/>
          <w:highlight w:val="none"/>
          <w:lang w:val="zh-CN"/>
        </w:rPr>
      </w:pPr>
      <w:r>
        <w:rPr>
          <w:rFonts w:hint="default" w:ascii="Times New Roman" w:hAnsi="Times New Roman" w:eastAsia="黑体" w:cs="Times New Roman"/>
          <w:b/>
          <w:color w:val="auto"/>
          <w:sz w:val="21"/>
          <w:szCs w:val="21"/>
          <w:highlight w:val="none"/>
          <w:lang w:val="zh-CN"/>
        </w:rPr>
        <w:t>表</w:t>
      </w:r>
      <w:r>
        <w:rPr>
          <w:rFonts w:hint="eastAsia" w:ascii="Times New Roman" w:hAnsi="Times New Roman" w:eastAsia="黑体" w:cs="Times New Roman"/>
          <w:b/>
          <w:color w:val="auto"/>
          <w:sz w:val="21"/>
          <w:szCs w:val="21"/>
          <w:highlight w:val="none"/>
          <w:lang w:val="en-US" w:eastAsia="zh-CN"/>
        </w:rPr>
        <w:t>1</w:t>
      </w:r>
      <w:r>
        <w:rPr>
          <w:rFonts w:hint="default" w:ascii="Times New Roman" w:hAnsi="Times New Roman" w:eastAsia="黑体" w:cs="Times New Roman"/>
          <w:b/>
          <w:color w:val="auto"/>
          <w:sz w:val="21"/>
          <w:szCs w:val="21"/>
          <w:highlight w:val="none"/>
          <w:lang w:val="zh-CN"/>
        </w:rPr>
        <w:t>.5</w:t>
      </w:r>
      <w:r>
        <w:rPr>
          <w:rFonts w:hint="default" w:ascii="Times New Roman" w:hAnsi="Times New Roman" w:eastAsia="黑体" w:cs="Times New Roman"/>
          <w:b/>
          <w:color w:val="auto"/>
          <w:sz w:val="21"/>
          <w:szCs w:val="21"/>
          <w:highlight w:val="none"/>
          <w:lang w:val="zh-CN"/>
        </w:rPr>
        <w:noBreakHyphen/>
      </w:r>
      <w:r>
        <w:rPr>
          <w:rFonts w:hint="default" w:ascii="Times New Roman" w:hAnsi="Times New Roman" w:eastAsia="黑体" w:cs="Times New Roman"/>
          <w:b/>
          <w:color w:val="auto"/>
          <w:sz w:val="21"/>
          <w:szCs w:val="21"/>
          <w:highlight w:val="none"/>
          <w:lang w:val="zh-CN"/>
        </w:rPr>
        <w:t>4  毒物危害程度分级</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1706"/>
        <w:gridCol w:w="1467"/>
        <w:gridCol w:w="1534"/>
        <w:gridCol w:w="1600"/>
        <w:gridCol w:w="1611"/>
      </w:tblGrid>
      <w:tr w14:paraId="09F175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55" w:type="pct"/>
            <w:gridSpan w:val="2"/>
            <w:vMerge w:val="restart"/>
            <w:noWrap w:val="0"/>
            <w:vAlign w:val="center"/>
          </w:tcPr>
          <w:p w14:paraId="2D14344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指标</w:t>
            </w:r>
          </w:p>
        </w:tc>
        <w:tc>
          <w:tcPr>
            <w:tcW w:w="3645" w:type="pct"/>
            <w:gridSpan w:val="4"/>
            <w:noWrap w:val="0"/>
            <w:vAlign w:val="center"/>
          </w:tcPr>
          <w:p w14:paraId="344BB72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分级</w:t>
            </w:r>
          </w:p>
        </w:tc>
      </w:tr>
      <w:tr w14:paraId="0DE093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55" w:type="pct"/>
            <w:gridSpan w:val="2"/>
            <w:vMerge w:val="continue"/>
            <w:noWrap w:val="0"/>
            <w:vAlign w:val="center"/>
          </w:tcPr>
          <w:p w14:paraId="127E00C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p>
        </w:tc>
        <w:tc>
          <w:tcPr>
            <w:tcW w:w="861" w:type="pct"/>
            <w:noWrap w:val="0"/>
            <w:vAlign w:val="center"/>
          </w:tcPr>
          <w:p w14:paraId="65FD140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I（极度危害）</w:t>
            </w:r>
          </w:p>
        </w:tc>
        <w:tc>
          <w:tcPr>
            <w:tcW w:w="900" w:type="pct"/>
            <w:noWrap w:val="0"/>
            <w:vAlign w:val="center"/>
          </w:tcPr>
          <w:p w14:paraId="0AC125B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II（高度危害）</w:t>
            </w:r>
          </w:p>
        </w:tc>
        <w:tc>
          <w:tcPr>
            <w:tcW w:w="939" w:type="pct"/>
            <w:noWrap w:val="0"/>
            <w:vAlign w:val="center"/>
          </w:tcPr>
          <w:p w14:paraId="37641F9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III（中度危害）</w:t>
            </w:r>
          </w:p>
        </w:tc>
        <w:tc>
          <w:tcPr>
            <w:tcW w:w="945" w:type="pct"/>
            <w:noWrap w:val="0"/>
            <w:vAlign w:val="center"/>
          </w:tcPr>
          <w:p w14:paraId="116B74E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IV（轻度危害）</w:t>
            </w:r>
          </w:p>
        </w:tc>
      </w:tr>
      <w:tr w14:paraId="467D2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54" w:type="pct"/>
            <w:vMerge w:val="restart"/>
            <w:noWrap w:val="0"/>
            <w:vAlign w:val="center"/>
          </w:tcPr>
          <w:p w14:paraId="33937AA1">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危害</w:t>
            </w:r>
          </w:p>
          <w:p w14:paraId="4CEC308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中毒</w:t>
            </w:r>
          </w:p>
        </w:tc>
        <w:tc>
          <w:tcPr>
            <w:tcW w:w="1001" w:type="pct"/>
            <w:noWrap w:val="0"/>
            <w:vAlign w:val="center"/>
          </w:tcPr>
          <w:p w14:paraId="2554735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吸入LC</w:t>
            </w:r>
            <w:r>
              <w:rPr>
                <w:rFonts w:hint="default" w:ascii="Times New Roman" w:hAnsi="Times New Roman" w:cs="Times New Roman"/>
                <w:color w:val="auto"/>
                <w:sz w:val="21"/>
                <w:szCs w:val="22"/>
                <w:highlight w:val="none"/>
                <w:vertAlign w:val="subscript"/>
                <w:lang w:val="zh-CN"/>
              </w:rPr>
              <w:t>50</w:t>
            </w:r>
            <w:r>
              <w:rPr>
                <w:rFonts w:hint="eastAsia" w:cs="Times New Roman"/>
                <w:color w:val="auto"/>
                <w:sz w:val="21"/>
                <w:szCs w:val="22"/>
                <w:highlight w:val="none"/>
                <w:lang w:val="zh-CN"/>
              </w:rPr>
              <w:t>（</w:t>
            </w:r>
            <w:r>
              <w:rPr>
                <w:rFonts w:hint="default" w:ascii="Times New Roman" w:hAnsi="Times New Roman" w:cs="Times New Roman"/>
                <w:color w:val="auto"/>
                <w:sz w:val="21"/>
                <w:szCs w:val="22"/>
                <w:highlight w:val="none"/>
                <w:lang w:val="zh-CN"/>
              </w:rPr>
              <w:t>mg/m</w:t>
            </w:r>
            <w:r>
              <w:rPr>
                <w:rFonts w:hint="default" w:ascii="Times New Roman" w:hAnsi="Times New Roman" w:cs="Times New Roman"/>
                <w:color w:val="auto"/>
                <w:sz w:val="21"/>
                <w:szCs w:val="22"/>
                <w:highlight w:val="none"/>
                <w:vertAlign w:val="superscript"/>
                <w:lang w:val="zh-CN"/>
              </w:rPr>
              <w:t>3</w:t>
            </w:r>
            <w:r>
              <w:rPr>
                <w:rFonts w:hint="eastAsia" w:cs="Times New Roman"/>
                <w:color w:val="auto"/>
                <w:sz w:val="21"/>
                <w:szCs w:val="22"/>
                <w:highlight w:val="none"/>
                <w:lang w:val="zh-CN"/>
              </w:rPr>
              <w:t>）</w:t>
            </w:r>
          </w:p>
        </w:tc>
        <w:tc>
          <w:tcPr>
            <w:tcW w:w="861" w:type="pct"/>
            <w:noWrap w:val="0"/>
            <w:vAlign w:val="center"/>
          </w:tcPr>
          <w:p w14:paraId="0315266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&lt;200</w:t>
            </w:r>
          </w:p>
        </w:tc>
        <w:tc>
          <w:tcPr>
            <w:tcW w:w="900" w:type="pct"/>
            <w:noWrap w:val="0"/>
            <w:vAlign w:val="center"/>
          </w:tcPr>
          <w:p w14:paraId="7653464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200—</w:t>
            </w:r>
          </w:p>
        </w:tc>
        <w:tc>
          <w:tcPr>
            <w:tcW w:w="939" w:type="pct"/>
            <w:noWrap w:val="0"/>
            <w:vAlign w:val="center"/>
          </w:tcPr>
          <w:p w14:paraId="4BE0A62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2000—</w:t>
            </w:r>
          </w:p>
        </w:tc>
        <w:tc>
          <w:tcPr>
            <w:tcW w:w="945" w:type="pct"/>
            <w:noWrap w:val="0"/>
            <w:vAlign w:val="center"/>
          </w:tcPr>
          <w:p w14:paraId="3404C41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&gt;20000</w:t>
            </w:r>
          </w:p>
        </w:tc>
      </w:tr>
      <w:tr w14:paraId="50E111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54" w:type="pct"/>
            <w:vMerge w:val="continue"/>
            <w:noWrap w:val="0"/>
            <w:vAlign w:val="center"/>
          </w:tcPr>
          <w:p w14:paraId="1431CDA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p>
        </w:tc>
        <w:tc>
          <w:tcPr>
            <w:tcW w:w="1001" w:type="pct"/>
            <w:noWrap w:val="0"/>
            <w:vAlign w:val="center"/>
          </w:tcPr>
          <w:p w14:paraId="39798BC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经皮LD</w:t>
            </w:r>
            <w:r>
              <w:rPr>
                <w:rFonts w:hint="default" w:ascii="Times New Roman" w:hAnsi="Times New Roman" w:cs="Times New Roman"/>
                <w:color w:val="auto"/>
                <w:sz w:val="21"/>
                <w:szCs w:val="22"/>
                <w:highlight w:val="none"/>
                <w:vertAlign w:val="subscript"/>
                <w:lang w:val="zh-CN"/>
              </w:rPr>
              <w:t>50</w:t>
            </w:r>
            <w:r>
              <w:rPr>
                <w:rFonts w:hint="eastAsia" w:cs="Times New Roman"/>
                <w:color w:val="auto"/>
                <w:sz w:val="21"/>
                <w:szCs w:val="22"/>
                <w:highlight w:val="none"/>
                <w:lang w:val="zh-CN"/>
              </w:rPr>
              <w:t>（</w:t>
            </w:r>
            <w:r>
              <w:rPr>
                <w:rFonts w:hint="default" w:ascii="Times New Roman" w:hAnsi="Times New Roman" w:cs="Times New Roman"/>
                <w:color w:val="auto"/>
                <w:sz w:val="21"/>
                <w:szCs w:val="22"/>
                <w:highlight w:val="none"/>
                <w:lang w:val="zh-CN"/>
              </w:rPr>
              <w:t>mg/kg</w:t>
            </w:r>
            <w:r>
              <w:rPr>
                <w:rFonts w:hint="eastAsia" w:cs="Times New Roman"/>
                <w:color w:val="auto"/>
                <w:sz w:val="21"/>
                <w:szCs w:val="22"/>
                <w:highlight w:val="none"/>
                <w:lang w:val="zh-CN"/>
              </w:rPr>
              <w:t>）</w:t>
            </w:r>
          </w:p>
        </w:tc>
        <w:tc>
          <w:tcPr>
            <w:tcW w:w="861" w:type="pct"/>
            <w:noWrap w:val="0"/>
            <w:vAlign w:val="center"/>
          </w:tcPr>
          <w:p w14:paraId="1DED4B3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&lt;100</w:t>
            </w:r>
          </w:p>
        </w:tc>
        <w:tc>
          <w:tcPr>
            <w:tcW w:w="900" w:type="pct"/>
            <w:noWrap w:val="0"/>
            <w:vAlign w:val="center"/>
          </w:tcPr>
          <w:p w14:paraId="276A23F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100—</w:t>
            </w:r>
          </w:p>
        </w:tc>
        <w:tc>
          <w:tcPr>
            <w:tcW w:w="939" w:type="pct"/>
            <w:noWrap w:val="0"/>
            <w:vAlign w:val="center"/>
          </w:tcPr>
          <w:p w14:paraId="6BE3166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500—</w:t>
            </w:r>
          </w:p>
        </w:tc>
        <w:tc>
          <w:tcPr>
            <w:tcW w:w="945" w:type="pct"/>
            <w:noWrap w:val="0"/>
            <w:vAlign w:val="center"/>
          </w:tcPr>
          <w:p w14:paraId="1B6737B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&gt;2500</w:t>
            </w:r>
          </w:p>
        </w:tc>
      </w:tr>
      <w:tr w14:paraId="6AAFAD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354" w:type="pct"/>
            <w:vMerge w:val="continue"/>
            <w:noWrap w:val="0"/>
            <w:vAlign w:val="center"/>
          </w:tcPr>
          <w:p w14:paraId="50FC3E6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p>
        </w:tc>
        <w:tc>
          <w:tcPr>
            <w:tcW w:w="1001" w:type="pct"/>
            <w:noWrap w:val="0"/>
            <w:vAlign w:val="center"/>
          </w:tcPr>
          <w:p w14:paraId="64CC011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经口LD</w:t>
            </w:r>
            <w:r>
              <w:rPr>
                <w:rFonts w:hint="default" w:ascii="Times New Roman" w:hAnsi="Times New Roman" w:cs="Times New Roman"/>
                <w:color w:val="auto"/>
                <w:sz w:val="21"/>
                <w:szCs w:val="22"/>
                <w:highlight w:val="none"/>
                <w:vertAlign w:val="subscript"/>
                <w:lang w:val="zh-CN"/>
              </w:rPr>
              <w:t>50</w:t>
            </w:r>
            <w:r>
              <w:rPr>
                <w:rFonts w:hint="eastAsia" w:cs="Times New Roman"/>
                <w:color w:val="auto"/>
                <w:sz w:val="21"/>
                <w:szCs w:val="22"/>
                <w:highlight w:val="none"/>
                <w:lang w:val="zh-CN"/>
              </w:rPr>
              <w:t>（</w:t>
            </w:r>
            <w:r>
              <w:rPr>
                <w:rFonts w:hint="default" w:ascii="Times New Roman" w:hAnsi="Times New Roman" w:cs="Times New Roman"/>
                <w:color w:val="auto"/>
                <w:sz w:val="21"/>
                <w:szCs w:val="22"/>
                <w:highlight w:val="none"/>
                <w:lang w:val="zh-CN"/>
              </w:rPr>
              <w:t>mg/kg</w:t>
            </w:r>
            <w:r>
              <w:rPr>
                <w:rFonts w:hint="eastAsia" w:cs="Times New Roman"/>
                <w:color w:val="auto"/>
                <w:sz w:val="21"/>
                <w:szCs w:val="22"/>
                <w:highlight w:val="none"/>
                <w:lang w:val="zh-CN"/>
              </w:rPr>
              <w:t>）</w:t>
            </w:r>
          </w:p>
        </w:tc>
        <w:tc>
          <w:tcPr>
            <w:tcW w:w="861" w:type="pct"/>
            <w:noWrap w:val="0"/>
            <w:vAlign w:val="center"/>
          </w:tcPr>
          <w:p w14:paraId="1F3E2E9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&lt;25</w:t>
            </w:r>
          </w:p>
        </w:tc>
        <w:tc>
          <w:tcPr>
            <w:tcW w:w="900" w:type="pct"/>
            <w:noWrap w:val="0"/>
            <w:vAlign w:val="center"/>
          </w:tcPr>
          <w:p w14:paraId="40257A4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25—</w:t>
            </w:r>
          </w:p>
        </w:tc>
        <w:tc>
          <w:tcPr>
            <w:tcW w:w="939" w:type="pct"/>
            <w:noWrap w:val="0"/>
            <w:vAlign w:val="center"/>
          </w:tcPr>
          <w:p w14:paraId="793F390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500—</w:t>
            </w:r>
          </w:p>
        </w:tc>
        <w:tc>
          <w:tcPr>
            <w:tcW w:w="945" w:type="pct"/>
            <w:noWrap w:val="0"/>
            <w:vAlign w:val="center"/>
          </w:tcPr>
          <w:p w14:paraId="7898C1B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&gt;5000</w:t>
            </w:r>
          </w:p>
        </w:tc>
      </w:tr>
      <w:tr w14:paraId="22B56CD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355" w:type="pct"/>
            <w:gridSpan w:val="2"/>
            <w:noWrap w:val="0"/>
            <w:vAlign w:val="center"/>
          </w:tcPr>
          <w:p w14:paraId="016634B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致癌性</w:t>
            </w:r>
          </w:p>
        </w:tc>
        <w:tc>
          <w:tcPr>
            <w:tcW w:w="861" w:type="pct"/>
            <w:noWrap w:val="0"/>
            <w:vAlign w:val="center"/>
          </w:tcPr>
          <w:p w14:paraId="3D96B67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人体致癌物</w:t>
            </w:r>
          </w:p>
        </w:tc>
        <w:tc>
          <w:tcPr>
            <w:tcW w:w="900" w:type="pct"/>
            <w:noWrap w:val="0"/>
            <w:vAlign w:val="center"/>
          </w:tcPr>
          <w:p w14:paraId="6C157E0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可疑人体致癌</w:t>
            </w:r>
          </w:p>
        </w:tc>
        <w:tc>
          <w:tcPr>
            <w:tcW w:w="939" w:type="pct"/>
            <w:noWrap w:val="0"/>
            <w:vAlign w:val="center"/>
          </w:tcPr>
          <w:p w14:paraId="79B65DD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实验动物致癌</w:t>
            </w:r>
          </w:p>
        </w:tc>
        <w:tc>
          <w:tcPr>
            <w:tcW w:w="945" w:type="pct"/>
            <w:noWrap w:val="0"/>
            <w:vAlign w:val="center"/>
          </w:tcPr>
          <w:p w14:paraId="47B5FBA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无致癌性</w:t>
            </w:r>
          </w:p>
        </w:tc>
      </w:tr>
    </w:tbl>
    <w:p w14:paraId="2E1DC3E3">
      <w:pPr>
        <w:keepNext w:val="0"/>
        <w:keepLines w:val="0"/>
        <w:pageBreakBefore w:val="0"/>
        <w:widowControl w:val="0"/>
        <w:kinsoku/>
        <w:wordWrap/>
        <w:overflowPunct/>
        <w:topLinePunct w:val="0"/>
        <w:autoSpaceDE/>
        <w:autoSpaceDN/>
        <w:bidi w:val="0"/>
        <w:adjustRightInd/>
        <w:snapToGrid/>
        <w:spacing w:line="45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物质危险性识别，包括主要原辅材料、燃料、中间产品、副产品、最终产品、污染物、火灾和爆炸伴生/次生物等。</w:t>
      </w:r>
      <w:r>
        <w:rPr>
          <w:rFonts w:hint="default" w:ascii="Times New Roman" w:hAnsi="Times New Roman" w:cs="Times New Roman"/>
          <w:color w:val="auto"/>
          <w:sz w:val="24"/>
          <w:szCs w:val="24"/>
          <w:highlight w:val="none"/>
          <w:lang w:val="zh-CN"/>
        </w:rPr>
        <w:t>根据表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zh-CN"/>
        </w:rPr>
        <w:t>.5-3、表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zh-CN"/>
        </w:rPr>
        <w:t>.5-4识别出的危险物质其危害特性见表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zh-CN"/>
        </w:rPr>
        <w:t>.5-5。</w:t>
      </w:r>
    </w:p>
    <w:p w14:paraId="7B95CCEF">
      <w:pPr>
        <w:pStyle w:val="34"/>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eastAsia" w:ascii="Times New Roman" w:hAnsi="Times New Roman" w:cs="Times New Roman"/>
          <w:b/>
          <w:color w:val="auto"/>
          <w:highlight w:val="none"/>
          <w:lang w:val="en-US" w:eastAsia="zh-CN"/>
        </w:rPr>
        <w:t>1</w:t>
      </w:r>
      <w:r>
        <w:rPr>
          <w:rFonts w:hint="default" w:ascii="Times New Roman" w:hAnsi="Times New Roman" w:cs="Times New Roman"/>
          <w:b/>
          <w:color w:val="auto"/>
          <w:highlight w:val="none"/>
        </w:rPr>
        <w:t>.5-5  物质危险性识别一览表</w:t>
      </w:r>
    </w:p>
    <w:tbl>
      <w:tblPr>
        <w:tblStyle w:val="21"/>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966"/>
        <w:gridCol w:w="843"/>
        <w:gridCol w:w="1726"/>
        <w:gridCol w:w="1146"/>
        <w:gridCol w:w="1266"/>
        <w:gridCol w:w="1755"/>
      </w:tblGrid>
      <w:tr w14:paraId="3181E7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14:paraId="4F8619F5">
            <w:pPr>
              <w:pStyle w:val="35"/>
              <w:keepNext w:val="0"/>
              <w:keepLines w:val="0"/>
              <w:suppressLineNumbers w:val="0"/>
              <w:spacing w:before="0" w:beforeAutospacing="0" w:after="0" w:afterAutospacing="0"/>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化学品</w:t>
            </w:r>
          </w:p>
        </w:tc>
        <w:tc>
          <w:tcPr>
            <w:tcW w:w="966" w:type="dxa"/>
            <w:noWrap w:val="0"/>
            <w:vAlign w:val="center"/>
          </w:tcPr>
          <w:p w14:paraId="4CF81DC6">
            <w:pPr>
              <w:pStyle w:val="35"/>
              <w:keepNext w:val="0"/>
              <w:keepLines w:val="0"/>
              <w:suppressLineNumbers w:val="0"/>
              <w:spacing w:before="0" w:beforeAutospacing="0" w:after="0" w:afterAutospacing="0"/>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危险性类别</w:t>
            </w:r>
          </w:p>
        </w:tc>
        <w:tc>
          <w:tcPr>
            <w:tcW w:w="843" w:type="dxa"/>
            <w:noWrap w:val="0"/>
            <w:vAlign w:val="center"/>
          </w:tcPr>
          <w:p w14:paraId="234DEF2E">
            <w:pPr>
              <w:pStyle w:val="35"/>
              <w:keepNext w:val="0"/>
              <w:keepLines w:val="0"/>
              <w:suppressLineNumbers w:val="0"/>
              <w:spacing w:before="0" w:beforeAutospacing="0" w:after="0" w:afterAutospacing="0"/>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储存量（T）</w:t>
            </w:r>
          </w:p>
        </w:tc>
        <w:tc>
          <w:tcPr>
            <w:tcW w:w="1726" w:type="dxa"/>
            <w:noWrap w:val="0"/>
            <w:vAlign w:val="center"/>
          </w:tcPr>
          <w:p w14:paraId="14EE43D2">
            <w:pPr>
              <w:pStyle w:val="35"/>
              <w:keepNext w:val="0"/>
              <w:keepLines w:val="0"/>
              <w:suppressLineNumbers w:val="0"/>
              <w:spacing w:before="0" w:beforeAutospacing="0" w:after="0" w:afterAutospacing="0"/>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分布</w:t>
            </w:r>
          </w:p>
        </w:tc>
        <w:tc>
          <w:tcPr>
            <w:tcW w:w="1146" w:type="dxa"/>
            <w:noWrap w:val="0"/>
            <w:vAlign w:val="center"/>
          </w:tcPr>
          <w:p w14:paraId="2F37DFE7">
            <w:pPr>
              <w:pStyle w:val="35"/>
              <w:keepNext w:val="0"/>
              <w:keepLines w:val="0"/>
              <w:suppressLineNumbers w:val="0"/>
              <w:spacing w:before="0" w:beforeAutospacing="0" w:after="0" w:afterAutospacing="0"/>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环境风险类型</w:t>
            </w:r>
          </w:p>
        </w:tc>
        <w:tc>
          <w:tcPr>
            <w:tcW w:w="1266" w:type="dxa"/>
            <w:noWrap w:val="0"/>
            <w:vAlign w:val="center"/>
          </w:tcPr>
          <w:p w14:paraId="282ACB55">
            <w:pPr>
              <w:pStyle w:val="35"/>
              <w:keepNext w:val="0"/>
              <w:keepLines w:val="0"/>
              <w:suppressLineNumbers w:val="0"/>
              <w:spacing w:before="0" w:beforeAutospacing="0" w:after="0" w:afterAutospacing="0"/>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影响环境途径</w:t>
            </w:r>
          </w:p>
        </w:tc>
        <w:tc>
          <w:tcPr>
            <w:tcW w:w="1755" w:type="dxa"/>
            <w:noWrap w:val="0"/>
            <w:vAlign w:val="center"/>
          </w:tcPr>
          <w:p w14:paraId="2A8203FA">
            <w:pPr>
              <w:pStyle w:val="35"/>
              <w:keepNext w:val="0"/>
              <w:keepLines w:val="0"/>
              <w:suppressLineNumbers w:val="0"/>
              <w:spacing w:before="0" w:beforeAutospacing="0" w:after="0" w:afterAutospacing="0"/>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环境敏感目标</w:t>
            </w:r>
          </w:p>
        </w:tc>
      </w:tr>
      <w:tr w14:paraId="2F4F3C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14:paraId="46B310D9">
            <w:pPr>
              <w:pStyle w:val="35"/>
              <w:keepNext w:val="0"/>
              <w:keepLines w:val="0"/>
              <w:suppressLineNumbers w:val="0"/>
              <w:spacing w:before="0" w:beforeAutospacing="0" w:after="0" w:afterAutospacing="0"/>
              <w:ind w:left="0" w:right="0"/>
              <w:rPr>
                <w:rFonts w:hint="eastAsia" w:ascii="Times New Roman" w:hAnsi="Times New Roman" w:eastAsia="宋体" w:cs="Times New Roman"/>
                <w:color w:val="auto"/>
                <w:highlight w:val="none"/>
                <w:lang w:eastAsia="zh-CN"/>
              </w:rPr>
            </w:pPr>
            <w:r>
              <w:rPr>
                <w:rFonts w:hint="eastAsia" w:ascii="Times New Roman" w:hAnsi="Times New Roman" w:cs="Times New Roman"/>
                <w:color w:val="auto"/>
                <w:highlight w:val="none"/>
                <w:lang w:eastAsia="zh-CN"/>
              </w:rPr>
              <w:t>硫酸</w:t>
            </w:r>
          </w:p>
        </w:tc>
        <w:tc>
          <w:tcPr>
            <w:tcW w:w="966" w:type="dxa"/>
            <w:noWrap w:val="0"/>
            <w:vAlign w:val="center"/>
          </w:tcPr>
          <w:p w14:paraId="7EBCBD80">
            <w:pPr>
              <w:pStyle w:val="35"/>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sz w:val="21"/>
                <w:szCs w:val="21"/>
              </w:rPr>
              <w:t>第8.1类  酸性腐蚀品</w:t>
            </w:r>
          </w:p>
        </w:tc>
        <w:tc>
          <w:tcPr>
            <w:tcW w:w="843" w:type="dxa"/>
            <w:noWrap w:val="0"/>
            <w:vAlign w:val="center"/>
          </w:tcPr>
          <w:p w14:paraId="776B9C9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kern w:val="0"/>
                <w:sz w:val="21"/>
                <w:szCs w:val="21"/>
                <w:highlight w:val="none"/>
                <w:lang w:val="en-US" w:eastAsia="zh-CN" w:bidi="ar"/>
              </w:rPr>
              <w:t>22180</w:t>
            </w:r>
          </w:p>
        </w:tc>
        <w:tc>
          <w:tcPr>
            <w:tcW w:w="1726" w:type="dxa"/>
            <w:noWrap w:val="0"/>
            <w:vAlign w:val="center"/>
          </w:tcPr>
          <w:p w14:paraId="3CE0BD2F">
            <w:pPr>
              <w:pStyle w:val="35"/>
              <w:keepNext w:val="0"/>
              <w:keepLines w:val="0"/>
              <w:suppressLineNumbers w:val="0"/>
              <w:spacing w:before="0" w:beforeAutospacing="0" w:after="0" w:afterAutospacing="0"/>
              <w:ind w:left="0" w:right="0"/>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eastAsia="zh-CN"/>
              </w:rPr>
              <w:t>现有罐区（1#罐区）</w:t>
            </w:r>
            <w:r>
              <w:rPr>
                <w:rFonts w:hint="eastAsia" w:cs="Times New Roman"/>
                <w:color w:val="auto"/>
                <w:highlight w:val="none"/>
                <w:lang w:val="en-US" w:eastAsia="zh-CN"/>
              </w:rPr>
              <w:t>、</w:t>
            </w:r>
            <w:r>
              <w:rPr>
                <w:rFonts w:hint="eastAsia" w:cs="Times New Roman"/>
                <w:color w:val="auto"/>
                <w:highlight w:val="none"/>
                <w:lang w:eastAsia="zh-CN"/>
              </w:rPr>
              <w:t>2#罐区</w:t>
            </w:r>
          </w:p>
        </w:tc>
        <w:tc>
          <w:tcPr>
            <w:tcW w:w="1146" w:type="dxa"/>
            <w:noWrap w:val="0"/>
            <w:vAlign w:val="center"/>
          </w:tcPr>
          <w:p w14:paraId="55E9FE92">
            <w:pPr>
              <w:pStyle w:val="35"/>
              <w:keepNext w:val="0"/>
              <w:keepLines w:val="0"/>
              <w:suppressLineNumbers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rPr>
              <w:t>泄漏</w:t>
            </w:r>
          </w:p>
        </w:tc>
        <w:tc>
          <w:tcPr>
            <w:tcW w:w="1266" w:type="dxa"/>
            <w:noWrap w:val="0"/>
            <w:vAlign w:val="center"/>
          </w:tcPr>
          <w:p w14:paraId="1E48476A">
            <w:pPr>
              <w:pStyle w:val="35"/>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rPr>
              <w:t>地表漫流</w:t>
            </w:r>
          </w:p>
        </w:tc>
        <w:tc>
          <w:tcPr>
            <w:tcW w:w="1755" w:type="dxa"/>
            <w:noWrap w:val="0"/>
            <w:vAlign w:val="center"/>
          </w:tcPr>
          <w:p w14:paraId="3A3D092F">
            <w:pPr>
              <w:pStyle w:val="35"/>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highlight w:val="none"/>
              </w:rPr>
              <w:t>周边村庄、</w:t>
            </w:r>
            <w:r>
              <w:rPr>
                <w:rFonts w:hint="eastAsia" w:ascii="Times New Roman" w:hAnsi="Times New Roman" w:cs="Times New Roman"/>
                <w:color w:val="auto"/>
                <w:highlight w:val="none"/>
                <w:lang w:val="en-US" w:eastAsia="zh-CN"/>
              </w:rPr>
              <w:t>漫泗河</w:t>
            </w:r>
            <w:r>
              <w:rPr>
                <w:rFonts w:hint="default" w:ascii="Times New Roman" w:hAnsi="Times New Roman" w:cs="Times New Roman"/>
                <w:color w:val="auto"/>
                <w:highlight w:val="none"/>
              </w:rPr>
              <w:t>、地下水</w:t>
            </w:r>
          </w:p>
        </w:tc>
      </w:tr>
      <w:tr w14:paraId="09E88B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noWrap w:val="0"/>
            <w:vAlign w:val="center"/>
          </w:tcPr>
          <w:p w14:paraId="67589D79">
            <w:pPr>
              <w:pStyle w:val="35"/>
              <w:keepNext w:val="0"/>
              <w:keepLines w:val="0"/>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发烟硫酸</w:t>
            </w:r>
          </w:p>
        </w:tc>
        <w:tc>
          <w:tcPr>
            <w:tcW w:w="966" w:type="dxa"/>
            <w:noWrap w:val="0"/>
            <w:vAlign w:val="center"/>
          </w:tcPr>
          <w:p w14:paraId="094C4F4B">
            <w:pPr>
              <w:pStyle w:val="35"/>
              <w:keepNext w:val="0"/>
              <w:keepLines w:val="0"/>
              <w:suppressLineNumbers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eastAsia="宋体" w:cs="Times New Roman"/>
                <w:i w:val="0"/>
                <w:iCs w:val="0"/>
                <w:color w:val="auto"/>
                <w:sz w:val="21"/>
                <w:szCs w:val="21"/>
              </w:rPr>
              <w:t>第8.1类酸性腐蚀品</w:t>
            </w:r>
          </w:p>
        </w:tc>
        <w:tc>
          <w:tcPr>
            <w:tcW w:w="843" w:type="dxa"/>
            <w:noWrap w:val="0"/>
            <w:vAlign w:val="center"/>
          </w:tcPr>
          <w:p w14:paraId="4703C23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0"/>
                <w:sz w:val="21"/>
                <w:szCs w:val="21"/>
                <w:lang w:val="en-US" w:eastAsia="zh-CN" w:bidi="ar"/>
              </w:rPr>
              <w:t>796</w:t>
            </w:r>
          </w:p>
        </w:tc>
        <w:tc>
          <w:tcPr>
            <w:tcW w:w="1726" w:type="dxa"/>
            <w:noWrap w:val="0"/>
            <w:vAlign w:val="center"/>
          </w:tcPr>
          <w:p w14:paraId="524A5A2D">
            <w:pPr>
              <w:pStyle w:val="35"/>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highlight w:val="none"/>
                <w:lang w:eastAsia="zh-CN"/>
              </w:rPr>
              <w:t>现有</w:t>
            </w:r>
            <w:r>
              <w:rPr>
                <w:rFonts w:hint="default" w:ascii="Times New Roman" w:hAnsi="Times New Roman" w:cs="Times New Roman"/>
                <w:color w:val="auto"/>
                <w:highlight w:val="none"/>
              </w:rPr>
              <w:t>罐区</w:t>
            </w:r>
          </w:p>
        </w:tc>
        <w:tc>
          <w:tcPr>
            <w:tcW w:w="1146" w:type="dxa"/>
            <w:noWrap w:val="0"/>
            <w:vAlign w:val="center"/>
          </w:tcPr>
          <w:p w14:paraId="131636DC">
            <w:pPr>
              <w:pStyle w:val="35"/>
              <w:keepNext w:val="0"/>
              <w:keepLines w:val="0"/>
              <w:suppressLineNumbers w:val="0"/>
              <w:spacing w:before="0" w:beforeAutospacing="0" w:after="0" w:afterAutospacing="0"/>
              <w:ind w:left="0" w:right="0" w:firstLine="0" w:firstLineChars="0"/>
              <w:rPr>
                <w:rFonts w:hint="eastAsia"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highlight w:val="none"/>
              </w:rPr>
              <w:t>泄漏</w:t>
            </w:r>
          </w:p>
        </w:tc>
        <w:tc>
          <w:tcPr>
            <w:tcW w:w="1266" w:type="dxa"/>
            <w:noWrap w:val="0"/>
            <w:vAlign w:val="center"/>
          </w:tcPr>
          <w:p w14:paraId="6134BE89">
            <w:pPr>
              <w:pStyle w:val="35"/>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highlight w:val="none"/>
                <w:lang w:eastAsia="zh-CN"/>
              </w:rPr>
              <w:t>大气扩散、</w:t>
            </w:r>
            <w:r>
              <w:rPr>
                <w:rFonts w:hint="default" w:ascii="Times New Roman" w:hAnsi="Times New Roman" w:cs="Times New Roman"/>
                <w:color w:val="auto"/>
                <w:highlight w:val="none"/>
              </w:rPr>
              <w:t>地表漫流</w:t>
            </w:r>
          </w:p>
        </w:tc>
        <w:tc>
          <w:tcPr>
            <w:tcW w:w="1755" w:type="dxa"/>
            <w:noWrap w:val="0"/>
            <w:vAlign w:val="center"/>
          </w:tcPr>
          <w:p w14:paraId="552E2D9B">
            <w:pPr>
              <w:pStyle w:val="35"/>
              <w:keepNext w:val="0"/>
              <w:keepLines w:val="0"/>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4"/>
                <w:highlight w:val="yellow"/>
                <w:lang w:val="en-US" w:eastAsia="zh-CN" w:bidi="ar-SA"/>
              </w:rPr>
            </w:pPr>
            <w:r>
              <w:rPr>
                <w:rFonts w:hint="default" w:ascii="Times New Roman" w:hAnsi="Times New Roman" w:cs="Times New Roman"/>
                <w:color w:val="auto"/>
                <w:highlight w:val="none"/>
              </w:rPr>
              <w:t>周边村庄、</w:t>
            </w:r>
            <w:r>
              <w:rPr>
                <w:rFonts w:hint="eastAsia" w:ascii="Times New Roman" w:hAnsi="Times New Roman" w:cs="Times New Roman"/>
                <w:color w:val="auto"/>
                <w:highlight w:val="none"/>
                <w:lang w:val="en-US" w:eastAsia="zh-CN"/>
              </w:rPr>
              <w:t>漫泗河</w:t>
            </w:r>
            <w:r>
              <w:rPr>
                <w:rFonts w:hint="default" w:ascii="Times New Roman" w:hAnsi="Times New Roman" w:cs="Times New Roman"/>
                <w:color w:val="auto"/>
                <w:highlight w:val="none"/>
              </w:rPr>
              <w:t>、地下水</w:t>
            </w:r>
          </w:p>
        </w:tc>
      </w:tr>
    </w:tbl>
    <w:p w14:paraId="2B9669DE">
      <w:pPr>
        <w:keepNext/>
        <w:keepLines/>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default" w:ascii="Times New Roman" w:hAnsi="Times New Roman" w:eastAsia="黑体" w:cs="Times New Roman"/>
          <w:b/>
          <w:bCs/>
          <w:color w:val="auto"/>
          <w:sz w:val="24"/>
          <w:szCs w:val="24"/>
          <w:highlight w:val="none"/>
        </w:rPr>
      </w:pPr>
      <w:r>
        <w:rPr>
          <w:rFonts w:hint="eastAsia" w:ascii="Times New Roman" w:hAnsi="Times New Roman" w:eastAsia="黑体" w:cs="Times New Roman"/>
          <w:b/>
          <w:bCs/>
          <w:color w:val="auto"/>
          <w:sz w:val="24"/>
          <w:szCs w:val="24"/>
          <w:highlight w:val="none"/>
          <w:lang w:val="en-US" w:eastAsia="zh-CN"/>
        </w:rPr>
        <w:t>1</w:t>
      </w:r>
      <w:r>
        <w:rPr>
          <w:rFonts w:hint="default" w:ascii="Times New Roman" w:hAnsi="Times New Roman" w:eastAsia="黑体" w:cs="Times New Roman"/>
          <w:b/>
          <w:bCs/>
          <w:color w:val="auto"/>
          <w:sz w:val="24"/>
          <w:szCs w:val="24"/>
          <w:highlight w:val="none"/>
        </w:rPr>
        <w:t>.5.8生产工艺风险性识别</w:t>
      </w:r>
    </w:p>
    <w:p w14:paraId="0EF0223C">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根据国家安全监管总局《重点监管危险化工工艺目录》（2013年完整版），</w:t>
      </w:r>
      <w:r>
        <w:rPr>
          <w:rFonts w:hint="eastAsia" w:ascii="Times New Roman" w:hAnsi="Times New Roman" w:cs="Times New Roman"/>
          <w:color w:val="auto"/>
          <w:sz w:val="24"/>
          <w:szCs w:val="24"/>
          <w:highlight w:val="none"/>
          <w:lang w:eastAsia="zh-CN"/>
        </w:rPr>
        <w:t>项目不</w:t>
      </w:r>
      <w:r>
        <w:rPr>
          <w:rFonts w:hint="default" w:ascii="Times New Roman" w:hAnsi="Times New Roman" w:cs="Times New Roman"/>
          <w:color w:val="auto"/>
          <w:sz w:val="24"/>
          <w:szCs w:val="24"/>
          <w:highlight w:val="none"/>
        </w:rPr>
        <w:t>涉及重点监管的危险化工工艺。</w:t>
      </w:r>
    </w:p>
    <w:p w14:paraId="5DD58F39">
      <w:pPr>
        <w:keepNext/>
        <w:keepLines/>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.5.9生产设施风险性识别</w:t>
      </w:r>
    </w:p>
    <w:p w14:paraId="6BA4521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本次环境风险评价重点关注拟建项目生产运行期间可能发生的事故引发有毒有害污染物进入外环境，引起环境空气、地表水、地下水等环境要素的污染事故</w:t>
      </w:r>
      <w:r>
        <w:rPr>
          <w:rFonts w:hint="eastAsia" w:ascii="Times New Roman" w:hAnsi="Times New Roman" w:eastAsia="宋体" w:cs="Times New Roman"/>
          <w:color w:val="auto"/>
          <w:sz w:val="24"/>
          <w:szCs w:val="24"/>
          <w:highlight w:val="none"/>
          <w:lang w:eastAsia="zh-CN"/>
        </w:rPr>
        <w:t>。</w:t>
      </w:r>
    </w:p>
    <w:p w14:paraId="4601462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（1）大气污染事故风险</w:t>
      </w:r>
    </w:p>
    <w:p w14:paraId="5D2D55D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生产使用过程中因设备泄漏或操作不当等原因容易造成物料泄漏，另外生产过程中因冷凝设备故障（如冷却系统失灵或停电事故等）也会造成大量非正常排放，物料一旦泄漏非常容易大量挥发造成大气污染</w:t>
      </w:r>
      <w:r>
        <w:rPr>
          <w:rFonts w:hint="default" w:ascii="Times New Roman" w:hAnsi="Times New Roman" w:eastAsia="宋体" w:cs="Times New Roman"/>
          <w:color w:val="auto"/>
          <w:sz w:val="24"/>
          <w:szCs w:val="24"/>
          <w:highlight w:val="none"/>
        </w:rPr>
        <w:t>。</w:t>
      </w:r>
    </w:p>
    <w:p w14:paraId="6713AEA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（2）水污染事故风险</w:t>
      </w:r>
    </w:p>
    <w:p w14:paraId="6F233A5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生产使用过程中因设备泄漏或操作不当等原因容易造成物料泄漏，混入清下水系统，从而影响清下水水质。要求企业严格执行清污分流工作，则可以避免此类风险事故的发生。</w:t>
      </w:r>
    </w:p>
    <w:p w14:paraId="6707B79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（3）环保工程环境风险辨识</w:t>
      </w:r>
    </w:p>
    <w:p w14:paraId="3B2609E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大气污染事故主要为</w:t>
      </w:r>
      <w:r>
        <w:rPr>
          <w:rFonts w:hint="eastAsia" w:ascii="Times New Roman" w:hAnsi="Times New Roman" w:cs="Times New Roman"/>
          <w:color w:val="auto"/>
          <w:sz w:val="24"/>
          <w:szCs w:val="24"/>
          <w:highlight w:val="none"/>
          <w:lang w:eastAsia="zh-CN"/>
        </w:rPr>
        <w:t>废气</w:t>
      </w:r>
      <w:r>
        <w:rPr>
          <w:rFonts w:hint="default" w:ascii="Times New Roman" w:hAnsi="Times New Roman" w:cs="Times New Roman"/>
          <w:color w:val="auto"/>
          <w:sz w:val="24"/>
          <w:szCs w:val="24"/>
          <w:highlight w:val="none"/>
        </w:rPr>
        <w:t>处理系统失效（主要为人为原因）造成废气污染物超标排放。此类事故一般加强监督管理则可完全避免。</w:t>
      </w:r>
    </w:p>
    <w:p w14:paraId="533346F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2、储存系统危险因素分析</w:t>
      </w:r>
    </w:p>
    <w:p w14:paraId="235A1D3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若罐体自身设计强度不够，或安装存在缺陷，或由于腐蚀等原因导致罐体破裂、泵泄漏及泵体裂纹、密封件损坏、阀门和法兰损坏使</w:t>
      </w:r>
      <w:r>
        <w:rPr>
          <w:rFonts w:hint="eastAsia" w:ascii="Times New Roman" w:hAnsi="Times New Roman" w:cs="Times New Roman"/>
          <w:color w:val="auto"/>
          <w:sz w:val="24"/>
          <w:szCs w:val="24"/>
          <w:highlight w:val="none"/>
          <w:lang w:eastAsia="zh-CN"/>
        </w:rPr>
        <w:t>液体</w:t>
      </w:r>
      <w:r>
        <w:rPr>
          <w:rFonts w:hint="default" w:ascii="Times New Roman" w:hAnsi="Times New Roman" w:cs="Times New Roman"/>
          <w:color w:val="auto"/>
          <w:sz w:val="24"/>
          <w:szCs w:val="24"/>
          <w:highlight w:val="none"/>
        </w:rPr>
        <w:t>大量泄漏；若无液位显示或高液位报警装置，可导致储罐满溢，泄漏的</w:t>
      </w:r>
      <w:r>
        <w:rPr>
          <w:rFonts w:hint="eastAsia" w:ascii="Times New Roman" w:hAnsi="Times New Roman" w:cs="Times New Roman"/>
          <w:color w:val="auto"/>
          <w:sz w:val="24"/>
          <w:szCs w:val="24"/>
          <w:highlight w:val="none"/>
          <w:lang w:eastAsia="zh-CN"/>
        </w:rPr>
        <w:t>硫酸等泄漏挥发会造成环境空气造成污染，流入水体容易造成水体污染</w:t>
      </w:r>
      <w:r>
        <w:rPr>
          <w:rFonts w:hint="default" w:ascii="Times New Roman" w:hAnsi="Times New Roman" w:cs="Times New Roman"/>
          <w:color w:val="auto"/>
          <w:sz w:val="24"/>
          <w:szCs w:val="24"/>
          <w:highlight w:val="none"/>
        </w:rPr>
        <w:t>。</w:t>
      </w:r>
    </w:p>
    <w:p w14:paraId="53D70BD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3、运输装卸系统危险因素分析</w:t>
      </w:r>
    </w:p>
    <w:p w14:paraId="327065B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产品储存、运输过程中，运输车辆存在故障或驾驶人员违章驾驶，车辆撞击人员或设备，有造成人员伤害或设备损坏的危险。</w:t>
      </w:r>
    </w:p>
    <w:p w14:paraId="3875864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根据调查统计，本项目建成后，不增加周边道路运行的交通量，建设单位应合理安排车间进出时间，避免车辆的集中进出。</w:t>
      </w:r>
    </w:p>
    <w:p w14:paraId="300C461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在装卸过程因操作不慎或违章操作而泄漏物料。</w:t>
      </w:r>
    </w:p>
    <w:p w14:paraId="0727811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管路裂缝或破裂可造成物料泄漏，产生的原因主要有：管材质量缺陷和焊接质量差；地基沉降、地层滑动及地面支架失稳，造成管路扭曲断裂；内部、外部腐蚀穿孔；快速开泵和停泵会造成对管路的冲击，有可能使管路破裂；外力碰撞可导致管道破裂。</w:t>
      </w:r>
    </w:p>
    <w:p w14:paraId="67C6E13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根据《企业职工伤亡事故分类标准》</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GB/T6441-1986</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生产过程危险和有害因素分类与代码》（GB/T13861-2009）的有关规定，结合企业实际情况，通过对物质、工艺技术、工艺控制、设备设施等方面进行危险、有害因素辨识与分析，本项目建成后可能存在的危险、有害因素：火灾、爆炸、</w:t>
      </w:r>
      <w:r>
        <w:rPr>
          <w:rFonts w:hint="eastAsia" w:cs="Times New Roman"/>
          <w:color w:val="auto"/>
          <w:sz w:val="24"/>
          <w:szCs w:val="24"/>
          <w:highlight w:val="none"/>
          <w:lang w:eastAsia="zh-CN"/>
        </w:rPr>
        <w:t>泄漏</w:t>
      </w:r>
      <w:r>
        <w:rPr>
          <w:rFonts w:hint="default" w:ascii="Times New Roman" w:hAnsi="Times New Roman" w:cs="Times New Roman"/>
          <w:color w:val="auto"/>
          <w:sz w:val="24"/>
          <w:szCs w:val="24"/>
          <w:highlight w:val="none"/>
        </w:rPr>
        <w:t>等。</w:t>
      </w:r>
    </w:p>
    <w:p w14:paraId="3A522C4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通过对环境风险物质的筛选和工艺流程确定本项目危险单元及风险类型主要为：</w:t>
      </w:r>
    </w:p>
    <w:p w14:paraId="463FAA0B">
      <w:pPr>
        <w:ind w:firstLine="0" w:firstLineChars="0"/>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eastAsia" w:ascii="Times New Roman" w:hAnsi="Times New Roman" w:cs="Times New Roman"/>
          <w:b/>
          <w:color w:val="auto"/>
          <w:highlight w:val="none"/>
          <w:lang w:val="en-US" w:eastAsia="zh-CN"/>
        </w:rPr>
        <w:t>1</w:t>
      </w:r>
      <w:r>
        <w:rPr>
          <w:rFonts w:hint="default" w:ascii="Times New Roman" w:hAnsi="Times New Roman" w:cs="Times New Roman"/>
          <w:b/>
          <w:color w:val="auto"/>
          <w:highlight w:val="none"/>
        </w:rPr>
        <w:t>.5-6  厂区危险单元及风险类型一览表</w:t>
      </w:r>
    </w:p>
    <w:tbl>
      <w:tblPr>
        <w:tblStyle w:val="21"/>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261"/>
        <w:gridCol w:w="2664"/>
        <w:gridCol w:w="1824"/>
        <w:gridCol w:w="1772"/>
      </w:tblGrid>
      <w:tr w14:paraId="692383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1" w:type="dxa"/>
            <w:noWrap w:val="0"/>
            <w:vAlign w:val="center"/>
          </w:tcPr>
          <w:p w14:paraId="42B8256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装置名称</w:t>
            </w:r>
          </w:p>
        </w:tc>
        <w:tc>
          <w:tcPr>
            <w:tcW w:w="2664" w:type="dxa"/>
            <w:noWrap w:val="0"/>
            <w:vAlign w:val="center"/>
          </w:tcPr>
          <w:p w14:paraId="4E8D287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危险岗位</w:t>
            </w:r>
          </w:p>
        </w:tc>
        <w:tc>
          <w:tcPr>
            <w:tcW w:w="1824" w:type="dxa"/>
            <w:noWrap w:val="0"/>
            <w:vAlign w:val="center"/>
          </w:tcPr>
          <w:p w14:paraId="6B14D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危险物料</w:t>
            </w:r>
          </w:p>
        </w:tc>
        <w:tc>
          <w:tcPr>
            <w:tcW w:w="1772" w:type="dxa"/>
            <w:noWrap w:val="0"/>
            <w:vAlign w:val="center"/>
          </w:tcPr>
          <w:p w14:paraId="447A2CB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危险特征</w:t>
            </w:r>
          </w:p>
        </w:tc>
      </w:tr>
      <w:tr w14:paraId="25C44AC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61" w:type="dxa"/>
            <w:noWrap w:val="0"/>
            <w:vAlign w:val="center"/>
          </w:tcPr>
          <w:p w14:paraId="3ADED0B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储运罐区</w:t>
            </w:r>
          </w:p>
        </w:tc>
        <w:tc>
          <w:tcPr>
            <w:tcW w:w="2664" w:type="dxa"/>
            <w:noWrap w:val="0"/>
            <w:vAlign w:val="center"/>
          </w:tcPr>
          <w:p w14:paraId="17230D43">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现有罐区（1#罐区）</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2#罐区</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卸料泵</w:t>
            </w:r>
            <w:r>
              <w:rPr>
                <w:rFonts w:hint="eastAsia" w:ascii="Times New Roman" w:hAnsi="Times New Roman" w:cs="Times New Roman"/>
                <w:color w:val="auto"/>
                <w:sz w:val="21"/>
                <w:szCs w:val="21"/>
                <w:highlight w:val="none"/>
                <w:lang w:eastAsia="zh-CN"/>
              </w:rPr>
              <w:t>、管道、法兰</w:t>
            </w:r>
          </w:p>
        </w:tc>
        <w:tc>
          <w:tcPr>
            <w:tcW w:w="1824" w:type="dxa"/>
            <w:noWrap w:val="0"/>
            <w:vAlign w:val="center"/>
          </w:tcPr>
          <w:p w14:paraId="42E6D8E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硫酸</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发烟硫酸</w:t>
            </w:r>
          </w:p>
        </w:tc>
        <w:tc>
          <w:tcPr>
            <w:tcW w:w="1772" w:type="dxa"/>
            <w:noWrap w:val="0"/>
            <w:vAlign w:val="center"/>
          </w:tcPr>
          <w:p w14:paraId="488AFB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w:t>
            </w:r>
          </w:p>
        </w:tc>
      </w:tr>
    </w:tbl>
    <w:p w14:paraId="4D741808">
      <w:pPr>
        <w:keepNext/>
        <w:keepLines/>
        <w:pageBreakBefore w:val="0"/>
        <w:widowControl w:val="0"/>
        <w:kinsoku/>
        <w:wordWrap/>
        <w:overflowPunct/>
        <w:topLinePunct w:val="0"/>
        <w:autoSpaceDE/>
        <w:autoSpaceDN/>
        <w:bidi w:val="0"/>
        <w:spacing w:line="360" w:lineRule="auto"/>
        <w:ind w:firstLine="482" w:firstLineChars="200"/>
        <w:textAlignment w:val="auto"/>
        <w:outlineLvl w:val="2"/>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.5.10事故中的伴生/次生危险性分析</w:t>
      </w:r>
    </w:p>
    <w:p w14:paraId="38C6A203">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泄漏事故中的伴生/次生危险性分析</w:t>
      </w:r>
    </w:p>
    <w:p w14:paraId="265D0AED">
      <w:pPr>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本项目</w:t>
      </w:r>
      <w:r>
        <w:rPr>
          <w:rFonts w:hint="eastAsia" w:cs="Times New Roman"/>
          <w:color w:val="auto"/>
          <w:sz w:val="24"/>
          <w:szCs w:val="24"/>
          <w:highlight w:val="none"/>
          <w:lang w:eastAsia="zh-CN"/>
        </w:rPr>
        <w:t>及现有罐区</w:t>
      </w:r>
      <w:r>
        <w:rPr>
          <w:rFonts w:hint="default" w:ascii="Times New Roman" w:hAnsi="Times New Roman" w:cs="Times New Roman"/>
          <w:color w:val="auto"/>
          <w:sz w:val="24"/>
          <w:szCs w:val="24"/>
          <w:highlight w:val="none"/>
        </w:rPr>
        <w:t>涉及的主要物质为</w:t>
      </w:r>
      <w:r>
        <w:rPr>
          <w:rFonts w:hint="eastAsia" w:cs="Times New Roman"/>
          <w:color w:val="auto"/>
          <w:sz w:val="24"/>
          <w:szCs w:val="24"/>
          <w:highlight w:val="none"/>
          <w:lang w:val="en-US" w:eastAsia="zh-CN"/>
        </w:rPr>
        <w:t>发烟硫酸及</w:t>
      </w:r>
      <w:r>
        <w:rPr>
          <w:rFonts w:hint="eastAsia" w:ascii="Times New Roman" w:hAnsi="Times New Roman" w:cs="Times New Roman"/>
          <w:color w:val="auto"/>
          <w:sz w:val="24"/>
          <w:szCs w:val="24"/>
          <w:highlight w:val="none"/>
          <w:lang w:eastAsia="zh-CN"/>
        </w:rPr>
        <w:t>硫酸</w:t>
      </w:r>
      <w:r>
        <w:rPr>
          <w:rFonts w:hint="default" w:ascii="Times New Roman" w:hAnsi="Times New Roman" w:cs="Times New Roman"/>
          <w:color w:val="auto"/>
          <w:sz w:val="24"/>
          <w:szCs w:val="24"/>
          <w:highlight w:val="none"/>
        </w:rPr>
        <w:t>，一旦发生物料泄漏</w:t>
      </w:r>
      <w:r>
        <w:rPr>
          <w:rFonts w:hint="eastAsia" w:ascii="Times New Roman" w:hAnsi="Times New Roman" w:cs="Times New Roman"/>
          <w:color w:val="auto"/>
          <w:sz w:val="24"/>
          <w:szCs w:val="24"/>
          <w:highlight w:val="none"/>
          <w:lang w:eastAsia="zh-CN"/>
        </w:rPr>
        <w:t>会造成大量酸性气体挥发</w:t>
      </w:r>
      <w:r>
        <w:rPr>
          <w:rFonts w:hint="default" w:ascii="Times New Roman" w:hAnsi="Times New Roman" w:cs="Times New Roman"/>
          <w:color w:val="auto"/>
          <w:sz w:val="24"/>
          <w:szCs w:val="24"/>
          <w:highlight w:val="none"/>
        </w:rPr>
        <w:t>，可能会危害人员健康，产生的废气会影响周围大气环境</w:t>
      </w:r>
      <w:r>
        <w:rPr>
          <w:rFonts w:hint="eastAsia" w:ascii="Times New Roman" w:hAnsi="Times New Roman" w:cs="Times New Roman"/>
          <w:color w:val="auto"/>
          <w:sz w:val="24"/>
          <w:szCs w:val="24"/>
          <w:highlight w:val="none"/>
          <w:lang w:eastAsia="zh-CN"/>
        </w:rPr>
        <w:t>；物料泄漏流入水体后会对水体水质造成影响。</w:t>
      </w:r>
    </w:p>
    <w:p w14:paraId="72F8D7E1">
      <w:pPr>
        <w:keepNext/>
        <w:keepLines/>
        <w:pageBreakBefore w:val="0"/>
        <w:widowControl w:val="0"/>
        <w:kinsoku/>
        <w:wordWrap/>
        <w:overflowPunct/>
        <w:topLinePunct w:val="0"/>
        <w:autoSpaceDE/>
        <w:autoSpaceDN/>
        <w:bidi w:val="0"/>
        <w:spacing w:line="360" w:lineRule="auto"/>
        <w:ind w:firstLine="482" w:firstLineChars="200"/>
        <w:textAlignment w:val="auto"/>
        <w:outlineLvl w:val="2"/>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.5.11风险识别结果</w:t>
      </w:r>
    </w:p>
    <w:p w14:paraId="023AAF6F">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Cs w:val="22"/>
          <w:highlight w:val="none"/>
        </w:rPr>
      </w:pPr>
      <w:r>
        <w:rPr>
          <w:rFonts w:hint="default" w:ascii="Times New Roman" w:hAnsi="Times New Roman" w:cs="Times New Roman"/>
          <w:color w:val="auto"/>
          <w:sz w:val="24"/>
          <w:szCs w:val="24"/>
          <w:highlight w:val="none"/>
        </w:rPr>
        <w:t>建设项目环境风险识别结果见表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.5-7，危险单元分布图见图</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.5-2。</w:t>
      </w:r>
    </w:p>
    <w:p w14:paraId="1C7DEBFD">
      <w:pPr>
        <w:adjustRightInd w:val="0"/>
        <w:snapToGrid w:val="0"/>
        <w:ind w:firstLine="0" w:firstLineChars="0"/>
        <w:jc w:val="center"/>
        <w:rPr>
          <w:rFonts w:hint="default" w:ascii="Times New Roman" w:hAnsi="Times New Roman" w:cs="Times New Roman"/>
          <w:b/>
          <w:color w:val="auto"/>
          <w:szCs w:val="22"/>
          <w:highlight w:val="none"/>
        </w:rPr>
      </w:pPr>
      <w:r>
        <w:rPr>
          <w:rFonts w:hint="default" w:ascii="Times New Roman" w:hAnsi="Times New Roman" w:cs="Times New Roman"/>
          <w:b/>
          <w:color w:val="auto"/>
          <w:szCs w:val="22"/>
          <w:highlight w:val="none"/>
        </w:rPr>
        <w:t>表</w:t>
      </w:r>
      <w:r>
        <w:rPr>
          <w:rFonts w:hint="eastAsia" w:ascii="Times New Roman" w:hAnsi="Times New Roman" w:cs="Times New Roman"/>
          <w:b/>
          <w:color w:val="auto"/>
          <w:szCs w:val="22"/>
          <w:highlight w:val="none"/>
          <w:lang w:val="en-US" w:eastAsia="zh-CN"/>
        </w:rPr>
        <w:t>1</w:t>
      </w:r>
      <w:r>
        <w:rPr>
          <w:rFonts w:hint="default" w:ascii="Times New Roman" w:hAnsi="Times New Roman" w:cs="Times New Roman"/>
          <w:b/>
          <w:color w:val="auto"/>
          <w:szCs w:val="22"/>
          <w:highlight w:val="none"/>
        </w:rPr>
        <w:t>.5-7  建设项目环境风险识别表</w:t>
      </w:r>
    </w:p>
    <w:tbl>
      <w:tblPr>
        <w:tblStyle w:val="21"/>
        <w:tblW w:w="8522"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19"/>
        <w:gridCol w:w="702"/>
        <w:gridCol w:w="2609"/>
        <w:gridCol w:w="1092"/>
        <w:gridCol w:w="884"/>
        <w:gridCol w:w="1274"/>
        <w:gridCol w:w="1442"/>
      </w:tblGrid>
      <w:tr w14:paraId="2C447BE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0" w:type="auto"/>
            <w:noWrap w:val="0"/>
            <w:vAlign w:val="center"/>
          </w:tcPr>
          <w:p w14:paraId="42B1892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序号</w:t>
            </w:r>
          </w:p>
        </w:tc>
        <w:tc>
          <w:tcPr>
            <w:tcW w:w="0" w:type="auto"/>
            <w:noWrap w:val="0"/>
            <w:vAlign w:val="center"/>
          </w:tcPr>
          <w:p w14:paraId="2A3B09C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危险单元</w:t>
            </w:r>
          </w:p>
        </w:tc>
        <w:tc>
          <w:tcPr>
            <w:tcW w:w="0" w:type="auto"/>
            <w:noWrap w:val="0"/>
            <w:vAlign w:val="center"/>
          </w:tcPr>
          <w:p w14:paraId="4858B3B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风险源</w:t>
            </w:r>
          </w:p>
        </w:tc>
        <w:tc>
          <w:tcPr>
            <w:tcW w:w="0" w:type="auto"/>
            <w:noWrap w:val="0"/>
            <w:vAlign w:val="center"/>
          </w:tcPr>
          <w:p w14:paraId="3EA3942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主要危险物质</w:t>
            </w:r>
          </w:p>
        </w:tc>
        <w:tc>
          <w:tcPr>
            <w:tcW w:w="0" w:type="auto"/>
            <w:noWrap w:val="0"/>
            <w:vAlign w:val="center"/>
          </w:tcPr>
          <w:p w14:paraId="3F6FF83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环境风险类型</w:t>
            </w:r>
          </w:p>
        </w:tc>
        <w:tc>
          <w:tcPr>
            <w:tcW w:w="0" w:type="auto"/>
            <w:noWrap w:val="0"/>
            <w:vAlign w:val="center"/>
          </w:tcPr>
          <w:p w14:paraId="4548BE6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环境影响途径</w:t>
            </w:r>
          </w:p>
        </w:tc>
        <w:tc>
          <w:tcPr>
            <w:tcW w:w="0" w:type="auto"/>
            <w:noWrap w:val="0"/>
            <w:vAlign w:val="center"/>
          </w:tcPr>
          <w:p w14:paraId="2E0F978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可能受影响的环境敏感目标</w:t>
            </w:r>
          </w:p>
        </w:tc>
      </w:tr>
      <w:tr w14:paraId="00380C5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0" w:type="auto"/>
            <w:noWrap w:val="0"/>
            <w:vAlign w:val="center"/>
          </w:tcPr>
          <w:p w14:paraId="1A98EE7A">
            <w:pPr>
              <w:keepNext w:val="0"/>
              <w:keepLines w:val="0"/>
              <w:suppressLineNumbers w:val="0"/>
              <w:adjustRightInd w:val="0"/>
              <w:snapToGrid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0" w:type="auto"/>
            <w:noWrap w:val="0"/>
            <w:vAlign w:val="center"/>
          </w:tcPr>
          <w:p w14:paraId="28F7A5A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储运罐区</w:t>
            </w:r>
          </w:p>
        </w:tc>
        <w:tc>
          <w:tcPr>
            <w:tcW w:w="0" w:type="auto"/>
            <w:noWrap w:val="0"/>
            <w:vAlign w:val="center"/>
          </w:tcPr>
          <w:p w14:paraId="7E229191">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现有罐区（1#罐区）</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2#罐区</w:t>
            </w:r>
            <w:r>
              <w:rPr>
                <w:rFonts w:hint="default" w:ascii="Times New Roman" w:hAnsi="Times New Roman" w:cs="Times New Roman"/>
                <w:color w:val="auto"/>
                <w:sz w:val="21"/>
                <w:szCs w:val="21"/>
                <w:highlight w:val="none"/>
              </w:rPr>
              <w:t>、卸料泵</w:t>
            </w:r>
            <w:r>
              <w:rPr>
                <w:rFonts w:hint="eastAsia" w:ascii="Times New Roman" w:hAnsi="Times New Roman" w:cs="Times New Roman"/>
                <w:color w:val="auto"/>
                <w:sz w:val="21"/>
                <w:szCs w:val="21"/>
                <w:highlight w:val="none"/>
                <w:lang w:eastAsia="zh-CN"/>
              </w:rPr>
              <w:t>、、管道、法兰</w:t>
            </w:r>
          </w:p>
        </w:tc>
        <w:tc>
          <w:tcPr>
            <w:tcW w:w="0" w:type="auto"/>
            <w:noWrap w:val="0"/>
            <w:vAlign w:val="center"/>
          </w:tcPr>
          <w:p w14:paraId="53F9FC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发烟硫酸</w:t>
            </w:r>
            <w:r>
              <w:rPr>
                <w:rFonts w:hint="eastAsia" w:ascii="Times New Roman" w:hAnsi="Times New Roman" w:cs="Times New Roman"/>
                <w:color w:val="auto"/>
                <w:sz w:val="21"/>
                <w:szCs w:val="21"/>
                <w:highlight w:val="none"/>
                <w:lang w:eastAsia="zh-CN"/>
              </w:rPr>
              <w:t>、硫酸</w:t>
            </w:r>
          </w:p>
        </w:tc>
        <w:tc>
          <w:tcPr>
            <w:tcW w:w="0" w:type="auto"/>
            <w:noWrap w:val="0"/>
            <w:vAlign w:val="center"/>
          </w:tcPr>
          <w:p w14:paraId="04B2A70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w:t>
            </w:r>
          </w:p>
        </w:tc>
        <w:tc>
          <w:tcPr>
            <w:tcW w:w="0" w:type="auto"/>
            <w:noWrap w:val="0"/>
            <w:vAlign w:val="center"/>
          </w:tcPr>
          <w:p w14:paraId="47020BE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大气扩散、地表漫流</w:t>
            </w:r>
          </w:p>
        </w:tc>
        <w:tc>
          <w:tcPr>
            <w:tcW w:w="1443" w:type="dxa"/>
            <w:noWrap w:val="0"/>
            <w:vAlign w:val="center"/>
          </w:tcPr>
          <w:p w14:paraId="38E4209F">
            <w:pPr>
              <w:pStyle w:val="35"/>
              <w:keepNext w:val="0"/>
              <w:keepLines w:val="0"/>
              <w:suppressLineNumbers w:val="0"/>
              <w:spacing w:before="0" w:beforeAutospacing="0" w:after="0" w:afterAutospacing="0"/>
              <w:ind w:left="0" w:right="0" w:firstLine="0" w:firstLineChars="0"/>
              <w:rPr>
                <w:rFonts w:hint="default" w:ascii="Times New Roman" w:hAnsi="Times New Roman" w:cs="Times New Roman"/>
                <w:color w:val="auto"/>
                <w:sz w:val="21"/>
                <w:szCs w:val="21"/>
                <w:highlight w:val="none"/>
              </w:rPr>
            </w:pPr>
            <w:r>
              <w:rPr>
                <w:rFonts w:hint="default" w:ascii="Times New Roman" w:hAnsi="Times New Roman" w:cs="Times New Roman"/>
                <w:color w:val="auto"/>
                <w:highlight w:val="none"/>
              </w:rPr>
              <w:t>周边村庄、</w:t>
            </w:r>
            <w:r>
              <w:rPr>
                <w:rFonts w:hint="eastAsia" w:cs="Times New Roman"/>
                <w:color w:val="auto"/>
                <w:highlight w:val="none"/>
                <w:lang w:val="en-US" w:eastAsia="zh-CN"/>
              </w:rPr>
              <w:t>漫泗河</w:t>
            </w:r>
            <w:r>
              <w:rPr>
                <w:rFonts w:hint="default" w:ascii="Times New Roman" w:hAnsi="Times New Roman" w:cs="Times New Roman"/>
                <w:color w:val="auto"/>
                <w:highlight w:val="none"/>
              </w:rPr>
              <w:t>、地下水</w:t>
            </w:r>
          </w:p>
        </w:tc>
      </w:tr>
    </w:tbl>
    <w:p w14:paraId="77009B20">
      <w:pPr>
        <w:pStyle w:val="16"/>
        <w:keepNext w:val="0"/>
        <w:keepLines w:val="0"/>
        <w:pageBreakBefore w:val="0"/>
        <w:widowControl w:val="0"/>
        <w:tabs>
          <w:tab w:val="left" w:pos="1470"/>
        </w:tabs>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eastAsia="宋体" w:cs="Times New Roman"/>
          <w:b w:val="0"/>
          <w:bCs/>
          <w:color w:val="auto"/>
          <w:spacing w:val="0"/>
          <w:position w:val="0"/>
          <w:sz w:val="24"/>
          <w:szCs w:val="24"/>
          <w:highlight w:val="yellow"/>
        </w:rPr>
        <w:sectPr>
          <w:headerReference r:id="rId6" w:type="default"/>
          <w:pgSz w:w="11905" w:h="16838"/>
          <w:pgMar w:top="1440" w:right="1800" w:bottom="1440" w:left="1800" w:header="851" w:footer="1077" w:gutter="0"/>
          <w:pgBorders>
            <w:top w:val="none" w:sz="0" w:space="0"/>
            <w:left w:val="none" w:sz="0" w:space="0"/>
            <w:bottom w:val="none" w:sz="0" w:space="0"/>
            <w:right w:val="none" w:sz="0" w:space="0"/>
          </w:pgBorders>
          <w:pgNumType w:fmt="decimal"/>
          <w:cols w:space="720" w:num="1"/>
          <w:rtlGutter w:val="0"/>
          <w:docGrid w:linePitch="319" w:charSpace="0"/>
        </w:sectPr>
      </w:pPr>
    </w:p>
    <w:p w14:paraId="559A216A">
      <w:pPr>
        <w:pStyle w:val="3"/>
        <w:keepNext/>
        <w:keepLines/>
        <w:pageBreakBefore w:val="0"/>
        <w:widowControl w:val="0"/>
        <w:kinsoku/>
        <w:wordWrap/>
        <w:overflowPunct/>
        <w:topLinePunct w:val="0"/>
        <w:autoSpaceDE/>
        <w:autoSpaceDN/>
        <w:bidi w:val="0"/>
        <w:adjustRightInd/>
        <w:snapToGrid w:val="0"/>
        <w:spacing w:before="0" w:after="0" w:line="360" w:lineRule="auto"/>
        <w:textAlignment w:val="auto"/>
        <w:rPr>
          <w:rFonts w:hint="default" w:ascii="Times New Roman" w:hAnsi="Times New Roman" w:cs="Times New Roman"/>
          <w:color w:val="auto"/>
          <w:sz w:val="24"/>
          <w:szCs w:val="24"/>
          <w:highlight w:val="none"/>
        </w:rPr>
      </w:pPr>
      <w:bookmarkStart w:id="10" w:name="_Toc3738"/>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.6 风险事故情形分析</w:t>
      </w:r>
      <w:bookmarkEnd w:id="10"/>
    </w:p>
    <w:p w14:paraId="005A1752">
      <w:pPr>
        <w:pStyle w:val="4"/>
        <w:keepNext/>
        <w:keepLines/>
        <w:pageBreakBefore w:val="0"/>
        <w:widowControl w:val="0"/>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.6.1 风险事故情形设定</w:t>
      </w:r>
    </w:p>
    <w:p w14:paraId="476D57F4">
      <w:pPr>
        <w:pStyle w:val="34"/>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表</w:t>
      </w:r>
      <w:r>
        <w:rPr>
          <w:rFonts w:hint="eastAsia" w:ascii="Times New Roman" w:hAnsi="Times New Roman" w:cs="Times New Roman"/>
          <w:b/>
          <w:color w:val="auto"/>
          <w:sz w:val="21"/>
          <w:szCs w:val="21"/>
          <w:highlight w:val="none"/>
          <w:lang w:val="en-US" w:eastAsia="zh-CN"/>
        </w:rPr>
        <w:t>1</w:t>
      </w:r>
      <w:r>
        <w:rPr>
          <w:rFonts w:hint="default" w:ascii="Times New Roman" w:hAnsi="Times New Roman" w:cs="Times New Roman"/>
          <w:b/>
          <w:color w:val="auto"/>
          <w:sz w:val="21"/>
          <w:szCs w:val="21"/>
          <w:highlight w:val="none"/>
        </w:rPr>
        <w:t>.6-1  本项目风险事故情形的设定</w:t>
      </w:r>
    </w:p>
    <w:tbl>
      <w:tblPr>
        <w:tblStyle w:val="21"/>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955"/>
        <w:gridCol w:w="1622"/>
        <w:gridCol w:w="1710"/>
        <w:gridCol w:w="3244"/>
      </w:tblGrid>
      <w:tr w14:paraId="137FB5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90" w:type="dxa"/>
            <w:noWrap w:val="0"/>
            <w:vAlign w:val="center"/>
          </w:tcPr>
          <w:p w14:paraId="17F09A4E">
            <w:pPr>
              <w:pStyle w:val="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环境风险类型</w:t>
            </w:r>
          </w:p>
        </w:tc>
        <w:tc>
          <w:tcPr>
            <w:tcW w:w="955" w:type="dxa"/>
            <w:noWrap w:val="0"/>
            <w:vAlign w:val="center"/>
          </w:tcPr>
          <w:p w14:paraId="60675C29">
            <w:pPr>
              <w:pStyle w:val="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风险源</w:t>
            </w:r>
          </w:p>
        </w:tc>
        <w:tc>
          <w:tcPr>
            <w:tcW w:w="1622" w:type="dxa"/>
            <w:noWrap w:val="0"/>
            <w:vAlign w:val="center"/>
          </w:tcPr>
          <w:p w14:paraId="3A307633">
            <w:pPr>
              <w:pStyle w:val="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危险单元</w:t>
            </w:r>
          </w:p>
        </w:tc>
        <w:tc>
          <w:tcPr>
            <w:tcW w:w="1710" w:type="dxa"/>
            <w:noWrap w:val="0"/>
            <w:vAlign w:val="center"/>
          </w:tcPr>
          <w:p w14:paraId="6F12CB77">
            <w:pPr>
              <w:pStyle w:val="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危险物质</w:t>
            </w:r>
          </w:p>
        </w:tc>
        <w:tc>
          <w:tcPr>
            <w:tcW w:w="3244" w:type="dxa"/>
            <w:noWrap w:val="0"/>
            <w:vAlign w:val="center"/>
          </w:tcPr>
          <w:p w14:paraId="79E571E0">
            <w:pPr>
              <w:pStyle w:val="35"/>
              <w:keepNext w:val="0"/>
              <w:keepLines w:val="0"/>
              <w:suppressLineNumbers w:val="0"/>
              <w:spacing w:before="0" w:beforeAutospacing="0" w:after="0" w:afterAutospacing="0"/>
              <w:ind w:left="0" w:right="0"/>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最大可信事故</w:t>
            </w:r>
          </w:p>
        </w:tc>
      </w:tr>
      <w:tr w14:paraId="559C38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0" w:type="dxa"/>
            <w:noWrap w:val="0"/>
            <w:vAlign w:val="center"/>
          </w:tcPr>
          <w:p w14:paraId="17A20C30">
            <w:pPr>
              <w:pStyle w:val="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w:t>
            </w:r>
          </w:p>
        </w:tc>
        <w:tc>
          <w:tcPr>
            <w:tcW w:w="955" w:type="dxa"/>
            <w:noWrap w:val="0"/>
            <w:vAlign w:val="center"/>
          </w:tcPr>
          <w:p w14:paraId="572C5C05">
            <w:pPr>
              <w:pStyle w:val="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储运设施</w:t>
            </w:r>
          </w:p>
        </w:tc>
        <w:tc>
          <w:tcPr>
            <w:tcW w:w="1622" w:type="dxa"/>
            <w:noWrap w:val="0"/>
            <w:vAlign w:val="center"/>
          </w:tcPr>
          <w:p w14:paraId="5E38A883">
            <w:pPr>
              <w:pStyle w:val="35"/>
              <w:keepNext w:val="0"/>
              <w:keepLines w:val="0"/>
              <w:suppressLineNumbers w:val="0"/>
              <w:spacing w:before="0" w:beforeAutospacing="0" w:after="0" w:afterAutospacing="0"/>
              <w:ind w:left="0" w:right="0"/>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现有罐区（1#罐区）</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2#罐区</w:t>
            </w:r>
          </w:p>
        </w:tc>
        <w:tc>
          <w:tcPr>
            <w:tcW w:w="1710" w:type="dxa"/>
            <w:noWrap w:val="0"/>
            <w:vAlign w:val="center"/>
          </w:tcPr>
          <w:p w14:paraId="3215B672">
            <w:pPr>
              <w:pStyle w:val="35"/>
              <w:keepNext w:val="0"/>
              <w:keepLines w:val="0"/>
              <w:suppressLineNumbers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硫酸、发烟硫酸</w:t>
            </w:r>
          </w:p>
        </w:tc>
        <w:tc>
          <w:tcPr>
            <w:tcW w:w="3244" w:type="dxa"/>
            <w:noWrap w:val="0"/>
            <w:vAlign w:val="center"/>
          </w:tcPr>
          <w:p w14:paraId="2AE6837B">
            <w:pPr>
              <w:pStyle w:val="35"/>
              <w:keepNext w:val="0"/>
              <w:keepLines w:val="0"/>
              <w:suppressLineNumbers w:val="0"/>
              <w:spacing w:before="0" w:beforeAutospacing="0" w:after="0" w:afterAutospacing="0"/>
              <w:ind w:left="0" w:right="0"/>
              <w:rPr>
                <w:rFonts w:hint="eastAsia"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储罐破裂，泄漏后</w:t>
            </w:r>
            <w:r>
              <w:rPr>
                <w:rFonts w:hint="eastAsia" w:ascii="Times New Roman" w:hAnsi="Times New Roman" w:cs="Times New Roman"/>
                <w:color w:val="auto"/>
                <w:sz w:val="21"/>
                <w:szCs w:val="21"/>
                <w:highlight w:val="none"/>
                <w:lang w:eastAsia="zh-CN"/>
              </w:rPr>
              <w:t>酸</w:t>
            </w:r>
            <w:r>
              <w:rPr>
                <w:rFonts w:hint="eastAsia" w:cs="Times New Roman"/>
                <w:color w:val="auto"/>
                <w:sz w:val="21"/>
                <w:szCs w:val="21"/>
                <w:highlight w:val="none"/>
                <w:lang w:val="en-US" w:eastAsia="zh-CN"/>
              </w:rPr>
              <w:t>液</w:t>
            </w:r>
            <w:r>
              <w:rPr>
                <w:rFonts w:hint="eastAsia" w:ascii="Times New Roman" w:hAnsi="Times New Roman" w:cs="Times New Roman"/>
                <w:color w:val="auto"/>
                <w:sz w:val="21"/>
                <w:szCs w:val="21"/>
                <w:highlight w:val="none"/>
                <w:lang w:eastAsia="zh-CN"/>
              </w:rPr>
              <w:t>和挥发</w:t>
            </w:r>
            <w:r>
              <w:rPr>
                <w:rFonts w:hint="default" w:ascii="Times New Roman" w:hAnsi="Times New Roman" w:cs="Times New Roman"/>
                <w:color w:val="auto"/>
                <w:sz w:val="21"/>
                <w:szCs w:val="21"/>
                <w:highlight w:val="none"/>
              </w:rPr>
              <w:t>并扩散引起大气环境污染及风险伤害</w:t>
            </w:r>
            <w:r>
              <w:rPr>
                <w:rFonts w:hint="eastAsia" w:ascii="Times New Roman" w:hAnsi="Times New Roman" w:cs="Times New Roman"/>
                <w:color w:val="auto"/>
                <w:sz w:val="21"/>
                <w:szCs w:val="21"/>
                <w:highlight w:val="none"/>
                <w:lang w:eastAsia="zh-CN"/>
              </w:rPr>
              <w:t>；泄漏后</w:t>
            </w:r>
            <w:r>
              <w:rPr>
                <w:rFonts w:hint="eastAsia" w:cs="Times New Roman"/>
                <w:color w:val="auto"/>
                <w:sz w:val="21"/>
                <w:szCs w:val="21"/>
                <w:highlight w:val="none"/>
                <w:lang w:val="en-US" w:eastAsia="zh-CN"/>
              </w:rPr>
              <w:t>硫酸</w:t>
            </w:r>
            <w:r>
              <w:rPr>
                <w:rFonts w:hint="eastAsia" w:ascii="Times New Roman" w:hAnsi="Times New Roman" w:cs="Times New Roman"/>
                <w:color w:val="auto"/>
                <w:sz w:val="21"/>
                <w:szCs w:val="21"/>
                <w:highlight w:val="none"/>
                <w:lang w:eastAsia="zh-CN"/>
              </w:rPr>
              <w:t>流入水体引起水体污染及风险伤害。</w:t>
            </w:r>
          </w:p>
        </w:tc>
      </w:tr>
    </w:tbl>
    <w:p w14:paraId="4F232157">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风险事故情形设定原则：</w:t>
      </w:r>
    </w:p>
    <w:p w14:paraId="15B72030">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1、同一种危险物质可能有多种环境风险类型。风险事故情形应包括危险物质泄漏，以及火灾、爆炸等引发的伴生/次生污染物排放情形。对不同环境要素产生影响的风险事故情形，应分别进行设定。</w:t>
      </w:r>
    </w:p>
    <w:p w14:paraId="04F67BB7">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2、对于火灾、爆炸事故，需将事故中未完全燃烧的危险物质在高温下迅速挥发释放至大气，以及燃烧过程中产生的伴生/次生污染物对环境的影响作为风险事故情形设定的内容。</w:t>
      </w:r>
    </w:p>
    <w:p w14:paraId="34ECB635">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3、设定的风险事故情形发生可能性应处于合理的区间，并与经济技术发展水平相适应。一般而言，发生频率小于10</w:t>
      </w:r>
      <w:r>
        <w:rPr>
          <w:rFonts w:hint="default" w:ascii="Times New Roman" w:hAnsi="Times New Roman" w:cs="Times New Roman"/>
          <w:color w:val="auto"/>
          <w:sz w:val="24"/>
          <w:szCs w:val="24"/>
          <w:highlight w:val="none"/>
          <w:vertAlign w:val="superscript"/>
        </w:rPr>
        <w:t xml:space="preserve"> -6</w:t>
      </w:r>
      <w:r>
        <w:rPr>
          <w:rFonts w:hint="default" w:ascii="Times New Roman" w:hAnsi="Times New Roman" w:cs="Times New Roman"/>
          <w:color w:val="auto"/>
          <w:sz w:val="24"/>
          <w:szCs w:val="24"/>
          <w:highlight w:val="none"/>
        </w:rPr>
        <w:t xml:space="preserve"> /年的事件是极小概率事件，可作为代表性事故情形中最大可信事故设定的参考。</w:t>
      </w:r>
    </w:p>
    <w:p w14:paraId="15209850">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风险事故情形设定的不确定性与筛选。由于事故触发因素具有不确定性，因此事故情形的设定并不能包含全部可能的环境风险，但通过具有代表性的事故情形分析可为风险管理提供科学依据。事故情形的设定应在环境风险识别的基础上筛选，设定的事故情形应具有危险物质、环境危害、影响途径等方面的代表性。</w:t>
      </w:r>
    </w:p>
    <w:p w14:paraId="787B1775">
      <w:pPr>
        <w:pStyle w:val="4"/>
        <w:keepNext/>
        <w:keepLines/>
        <w:pageBreakBefore w:val="0"/>
        <w:widowControl w:val="0"/>
        <w:kinsoku/>
        <w:wordWrap/>
        <w:overflowPunct/>
        <w:topLinePunct w:val="0"/>
        <w:autoSpaceDE/>
        <w:autoSpaceDN/>
        <w:bidi w:val="0"/>
        <w:adjustRightInd/>
        <w:snapToGrid w:val="0"/>
        <w:spacing w:before="0" w:beforeLines="0" w:after="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.6.2 源项分析</w:t>
      </w:r>
    </w:p>
    <w:p w14:paraId="205E2201">
      <w:pPr>
        <w:pStyle w:val="5"/>
        <w:pageBreakBefore w:val="0"/>
        <w:widowControl w:val="0"/>
        <w:kinsoku/>
        <w:wordWrap/>
        <w:overflowPunct/>
        <w:topLinePunct w:val="0"/>
        <w:autoSpaceDE/>
        <w:autoSpaceDN/>
        <w:bidi w:val="0"/>
        <w:spacing w:beforeLines="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.6.2.1事故树分析</w:t>
      </w:r>
    </w:p>
    <w:p w14:paraId="4F7BC54C">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szCs w:val="24"/>
          <w:highlight w:val="none"/>
        </w:rPr>
        <w:t>本项目生产主要是火灾、爆炸事故及泄漏对环境的影响。项目顶端事故与基本事件关联见下图。</w:t>
      </w:r>
    </w:p>
    <w:p w14:paraId="3D0929BA">
      <w:pPr>
        <w:ind w:firstLine="0" w:firstLineChars="0"/>
        <w:jc w:val="center"/>
        <w:rPr>
          <w:rFonts w:hint="default" w:ascii="Times New Roman" w:hAnsi="Times New Roman" w:cs="Times New Roman"/>
          <w:bCs/>
          <w:color w:val="auto"/>
          <w:highlight w:val="none"/>
        </w:rPr>
      </w:pPr>
      <w:r>
        <w:rPr>
          <w:rFonts w:hint="default" w:ascii="Times New Roman" w:hAnsi="Times New Roman" w:cs="Times New Roman"/>
          <w:bCs/>
          <w:color w:val="auto"/>
          <w:highlight w:val="none"/>
        </w:rPr>
        <w:object>
          <v:shape id="_x0000_i1026" o:spt="75" type="#_x0000_t75" style="height:274.65pt;width:303.7pt;" o:ole="t" filled="f" o:preferrelative="t" stroked="f" coordsize="21600,21600">
            <v:path/>
            <v:fill on="f" focussize="0,0"/>
            <v:stroke on="f"/>
            <v:imagedata r:id="rId18" o:title=""/>
            <o:lock v:ext="edit" aspectratio="f"/>
            <w10:wrap type="none"/>
            <w10:anchorlock/>
          </v:shape>
          <o:OLEObject Type="Embed" ProgID="Visio.Drawing.11" ShapeID="_x0000_i1026" DrawAspect="Content" ObjectID="_1468075726" r:id="rId17">
            <o:LockedField>false</o:LockedField>
          </o:OLEObject>
        </w:object>
      </w:r>
    </w:p>
    <w:p w14:paraId="33BF3252">
      <w:pPr>
        <w:ind w:firstLine="482"/>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图</w:t>
      </w:r>
      <w:r>
        <w:rPr>
          <w:rFonts w:hint="eastAsia" w:ascii="Times New Roman" w:hAnsi="Times New Roman" w:cs="Times New Roman"/>
          <w:b/>
          <w:bCs/>
          <w:color w:val="auto"/>
          <w:highlight w:val="none"/>
          <w:lang w:val="en-US" w:eastAsia="zh-CN"/>
        </w:rPr>
        <w:t>1</w:t>
      </w:r>
      <w:r>
        <w:rPr>
          <w:rFonts w:hint="default" w:ascii="Times New Roman" w:hAnsi="Times New Roman" w:cs="Times New Roman"/>
          <w:b/>
          <w:bCs/>
          <w:color w:val="auto"/>
          <w:highlight w:val="none"/>
        </w:rPr>
        <w:t>.6-1顶端事故与基本事件关联图</w:t>
      </w:r>
    </w:p>
    <w:p w14:paraId="08660560">
      <w:pPr>
        <w:pStyle w:val="20"/>
        <w:keepNext w:val="0"/>
        <w:keepLines w:val="0"/>
        <w:pageBreakBefore w:val="0"/>
        <w:widowControl w:val="0"/>
        <w:kinsoku/>
        <w:wordWrap/>
        <w:overflowPunct/>
        <w:topLinePunct w:val="0"/>
        <w:autoSpaceDE/>
        <w:autoSpaceDN/>
        <w:bidi w:val="0"/>
        <w:adjustRightInd/>
        <w:snapToGrid/>
        <w:spacing w:line="450" w:lineRule="exact"/>
        <w:ind w:left="0" w:leftChars="0" w:firstLine="48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从上图中可知，燃烧爆炸是由两个“中间事件”（设备泄漏、火源</w:t>
      </w:r>
      <w:r>
        <w:rPr>
          <w:rFonts w:hint="eastAsia" w:cs="Times New Roman"/>
          <w:color w:val="auto"/>
          <w:sz w:val="24"/>
          <w:szCs w:val="24"/>
          <w:highlight w:val="none"/>
          <w:lang w:eastAsia="zh-CN"/>
        </w:rPr>
        <w:t>）</w:t>
      </w:r>
      <w:r>
        <w:rPr>
          <w:rFonts w:hint="default" w:ascii="Times New Roman" w:hAnsi="Times New Roman" w:cs="Times New Roman"/>
          <w:color w:val="auto"/>
          <w:sz w:val="24"/>
          <w:szCs w:val="24"/>
          <w:highlight w:val="none"/>
        </w:rPr>
        <w:t>同时发生所造成的。防止液体泄漏是防止发生燃爆事故的关键。另外，加强储罐区安全管理，采取避雷和防静电措施，严禁吸烟和动用明火，防止铁器撞击，防止产生静电火花以及罐区内电气设备要符合防火防爆要求等，也是防止燃爆事故发生的必要条件。</w:t>
      </w:r>
    </w:p>
    <w:p w14:paraId="785B3673">
      <w:pPr>
        <w:ind w:firstLine="480"/>
        <w:jc w:val="center"/>
        <w:rPr>
          <w:rFonts w:hint="default" w:ascii="Times New Roman" w:hAnsi="Times New Roman" w:cs="Times New Roman"/>
          <w:b/>
          <w:bCs/>
          <w:color w:val="auto"/>
          <w:highlight w:val="none"/>
        </w:rPr>
      </w:pPr>
      <w:r>
        <w:rPr>
          <w:rFonts w:hint="default" w:ascii="Times New Roman" w:hAnsi="Times New Roman" w:cs="Times New Roman"/>
          <w:color w:val="auto"/>
          <w:highlight w:val="none"/>
        </w:rPr>
        <w:object>
          <v:shape id="_x0000_i1027" o:spt="75" type="#_x0000_t75" style="height:161.85pt;width:403.05pt;" o:ole="t" filled="f" o:preferrelative="t" stroked="f" coordsize="21600,21600">
            <v:path/>
            <v:fill on="f" focussize="0,0"/>
            <v:stroke on="f"/>
            <v:imagedata r:id="rId20" o:title=""/>
            <o:lock v:ext="edit" aspectratio="t"/>
            <w10:wrap type="none"/>
            <w10:anchorlock/>
          </v:shape>
          <o:OLEObject Type="Embed" ProgID="Visio.Drawing.11" ShapeID="_x0000_i1027" DrawAspect="Content" ObjectID="_1468075727" r:id="rId19">
            <o:LockedField>false</o:LockedField>
          </o:OLEObject>
        </w:object>
      </w:r>
      <w:r>
        <w:rPr>
          <w:rFonts w:hint="default" w:ascii="Times New Roman" w:hAnsi="Times New Roman" w:cs="Times New Roman"/>
          <w:b/>
          <w:bCs/>
          <w:color w:val="auto"/>
          <w:highlight w:val="none"/>
        </w:rPr>
        <w:t>图7.6-2储罐管道系统事件树示意图</w:t>
      </w:r>
    </w:p>
    <w:p w14:paraId="6F8F72D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从上图中可知，槽车、罐、槽、管道等设备物料泄漏，可能引起燃爆危害事故或扩散污染事故。风险事故对环境的影响与泄漏时间及各种应急处理措施的有效性密切相关。</w:t>
      </w:r>
    </w:p>
    <w:p w14:paraId="1F28D26F">
      <w:pPr>
        <w:pStyle w:val="5"/>
        <w:pageBreakBefore w:val="0"/>
        <w:widowControl w:val="0"/>
        <w:kinsoku/>
        <w:wordWrap/>
        <w:overflowPunct/>
        <w:topLinePunct w:val="0"/>
        <w:autoSpaceDE/>
        <w:autoSpaceDN/>
        <w:bidi w:val="0"/>
        <w:adjustRightInd/>
        <w:snapToGrid/>
        <w:spacing w:beforeLines="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.6.2.2泄漏频率确定</w:t>
      </w:r>
    </w:p>
    <w:p w14:paraId="5D5119F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szCs w:val="24"/>
          <w:highlight w:val="none"/>
        </w:rPr>
        <w:t>泄漏事故类型如容器、管道、泵体、压缩机、装卸臂和装卸软管的泄漏和破裂等，泄漏频率详见表</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.6-2。</w:t>
      </w:r>
    </w:p>
    <w:p w14:paraId="75659F47">
      <w:pPr>
        <w:ind w:firstLine="482"/>
        <w:jc w:val="center"/>
        <w:rPr>
          <w:rFonts w:hint="default" w:ascii="Times New Roman" w:hAnsi="Times New Roman" w:cs="Times New Roman"/>
          <w:b/>
          <w:bCs/>
          <w:color w:val="auto"/>
          <w:highlight w:val="none"/>
        </w:rPr>
      </w:pPr>
      <w:r>
        <w:rPr>
          <w:rFonts w:hint="default" w:ascii="Times New Roman" w:hAnsi="Times New Roman" w:cs="Times New Roman"/>
          <w:b/>
          <w:color w:val="auto"/>
          <w:highlight w:val="none"/>
        </w:rPr>
        <w:t>表</w:t>
      </w:r>
      <w:r>
        <w:rPr>
          <w:rFonts w:hint="eastAsia" w:ascii="Times New Roman" w:hAnsi="Times New Roman" w:cs="Times New Roman"/>
          <w:b/>
          <w:color w:val="auto"/>
          <w:highlight w:val="none"/>
          <w:lang w:val="en-US" w:eastAsia="zh-CN"/>
        </w:rPr>
        <w:t>1</w:t>
      </w:r>
      <w:r>
        <w:rPr>
          <w:rFonts w:hint="default" w:ascii="Times New Roman" w:hAnsi="Times New Roman" w:cs="Times New Roman"/>
          <w:b/>
          <w:color w:val="auto"/>
          <w:highlight w:val="none"/>
        </w:rPr>
        <w:t>.6-2  泄漏频率表</w:t>
      </w:r>
    </w:p>
    <w:tbl>
      <w:tblPr>
        <w:tblStyle w:val="21"/>
        <w:tblW w:w="5000"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517"/>
        <w:gridCol w:w="3163"/>
        <w:gridCol w:w="2841"/>
      </w:tblGrid>
      <w:tr w14:paraId="1779D1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tcBorders>
              <w:top w:val="single" w:color="000000" w:sz="12" w:space="0"/>
              <w:bottom w:val="single" w:color="000000" w:sz="4" w:space="0"/>
            </w:tcBorders>
            <w:noWrap w:val="0"/>
            <w:vAlign w:val="center"/>
          </w:tcPr>
          <w:p w14:paraId="7083896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lang w:val="zh-CN"/>
              </w:rPr>
            </w:pPr>
            <w:r>
              <w:rPr>
                <w:rFonts w:hint="default" w:ascii="Times New Roman" w:hAnsi="Times New Roman" w:cs="Times New Roman"/>
                <w:b/>
                <w:color w:val="auto"/>
                <w:sz w:val="21"/>
                <w:szCs w:val="21"/>
                <w:highlight w:val="none"/>
                <w:lang w:val="zh-CN"/>
              </w:rPr>
              <w:t>部件类型</w:t>
            </w:r>
          </w:p>
        </w:tc>
        <w:tc>
          <w:tcPr>
            <w:tcW w:w="1856" w:type="pct"/>
            <w:tcBorders>
              <w:top w:val="single" w:color="000000" w:sz="12" w:space="0"/>
              <w:bottom w:val="single" w:color="000000" w:sz="4" w:space="0"/>
            </w:tcBorders>
            <w:noWrap w:val="0"/>
            <w:vAlign w:val="center"/>
          </w:tcPr>
          <w:p w14:paraId="743F3FE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lang w:val="zh-CN"/>
              </w:rPr>
            </w:pPr>
            <w:r>
              <w:rPr>
                <w:rFonts w:hint="default" w:ascii="Times New Roman" w:hAnsi="Times New Roman" w:cs="Times New Roman"/>
                <w:b/>
                <w:color w:val="auto"/>
                <w:sz w:val="21"/>
                <w:szCs w:val="21"/>
                <w:highlight w:val="none"/>
                <w:lang w:val="zh-CN"/>
              </w:rPr>
              <w:t>泄漏模式</w:t>
            </w:r>
          </w:p>
        </w:tc>
        <w:tc>
          <w:tcPr>
            <w:tcW w:w="1667" w:type="pct"/>
            <w:tcBorders>
              <w:top w:val="single" w:color="000000" w:sz="12" w:space="0"/>
              <w:bottom w:val="single" w:color="000000" w:sz="4" w:space="0"/>
            </w:tcBorders>
            <w:noWrap w:val="0"/>
            <w:vAlign w:val="center"/>
          </w:tcPr>
          <w:p w14:paraId="1D6F7F4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lang w:val="zh-CN"/>
              </w:rPr>
            </w:pPr>
            <w:r>
              <w:rPr>
                <w:rFonts w:hint="default" w:ascii="Times New Roman" w:hAnsi="Times New Roman" w:cs="Times New Roman"/>
                <w:b/>
                <w:color w:val="auto"/>
                <w:sz w:val="21"/>
                <w:szCs w:val="21"/>
                <w:highlight w:val="none"/>
                <w:lang w:val="zh-CN"/>
              </w:rPr>
              <w:t>泄漏概率</w:t>
            </w:r>
          </w:p>
        </w:tc>
      </w:tr>
      <w:tr w14:paraId="268CE4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tcBorders>
              <w:top w:val="single" w:color="000000" w:sz="4" w:space="0"/>
            </w:tcBorders>
            <w:noWrap w:val="0"/>
            <w:vAlign w:val="center"/>
          </w:tcPr>
          <w:p w14:paraId="7083780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反应器/工艺储罐/气体储罐/塔器</w:t>
            </w:r>
          </w:p>
        </w:tc>
        <w:tc>
          <w:tcPr>
            <w:tcW w:w="1856" w:type="pct"/>
            <w:tcBorders>
              <w:top w:val="single" w:color="000000" w:sz="4" w:space="0"/>
            </w:tcBorders>
            <w:noWrap w:val="0"/>
            <w:vAlign w:val="center"/>
          </w:tcPr>
          <w:p w14:paraId="7EC56DB7">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泄漏孔径为10 mm 孔径</w:t>
            </w:r>
          </w:p>
          <w:p w14:paraId="689B1001">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10 min 内储罐泄漏完</w:t>
            </w:r>
          </w:p>
          <w:p w14:paraId="07FB2ADE">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储罐全破裂</w:t>
            </w:r>
          </w:p>
        </w:tc>
        <w:tc>
          <w:tcPr>
            <w:tcW w:w="1667" w:type="pct"/>
            <w:tcBorders>
              <w:top w:val="single" w:color="000000" w:sz="4" w:space="0"/>
            </w:tcBorders>
            <w:noWrap w:val="0"/>
            <w:vAlign w:val="center"/>
          </w:tcPr>
          <w:p w14:paraId="54A60AC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1.00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-4</w:t>
            </w:r>
            <w:r>
              <w:rPr>
                <w:rFonts w:hint="default" w:ascii="Times New Roman" w:hAnsi="Times New Roman" w:cs="Times New Roman"/>
                <w:color w:val="auto"/>
                <w:kern w:val="0"/>
                <w:sz w:val="21"/>
                <w:szCs w:val="21"/>
                <w:highlight w:val="none"/>
              </w:rPr>
              <w:t>/a</w:t>
            </w:r>
          </w:p>
          <w:p w14:paraId="4B0E3A0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5.00×10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/a</w:t>
            </w:r>
          </w:p>
          <w:p w14:paraId="2F4A95A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5.00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/a</w:t>
            </w:r>
          </w:p>
        </w:tc>
      </w:tr>
      <w:tr w14:paraId="12DDCD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740A04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常压单包容储罐</w:t>
            </w:r>
          </w:p>
        </w:tc>
        <w:tc>
          <w:tcPr>
            <w:tcW w:w="1856" w:type="pct"/>
            <w:noWrap w:val="0"/>
            <w:vAlign w:val="center"/>
          </w:tcPr>
          <w:p w14:paraId="62E40A43">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泄漏孔径为10 mm 孔径</w:t>
            </w:r>
          </w:p>
          <w:p w14:paraId="509ED2DF">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10 min 内储罐泄漏完</w:t>
            </w:r>
          </w:p>
          <w:p w14:paraId="5DA35DC5">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储罐全破裂</w:t>
            </w:r>
          </w:p>
        </w:tc>
        <w:tc>
          <w:tcPr>
            <w:tcW w:w="1667" w:type="pct"/>
            <w:noWrap w:val="0"/>
            <w:vAlign w:val="center"/>
          </w:tcPr>
          <w:p w14:paraId="1B3C626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1.00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-4</w:t>
            </w:r>
            <w:r>
              <w:rPr>
                <w:rFonts w:hint="default" w:ascii="Times New Roman" w:hAnsi="Times New Roman" w:cs="Times New Roman"/>
                <w:color w:val="auto"/>
                <w:kern w:val="0"/>
                <w:sz w:val="21"/>
                <w:szCs w:val="21"/>
                <w:highlight w:val="none"/>
              </w:rPr>
              <w:t>/a</w:t>
            </w:r>
          </w:p>
          <w:p w14:paraId="7046F28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5.00×10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/a</w:t>
            </w:r>
          </w:p>
          <w:p w14:paraId="33FF55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5.00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/a</w:t>
            </w:r>
          </w:p>
        </w:tc>
      </w:tr>
      <w:tr w14:paraId="09074A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15509FC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常压双包容储罐</w:t>
            </w:r>
          </w:p>
        </w:tc>
        <w:tc>
          <w:tcPr>
            <w:tcW w:w="1856" w:type="pct"/>
            <w:noWrap w:val="0"/>
            <w:vAlign w:val="center"/>
          </w:tcPr>
          <w:p w14:paraId="637D22EF">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泄漏孔径为10 mm 孔径</w:t>
            </w:r>
          </w:p>
          <w:p w14:paraId="382E900D">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10 min 内储罐泄漏完</w:t>
            </w:r>
          </w:p>
          <w:p w14:paraId="38E3B59B">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储罐全破裂</w:t>
            </w:r>
          </w:p>
        </w:tc>
        <w:tc>
          <w:tcPr>
            <w:tcW w:w="1667" w:type="pct"/>
            <w:noWrap w:val="0"/>
            <w:vAlign w:val="center"/>
          </w:tcPr>
          <w:p w14:paraId="1CD54B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1.00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-4</w:t>
            </w:r>
            <w:r>
              <w:rPr>
                <w:rFonts w:hint="default" w:ascii="Times New Roman" w:hAnsi="Times New Roman" w:cs="Times New Roman"/>
                <w:color w:val="auto"/>
                <w:kern w:val="0"/>
                <w:sz w:val="21"/>
                <w:szCs w:val="21"/>
                <w:highlight w:val="none"/>
              </w:rPr>
              <w:t>/a</w:t>
            </w:r>
          </w:p>
          <w:p w14:paraId="507C372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5.00×10</w:t>
            </w:r>
            <w:r>
              <w:rPr>
                <w:rFonts w:hint="default" w:ascii="Times New Roman" w:hAnsi="Times New Roman" w:cs="Times New Roman"/>
                <w:color w:val="auto"/>
                <w:kern w:val="0"/>
                <w:sz w:val="21"/>
                <w:szCs w:val="21"/>
                <w:highlight w:val="none"/>
                <w:vertAlign w:val="superscript"/>
              </w:rPr>
              <w:t>-8</w:t>
            </w:r>
            <w:r>
              <w:rPr>
                <w:rFonts w:hint="default" w:ascii="Times New Roman" w:hAnsi="Times New Roman" w:cs="Times New Roman"/>
                <w:color w:val="auto"/>
                <w:kern w:val="0"/>
                <w:sz w:val="21"/>
                <w:szCs w:val="21"/>
                <w:highlight w:val="none"/>
              </w:rPr>
              <w:t>/a</w:t>
            </w:r>
          </w:p>
          <w:p w14:paraId="526DD2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5.00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-8</w:t>
            </w:r>
            <w:r>
              <w:rPr>
                <w:rFonts w:hint="default" w:ascii="Times New Roman" w:hAnsi="Times New Roman" w:cs="Times New Roman"/>
                <w:color w:val="auto"/>
                <w:kern w:val="0"/>
                <w:sz w:val="21"/>
                <w:szCs w:val="21"/>
                <w:highlight w:val="none"/>
              </w:rPr>
              <w:t>/a</w:t>
            </w:r>
          </w:p>
        </w:tc>
      </w:tr>
      <w:tr w14:paraId="11C326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3114EE1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常压全包容储罐</w:t>
            </w:r>
          </w:p>
        </w:tc>
        <w:tc>
          <w:tcPr>
            <w:tcW w:w="1856" w:type="pct"/>
            <w:noWrap w:val="0"/>
            <w:vAlign w:val="center"/>
          </w:tcPr>
          <w:p w14:paraId="53A8DCD8">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储罐全破裂</w:t>
            </w:r>
          </w:p>
        </w:tc>
        <w:tc>
          <w:tcPr>
            <w:tcW w:w="1667" w:type="pct"/>
            <w:noWrap w:val="0"/>
            <w:vAlign w:val="center"/>
          </w:tcPr>
          <w:p w14:paraId="28729D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-8</w:t>
            </w:r>
            <w:r>
              <w:rPr>
                <w:rFonts w:hint="default" w:ascii="Times New Roman" w:hAnsi="Times New Roman" w:cs="Times New Roman"/>
                <w:color w:val="auto"/>
                <w:kern w:val="0"/>
                <w:sz w:val="21"/>
                <w:szCs w:val="21"/>
                <w:highlight w:val="none"/>
              </w:rPr>
              <w:t>/a</w:t>
            </w:r>
          </w:p>
        </w:tc>
      </w:tr>
      <w:tr w14:paraId="623E55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7C7C63C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内径≤75mm 的管道</w:t>
            </w:r>
          </w:p>
        </w:tc>
        <w:tc>
          <w:tcPr>
            <w:tcW w:w="1856" w:type="pct"/>
            <w:noWrap w:val="0"/>
            <w:vAlign w:val="center"/>
          </w:tcPr>
          <w:p w14:paraId="507B25DA">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泄漏孔径为10%孔径</w:t>
            </w:r>
          </w:p>
          <w:p w14:paraId="3025B9BA">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全管径泄漏</w:t>
            </w:r>
          </w:p>
        </w:tc>
        <w:tc>
          <w:tcPr>
            <w:tcW w:w="1667" w:type="pct"/>
            <w:noWrap w:val="0"/>
            <w:vAlign w:val="center"/>
          </w:tcPr>
          <w:p w14:paraId="285D4B5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5.00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/（m.a）</w:t>
            </w:r>
          </w:p>
          <w:p w14:paraId="0C1114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1.00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/（m.a）</w:t>
            </w:r>
          </w:p>
        </w:tc>
      </w:tr>
      <w:tr w14:paraId="20D347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153E70E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75mm＜内径≤150mm 的管道</w:t>
            </w:r>
          </w:p>
        </w:tc>
        <w:tc>
          <w:tcPr>
            <w:tcW w:w="1856" w:type="pct"/>
            <w:noWrap w:val="0"/>
            <w:vAlign w:val="center"/>
          </w:tcPr>
          <w:p w14:paraId="65F76751">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泄漏孔径为10%孔径</w:t>
            </w:r>
          </w:p>
          <w:p w14:paraId="6D2C89C5">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全管径泄漏</w:t>
            </w:r>
          </w:p>
        </w:tc>
        <w:tc>
          <w:tcPr>
            <w:tcW w:w="1667" w:type="pct"/>
            <w:noWrap w:val="0"/>
            <w:vAlign w:val="center"/>
          </w:tcPr>
          <w:p w14:paraId="4C65DC7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2.00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/（m.a）</w:t>
            </w:r>
          </w:p>
          <w:p w14:paraId="5B0DBE4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3.00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-7</w:t>
            </w:r>
            <w:r>
              <w:rPr>
                <w:rFonts w:hint="default" w:ascii="Times New Roman" w:hAnsi="Times New Roman" w:cs="Times New Roman"/>
                <w:color w:val="auto"/>
                <w:kern w:val="0"/>
                <w:sz w:val="21"/>
                <w:szCs w:val="21"/>
                <w:highlight w:val="none"/>
              </w:rPr>
              <w:t>/（m.a）</w:t>
            </w:r>
          </w:p>
        </w:tc>
      </w:tr>
      <w:tr w14:paraId="2B39D9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64BE9A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内径＞150mm 的管道</w:t>
            </w:r>
          </w:p>
        </w:tc>
        <w:tc>
          <w:tcPr>
            <w:tcW w:w="1856" w:type="pct"/>
            <w:noWrap w:val="0"/>
            <w:vAlign w:val="center"/>
          </w:tcPr>
          <w:p w14:paraId="143C0E7F">
            <w:pPr>
              <w:keepNext w:val="0"/>
              <w:keepLines w:val="0"/>
              <w:suppressLineNumbers w:val="0"/>
              <w:autoSpaceDE w:val="0"/>
              <w:autoSpaceDN w:val="0"/>
              <w:adjustRightInd w:val="0"/>
              <w:spacing w:before="0" w:beforeAutospacing="0" w:after="0" w:afterAutospacing="0" w:line="240" w:lineRule="auto"/>
              <w:ind w:left="0" w:right="0" w:firstLine="0" w:firstLineChars="0"/>
              <w:jc w:val="left"/>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泄漏孔径为10%孔径（最大50 mm）</w:t>
            </w:r>
          </w:p>
          <w:p w14:paraId="618E0128">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kern w:val="0"/>
                <w:sz w:val="21"/>
                <w:szCs w:val="21"/>
                <w:highlight w:val="none"/>
              </w:rPr>
              <w:t>全管径泄漏</w:t>
            </w:r>
          </w:p>
        </w:tc>
        <w:tc>
          <w:tcPr>
            <w:tcW w:w="1667" w:type="pct"/>
            <w:noWrap w:val="0"/>
            <w:vAlign w:val="center"/>
          </w:tcPr>
          <w:p w14:paraId="129D12B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2.40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/（m.a）*</w:t>
            </w:r>
          </w:p>
          <w:p w14:paraId="103467B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-7</w:t>
            </w:r>
            <w:r>
              <w:rPr>
                <w:rFonts w:hint="default" w:ascii="Times New Roman" w:hAnsi="Times New Roman" w:cs="Times New Roman"/>
                <w:color w:val="auto"/>
                <w:kern w:val="0"/>
                <w:sz w:val="21"/>
                <w:szCs w:val="21"/>
                <w:highlight w:val="none"/>
              </w:rPr>
              <w:t>/（m.a）</w:t>
            </w:r>
          </w:p>
        </w:tc>
      </w:tr>
      <w:tr w14:paraId="44132E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2E8EBB9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泵体和压缩机</w:t>
            </w:r>
          </w:p>
        </w:tc>
        <w:tc>
          <w:tcPr>
            <w:tcW w:w="1856" w:type="pct"/>
            <w:noWrap w:val="0"/>
            <w:vAlign w:val="center"/>
          </w:tcPr>
          <w:p w14:paraId="5E22A844">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泵体和压缩机最大连接管泄漏孔径为10%孔径（最大50 mm）</w:t>
            </w:r>
          </w:p>
          <w:p w14:paraId="73CEBF35">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泵体和压缩机最大连接管全管径泄漏</w:t>
            </w:r>
          </w:p>
        </w:tc>
        <w:tc>
          <w:tcPr>
            <w:tcW w:w="1667" w:type="pct"/>
            <w:noWrap w:val="0"/>
            <w:vAlign w:val="center"/>
          </w:tcPr>
          <w:p w14:paraId="32D8BB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5.00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-4</w:t>
            </w:r>
            <w:r>
              <w:rPr>
                <w:rFonts w:hint="default" w:ascii="Times New Roman" w:hAnsi="Times New Roman" w:cs="Times New Roman"/>
                <w:color w:val="auto"/>
                <w:kern w:val="0"/>
                <w:sz w:val="21"/>
                <w:szCs w:val="21"/>
                <w:highlight w:val="none"/>
              </w:rPr>
              <w:t>/a</w:t>
            </w:r>
          </w:p>
          <w:p w14:paraId="603C481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kern w:val="0"/>
                <w:sz w:val="21"/>
                <w:szCs w:val="21"/>
                <w:highlight w:val="none"/>
              </w:rPr>
              <w:t>1.00×10</w:t>
            </w:r>
            <w:r>
              <w:rPr>
                <w:rFonts w:hint="default" w:ascii="Times New Roman" w:hAnsi="Times New Roman" w:cs="Times New Roman"/>
                <w:color w:val="auto"/>
                <w:kern w:val="0"/>
                <w:sz w:val="21"/>
                <w:szCs w:val="21"/>
                <w:highlight w:val="none"/>
                <w:vertAlign w:val="superscript"/>
              </w:rPr>
              <w:t>-4</w:t>
            </w:r>
            <w:r>
              <w:rPr>
                <w:rFonts w:hint="default" w:ascii="Times New Roman" w:hAnsi="Times New Roman" w:cs="Times New Roman"/>
                <w:color w:val="auto"/>
                <w:kern w:val="0"/>
                <w:sz w:val="21"/>
                <w:szCs w:val="21"/>
                <w:highlight w:val="none"/>
              </w:rPr>
              <w:t>/a</w:t>
            </w:r>
          </w:p>
        </w:tc>
      </w:tr>
      <w:tr w14:paraId="2EF109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5770DBD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装卸臂</w:t>
            </w:r>
          </w:p>
        </w:tc>
        <w:tc>
          <w:tcPr>
            <w:tcW w:w="1856" w:type="pct"/>
            <w:noWrap w:val="0"/>
            <w:vAlign w:val="center"/>
          </w:tcPr>
          <w:p w14:paraId="44FF5A88">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装卸臂连接管泄漏孔径为10%孔径（最大50 mm）</w:t>
            </w:r>
          </w:p>
          <w:p w14:paraId="478E061A">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装卸臂全管径泄漏</w:t>
            </w:r>
          </w:p>
        </w:tc>
        <w:tc>
          <w:tcPr>
            <w:tcW w:w="1667" w:type="pct"/>
            <w:noWrap w:val="0"/>
            <w:vAlign w:val="center"/>
          </w:tcPr>
          <w:p w14:paraId="5B9441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3.00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-7</w:t>
            </w:r>
            <w:r>
              <w:rPr>
                <w:rFonts w:hint="default" w:ascii="Times New Roman" w:hAnsi="Times New Roman" w:cs="Times New Roman"/>
                <w:color w:val="auto"/>
                <w:kern w:val="0"/>
                <w:sz w:val="21"/>
                <w:szCs w:val="21"/>
                <w:highlight w:val="none"/>
              </w:rPr>
              <w:t>/h</w:t>
            </w:r>
          </w:p>
          <w:p w14:paraId="6E79E17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kern w:val="0"/>
                <w:sz w:val="21"/>
                <w:szCs w:val="21"/>
                <w:highlight w:val="none"/>
              </w:rPr>
              <w:t>3.00×10</w:t>
            </w:r>
            <w:r>
              <w:rPr>
                <w:rFonts w:hint="default" w:ascii="Times New Roman" w:hAnsi="Times New Roman" w:cs="Times New Roman"/>
                <w:color w:val="auto"/>
                <w:kern w:val="0"/>
                <w:sz w:val="21"/>
                <w:szCs w:val="21"/>
                <w:highlight w:val="none"/>
                <w:vertAlign w:val="superscript"/>
              </w:rPr>
              <w:t>-8</w:t>
            </w:r>
            <w:r>
              <w:rPr>
                <w:rFonts w:hint="default" w:ascii="Times New Roman" w:hAnsi="Times New Roman" w:cs="Times New Roman"/>
                <w:color w:val="auto"/>
                <w:kern w:val="0"/>
                <w:sz w:val="21"/>
                <w:szCs w:val="21"/>
                <w:highlight w:val="none"/>
              </w:rPr>
              <w:t>/h</w:t>
            </w:r>
          </w:p>
        </w:tc>
      </w:tr>
      <w:tr w14:paraId="6102AAD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77" w:type="pct"/>
            <w:noWrap w:val="0"/>
            <w:vAlign w:val="center"/>
          </w:tcPr>
          <w:p w14:paraId="58E975C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装卸软管</w:t>
            </w:r>
          </w:p>
        </w:tc>
        <w:tc>
          <w:tcPr>
            <w:tcW w:w="1856" w:type="pct"/>
            <w:noWrap w:val="0"/>
            <w:vAlign w:val="center"/>
          </w:tcPr>
          <w:p w14:paraId="5039A5D6">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装卸软管连接管泄漏孔径为10%孔径（最大50mm）</w:t>
            </w:r>
          </w:p>
          <w:p w14:paraId="206E7730">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装卸软管全管径泄漏</w:t>
            </w:r>
          </w:p>
        </w:tc>
        <w:tc>
          <w:tcPr>
            <w:tcW w:w="1667" w:type="pct"/>
            <w:noWrap w:val="0"/>
            <w:vAlign w:val="center"/>
          </w:tcPr>
          <w:p w14:paraId="7A70A35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lang w:val="zh-CN"/>
              </w:rPr>
              <w:t>4.00</w:t>
            </w:r>
            <w:r>
              <w:rPr>
                <w:rFonts w:hint="default" w:ascii="Times New Roman" w:hAnsi="Times New Roman" w:cs="Times New Roman"/>
                <w:color w:val="auto"/>
                <w:kern w:val="0"/>
                <w:sz w:val="21"/>
                <w:szCs w:val="21"/>
                <w:highlight w:val="none"/>
              </w:rPr>
              <w:t>×10</w:t>
            </w:r>
            <w:r>
              <w:rPr>
                <w:rFonts w:hint="default" w:ascii="Times New Roman" w:hAnsi="Times New Roman" w:cs="Times New Roman"/>
                <w:color w:val="auto"/>
                <w:kern w:val="0"/>
                <w:sz w:val="21"/>
                <w:szCs w:val="21"/>
                <w:highlight w:val="none"/>
                <w:vertAlign w:val="superscript"/>
              </w:rPr>
              <w:t>-5</w:t>
            </w:r>
            <w:r>
              <w:rPr>
                <w:rFonts w:hint="default" w:ascii="Times New Roman" w:hAnsi="Times New Roman" w:cs="Times New Roman"/>
                <w:color w:val="auto"/>
                <w:kern w:val="0"/>
                <w:sz w:val="21"/>
                <w:szCs w:val="21"/>
                <w:highlight w:val="none"/>
              </w:rPr>
              <w:t>/h</w:t>
            </w:r>
          </w:p>
          <w:p w14:paraId="642CB2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kern w:val="0"/>
                <w:sz w:val="21"/>
                <w:szCs w:val="21"/>
                <w:highlight w:val="none"/>
              </w:rPr>
              <w:t>4.00×10</w:t>
            </w:r>
            <w:r>
              <w:rPr>
                <w:rFonts w:hint="default" w:ascii="Times New Roman" w:hAnsi="Times New Roman" w:cs="Times New Roman"/>
                <w:color w:val="auto"/>
                <w:kern w:val="0"/>
                <w:sz w:val="21"/>
                <w:szCs w:val="21"/>
                <w:highlight w:val="none"/>
                <w:vertAlign w:val="superscript"/>
              </w:rPr>
              <w:t>-6</w:t>
            </w:r>
            <w:r>
              <w:rPr>
                <w:rFonts w:hint="default" w:ascii="Times New Roman" w:hAnsi="Times New Roman" w:cs="Times New Roman"/>
                <w:color w:val="auto"/>
                <w:kern w:val="0"/>
                <w:sz w:val="21"/>
                <w:szCs w:val="21"/>
                <w:highlight w:val="none"/>
              </w:rPr>
              <w:t>/h</w:t>
            </w:r>
          </w:p>
        </w:tc>
      </w:tr>
      <w:tr w14:paraId="3CD0E3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000" w:type="pct"/>
            <w:gridSpan w:val="3"/>
            <w:noWrap w:val="0"/>
            <w:vAlign w:val="center"/>
          </w:tcPr>
          <w:p w14:paraId="2D6BDC05">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zh-CN"/>
              </w:rPr>
              <w:t>注</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zh-CN"/>
              </w:rPr>
              <w:t>以上数据来源于荷兰</w:t>
            </w:r>
            <w:r>
              <w:rPr>
                <w:rFonts w:hint="default" w:ascii="Times New Roman" w:hAnsi="Times New Roman" w:cs="Times New Roman"/>
                <w:color w:val="auto"/>
                <w:sz w:val="21"/>
                <w:szCs w:val="21"/>
                <w:highlight w:val="none"/>
              </w:rPr>
              <w:t xml:space="preserve">TNO </w:t>
            </w:r>
            <w:r>
              <w:rPr>
                <w:rFonts w:hint="default" w:ascii="Times New Roman" w:hAnsi="Times New Roman" w:cs="Times New Roman"/>
                <w:color w:val="auto"/>
                <w:sz w:val="21"/>
                <w:szCs w:val="21"/>
                <w:highlight w:val="none"/>
                <w:lang w:val="zh-CN"/>
              </w:rPr>
              <w:t>紫皮书</w:t>
            </w:r>
            <w:r>
              <w:rPr>
                <w:rFonts w:hint="default" w:ascii="Times New Roman" w:hAnsi="Times New Roman" w:cs="Times New Roman"/>
                <w:color w:val="auto"/>
                <w:sz w:val="21"/>
                <w:szCs w:val="21"/>
                <w:highlight w:val="none"/>
              </w:rPr>
              <w:t>（Guidelines for Quantitative）</w:t>
            </w:r>
            <w:r>
              <w:rPr>
                <w:rFonts w:hint="default" w:ascii="Times New Roman" w:hAnsi="Times New Roman" w:cs="Times New Roman"/>
                <w:color w:val="auto"/>
                <w:sz w:val="21"/>
                <w:szCs w:val="21"/>
                <w:highlight w:val="none"/>
                <w:lang w:val="zh-CN"/>
              </w:rPr>
              <w:t>以及</w:t>
            </w:r>
            <w:r>
              <w:rPr>
                <w:rFonts w:hint="default" w:ascii="Times New Roman" w:hAnsi="Times New Roman" w:cs="Times New Roman"/>
                <w:color w:val="auto"/>
                <w:sz w:val="21"/>
                <w:szCs w:val="21"/>
                <w:highlight w:val="none"/>
              </w:rPr>
              <w:t>Reference Manual Bevi Risk Assessments；</w:t>
            </w:r>
          </w:p>
          <w:p w14:paraId="2739407E">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*来源于国际油气协会（International Association of Oil &amp;Gas Producers）发布的RiskAssessment Data Directory</w:t>
            </w:r>
            <w:r>
              <w:rPr>
                <w:rFonts w:hint="eastAsia" w:cs="Times New Roman"/>
                <w:color w:val="auto"/>
                <w:sz w:val="21"/>
                <w:szCs w:val="21"/>
                <w:highlight w:val="none"/>
                <w:lang w:val="zh-CN"/>
              </w:rPr>
              <w:t>（</w:t>
            </w:r>
            <w:r>
              <w:rPr>
                <w:rFonts w:hint="default" w:ascii="Times New Roman" w:hAnsi="Times New Roman" w:cs="Times New Roman"/>
                <w:color w:val="auto"/>
                <w:sz w:val="21"/>
                <w:szCs w:val="21"/>
                <w:highlight w:val="none"/>
                <w:lang w:val="zh-CN"/>
              </w:rPr>
              <w:t>2010,3</w:t>
            </w:r>
            <w:r>
              <w:rPr>
                <w:rFonts w:hint="eastAsia" w:cs="Times New Roman"/>
                <w:color w:val="auto"/>
                <w:sz w:val="21"/>
                <w:szCs w:val="21"/>
                <w:highlight w:val="none"/>
                <w:lang w:val="zh-CN"/>
              </w:rPr>
              <w:t>）</w:t>
            </w:r>
            <w:r>
              <w:rPr>
                <w:rFonts w:hint="default" w:ascii="Times New Roman" w:hAnsi="Times New Roman" w:cs="Times New Roman"/>
                <w:color w:val="auto"/>
                <w:sz w:val="21"/>
                <w:szCs w:val="21"/>
                <w:highlight w:val="none"/>
                <w:lang w:val="zh-CN"/>
              </w:rPr>
              <w:t>。</w:t>
            </w:r>
          </w:p>
        </w:tc>
      </w:tr>
    </w:tbl>
    <w:p w14:paraId="5F0E9793">
      <w:pPr>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根据上表结合</w:t>
      </w:r>
      <w:r>
        <w:rPr>
          <w:rFonts w:hint="eastAsia" w:cs="Times New Roman"/>
          <w:color w:val="auto"/>
          <w:sz w:val="24"/>
          <w:szCs w:val="24"/>
          <w:highlight w:val="none"/>
          <w:lang w:val="en-US" w:eastAsia="zh-CN"/>
        </w:rPr>
        <w:t>本</w:t>
      </w:r>
      <w:r>
        <w:rPr>
          <w:rFonts w:hint="default" w:ascii="Times New Roman" w:hAnsi="Times New Roman" w:cs="Times New Roman"/>
          <w:color w:val="auto"/>
          <w:sz w:val="24"/>
          <w:szCs w:val="24"/>
          <w:highlight w:val="none"/>
        </w:rPr>
        <w:t>项目</w:t>
      </w:r>
      <w:r>
        <w:rPr>
          <w:rFonts w:hint="eastAsia" w:cs="Times New Roman"/>
          <w:color w:val="auto"/>
          <w:sz w:val="24"/>
          <w:szCs w:val="24"/>
          <w:highlight w:val="none"/>
          <w:lang w:eastAsia="zh-CN"/>
        </w:rPr>
        <w:t>及现有罐区</w:t>
      </w:r>
      <w:r>
        <w:rPr>
          <w:rFonts w:hint="default" w:ascii="Times New Roman" w:hAnsi="Times New Roman" w:cs="Times New Roman"/>
          <w:color w:val="auto"/>
          <w:sz w:val="24"/>
          <w:szCs w:val="24"/>
          <w:highlight w:val="none"/>
        </w:rPr>
        <w:t>风险源类型和特点，本</w:t>
      </w:r>
      <w:r>
        <w:rPr>
          <w:rFonts w:hint="eastAsia" w:cs="Times New Roman"/>
          <w:color w:val="auto"/>
          <w:sz w:val="24"/>
          <w:szCs w:val="24"/>
          <w:highlight w:val="none"/>
          <w:lang w:eastAsia="zh-CN"/>
        </w:rPr>
        <w:t>项目及现有罐区</w:t>
      </w:r>
      <w:r>
        <w:rPr>
          <w:rFonts w:hint="default" w:ascii="Times New Roman" w:hAnsi="Times New Roman" w:cs="Times New Roman"/>
          <w:color w:val="auto"/>
          <w:sz w:val="24"/>
          <w:szCs w:val="24"/>
          <w:highlight w:val="none"/>
        </w:rPr>
        <w:t>目风险评价的最大可信事故设定如下：</w:t>
      </w:r>
    </w:p>
    <w:p w14:paraId="25F6EF73">
      <w:pPr>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发烟硫酸</w:t>
      </w:r>
      <w:r>
        <w:rPr>
          <w:rFonts w:hint="default" w:ascii="Times New Roman" w:hAnsi="Times New Roman" w:cs="Times New Roman"/>
          <w:color w:val="auto"/>
          <w:sz w:val="24"/>
          <w:szCs w:val="24"/>
          <w:highlight w:val="none"/>
        </w:rPr>
        <w:t>泄漏事故：</w:t>
      </w:r>
      <w:r>
        <w:rPr>
          <w:rFonts w:hint="eastAsia" w:cs="Times New Roman"/>
          <w:color w:val="auto"/>
          <w:sz w:val="24"/>
          <w:szCs w:val="24"/>
          <w:highlight w:val="none"/>
          <w:lang w:val="en-US" w:eastAsia="zh-CN"/>
        </w:rPr>
        <w:t>发烟硫酸</w:t>
      </w:r>
      <w:r>
        <w:rPr>
          <w:rFonts w:hint="default" w:ascii="Times New Roman" w:hAnsi="Times New Roman" w:cs="Times New Roman"/>
          <w:color w:val="auto"/>
          <w:sz w:val="24"/>
          <w:szCs w:val="24"/>
          <w:highlight w:val="none"/>
        </w:rPr>
        <w:t>储罐为</w:t>
      </w:r>
      <w:r>
        <w:rPr>
          <w:rFonts w:hint="eastAsia" w:ascii="Times New Roman" w:hAnsi="Times New Roman" w:cs="Times New Roman"/>
          <w:color w:val="auto"/>
          <w:sz w:val="24"/>
          <w:szCs w:val="24"/>
          <w:highlight w:val="none"/>
          <w:lang w:eastAsia="zh-CN"/>
        </w:rPr>
        <w:t>液体</w:t>
      </w:r>
      <w:r>
        <w:rPr>
          <w:rFonts w:hint="default" w:ascii="Times New Roman" w:hAnsi="Times New Roman" w:cs="Times New Roman"/>
          <w:color w:val="auto"/>
          <w:sz w:val="24"/>
          <w:szCs w:val="24"/>
          <w:highlight w:val="none"/>
        </w:rPr>
        <w:t>储罐，考虑储罐</w:t>
      </w:r>
      <w:r>
        <w:rPr>
          <w:rFonts w:hint="eastAsia" w:cs="Times New Roman"/>
          <w:color w:val="auto"/>
          <w:sz w:val="24"/>
          <w:szCs w:val="24"/>
          <w:highlight w:val="none"/>
          <w:lang w:eastAsia="zh-CN"/>
        </w:rPr>
        <w:t>连接管件</w:t>
      </w:r>
      <w:r>
        <w:rPr>
          <w:rFonts w:hint="default" w:ascii="Times New Roman" w:hAnsi="Times New Roman" w:cs="Times New Roman"/>
          <w:color w:val="auto"/>
          <w:sz w:val="24"/>
          <w:szCs w:val="24"/>
          <w:highlight w:val="none"/>
        </w:rPr>
        <w:t>破裂，泄漏</w:t>
      </w:r>
      <w:r>
        <w:rPr>
          <w:rFonts w:hint="eastAsia" w:cs="Times New Roman"/>
          <w:color w:val="auto"/>
          <w:sz w:val="24"/>
          <w:szCs w:val="24"/>
          <w:highlight w:val="none"/>
          <w:lang w:eastAsia="zh-CN"/>
        </w:rPr>
        <w:t>模式取</w:t>
      </w:r>
      <w:r>
        <w:rPr>
          <w:rFonts w:hint="default" w:ascii="Times New Roman" w:hAnsi="Times New Roman" w:cs="Times New Roman"/>
          <w:color w:val="auto"/>
          <w:sz w:val="24"/>
          <w:szCs w:val="24"/>
          <w:highlight w:val="none"/>
          <w:lang w:val="zh-CN"/>
        </w:rPr>
        <w:t>泄漏孔径为10%孔径</w:t>
      </w:r>
      <w:r>
        <w:rPr>
          <w:rFonts w:hint="eastAsia" w:cs="Times New Roman"/>
          <w:color w:val="auto"/>
          <w:sz w:val="24"/>
          <w:szCs w:val="24"/>
          <w:highlight w:val="none"/>
          <w:lang w:val="zh-CN"/>
        </w:rPr>
        <w:t>，</w:t>
      </w:r>
      <w:r>
        <w:rPr>
          <w:rFonts w:hint="default" w:ascii="Times New Roman" w:hAnsi="Times New Roman" w:cs="Times New Roman"/>
          <w:color w:val="auto"/>
          <w:sz w:val="24"/>
          <w:szCs w:val="24"/>
          <w:highlight w:val="none"/>
        </w:rPr>
        <w:t>概率为</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.00×10</w:t>
      </w:r>
      <w:r>
        <w:rPr>
          <w:rFonts w:hint="default" w:ascii="Times New Roman" w:hAnsi="Times New Roman" w:cs="Times New Roman"/>
          <w:color w:val="auto"/>
          <w:sz w:val="24"/>
          <w:szCs w:val="24"/>
          <w:highlight w:val="none"/>
          <w:vertAlign w:val="superscript"/>
        </w:rPr>
        <w:t>-6</w:t>
      </w:r>
      <w:r>
        <w:rPr>
          <w:rFonts w:hint="default" w:ascii="Times New Roman" w:hAnsi="Times New Roman" w:cs="Times New Roman"/>
          <w:color w:val="auto"/>
          <w:sz w:val="24"/>
          <w:szCs w:val="24"/>
          <w:highlight w:val="none"/>
        </w:rPr>
        <w:t>/a。</w:t>
      </w:r>
    </w:p>
    <w:p w14:paraId="52C655AD">
      <w:pPr>
        <w:pStyle w:val="5"/>
        <w:pageBreakBefore w:val="0"/>
        <w:widowControl w:val="0"/>
        <w:kinsoku/>
        <w:wordWrap/>
        <w:overflowPunct/>
        <w:topLinePunct w:val="0"/>
        <w:autoSpaceDE/>
        <w:autoSpaceDN/>
        <w:bidi w:val="0"/>
        <w:spacing w:beforeLines="0" w:afterLines="0" w:line="360" w:lineRule="auto"/>
        <w:ind w:left="0" w:leftChars="0"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.6.2.3 事故源强的确定</w:t>
      </w:r>
    </w:p>
    <w:p w14:paraId="4FE338D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本次环评主要针对有毒有害物质对大气影响进行分析，确定分析因子为</w:t>
      </w:r>
      <w:r>
        <w:rPr>
          <w:rFonts w:hint="eastAsia" w:cs="Times New Roman"/>
          <w:color w:val="auto"/>
          <w:sz w:val="24"/>
          <w:szCs w:val="24"/>
          <w:highlight w:val="none"/>
          <w:lang w:val="en-US" w:eastAsia="zh-CN"/>
        </w:rPr>
        <w:t>发烟硫酸</w:t>
      </w:r>
      <w:r>
        <w:rPr>
          <w:rFonts w:hint="eastAsia" w:cs="Times New Roman"/>
          <w:color w:val="auto"/>
          <w:sz w:val="24"/>
          <w:szCs w:val="24"/>
          <w:highlight w:val="none"/>
          <w:lang w:eastAsia="zh-CN"/>
        </w:rPr>
        <w:t>泄漏挥发</w:t>
      </w:r>
      <w:r>
        <w:rPr>
          <w:rFonts w:hint="eastAsia" w:cs="Times New Roman"/>
          <w:color w:val="auto"/>
          <w:sz w:val="24"/>
          <w:szCs w:val="24"/>
          <w:highlight w:val="none"/>
          <w:lang w:val="en-US" w:eastAsia="zh-CN"/>
        </w:rPr>
        <w:t>的三氧化硫</w:t>
      </w:r>
      <w:r>
        <w:rPr>
          <w:rFonts w:hint="default" w:ascii="Times New Roman" w:hAnsi="Times New Roman" w:cs="Times New Roman"/>
          <w:color w:val="auto"/>
          <w:sz w:val="24"/>
          <w:szCs w:val="24"/>
          <w:highlight w:val="none"/>
        </w:rPr>
        <w:t>。</w:t>
      </w:r>
    </w:p>
    <w:p w14:paraId="6C404C28">
      <w:pPr>
        <w:pStyle w:val="6"/>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硫酸</w:t>
      </w:r>
      <w:r>
        <w:rPr>
          <w:rFonts w:hint="default"/>
          <w:color w:val="auto"/>
          <w:sz w:val="24"/>
          <w:szCs w:val="24"/>
          <w:highlight w:val="none"/>
        </w:rPr>
        <w:t>储罐泄漏</w:t>
      </w:r>
      <w:r>
        <w:rPr>
          <w:rFonts w:hint="eastAsia"/>
          <w:color w:val="auto"/>
          <w:sz w:val="24"/>
          <w:szCs w:val="24"/>
          <w:highlight w:val="none"/>
          <w:lang w:val="en-US" w:eastAsia="zh-CN"/>
        </w:rPr>
        <w:t>三氧化硫</w:t>
      </w:r>
      <w:r>
        <w:rPr>
          <w:rFonts w:hint="default"/>
          <w:color w:val="auto"/>
          <w:sz w:val="24"/>
          <w:szCs w:val="24"/>
          <w:highlight w:val="none"/>
        </w:rPr>
        <w:t>挥发释放至大气</w:t>
      </w:r>
      <w:r>
        <w:rPr>
          <w:rFonts w:hint="default"/>
          <w:color w:val="auto"/>
          <w:sz w:val="24"/>
          <w:szCs w:val="24"/>
          <w:highlight w:val="none"/>
          <w:lang w:eastAsia="zh-CN"/>
        </w:rPr>
        <w:t>情形</w:t>
      </w:r>
      <w:r>
        <w:rPr>
          <w:rFonts w:hint="default"/>
          <w:color w:val="auto"/>
          <w:sz w:val="24"/>
          <w:szCs w:val="24"/>
          <w:highlight w:val="none"/>
          <w:lang w:val="en-US" w:eastAsia="zh-CN"/>
        </w:rPr>
        <w:t>源强核算</w:t>
      </w:r>
    </w:p>
    <w:p w14:paraId="2EA290D1">
      <w:pPr>
        <w:adjustRightInd w:val="0"/>
        <w:spacing w:line="360" w:lineRule="auto"/>
        <w:ind w:firstLine="480" w:firstLineChars="200"/>
        <w:rPr>
          <w:rFonts w:hint="default" w:ascii="Times New Roman" w:hAnsi="Times New Roman" w:cs="Times New Roman"/>
          <w:color w:val="auto"/>
          <w:sz w:val="24"/>
          <w:szCs w:val="22"/>
          <w:highlight w:val="none"/>
          <w:lang w:val="zh-CN"/>
        </w:rPr>
      </w:pPr>
      <w:r>
        <w:rPr>
          <w:rFonts w:hint="default" w:ascii="Times New Roman" w:hAnsi="Times New Roman" w:cs="Times New Roman"/>
          <w:color w:val="auto"/>
          <w:sz w:val="24"/>
          <w:szCs w:val="22"/>
          <w:highlight w:val="none"/>
          <w:lang w:val="zh-CN"/>
        </w:rPr>
        <w:t>本次评价设定泄漏口孔径</w:t>
      </w:r>
      <w:r>
        <w:rPr>
          <w:rFonts w:hint="default" w:ascii="Times New Roman" w:hAnsi="Times New Roman" w:cs="Times New Roman"/>
          <w:color w:val="auto"/>
          <w:sz w:val="24"/>
          <w:szCs w:val="22"/>
          <w:highlight w:val="none"/>
          <w:lang w:val="en-US" w:eastAsia="zh-CN"/>
        </w:rPr>
        <w:t>5</w:t>
      </w:r>
      <w:r>
        <w:rPr>
          <w:rFonts w:hint="default" w:ascii="Times New Roman" w:hAnsi="Times New Roman" w:cs="Times New Roman"/>
          <w:color w:val="auto"/>
          <w:sz w:val="24"/>
          <w:szCs w:val="22"/>
          <w:highlight w:val="none"/>
          <w:lang w:val="zh-CN"/>
        </w:rPr>
        <w:t>0mm，事故发生后安全系统报警，在10min内泄漏得到控制，其泄漏速度Q</w:t>
      </w:r>
      <w:r>
        <w:rPr>
          <w:rFonts w:hint="default" w:ascii="Times New Roman" w:hAnsi="Times New Roman" w:cs="Times New Roman"/>
          <w:color w:val="auto"/>
          <w:sz w:val="24"/>
          <w:szCs w:val="22"/>
          <w:highlight w:val="none"/>
          <w:vertAlign w:val="subscript"/>
          <w:lang w:val="zh-CN"/>
        </w:rPr>
        <w:t>L</w:t>
      </w:r>
      <w:r>
        <w:rPr>
          <w:rFonts w:hint="default" w:ascii="Times New Roman" w:hAnsi="Times New Roman" w:cs="Times New Roman"/>
          <w:color w:val="auto"/>
          <w:sz w:val="24"/>
          <w:szCs w:val="22"/>
          <w:highlight w:val="none"/>
          <w:lang w:val="zh-CN"/>
        </w:rPr>
        <w:t>利用下面</w:t>
      </w:r>
      <w:r>
        <w:rPr>
          <w:rFonts w:hint="eastAsia" w:cs="Times New Roman"/>
          <w:color w:val="auto"/>
          <w:sz w:val="24"/>
          <w:szCs w:val="22"/>
          <w:highlight w:val="none"/>
          <w:lang w:val="zh-CN"/>
        </w:rPr>
        <w:t>的伯努利</w:t>
      </w:r>
      <w:r>
        <w:rPr>
          <w:rFonts w:hint="default" w:ascii="Times New Roman" w:hAnsi="Times New Roman" w:cs="Times New Roman"/>
          <w:color w:val="auto"/>
          <w:sz w:val="24"/>
          <w:szCs w:val="22"/>
          <w:highlight w:val="none"/>
          <w:lang w:val="zh-CN"/>
        </w:rPr>
        <w:t>方程进行计算：</w:t>
      </w:r>
    </w:p>
    <w:p w14:paraId="7DDA702B">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4"/>
          <w:szCs w:val="24"/>
          <w:highlight w:val="none"/>
        </w:rPr>
        <w:drawing>
          <wp:anchor distT="0" distB="0" distL="114300" distR="114300" simplePos="0" relativeHeight="251660288" behindDoc="0" locked="0" layoutInCell="1" allowOverlap="1">
            <wp:simplePos x="0" y="0"/>
            <wp:positionH relativeFrom="column">
              <wp:posOffset>661670</wp:posOffset>
            </wp:positionH>
            <wp:positionV relativeFrom="paragraph">
              <wp:posOffset>19050</wp:posOffset>
            </wp:positionV>
            <wp:extent cx="1633855" cy="544830"/>
            <wp:effectExtent l="0" t="0" r="12065" b="3810"/>
            <wp:wrapTopAndBottom/>
            <wp:docPr id="177" name="图片 42" descr="1565853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42" descr="1565853825(1)"/>
                    <pic:cNvPicPr>
                      <a:picLocks noChangeAspect="1"/>
                    </pic:cNvPicPr>
                  </pic:nvPicPr>
                  <pic:blipFill>
                    <a:blip r:embed="rId21"/>
                    <a:stretch>
                      <a:fillRect/>
                    </a:stretch>
                  </pic:blipFill>
                  <pic:spPr>
                    <a:xfrm>
                      <a:off x="0" y="0"/>
                      <a:ext cx="1633855" cy="544830"/>
                    </a:xfrm>
                    <a:prstGeom prst="rect">
                      <a:avLst/>
                    </a:prstGeom>
                    <a:noFill/>
                    <a:ln>
                      <a:noFill/>
                    </a:ln>
                  </pic:spPr>
                </pic:pic>
              </a:graphicData>
            </a:graphic>
          </wp:anchor>
        </w:drawing>
      </w:r>
      <w:r>
        <w:rPr>
          <w:rFonts w:hint="default" w:ascii="Times New Roman" w:hAnsi="Times New Roman" w:cs="Times New Roman"/>
          <w:color w:val="auto"/>
          <w:kern w:val="0"/>
          <w:sz w:val="24"/>
          <w:szCs w:val="24"/>
          <w:highlight w:val="none"/>
        </w:rPr>
        <w:t>式中：</w:t>
      </w:r>
    </w:p>
    <w:p w14:paraId="3ACEA145">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iCs/>
          <w:color w:val="auto"/>
          <w:kern w:val="0"/>
          <w:sz w:val="24"/>
          <w:szCs w:val="24"/>
          <w:highlight w:val="none"/>
        </w:rPr>
        <w:t>Q</w:t>
      </w:r>
      <w:r>
        <w:rPr>
          <w:rFonts w:hint="default" w:ascii="Times New Roman" w:hAnsi="Times New Roman" w:cs="Times New Roman"/>
          <w:iCs/>
          <w:color w:val="auto"/>
          <w:kern w:val="0"/>
          <w:sz w:val="24"/>
          <w:szCs w:val="24"/>
          <w:highlight w:val="none"/>
          <w:vertAlign w:val="subscript"/>
        </w:rPr>
        <w:t>L</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液体泄漏速率，kg/s；</w:t>
      </w:r>
    </w:p>
    <w:p w14:paraId="2F7FE807">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iCs/>
          <w:color w:val="auto"/>
          <w:kern w:val="0"/>
          <w:sz w:val="24"/>
          <w:szCs w:val="24"/>
          <w:highlight w:val="none"/>
        </w:rPr>
        <w:t>C</w:t>
      </w:r>
      <w:r>
        <w:rPr>
          <w:rFonts w:hint="default" w:ascii="Times New Roman" w:hAnsi="Times New Roman" w:cs="Times New Roman"/>
          <w:iCs/>
          <w:color w:val="auto"/>
          <w:kern w:val="0"/>
          <w:sz w:val="24"/>
          <w:szCs w:val="24"/>
          <w:highlight w:val="none"/>
          <w:vertAlign w:val="subscript"/>
        </w:rPr>
        <w:t>d</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液体泄漏系数，按导则附录F表F.1选取，取0.65；</w:t>
      </w:r>
    </w:p>
    <w:p w14:paraId="7C050C2C">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A——裂口面积，取</w:t>
      </w:r>
      <w:r>
        <w:rPr>
          <w:rFonts w:hint="default" w:ascii="Times New Roman" w:hAnsi="Times New Roman" w:cs="Times New Roman"/>
          <w:color w:val="auto"/>
          <w:kern w:val="0"/>
          <w:sz w:val="24"/>
          <w:szCs w:val="24"/>
          <w:highlight w:val="none"/>
          <w:lang w:val="en-US" w:eastAsia="zh-CN"/>
        </w:rPr>
        <w:t>0.0019625</w:t>
      </w:r>
      <w:r>
        <w:rPr>
          <w:rFonts w:hint="default" w:ascii="Times New Roman" w:hAnsi="Times New Roman" w:cs="Times New Roman"/>
          <w:color w:val="auto"/>
          <w:kern w:val="0"/>
          <w:sz w:val="24"/>
          <w:szCs w:val="24"/>
          <w:highlight w:val="none"/>
        </w:rPr>
        <w:t>m</w:t>
      </w:r>
      <w:r>
        <w:rPr>
          <w:rFonts w:hint="default" w:ascii="Times New Roman" w:hAnsi="Times New Roman" w:cs="Times New Roman"/>
          <w:color w:val="auto"/>
          <w:kern w:val="0"/>
          <w:sz w:val="24"/>
          <w:szCs w:val="24"/>
          <w:highlight w:val="none"/>
          <w:vertAlign w:val="superscript"/>
        </w:rPr>
        <w:t>2</w:t>
      </w:r>
      <w:r>
        <w:rPr>
          <w:rFonts w:hint="default" w:ascii="Times New Roman" w:hAnsi="Times New Roman" w:cs="Times New Roman"/>
          <w:color w:val="auto"/>
          <w:kern w:val="0"/>
          <w:sz w:val="24"/>
          <w:szCs w:val="24"/>
          <w:highlight w:val="none"/>
        </w:rPr>
        <w:t>；</w:t>
      </w:r>
    </w:p>
    <w:p w14:paraId="0B87F5E9">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eastAsia="TimesNewRomanPSMT" w:cs="Times New Roman"/>
          <w:color w:val="auto"/>
          <w:kern w:val="0"/>
          <w:sz w:val="24"/>
          <w:szCs w:val="24"/>
          <w:highlight w:val="none"/>
        </w:rPr>
        <w:t>ρ——</w:t>
      </w:r>
      <w:r>
        <w:rPr>
          <w:rFonts w:hint="default" w:ascii="Times New Roman" w:hAnsi="Times New Roman" w:cs="Times New Roman"/>
          <w:color w:val="auto"/>
          <w:kern w:val="0"/>
          <w:sz w:val="24"/>
          <w:szCs w:val="24"/>
          <w:highlight w:val="none"/>
        </w:rPr>
        <w:t>介质密度，</w:t>
      </w:r>
      <w:r>
        <w:rPr>
          <w:rFonts w:hint="eastAsia" w:cs="Times New Roman"/>
          <w:color w:val="auto"/>
          <w:kern w:val="0"/>
          <w:sz w:val="24"/>
          <w:szCs w:val="24"/>
          <w:highlight w:val="none"/>
          <w:lang w:val="en-US" w:eastAsia="zh-CN"/>
        </w:rPr>
        <w:t>105</w:t>
      </w:r>
      <w:r>
        <w:rPr>
          <w:rFonts w:hint="eastAsia" w:ascii="Times New Roman" w:hAnsi="Times New Roman" w:cs="Times New Roman"/>
          <w:color w:val="auto"/>
          <w:kern w:val="0"/>
          <w:sz w:val="24"/>
          <w:szCs w:val="24"/>
          <w:highlight w:val="none"/>
          <w:lang w:val="en-US" w:eastAsia="zh-CN"/>
        </w:rPr>
        <w:t>%</w:t>
      </w:r>
      <w:r>
        <w:rPr>
          <w:rFonts w:hint="eastAsia" w:cs="Times New Roman"/>
          <w:color w:val="auto"/>
          <w:kern w:val="0"/>
          <w:sz w:val="24"/>
          <w:szCs w:val="24"/>
          <w:highlight w:val="none"/>
          <w:lang w:val="en-US" w:eastAsia="zh-CN"/>
        </w:rPr>
        <w:t>硫</w:t>
      </w:r>
      <w:r>
        <w:rPr>
          <w:rFonts w:hint="eastAsia" w:cs="Times New Roman"/>
          <w:color w:val="auto"/>
          <w:kern w:val="0"/>
          <w:sz w:val="24"/>
          <w:szCs w:val="24"/>
          <w:highlight w:val="none"/>
          <w:lang w:eastAsia="zh-CN"/>
        </w:rPr>
        <w:t>酸</w:t>
      </w:r>
      <w:r>
        <w:rPr>
          <w:rFonts w:hint="default" w:ascii="Times New Roman" w:hAnsi="Times New Roman" w:cs="Times New Roman"/>
          <w:color w:val="auto"/>
          <w:kern w:val="0"/>
          <w:sz w:val="24"/>
          <w:szCs w:val="24"/>
          <w:highlight w:val="none"/>
        </w:rPr>
        <w:t>取</w:t>
      </w:r>
      <w:r>
        <w:rPr>
          <w:rFonts w:hint="eastAsia" w:cs="Times New Roman"/>
          <w:color w:val="auto"/>
          <w:kern w:val="0"/>
          <w:sz w:val="24"/>
          <w:szCs w:val="24"/>
          <w:highlight w:val="none"/>
          <w:lang w:val="en-US" w:eastAsia="zh-CN"/>
        </w:rPr>
        <w:t>1990</w:t>
      </w:r>
      <w:r>
        <w:rPr>
          <w:rFonts w:hint="default" w:ascii="Times New Roman" w:hAnsi="Times New Roman" w:cs="Times New Roman"/>
          <w:color w:val="auto"/>
          <w:kern w:val="0"/>
          <w:sz w:val="24"/>
          <w:szCs w:val="24"/>
          <w:highlight w:val="none"/>
        </w:rPr>
        <w:t>kg/m</w:t>
      </w:r>
      <w:r>
        <w:rPr>
          <w:rFonts w:hint="default" w:ascii="Times New Roman" w:hAnsi="Times New Roman" w:cs="Times New Roman"/>
          <w:color w:val="auto"/>
          <w:kern w:val="0"/>
          <w:sz w:val="24"/>
          <w:szCs w:val="24"/>
          <w:highlight w:val="none"/>
          <w:vertAlign w:val="superscript"/>
        </w:rPr>
        <w:t>3</w:t>
      </w:r>
      <w:r>
        <w:rPr>
          <w:rFonts w:hint="default" w:ascii="Times New Roman" w:hAnsi="Times New Roman" w:cs="Times New Roman"/>
          <w:color w:val="auto"/>
          <w:kern w:val="0"/>
          <w:sz w:val="24"/>
          <w:szCs w:val="24"/>
          <w:highlight w:val="none"/>
        </w:rPr>
        <w:t>；</w:t>
      </w:r>
    </w:p>
    <w:p w14:paraId="0CE89D61">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iCs/>
          <w:color w:val="auto"/>
          <w:kern w:val="0"/>
          <w:sz w:val="24"/>
          <w:szCs w:val="24"/>
          <w:highlight w:val="none"/>
        </w:rPr>
        <w:t>P</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储罐内介质压力，常压，Pa；</w:t>
      </w:r>
    </w:p>
    <w:p w14:paraId="56793C12">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iCs/>
          <w:color w:val="auto"/>
          <w:kern w:val="0"/>
          <w:sz w:val="24"/>
          <w:szCs w:val="24"/>
          <w:highlight w:val="none"/>
        </w:rPr>
        <w:t>P</w:t>
      </w:r>
      <w:r>
        <w:rPr>
          <w:rFonts w:hint="default" w:ascii="Times New Roman" w:hAnsi="Times New Roman" w:cs="Times New Roman"/>
          <w:iCs/>
          <w:color w:val="auto"/>
          <w:kern w:val="0"/>
          <w:sz w:val="24"/>
          <w:szCs w:val="24"/>
          <w:highlight w:val="none"/>
          <w:vertAlign w:val="subscript"/>
        </w:rPr>
        <w:t>0</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环境压力，Pa；</w:t>
      </w:r>
    </w:p>
    <w:p w14:paraId="7DD65BBF">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iCs/>
          <w:color w:val="auto"/>
          <w:kern w:val="0"/>
          <w:sz w:val="24"/>
          <w:szCs w:val="24"/>
          <w:highlight w:val="none"/>
        </w:rPr>
        <w:t>g</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重力加速度，9.8m/s</w:t>
      </w:r>
      <w:r>
        <w:rPr>
          <w:rFonts w:hint="default" w:ascii="Times New Roman" w:hAnsi="Times New Roman" w:cs="Times New Roman"/>
          <w:color w:val="auto"/>
          <w:kern w:val="0"/>
          <w:sz w:val="24"/>
          <w:szCs w:val="24"/>
          <w:highlight w:val="none"/>
          <w:vertAlign w:val="superscript"/>
        </w:rPr>
        <w:t>2</w:t>
      </w:r>
      <w:r>
        <w:rPr>
          <w:rFonts w:hint="default" w:ascii="Times New Roman" w:hAnsi="Times New Roman" w:cs="Times New Roman"/>
          <w:color w:val="auto"/>
          <w:kern w:val="0"/>
          <w:sz w:val="24"/>
          <w:szCs w:val="24"/>
          <w:highlight w:val="none"/>
        </w:rPr>
        <w:t>；</w:t>
      </w:r>
    </w:p>
    <w:p w14:paraId="483840CF">
      <w:pPr>
        <w:autoSpaceDE w:val="0"/>
        <w:autoSpaceDN w:val="0"/>
        <w:adjustRightInd w:val="0"/>
        <w:snapToGrid w:val="0"/>
        <w:spacing w:line="360" w:lineRule="auto"/>
        <w:ind w:firstLine="480" w:firstLineChars="200"/>
        <w:rPr>
          <w:rFonts w:hint="default" w:ascii="Times New Roman" w:hAnsi="Times New Roman" w:cs="Times New Roman"/>
          <w:color w:val="auto"/>
          <w:sz w:val="24"/>
          <w:szCs w:val="24"/>
          <w:highlight w:val="none"/>
        </w:rPr>
      </w:pPr>
      <w:r>
        <w:rPr>
          <w:rFonts w:hint="default" w:ascii="Times New Roman" w:hAnsi="Times New Roman" w:cs="Times New Roman"/>
          <w:iCs/>
          <w:color w:val="auto"/>
          <w:kern w:val="0"/>
          <w:sz w:val="24"/>
          <w:szCs w:val="24"/>
          <w:highlight w:val="none"/>
        </w:rPr>
        <w:t>h</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裂口之上液位高度，m，本次</w:t>
      </w:r>
      <w:r>
        <w:rPr>
          <w:rFonts w:hint="default" w:ascii="Times New Roman" w:hAnsi="Times New Roman" w:cs="Times New Roman"/>
          <w:iCs/>
          <w:color w:val="auto"/>
          <w:kern w:val="0"/>
          <w:sz w:val="24"/>
          <w:szCs w:val="24"/>
          <w:highlight w:val="none"/>
        </w:rPr>
        <w:t>h</w:t>
      </w:r>
      <w:r>
        <w:rPr>
          <w:rFonts w:hint="default" w:ascii="Times New Roman" w:hAnsi="Times New Roman" w:cs="Times New Roman"/>
          <w:color w:val="auto"/>
          <w:kern w:val="0"/>
          <w:sz w:val="24"/>
          <w:szCs w:val="24"/>
          <w:highlight w:val="none"/>
        </w:rPr>
        <w:t>=</w:t>
      </w:r>
      <w:r>
        <w:rPr>
          <w:rFonts w:hint="eastAsia" w:cs="Times New Roman"/>
          <w:color w:val="auto"/>
          <w:kern w:val="0"/>
          <w:sz w:val="24"/>
          <w:szCs w:val="24"/>
          <w:highlight w:val="none"/>
          <w:lang w:val="en-US" w:eastAsia="zh-CN"/>
        </w:rPr>
        <w:t>4</w:t>
      </w:r>
      <w:r>
        <w:rPr>
          <w:rFonts w:hint="default" w:ascii="Times New Roman" w:hAnsi="Times New Roman" w:cs="Times New Roman"/>
          <w:color w:val="auto"/>
          <w:kern w:val="0"/>
          <w:sz w:val="24"/>
          <w:szCs w:val="24"/>
          <w:highlight w:val="none"/>
        </w:rPr>
        <w:t>m。</w:t>
      </w:r>
    </w:p>
    <w:p w14:paraId="31DD5DC7">
      <w:pPr>
        <w:spacing w:line="240" w:lineRule="auto"/>
        <w:ind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表</w:t>
      </w:r>
      <w:r>
        <w:rPr>
          <w:rFonts w:hint="eastAsia" w:eastAsia="黑体" w:cs="Times New Roman"/>
          <w:b w:val="0"/>
          <w:bCs/>
          <w:color w:val="auto"/>
          <w:sz w:val="21"/>
          <w:szCs w:val="21"/>
          <w:highlight w:val="none"/>
          <w:lang w:val="en-US" w:eastAsia="zh-CN"/>
        </w:rPr>
        <w:t>1.6-3</w:t>
      </w:r>
      <w:r>
        <w:rPr>
          <w:rFonts w:hint="default" w:ascii="Times New Roman" w:hAnsi="Times New Roman" w:eastAsia="黑体" w:cs="Times New Roman"/>
          <w:b w:val="0"/>
          <w:bCs/>
          <w:color w:val="auto"/>
          <w:sz w:val="21"/>
          <w:szCs w:val="21"/>
          <w:highlight w:val="none"/>
        </w:rPr>
        <w:t xml:space="preserve"> </w:t>
      </w:r>
      <w:r>
        <w:rPr>
          <w:rFonts w:hint="eastAsia" w:eastAsia="黑体" w:cs="Times New Roman"/>
          <w:b w:val="0"/>
          <w:bCs/>
          <w:color w:val="auto"/>
          <w:sz w:val="21"/>
          <w:szCs w:val="21"/>
          <w:highlight w:val="none"/>
          <w:lang w:val="en-US" w:eastAsia="zh-CN"/>
        </w:rPr>
        <w:t xml:space="preserve"> 硫酸</w:t>
      </w:r>
      <w:r>
        <w:rPr>
          <w:rFonts w:hint="default" w:ascii="Times New Roman" w:hAnsi="Times New Roman" w:eastAsia="黑体" w:cs="Times New Roman"/>
          <w:b w:val="0"/>
          <w:bCs/>
          <w:color w:val="auto"/>
          <w:sz w:val="21"/>
          <w:szCs w:val="21"/>
          <w:highlight w:val="none"/>
        </w:rPr>
        <w:t>液体泄漏速率公式计算参数表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841"/>
        <w:gridCol w:w="2840"/>
        <w:gridCol w:w="2841"/>
      </w:tblGrid>
      <w:tr w14:paraId="727111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26337C40">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r>
              <w:rPr>
                <w:rFonts w:hint="default" w:ascii="Times New Roman" w:hAnsi="Times New Roman" w:cs="Times New Roman"/>
                <w:b w:val="0"/>
                <w:bCs/>
                <w:color w:val="auto"/>
                <w:sz w:val="21"/>
                <w:szCs w:val="21"/>
                <w:highlight w:val="none"/>
                <w:lang w:val="zh-CN"/>
              </w:rPr>
              <w:t>参数</w:t>
            </w:r>
          </w:p>
        </w:tc>
        <w:tc>
          <w:tcPr>
            <w:tcW w:w="2840" w:type="dxa"/>
            <w:noWrap w:val="0"/>
            <w:vAlign w:val="center"/>
          </w:tcPr>
          <w:p w14:paraId="46B54E3F">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r>
              <w:rPr>
                <w:rFonts w:hint="default" w:ascii="Times New Roman" w:hAnsi="Times New Roman" w:cs="Times New Roman"/>
                <w:b w:val="0"/>
                <w:bCs/>
                <w:color w:val="auto"/>
                <w:sz w:val="21"/>
                <w:szCs w:val="21"/>
                <w:highlight w:val="none"/>
                <w:lang w:val="zh-CN"/>
              </w:rPr>
              <w:t>意义</w:t>
            </w:r>
          </w:p>
        </w:tc>
        <w:tc>
          <w:tcPr>
            <w:tcW w:w="2841" w:type="dxa"/>
            <w:noWrap w:val="0"/>
            <w:vAlign w:val="center"/>
          </w:tcPr>
          <w:p w14:paraId="7E54F7EA">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r>
              <w:rPr>
                <w:rFonts w:hint="eastAsia" w:cs="Times New Roman"/>
                <w:b w:val="0"/>
                <w:bCs/>
                <w:color w:val="auto"/>
                <w:sz w:val="21"/>
                <w:szCs w:val="21"/>
                <w:highlight w:val="none"/>
                <w:lang w:val="en-US" w:eastAsia="zh-CN"/>
              </w:rPr>
              <w:t>硫酸</w:t>
            </w:r>
            <w:r>
              <w:rPr>
                <w:rFonts w:hint="default" w:ascii="Times New Roman" w:hAnsi="Times New Roman" w:cs="Times New Roman"/>
                <w:b w:val="0"/>
                <w:bCs/>
                <w:color w:val="auto"/>
                <w:sz w:val="21"/>
                <w:szCs w:val="21"/>
                <w:highlight w:val="none"/>
                <w:lang w:val="zh-CN"/>
              </w:rPr>
              <w:t>储罐事故</w:t>
            </w:r>
          </w:p>
        </w:tc>
      </w:tr>
      <w:tr w14:paraId="42B8374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6EDA1ABC">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P</w:t>
            </w:r>
          </w:p>
        </w:tc>
        <w:tc>
          <w:tcPr>
            <w:tcW w:w="2840" w:type="dxa"/>
            <w:noWrap w:val="0"/>
            <w:vAlign w:val="center"/>
          </w:tcPr>
          <w:p w14:paraId="4036ADCB">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容器内介质压力，Pa</w:t>
            </w:r>
          </w:p>
        </w:tc>
        <w:tc>
          <w:tcPr>
            <w:tcW w:w="2841" w:type="dxa"/>
            <w:noWrap w:val="0"/>
            <w:vAlign w:val="center"/>
          </w:tcPr>
          <w:p w14:paraId="6FBC3868">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101325</w:t>
            </w:r>
          </w:p>
        </w:tc>
      </w:tr>
      <w:tr w14:paraId="11B95C5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1162C349">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P</w:t>
            </w:r>
            <w:r>
              <w:rPr>
                <w:rFonts w:hint="default" w:ascii="Times New Roman" w:hAnsi="Times New Roman" w:cs="Times New Roman"/>
                <w:color w:val="auto"/>
                <w:sz w:val="21"/>
                <w:szCs w:val="21"/>
                <w:highlight w:val="none"/>
                <w:vertAlign w:val="subscript"/>
                <w:lang w:val="zh-CN"/>
              </w:rPr>
              <w:t>0</w:t>
            </w:r>
          </w:p>
        </w:tc>
        <w:tc>
          <w:tcPr>
            <w:tcW w:w="2840" w:type="dxa"/>
            <w:noWrap w:val="0"/>
            <w:vAlign w:val="center"/>
          </w:tcPr>
          <w:p w14:paraId="7D72364A">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环境压力，Pa</w:t>
            </w:r>
          </w:p>
        </w:tc>
        <w:tc>
          <w:tcPr>
            <w:tcW w:w="2841" w:type="dxa"/>
            <w:noWrap w:val="0"/>
            <w:vAlign w:val="center"/>
          </w:tcPr>
          <w:p w14:paraId="73F2E4E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101325</w:t>
            </w:r>
          </w:p>
        </w:tc>
      </w:tr>
      <w:tr w14:paraId="57B1417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78EF2CBB">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ρ</w:t>
            </w:r>
          </w:p>
        </w:tc>
        <w:tc>
          <w:tcPr>
            <w:tcW w:w="2840" w:type="dxa"/>
            <w:noWrap w:val="0"/>
            <w:vAlign w:val="center"/>
          </w:tcPr>
          <w:p w14:paraId="284B88EC">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泄漏液体密度，kg/m</w:t>
            </w:r>
            <w:r>
              <w:rPr>
                <w:rFonts w:hint="default" w:ascii="Times New Roman" w:hAnsi="Times New Roman" w:cs="Times New Roman"/>
                <w:color w:val="auto"/>
                <w:sz w:val="21"/>
                <w:szCs w:val="21"/>
                <w:highlight w:val="none"/>
                <w:vertAlign w:val="superscript"/>
                <w:lang w:val="zh-CN"/>
              </w:rPr>
              <w:t>3</w:t>
            </w:r>
          </w:p>
        </w:tc>
        <w:tc>
          <w:tcPr>
            <w:tcW w:w="2841" w:type="dxa"/>
            <w:noWrap w:val="0"/>
            <w:vAlign w:val="center"/>
          </w:tcPr>
          <w:p w14:paraId="1CEEFB1F">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1840</w:t>
            </w:r>
          </w:p>
        </w:tc>
      </w:tr>
      <w:tr w14:paraId="0F1C795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0799181A">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g</w:t>
            </w:r>
          </w:p>
        </w:tc>
        <w:tc>
          <w:tcPr>
            <w:tcW w:w="2840" w:type="dxa"/>
            <w:noWrap w:val="0"/>
            <w:vAlign w:val="center"/>
          </w:tcPr>
          <w:p w14:paraId="15C0DC7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重力加速度，9.81 m/s</w:t>
            </w:r>
            <w:r>
              <w:rPr>
                <w:rFonts w:hint="default" w:ascii="Times New Roman" w:hAnsi="Times New Roman" w:cs="Times New Roman"/>
                <w:color w:val="auto"/>
                <w:sz w:val="21"/>
                <w:szCs w:val="21"/>
                <w:highlight w:val="none"/>
                <w:vertAlign w:val="superscript"/>
                <w:lang w:val="zh-CN"/>
              </w:rPr>
              <w:t>2</w:t>
            </w:r>
          </w:p>
        </w:tc>
        <w:tc>
          <w:tcPr>
            <w:tcW w:w="2841" w:type="dxa"/>
            <w:noWrap w:val="0"/>
            <w:vAlign w:val="center"/>
          </w:tcPr>
          <w:p w14:paraId="228E02D8">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9.81</w:t>
            </w:r>
          </w:p>
        </w:tc>
      </w:tr>
      <w:tr w14:paraId="7A73F11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2D99F7B9">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h</w:t>
            </w:r>
          </w:p>
        </w:tc>
        <w:tc>
          <w:tcPr>
            <w:tcW w:w="2840" w:type="dxa"/>
            <w:noWrap w:val="0"/>
            <w:vAlign w:val="center"/>
          </w:tcPr>
          <w:p w14:paraId="7D8E4F5B">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裂口之上液位高度，m</w:t>
            </w:r>
          </w:p>
        </w:tc>
        <w:tc>
          <w:tcPr>
            <w:tcW w:w="2841" w:type="dxa"/>
            <w:noWrap w:val="0"/>
            <w:vAlign w:val="center"/>
          </w:tcPr>
          <w:p w14:paraId="6F520A6A">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zh-CN" w:eastAsia="zh-CN"/>
              </w:rPr>
            </w:pPr>
            <w:r>
              <w:rPr>
                <w:rFonts w:hint="eastAsia" w:ascii="Times New Roman" w:hAnsi="Times New Roman" w:cs="Times New Roman"/>
                <w:color w:val="auto"/>
                <w:sz w:val="21"/>
                <w:szCs w:val="21"/>
                <w:highlight w:val="none"/>
                <w:lang w:val="en-US" w:eastAsia="zh-CN"/>
              </w:rPr>
              <w:t>4</w:t>
            </w:r>
          </w:p>
        </w:tc>
      </w:tr>
      <w:tr w14:paraId="07A5E08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1C582525">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C</w:t>
            </w:r>
            <w:r>
              <w:rPr>
                <w:rFonts w:hint="default" w:ascii="Times New Roman" w:hAnsi="Times New Roman" w:cs="Times New Roman"/>
                <w:color w:val="auto"/>
                <w:sz w:val="21"/>
                <w:szCs w:val="21"/>
                <w:highlight w:val="none"/>
                <w:vertAlign w:val="subscript"/>
                <w:lang w:val="zh-CN"/>
              </w:rPr>
              <w:t>d</w:t>
            </w:r>
          </w:p>
        </w:tc>
        <w:tc>
          <w:tcPr>
            <w:tcW w:w="2840" w:type="dxa"/>
            <w:noWrap w:val="0"/>
            <w:vAlign w:val="center"/>
          </w:tcPr>
          <w:p w14:paraId="2F7F7059">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液体泄漏系数</w:t>
            </w:r>
          </w:p>
        </w:tc>
        <w:tc>
          <w:tcPr>
            <w:tcW w:w="2841" w:type="dxa"/>
            <w:noWrap w:val="0"/>
            <w:vAlign w:val="center"/>
          </w:tcPr>
          <w:p w14:paraId="5BD0FA9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0.65（裂口形状为圆形）</w:t>
            </w:r>
          </w:p>
        </w:tc>
      </w:tr>
      <w:tr w14:paraId="519FE10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22" w:hRule="atLeast"/>
        </w:trPr>
        <w:tc>
          <w:tcPr>
            <w:tcW w:w="2841" w:type="dxa"/>
            <w:noWrap w:val="0"/>
            <w:vAlign w:val="center"/>
          </w:tcPr>
          <w:p w14:paraId="497A603E">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A</w:t>
            </w:r>
          </w:p>
        </w:tc>
        <w:tc>
          <w:tcPr>
            <w:tcW w:w="2840" w:type="dxa"/>
            <w:noWrap w:val="0"/>
            <w:vAlign w:val="center"/>
          </w:tcPr>
          <w:p w14:paraId="65330602">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裂口面积，m</w:t>
            </w:r>
            <w:r>
              <w:rPr>
                <w:rFonts w:hint="default" w:ascii="Times New Roman" w:hAnsi="Times New Roman" w:cs="Times New Roman"/>
                <w:color w:val="auto"/>
                <w:sz w:val="21"/>
                <w:szCs w:val="21"/>
                <w:highlight w:val="none"/>
                <w:vertAlign w:val="superscript"/>
                <w:lang w:val="zh-CN"/>
              </w:rPr>
              <w:t>2</w:t>
            </w:r>
          </w:p>
        </w:tc>
        <w:tc>
          <w:tcPr>
            <w:tcW w:w="2841" w:type="dxa"/>
            <w:noWrap w:val="0"/>
            <w:vAlign w:val="center"/>
          </w:tcPr>
          <w:p w14:paraId="221B154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0.0019625</w:t>
            </w:r>
          </w:p>
        </w:tc>
      </w:tr>
      <w:tr w14:paraId="4CEE7A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2841" w:type="dxa"/>
            <w:noWrap w:val="0"/>
            <w:vAlign w:val="center"/>
          </w:tcPr>
          <w:p w14:paraId="75321ADA">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Q</w:t>
            </w:r>
            <w:r>
              <w:rPr>
                <w:rFonts w:hint="default" w:ascii="Times New Roman" w:hAnsi="Times New Roman" w:cs="Times New Roman"/>
                <w:color w:val="auto"/>
                <w:sz w:val="21"/>
                <w:szCs w:val="21"/>
                <w:highlight w:val="none"/>
                <w:vertAlign w:val="subscript"/>
                <w:lang w:val="zh-CN"/>
              </w:rPr>
              <w:t>L</w:t>
            </w:r>
          </w:p>
        </w:tc>
        <w:tc>
          <w:tcPr>
            <w:tcW w:w="2840" w:type="dxa"/>
            <w:noWrap w:val="0"/>
            <w:vAlign w:val="center"/>
          </w:tcPr>
          <w:p w14:paraId="14AE3021">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zh-CN"/>
              </w:rPr>
              <w:t>液体泄漏速率</w:t>
            </w:r>
            <w:r>
              <w:rPr>
                <w:rFonts w:hint="default" w:ascii="Times New Roman" w:hAnsi="Times New Roman" w:cs="Times New Roman"/>
                <w:color w:val="auto"/>
                <w:sz w:val="21"/>
                <w:szCs w:val="21"/>
                <w:highlight w:val="none"/>
              </w:rPr>
              <w:t>，kg/s</w:t>
            </w:r>
          </w:p>
        </w:tc>
        <w:tc>
          <w:tcPr>
            <w:tcW w:w="2841" w:type="dxa"/>
            <w:noWrap w:val="0"/>
            <w:vAlign w:val="center"/>
          </w:tcPr>
          <w:p w14:paraId="43E5956D">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22.48</w:t>
            </w:r>
          </w:p>
        </w:tc>
      </w:tr>
    </w:tbl>
    <w:p w14:paraId="399D79C4">
      <w:pPr>
        <w:bidi w:val="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w:t>
      </w:r>
      <w:r>
        <w:rPr>
          <w:rFonts w:hint="eastAsia" w:cs="Times New Roman"/>
          <w:color w:val="auto"/>
          <w:highlight w:val="none"/>
          <w:lang w:val="en-US" w:eastAsia="zh-CN"/>
        </w:rPr>
        <w:t>硫酸</w:t>
      </w:r>
      <w:r>
        <w:rPr>
          <w:rFonts w:hint="default" w:ascii="Times New Roman" w:hAnsi="Times New Roman" w:cs="Times New Roman"/>
          <w:color w:val="auto"/>
          <w:highlight w:val="none"/>
        </w:rPr>
        <w:t>储罐容积为</w:t>
      </w:r>
      <w:r>
        <w:rPr>
          <w:rFonts w:hint="eastAsia" w:cs="Times New Roman"/>
          <w:color w:val="auto"/>
          <w:highlight w:val="none"/>
          <w:lang w:val="en-US" w:eastAsia="zh-CN"/>
        </w:rPr>
        <w:t>100</w:t>
      </w:r>
      <w:r>
        <w:rPr>
          <w:rFonts w:hint="default" w:ascii="Times New Roman" w:hAnsi="Times New Roman" w:cs="Times New Roman"/>
          <w:color w:val="auto"/>
          <w:highlight w:val="none"/>
        </w:rPr>
        <w:t>0m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，尺寸为D</w:t>
      </w:r>
      <w:r>
        <w:rPr>
          <w:rFonts w:hint="eastAsia" w:cs="Times New Roman"/>
          <w:color w:val="auto"/>
          <w:highlight w:val="none"/>
          <w:lang w:val="en-US" w:eastAsia="zh-CN"/>
        </w:rPr>
        <w:t>11.5</w:t>
      </w:r>
      <w:r>
        <w:rPr>
          <w:rFonts w:hint="default" w:ascii="Times New Roman" w:hAnsi="Times New Roman" w:cs="Times New Roman"/>
          <w:color w:val="auto"/>
          <w:highlight w:val="none"/>
        </w:rPr>
        <w:t>m，H</w:t>
      </w:r>
      <w:r>
        <w:rPr>
          <w:rFonts w:hint="eastAsia" w:cs="Times New Roman"/>
          <w:color w:val="auto"/>
          <w:highlight w:val="none"/>
          <w:lang w:val="en-US" w:eastAsia="zh-CN"/>
        </w:rPr>
        <w:t>12</w:t>
      </w:r>
      <w:r>
        <w:rPr>
          <w:rFonts w:hint="default" w:ascii="Times New Roman" w:hAnsi="Times New Roman" w:cs="Times New Roman"/>
          <w:color w:val="auto"/>
          <w:highlight w:val="none"/>
        </w:rPr>
        <w:t>m，有防火堤相隔</w:t>
      </w:r>
      <w:r>
        <w:rPr>
          <w:rFonts w:hint="default" w:ascii="Times New Roman" w:hAnsi="Times New Roman" w:cs="Times New Roman"/>
          <w:color w:val="auto"/>
          <w:highlight w:val="none"/>
          <w:lang w:eastAsia="zh-CN"/>
        </w:rPr>
        <w:t>。</w:t>
      </w:r>
    </w:p>
    <w:p w14:paraId="1B4E5851">
      <w:pPr>
        <w:spacing w:line="240" w:lineRule="auto"/>
        <w:ind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表</w:t>
      </w:r>
      <w:r>
        <w:rPr>
          <w:rFonts w:hint="eastAsia" w:eastAsia="黑体" w:cs="Times New Roman"/>
          <w:b w:val="0"/>
          <w:bCs/>
          <w:color w:val="auto"/>
          <w:sz w:val="21"/>
          <w:szCs w:val="21"/>
          <w:highlight w:val="none"/>
          <w:lang w:val="en-US" w:eastAsia="zh-CN"/>
        </w:rPr>
        <w:t>1.6-4</w:t>
      </w:r>
      <w:r>
        <w:rPr>
          <w:rFonts w:hint="default" w:ascii="Times New Roman" w:hAnsi="Times New Roman" w:eastAsia="黑体" w:cs="Times New Roman"/>
          <w:b w:val="0"/>
          <w:bCs/>
          <w:color w:val="auto"/>
          <w:sz w:val="21"/>
          <w:szCs w:val="21"/>
          <w:highlight w:val="none"/>
        </w:rPr>
        <w:t xml:space="preserve"> 储罐泄漏量计算</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20"/>
        <w:gridCol w:w="1420"/>
        <w:gridCol w:w="1420"/>
        <w:gridCol w:w="1420"/>
        <w:gridCol w:w="1421"/>
        <w:gridCol w:w="1421"/>
      </w:tblGrid>
      <w:tr w14:paraId="57D361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20" w:type="dxa"/>
            <w:noWrap w:val="0"/>
            <w:vAlign w:val="center"/>
          </w:tcPr>
          <w:p w14:paraId="3F35EB1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泄漏</w:t>
            </w:r>
            <w:r>
              <w:rPr>
                <w:rFonts w:hint="default" w:ascii="Times New Roman" w:hAnsi="Times New Roman" w:cs="Times New Roman"/>
                <w:color w:val="auto"/>
                <w:sz w:val="21"/>
                <w:szCs w:val="21"/>
                <w:highlight w:val="none"/>
              </w:rPr>
              <w:t>源</w:t>
            </w:r>
          </w:p>
        </w:tc>
        <w:tc>
          <w:tcPr>
            <w:tcW w:w="1420" w:type="dxa"/>
            <w:noWrap w:val="0"/>
            <w:vAlign w:val="center"/>
          </w:tcPr>
          <w:p w14:paraId="3B581D25">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物料密度（kg/m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p>
        </w:tc>
        <w:tc>
          <w:tcPr>
            <w:tcW w:w="1420" w:type="dxa"/>
            <w:noWrap w:val="0"/>
            <w:vAlign w:val="center"/>
          </w:tcPr>
          <w:p w14:paraId="391E4DF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液体</w:t>
            </w:r>
            <w:r>
              <w:rPr>
                <w:rFonts w:hint="eastAsia" w:cs="Times New Roman"/>
                <w:color w:val="auto"/>
                <w:sz w:val="21"/>
                <w:szCs w:val="21"/>
                <w:highlight w:val="none"/>
                <w:lang w:eastAsia="zh-CN"/>
              </w:rPr>
              <w:t>泄漏</w:t>
            </w:r>
            <w:r>
              <w:rPr>
                <w:rFonts w:hint="default" w:ascii="Times New Roman" w:hAnsi="Times New Roman" w:cs="Times New Roman"/>
                <w:color w:val="auto"/>
                <w:sz w:val="21"/>
                <w:szCs w:val="21"/>
                <w:highlight w:val="none"/>
              </w:rPr>
              <w:t>系数</w:t>
            </w:r>
          </w:p>
        </w:tc>
        <w:tc>
          <w:tcPr>
            <w:tcW w:w="1420" w:type="dxa"/>
            <w:noWrap w:val="0"/>
            <w:vAlign w:val="center"/>
          </w:tcPr>
          <w:p w14:paraId="11BF5C94">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泄漏</w:t>
            </w:r>
            <w:r>
              <w:rPr>
                <w:rFonts w:hint="default" w:ascii="Times New Roman" w:hAnsi="Times New Roman" w:cs="Times New Roman"/>
                <w:color w:val="auto"/>
                <w:sz w:val="21"/>
                <w:szCs w:val="21"/>
                <w:highlight w:val="none"/>
              </w:rPr>
              <w:t>速率（kg/s）</w:t>
            </w:r>
          </w:p>
        </w:tc>
        <w:tc>
          <w:tcPr>
            <w:tcW w:w="1421" w:type="dxa"/>
            <w:noWrap w:val="0"/>
            <w:vAlign w:val="center"/>
          </w:tcPr>
          <w:p w14:paraId="68B63B3D">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泄漏</w:t>
            </w:r>
            <w:r>
              <w:rPr>
                <w:rFonts w:hint="default" w:ascii="Times New Roman" w:hAnsi="Times New Roman" w:cs="Times New Roman"/>
                <w:color w:val="auto"/>
                <w:sz w:val="21"/>
                <w:szCs w:val="21"/>
                <w:highlight w:val="none"/>
              </w:rPr>
              <w:t>持续时间（min）</w:t>
            </w:r>
          </w:p>
        </w:tc>
        <w:tc>
          <w:tcPr>
            <w:tcW w:w="1421" w:type="dxa"/>
            <w:noWrap w:val="0"/>
            <w:vAlign w:val="center"/>
          </w:tcPr>
          <w:p w14:paraId="7FA5CE0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泄漏量（t）</w:t>
            </w:r>
          </w:p>
        </w:tc>
      </w:tr>
      <w:tr w14:paraId="599711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20" w:type="dxa"/>
            <w:noWrap w:val="0"/>
            <w:vAlign w:val="center"/>
          </w:tcPr>
          <w:p w14:paraId="1159933E">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硫酸</w:t>
            </w:r>
          </w:p>
        </w:tc>
        <w:tc>
          <w:tcPr>
            <w:tcW w:w="1420" w:type="dxa"/>
            <w:noWrap w:val="0"/>
            <w:vAlign w:val="center"/>
          </w:tcPr>
          <w:p w14:paraId="4F8228F5">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0"/>
                <w:sz w:val="21"/>
                <w:szCs w:val="21"/>
                <w:highlight w:val="none"/>
                <w:lang w:val="en-US" w:eastAsia="zh-CN"/>
              </w:rPr>
              <w:t>1990</w:t>
            </w:r>
          </w:p>
        </w:tc>
        <w:tc>
          <w:tcPr>
            <w:tcW w:w="1420" w:type="dxa"/>
            <w:noWrap w:val="0"/>
            <w:vAlign w:val="center"/>
          </w:tcPr>
          <w:p w14:paraId="1E7BDE1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0.65</w:t>
            </w:r>
          </w:p>
        </w:tc>
        <w:tc>
          <w:tcPr>
            <w:tcW w:w="1420" w:type="dxa"/>
            <w:noWrap w:val="0"/>
            <w:vAlign w:val="center"/>
          </w:tcPr>
          <w:p w14:paraId="0871543E">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22.48</w:t>
            </w:r>
          </w:p>
        </w:tc>
        <w:tc>
          <w:tcPr>
            <w:tcW w:w="1421" w:type="dxa"/>
            <w:noWrap w:val="0"/>
            <w:vAlign w:val="center"/>
          </w:tcPr>
          <w:p w14:paraId="6E857CBD">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10</w:t>
            </w:r>
          </w:p>
        </w:tc>
        <w:tc>
          <w:tcPr>
            <w:tcW w:w="1421" w:type="dxa"/>
            <w:noWrap w:val="0"/>
            <w:vAlign w:val="center"/>
          </w:tcPr>
          <w:p w14:paraId="4CAA2894">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13.488</w:t>
            </w:r>
          </w:p>
        </w:tc>
      </w:tr>
    </w:tbl>
    <w:p w14:paraId="20088224">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根据上式，</w:t>
      </w:r>
      <w:r>
        <w:rPr>
          <w:rFonts w:hint="eastAsia" w:cs="Times New Roman"/>
          <w:color w:val="auto"/>
          <w:kern w:val="0"/>
          <w:sz w:val="24"/>
          <w:szCs w:val="24"/>
          <w:highlight w:val="none"/>
          <w:lang w:val="en-US" w:eastAsia="zh-CN"/>
        </w:rPr>
        <w:t>发烟硫酸</w:t>
      </w:r>
      <w:r>
        <w:rPr>
          <w:rFonts w:hint="eastAsia" w:cs="Times New Roman"/>
          <w:color w:val="auto"/>
          <w:sz w:val="24"/>
          <w:szCs w:val="24"/>
          <w:highlight w:val="none"/>
          <w:lang w:eastAsia="zh-CN"/>
        </w:rPr>
        <w:t>泄漏</w:t>
      </w:r>
      <w:r>
        <w:rPr>
          <w:rFonts w:hint="default" w:ascii="Times New Roman" w:hAnsi="Times New Roman" w:cs="Times New Roman"/>
          <w:color w:val="auto"/>
          <w:sz w:val="24"/>
          <w:szCs w:val="24"/>
          <w:highlight w:val="none"/>
        </w:rPr>
        <w:t>速率</w:t>
      </w:r>
      <w:r>
        <w:rPr>
          <w:rFonts w:hint="default" w:ascii="Times New Roman" w:hAnsi="Times New Roman" w:eastAsia="宋体" w:cs="Times New Roman"/>
          <w:color w:val="auto"/>
          <w:sz w:val="24"/>
          <w:szCs w:val="24"/>
          <w:highlight w:val="none"/>
        </w:rPr>
        <w:t>为</w:t>
      </w:r>
      <w:r>
        <w:rPr>
          <w:rFonts w:hint="eastAsia" w:cs="Times New Roman"/>
          <w:color w:val="auto"/>
          <w:sz w:val="24"/>
          <w:szCs w:val="24"/>
          <w:highlight w:val="none"/>
          <w:lang w:val="en-US" w:eastAsia="zh-CN"/>
        </w:rPr>
        <w:t>22.48</w:t>
      </w:r>
      <w:r>
        <w:rPr>
          <w:rFonts w:hint="default" w:ascii="Times New Roman" w:hAnsi="Times New Roman" w:eastAsia="宋体" w:cs="Times New Roman"/>
          <w:color w:val="auto"/>
          <w:sz w:val="24"/>
          <w:szCs w:val="24"/>
          <w:highlight w:val="none"/>
        </w:rPr>
        <w:t>kg/s</w:t>
      </w:r>
      <w:r>
        <w:rPr>
          <w:rFonts w:hint="default" w:ascii="Times New Roman" w:hAnsi="Times New Roman" w:cs="Times New Roman"/>
          <w:color w:val="auto"/>
          <w:sz w:val="24"/>
          <w:szCs w:val="24"/>
          <w:highlight w:val="none"/>
        </w:rPr>
        <w:t>，10min</w:t>
      </w:r>
      <w:r>
        <w:rPr>
          <w:rFonts w:hint="eastAsia" w:cs="Times New Roman"/>
          <w:color w:val="auto"/>
          <w:sz w:val="24"/>
          <w:szCs w:val="24"/>
          <w:highlight w:val="none"/>
          <w:lang w:eastAsia="zh-CN"/>
        </w:rPr>
        <w:t>泄漏</w:t>
      </w:r>
      <w:r>
        <w:rPr>
          <w:rFonts w:hint="default" w:ascii="Times New Roman" w:hAnsi="Times New Roman" w:cs="Times New Roman"/>
          <w:color w:val="auto"/>
          <w:sz w:val="24"/>
          <w:szCs w:val="24"/>
          <w:highlight w:val="none"/>
        </w:rPr>
        <w:t>量为</w:t>
      </w:r>
      <w:r>
        <w:rPr>
          <w:rFonts w:hint="eastAsia" w:cs="Times New Roman"/>
          <w:color w:val="auto"/>
          <w:sz w:val="24"/>
          <w:szCs w:val="24"/>
          <w:highlight w:val="none"/>
          <w:lang w:val="en-US" w:eastAsia="zh-CN"/>
        </w:rPr>
        <w:t>13.488</w:t>
      </w:r>
      <w:r>
        <w:rPr>
          <w:rFonts w:hint="default" w:ascii="Times New Roman" w:hAnsi="Times New Roman" w:cs="Times New Roman"/>
          <w:color w:val="auto"/>
          <w:sz w:val="24"/>
          <w:szCs w:val="24"/>
          <w:highlight w:val="none"/>
        </w:rPr>
        <w:t>t。</w:t>
      </w:r>
    </w:p>
    <w:p w14:paraId="38BBAB57">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eastAsia" w:cs="Times New Roman"/>
          <w:color w:val="auto"/>
          <w:kern w:val="0"/>
          <w:sz w:val="24"/>
          <w:szCs w:val="24"/>
          <w:highlight w:val="none"/>
          <w:lang w:val="en-US" w:eastAsia="zh-CN"/>
        </w:rPr>
        <w:t>发烟硫酸</w:t>
      </w:r>
      <w:r>
        <w:rPr>
          <w:rFonts w:hint="default" w:ascii="Times New Roman" w:hAnsi="Times New Roman" w:cs="Times New Roman"/>
          <w:color w:val="auto"/>
          <w:kern w:val="0"/>
          <w:sz w:val="24"/>
          <w:szCs w:val="24"/>
          <w:highlight w:val="none"/>
        </w:rPr>
        <w:t>泄漏后即流入罐区围堰形成液池，在上方空气的对流扰动作用下，存在少量</w:t>
      </w:r>
      <w:r>
        <w:rPr>
          <w:rFonts w:hint="eastAsia" w:cs="Times New Roman"/>
          <w:color w:val="auto"/>
          <w:kern w:val="0"/>
          <w:sz w:val="24"/>
          <w:szCs w:val="24"/>
          <w:highlight w:val="none"/>
          <w:lang w:val="en-US" w:eastAsia="zh-CN"/>
        </w:rPr>
        <w:t>三氧化硫</w:t>
      </w:r>
      <w:r>
        <w:rPr>
          <w:rFonts w:hint="default" w:ascii="Times New Roman" w:hAnsi="Times New Roman" w:cs="Times New Roman"/>
          <w:color w:val="auto"/>
          <w:kern w:val="0"/>
          <w:sz w:val="24"/>
          <w:szCs w:val="24"/>
          <w:highlight w:val="none"/>
        </w:rPr>
        <w:t>气体的蒸发，</w:t>
      </w:r>
      <w:r>
        <w:rPr>
          <w:rFonts w:hint="eastAsia" w:cs="Times New Roman"/>
          <w:color w:val="auto"/>
          <w:kern w:val="0"/>
          <w:sz w:val="24"/>
          <w:szCs w:val="24"/>
          <w:highlight w:val="none"/>
          <w:lang w:val="en-US" w:eastAsia="zh-CN"/>
        </w:rPr>
        <w:t>三氧化硫</w:t>
      </w:r>
      <w:r>
        <w:rPr>
          <w:rFonts w:hint="default" w:ascii="Times New Roman" w:hAnsi="Times New Roman" w:cs="Times New Roman"/>
          <w:color w:val="auto"/>
          <w:kern w:val="0"/>
          <w:sz w:val="24"/>
          <w:szCs w:val="24"/>
          <w:highlight w:val="none"/>
        </w:rPr>
        <w:t>的质量蒸发按下式计算：</w:t>
      </w:r>
    </w:p>
    <w:p w14:paraId="0B5BAC0E">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cs="Times New Roman"/>
          <w:color w:val="auto"/>
          <w:sz w:val="21"/>
          <w:szCs w:val="22"/>
          <w:highlight w:val="none"/>
        </w:rPr>
        <w:drawing>
          <wp:anchor distT="0" distB="0" distL="114300" distR="114300" simplePos="0" relativeHeight="251661312" behindDoc="0" locked="0" layoutInCell="1" allowOverlap="1">
            <wp:simplePos x="0" y="0"/>
            <wp:positionH relativeFrom="column">
              <wp:posOffset>1835150</wp:posOffset>
            </wp:positionH>
            <wp:positionV relativeFrom="paragraph">
              <wp:posOffset>66040</wp:posOffset>
            </wp:positionV>
            <wp:extent cx="2113280" cy="540385"/>
            <wp:effectExtent l="0" t="0" r="5080" b="8255"/>
            <wp:wrapTopAndBottom/>
            <wp:docPr id="135" name="图片 43" descr="15658596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3" descr="1565859666(1)"/>
                    <pic:cNvPicPr>
                      <a:picLocks noChangeAspect="1"/>
                    </pic:cNvPicPr>
                  </pic:nvPicPr>
                  <pic:blipFill>
                    <a:blip r:embed="rId22"/>
                    <a:stretch>
                      <a:fillRect/>
                    </a:stretch>
                  </pic:blipFill>
                  <pic:spPr>
                    <a:xfrm>
                      <a:off x="0" y="0"/>
                      <a:ext cx="2113280" cy="540385"/>
                    </a:xfrm>
                    <a:prstGeom prst="rect">
                      <a:avLst/>
                    </a:prstGeom>
                    <a:noFill/>
                    <a:ln>
                      <a:noFill/>
                    </a:ln>
                  </pic:spPr>
                </pic:pic>
              </a:graphicData>
            </a:graphic>
          </wp:anchor>
        </w:drawing>
      </w:r>
      <w:r>
        <w:rPr>
          <w:rFonts w:hint="default" w:ascii="Times New Roman" w:hAnsi="Times New Roman" w:cs="Times New Roman"/>
          <w:color w:val="auto"/>
          <w:kern w:val="0"/>
          <w:sz w:val="24"/>
          <w:szCs w:val="24"/>
          <w:highlight w:val="none"/>
        </w:rPr>
        <w:t>式中</w:t>
      </w:r>
      <w:r>
        <w:rPr>
          <w:rFonts w:hint="default" w:ascii="Times New Roman" w:hAnsi="Times New Roman" w:cs="Times New Roman"/>
          <w:color w:val="auto"/>
          <w:kern w:val="0"/>
          <w:sz w:val="24"/>
          <w:szCs w:val="24"/>
          <w:highlight w:val="none"/>
          <w:lang w:eastAsia="zh-CN"/>
        </w:rPr>
        <w:t>：</w:t>
      </w:r>
    </w:p>
    <w:p w14:paraId="5C00E10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Q</w:t>
      </w:r>
      <w:r>
        <w:rPr>
          <w:rFonts w:hint="default" w:ascii="Times New Roman" w:hAnsi="Times New Roman" w:cs="Times New Roman"/>
          <w:color w:val="auto"/>
          <w:kern w:val="0"/>
          <w:sz w:val="16"/>
          <w:szCs w:val="16"/>
          <w:highlight w:val="none"/>
        </w:rPr>
        <w:t>3</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质量蒸发速率，kg/s；</w:t>
      </w:r>
    </w:p>
    <w:p w14:paraId="7A8B3E2C">
      <w:pPr>
        <w:keepNext w:val="0"/>
        <w:keepLines w:val="0"/>
        <w:pageBreakBefore w:val="0"/>
        <w:widowControl w:val="0"/>
        <w:kinsoku/>
        <w:wordWrap/>
        <w:overflowPunct/>
        <w:topLinePunct w:val="0"/>
        <w:autoSpaceDE w:val="0"/>
        <w:autoSpaceDN w:val="0"/>
        <w:bidi w:val="0"/>
        <w:adjustRightInd w:val="0"/>
        <w:snapToGrid w:val="0"/>
        <w:spacing w:line="360" w:lineRule="auto"/>
        <w:ind w:firstLine="42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sz w:val="21"/>
          <w:szCs w:val="21"/>
          <w:highlight w:val="none"/>
          <w:lang w:val="zh-CN"/>
        </w:rPr>
        <w:t>α</w:t>
      </w:r>
      <w:r>
        <w:rPr>
          <w:rFonts w:hint="default" w:ascii="Times New Roman" w:hAnsi="Times New Roman" w:cs="Times New Roman"/>
          <w:color w:val="auto"/>
          <w:kern w:val="0"/>
          <w:sz w:val="24"/>
          <w:szCs w:val="24"/>
          <w:highlight w:val="none"/>
        </w:rPr>
        <w:t>，</w:t>
      </w:r>
      <w:r>
        <w:rPr>
          <w:rFonts w:hint="default" w:ascii="Times New Roman" w:hAnsi="Times New Roman" w:cs="Times New Roman"/>
          <w:i/>
          <w:iCs/>
          <w:color w:val="auto"/>
          <w:kern w:val="0"/>
          <w:sz w:val="24"/>
          <w:szCs w:val="24"/>
          <w:highlight w:val="none"/>
        </w:rPr>
        <w:t>n</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大气稳定度系数；</w:t>
      </w:r>
    </w:p>
    <w:p w14:paraId="72AD8FD2">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p</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液体表面蒸汽压，Pa；</w:t>
      </w:r>
    </w:p>
    <w:p w14:paraId="7D9B4E6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M</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分子量；</w:t>
      </w:r>
    </w:p>
    <w:p w14:paraId="166C14B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R</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气体常数，8.314J/（mol·K）；</w:t>
      </w:r>
    </w:p>
    <w:p w14:paraId="16440A20">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T</w:t>
      </w:r>
      <w:r>
        <w:rPr>
          <w:rFonts w:hint="default" w:ascii="Times New Roman" w:hAnsi="Times New Roman" w:cs="Times New Roman"/>
          <w:color w:val="auto"/>
          <w:kern w:val="0"/>
          <w:sz w:val="16"/>
          <w:szCs w:val="16"/>
          <w:highlight w:val="none"/>
        </w:rPr>
        <w:t>0</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环境温度；</w:t>
      </w:r>
    </w:p>
    <w:p w14:paraId="23E40289">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u</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风速，m/s；</w:t>
      </w:r>
    </w:p>
    <w:p w14:paraId="6E98C33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i/>
          <w:iCs/>
          <w:color w:val="auto"/>
          <w:kern w:val="0"/>
          <w:sz w:val="24"/>
          <w:szCs w:val="24"/>
          <w:highlight w:val="none"/>
        </w:rPr>
        <w:t>r</w:t>
      </w:r>
      <w:r>
        <w:rPr>
          <w:rFonts w:hint="default" w:ascii="Times New Roman" w:hAnsi="Times New Roman" w:eastAsia="TimesNewRomanPSMT" w:cs="Times New Roman"/>
          <w:color w:val="auto"/>
          <w:kern w:val="0"/>
          <w:sz w:val="24"/>
          <w:szCs w:val="24"/>
          <w:highlight w:val="none"/>
        </w:rPr>
        <w:t>——</w:t>
      </w:r>
      <w:r>
        <w:rPr>
          <w:rFonts w:hint="default" w:ascii="Times New Roman" w:hAnsi="Times New Roman" w:cs="Times New Roman"/>
          <w:color w:val="auto"/>
          <w:kern w:val="0"/>
          <w:sz w:val="24"/>
          <w:szCs w:val="24"/>
          <w:highlight w:val="none"/>
        </w:rPr>
        <w:t>液池半径，m。</w:t>
      </w:r>
    </w:p>
    <w:p w14:paraId="19549959">
      <w:pPr>
        <w:spacing w:line="240" w:lineRule="auto"/>
        <w:ind w:firstLine="0" w:firstLineChars="0"/>
        <w:jc w:val="center"/>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表</w:t>
      </w:r>
      <w:r>
        <w:rPr>
          <w:rFonts w:hint="eastAsia" w:eastAsia="黑体" w:cs="Times New Roman"/>
          <w:b w:val="0"/>
          <w:bCs/>
          <w:color w:val="auto"/>
          <w:sz w:val="21"/>
          <w:szCs w:val="21"/>
          <w:highlight w:val="none"/>
          <w:lang w:val="en-US" w:eastAsia="zh-CN"/>
        </w:rPr>
        <w:t>1.6-5</w:t>
      </w:r>
      <w:r>
        <w:rPr>
          <w:rFonts w:hint="default" w:ascii="Times New Roman" w:hAnsi="Times New Roman" w:eastAsia="黑体" w:cs="Times New Roman"/>
          <w:b w:val="0"/>
          <w:bCs/>
          <w:color w:val="auto"/>
          <w:sz w:val="21"/>
          <w:szCs w:val="21"/>
          <w:highlight w:val="none"/>
        </w:rPr>
        <w:t>液池蒸发模式参数一览表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2840"/>
        <w:gridCol w:w="2841"/>
        <w:gridCol w:w="2841"/>
      </w:tblGrid>
      <w:tr w14:paraId="313E603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2840" w:type="dxa"/>
            <w:noWrap w:val="0"/>
            <w:vAlign w:val="center"/>
          </w:tcPr>
          <w:p w14:paraId="5B020FD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稳定度条件</w:t>
            </w:r>
          </w:p>
        </w:tc>
        <w:tc>
          <w:tcPr>
            <w:tcW w:w="2841" w:type="dxa"/>
            <w:noWrap w:val="0"/>
            <w:vAlign w:val="center"/>
          </w:tcPr>
          <w:p w14:paraId="2BCA5D4F">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n</w:t>
            </w:r>
          </w:p>
        </w:tc>
        <w:tc>
          <w:tcPr>
            <w:tcW w:w="2841" w:type="dxa"/>
            <w:noWrap w:val="0"/>
            <w:vAlign w:val="center"/>
          </w:tcPr>
          <w:p w14:paraId="7A9B14A0">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α</w:t>
            </w:r>
          </w:p>
        </w:tc>
      </w:tr>
      <w:tr w14:paraId="246F899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2840" w:type="dxa"/>
            <w:noWrap w:val="0"/>
            <w:vAlign w:val="center"/>
          </w:tcPr>
          <w:p w14:paraId="50FA64A3">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不稳定（A,B）</w:t>
            </w:r>
          </w:p>
        </w:tc>
        <w:tc>
          <w:tcPr>
            <w:tcW w:w="2841" w:type="dxa"/>
            <w:noWrap w:val="0"/>
            <w:vAlign w:val="center"/>
          </w:tcPr>
          <w:p w14:paraId="231711B5">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0.2</w:t>
            </w:r>
          </w:p>
        </w:tc>
        <w:tc>
          <w:tcPr>
            <w:tcW w:w="2841" w:type="dxa"/>
            <w:noWrap w:val="0"/>
            <w:vAlign w:val="center"/>
          </w:tcPr>
          <w:p w14:paraId="13AE2C84">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3.846×10</w:t>
            </w:r>
            <w:r>
              <w:rPr>
                <w:rFonts w:hint="default" w:ascii="Times New Roman" w:hAnsi="Times New Roman" w:cs="Times New Roman"/>
                <w:color w:val="auto"/>
                <w:sz w:val="21"/>
                <w:szCs w:val="21"/>
                <w:highlight w:val="none"/>
                <w:vertAlign w:val="superscript"/>
                <w:lang w:val="zh-CN"/>
              </w:rPr>
              <w:t>-3</w:t>
            </w:r>
          </w:p>
        </w:tc>
      </w:tr>
      <w:tr w14:paraId="2348915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2840" w:type="dxa"/>
            <w:noWrap w:val="0"/>
            <w:vAlign w:val="center"/>
          </w:tcPr>
          <w:p w14:paraId="3B58A529">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中性（D）</w:t>
            </w:r>
          </w:p>
        </w:tc>
        <w:tc>
          <w:tcPr>
            <w:tcW w:w="2841" w:type="dxa"/>
            <w:noWrap w:val="0"/>
            <w:vAlign w:val="center"/>
          </w:tcPr>
          <w:p w14:paraId="6E15E448">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0.25</w:t>
            </w:r>
          </w:p>
        </w:tc>
        <w:tc>
          <w:tcPr>
            <w:tcW w:w="2841" w:type="dxa"/>
            <w:noWrap w:val="0"/>
            <w:vAlign w:val="center"/>
          </w:tcPr>
          <w:p w14:paraId="15BF85F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4.685×10</w:t>
            </w:r>
            <w:r>
              <w:rPr>
                <w:rFonts w:hint="default" w:ascii="Times New Roman" w:hAnsi="Times New Roman" w:cs="Times New Roman"/>
                <w:color w:val="auto"/>
                <w:sz w:val="21"/>
                <w:szCs w:val="21"/>
                <w:highlight w:val="none"/>
                <w:vertAlign w:val="superscript"/>
                <w:lang w:val="zh-CN"/>
              </w:rPr>
              <w:t>-3</w:t>
            </w:r>
          </w:p>
        </w:tc>
      </w:tr>
      <w:tr w14:paraId="2102A40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12" w:hRule="atLeast"/>
        </w:trPr>
        <w:tc>
          <w:tcPr>
            <w:tcW w:w="2840" w:type="dxa"/>
            <w:noWrap w:val="0"/>
            <w:vAlign w:val="center"/>
          </w:tcPr>
          <w:p w14:paraId="19DECE1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稳定（E,F）</w:t>
            </w:r>
          </w:p>
        </w:tc>
        <w:tc>
          <w:tcPr>
            <w:tcW w:w="2841" w:type="dxa"/>
            <w:noWrap w:val="0"/>
            <w:vAlign w:val="center"/>
          </w:tcPr>
          <w:p w14:paraId="7FD70A4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0.3</w:t>
            </w:r>
          </w:p>
        </w:tc>
        <w:tc>
          <w:tcPr>
            <w:tcW w:w="2841" w:type="dxa"/>
            <w:noWrap w:val="0"/>
            <w:vAlign w:val="center"/>
          </w:tcPr>
          <w:p w14:paraId="766387F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5.285×10</w:t>
            </w:r>
            <w:r>
              <w:rPr>
                <w:rFonts w:hint="default" w:ascii="Times New Roman" w:hAnsi="Times New Roman" w:cs="Times New Roman"/>
                <w:color w:val="auto"/>
                <w:sz w:val="21"/>
                <w:szCs w:val="21"/>
                <w:highlight w:val="none"/>
                <w:vertAlign w:val="superscript"/>
                <w:lang w:val="zh-CN"/>
              </w:rPr>
              <w:t>-3</w:t>
            </w:r>
          </w:p>
        </w:tc>
      </w:tr>
    </w:tbl>
    <w:p w14:paraId="6D39B3FC">
      <w:pPr>
        <w:keepNext w:val="0"/>
        <w:keepLines w:val="0"/>
        <w:pageBreakBefore w:val="0"/>
        <w:widowControl w:val="0"/>
        <w:kinsoku/>
        <w:wordWrap/>
        <w:overflowPunct/>
        <w:topLinePunct w:val="0"/>
        <w:autoSpaceDE/>
        <w:autoSpaceDN/>
        <w:bidi w:val="0"/>
        <w:adjustRightInd/>
        <w:snapToGrid/>
        <w:spacing w:before="161" w:beforeLines="50" w:line="240" w:lineRule="auto"/>
        <w:ind w:firstLine="0" w:firstLineChars="0"/>
        <w:jc w:val="center"/>
        <w:textAlignment w:val="auto"/>
        <w:rPr>
          <w:rFonts w:hint="default" w:ascii="Times New Roman" w:hAnsi="Times New Roman" w:eastAsia="黑体" w:cs="Times New Roman"/>
          <w:b w:val="0"/>
          <w:bCs/>
          <w:color w:val="auto"/>
          <w:sz w:val="21"/>
          <w:szCs w:val="21"/>
          <w:highlight w:val="none"/>
        </w:rPr>
      </w:pPr>
      <w:r>
        <w:rPr>
          <w:rFonts w:hint="default" w:ascii="Times New Roman" w:hAnsi="Times New Roman" w:eastAsia="黑体" w:cs="Times New Roman"/>
          <w:b w:val="0"/>
          <w:bCs/>
          <w:color w:val="auto"/>
          <w:sz w:val="21"/>
          <w:szCs w:val="21"/>
          <w:highlight w:val="none"/>
        </w:rPr>
        <w:t>表</w:t>
      </w:r>
      <w:r>
        <w:rPr>
          <w:rFonts w:hint="eastAsia" w:eastAsia="黑体" w:cs="Times New Roman"/>
          <w:b w:val="0"/>
          <w:bCs/>
          <w:color w:val="auto"/>
          <w:sz w:val="21"/>
          <w:szCs w:val="21"/>
          <w:highlight w:val="none"/>
          <w:lang w:val="en-US" w:eastAsia="zh-CN"/>
        </w:rPr>
        <w:t>1.6-6</w:t>
      </w:r>
      <w:r>
        <w:rPr>
          <w:rFonts w:hint="default" w:ascii="Times New Roman" w:hAnsi="Times New Roman" w:eastAsia="黑体" w:cs="Times New Roman"/>
          <w:b w:val="0"/>
          <w:bCs/>
          <w:color w:val="auto"/>
          <w:sz w:val="21"/>
          <w:szCs w:val="21"/>
          <w:highlight w:val="none"/>
        </w:rPr>
        <w:t xml:space="preserve">  </w:t>
      </w:r>
      <w:r>
        <w:rPr>
          <w:rFonts w:hint="eastAsia" w:eastAsia="黑体" w:cs="Times New Roman"/>
          <w:b w:val="0"/>
          <w:bCs/>
          <w:color w:val="auto"/>
          <w:sz w:val="21"/>
          <w:szCs w:val="21"/>
          <w:highlight w:val="none"/>
          <w:lang w:val="en-US" w:eastAsia="zh-CN"/>
        </w:rPr>
        <w:t>发烟硫酸</w:t>
      </w:r>
      <w:r>
        <w:rPr>
          <w:rFonts w:hint="default" w:ascii="Times New Roman" w:hAnsi="Times New Roman" w:eastAsia="黑体" w:cs="Times New Roman"/>
          <w:b w:val="0"/>
          <w:bCs/>
          <w:color w:val="auto"/>
          <w:sz w:val="21"/>
          <w:szCs w:val="21"/>
          <w:highlight w:val="none"/>
        </w:rPr>
        <w:t>液池</w:t>
      </w:r>
      <w:r>
        <w:rPr>
          <w:rFonts w:hint="eastAsia" w:eastAsia="黑体" w:cs="Times New Roman"/>
          <w:b w:val="0"/>
          <w:bCs/>
          <w:color w:val="auto"/>
          <w:sz w:val="21"/>
          <w:szCs w:val="21"/>
          <w:highlight w:val="none"/>
          <w:lang w:val="en-US" w:eastAsia="zh-CN"/>
        </w:rPr>
        <w:t>三氧化硫</w:t>
      </w:r>
      <w:r>
        <w:rPr>
          <w:rFonts w:hint="default" w:ascii="Times New Roman" w:hAnsi="Times New Roman" w:eastAsia="黑体" w:cs="Times New Roman"/>
          <w:b w:val="0"/>
          <w:bCs/>
          <w:color w:val="auto"/>
          <w:sz w:val="21"/>
          <w:szCs w:val="21"/>
          <w:highlight w:val="none"/>
        </w:rPr>
        <w:t>蒸发计算参数表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479"/>
        <w:gridCol w:w="2781"/>
        <w:gridCol w:w="4262"/>
      </w:tblGrid>
      <w:tr w14:paraId="0394F7F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vMerge w:val="restart"/>
            <w:noWrap w:val="0"/>
            <w:vAlign w:val="center"/>
          </w:tcPr>
          <w:p w14:paraId="0C07D87B">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r>
              <w:rPr>
                <w:rFonts w:hint="default" w:ascii="Times New Roman" w:hAnsi="Times New Roman" w:cs="Times New Roman"/>
                <w:b w:val="0"/>
                <w:bCs/>
                <w:color w:val="auto"/>
                <w:sz w:val="21"/>
                <w:szCs w:val="21"/>
                <w:highlight w:val="none"/>
                <w:lang w:val="zh-CN"/>
              </w:rPr>
              <w:t>参数</w:t>
            </w:r>
          </w:p>
        </w:tc>
        <w:tc>
          <w:tcPr>
            <w:tcW w:w="2781" w:type="dxa"/>
            <w:vMerge w:val="restart"/>
            <w:noWrap w:val="0"/>
            <w:vAlign w:val="center"/>
          </w:tcPr>
          <w:p w14:paraId="63AC8AEA">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r>
              <w:rPr>
                <w:rFonts w:hint="default" w:ascii="Times New Roman" w:hAnsi="Times New Roman" w:cs="Times New Roman"/>
                <w:b w:val="0"/>
                <w:bCs/>
                <w:color w:val="auto"/>
                <w:sz w:val="21"/>
                <w:szCs w:val="21"/>
                <w:highlight w:val="none"/>
                <w:lang w:val="zh-CN"/>
              </w:rPr>
              <w:t>意义及量纲</w:t>
            </w:r>
          </w:p>
        </w:tc>
        <w:tc>
          <w:tcPr>
            <w:tcW w:w="4262" w:type="dxa"/>
            <w:noWrap w:val="0"/>
            <w:vAlign w:val="center"/>
          </w:tcPr>
          <w:p w14:paraId="2FC7F7EF">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r>
              <w:rPr>
                <w:rFonts w:hint="eastAsia" w:cs="Times New Roman"/>
                <w:b w:val="0"/>
                <w:bCs/>
                <w:color w:val="auto"/>
                <w:sz w:val="21"/>
                <w:szCs w:val="21"/>
                <w:highlight w:val="none"/>
                <w:lang w:val="en-US" w:eastAsia="zh-CN"/>
              </w:rPr>
              <w:t>发烟硫酸</w:t>
            </w:r>
            <w:r>
              <w:rPr>
                <w:rFonts w:hint="default" w:ascii="Times New Roman" w:hAnsi="Times New Roman" w:cs="Times New Roman"/>
                <w:b w:val="0"/>
                <w:bCs/>
                <w:color w:val="auto"/>
                <w:sz w:val="21"/>
                <w:szCs w:val="21"/>
                <w:highlight w:val="none"/>
                <w:lang w:val="zh-CN"/>
              </w:rPr>
              <w:t>储罐事故</w:t>
            </w:r>
          </w:p>
        </w:tc>
      </w:tr>
      <w:tr w14:paraId="6DC4077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vMerge w:val="continue"/>
            <w:noWrap w:val="0"/>
            <w:vAlign w:val="center"/>
          </w:tcPr>
          <w:p w14:paraId="5B5D2A03">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p>
        </w:tc>
        <w:tc>
          <w:tcPr>
            <w:tcW w:w="2781" w:type="dxa"/>
            <w:vMerge w:val="continue"/>
            <w:noWrap w:val="0"/>
            <w:vAlign w:val="center"/>
          </w:tcPr>
          <w:p w14:paraId="058E5899">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p>
        </w:tc>
        <w:tc>
          <w:tcPr>
            <w:tcW w:w="4262" w:type="dxa"/>
            <w:noWrap w:val="0"/>
            <w:vAlign w:val="center"/>
          </w:tcPr>
          <w:p w14:paraId="380F836C">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b w:val="0"/>
                <w:bCs/>
                <w:color w:val="auto"/>
                <w:sz w:val="21"/>
                <w:szCs w:val="21"/>
                <w:highlight w:val="none"/>
                <w:lang w:val="zh-CN"/>
              </w:rPr>
            </w:pPr>
            <w:r>
              <w:rPr>
                <w:rFonts w:hint="default" w:ascii="Times New Roman" w:hAnsi="Times New Roman" w:cs="Times New Roman"/>
                <w:b w:val="0"/>
                <w:bCs/>
                <w:color w:val="auto"/>
                <w:sz w:val="21"/>
                <w:szCs w:val="21"/>
                <w:highlight w:val="none"/>
                <w:lang w:val="zh-CN"/>
              </w:rPr>
              <w:t>最不利气象条件</w:t>
            </w:r>
          </w:p>
        </w:tc>
      </w:tr>
      <w:tr w14:paraId="323649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4095908C">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w:t>
            </w:r>
          </w:p>
        </w:tc>
        <w:tc>
          <w:tcPr>
            <w:tcW w:w="2781" w:type="dxa"/>
            <w:noWrap w:val="0"/>
            <w:vAlign w:val="center"/>
          </w:tcPr>
          <w:p w14:paraId="46BB8078">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大气稳定度</w:t>
            </w:r>
          </w:p>
        </w:tc>
        <w:tc>
          <w:tcPr>
            <w:tcW w:w="4262" w:type="dxa"/>
            <w:noWrap w:val="0"/>
            <w:vAlign w:val="center"/>
          </w:tcPr>
          <w:p w14:paraId="2A0BF6A9">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F</w:t>
            </w:r>
          </w:p>
        </w:tc>
      </w:tr>
      <w:tr w14:paraId="3A4073D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618DD21C">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α，n</w:t>
            </w:r>
          </w:p>
        </w:tc>
        <w:tc>
          <w:tcPr>
            <w:tcW w:w="2781" w:type="dxa"/>
            <w:noWrap w:val="0"/>
            <w:vAlign w:val="center"/>
          </w:tcPr>
          <w:p w14:paraId="26017765">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大气稳定度系数</w:t>
            </w:r>
          </w:p>
        </w:tc>
        <w:tc>
          <w:tcPr>
            <w:tcW w:w="4262" w:type="dxa"/>
            <w:noWrap w:val="0"/>
            <w:vAlign w:val="center"/>
          </w:tcPr>
          <w:p w14:paraId="12B4AA8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3.846</w:t>
            </w:r>
            <w:r>
              <w:rPr>
                <w:rFonts w:hint="default" w:ascii="Times New Roman" w:hAnsi="Times New Roman" w:cs="Times New Roman"/>
                <w:color w:val="auto"/>
                <w:sz w:val="21"/>
                <w:szCs w:val="21"/>
                <w:highlight w:val="none"/>
                <w:lang w:val="zh-CN"/>
              </w:rPr>
              <w:t>×10</w:t>
            </w:r>
            <w:r>
              <w:rPr>
                <w:rFonts w:hint="default" w:ascii="Times New Roman" w:hAnsi="Times New Roman" w:cs="Times New Roman"/>
                <w:color w:val="auto"/>
                <w:sz w:val="21"/>
                <w:szCs w:val="21"/>
                <w:highlight w:val="none"/>
                <w:vertAlign w:val="superscript"/>
                <w:lang w:val="zh-CN"/>
              </w:rPr>
              <w:t>-3</w:t>
            </w:r>
            <w:r>
              <w:rPr>
                <w:rFonts w:hint="default" w:ascii="Times New Roman" w:hAnsi="Times New Roman" w:cs="Times New Roman"/>
                <w:color w:val="auto"/>
                <w:sz w:val="21"/>
                <w:szCs w:val="21"/>
                <w:highlight w:val="none"/>
                <w:lang w:val="zh-CN"/>
              </w:rPr>
              <w:t>，</w:t>
            </w:r>
            <w:r>
              <w:rPr>
                <w:rFonts w:hint="eastAsia" w:ascii="Times New Roman" w:hAnsi="Times New Roman" w:cs="Times New Roman"/>
                <w:color w:val="auto"/>
                <w:sz w:val="21"/>
                <w:szCs w:val="21"/>
                <w:highlight w:val="none"/>
                <w:lang w:val="en-US" w:eastAsia="zh-CN"/>
              </w:rPr>
              <w:t>0.2</w:t>
            </w:r>
          </w:p>
        </w:tc>
      </w:tr>
      <w:tr w14:paraId="39EC0BA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575E057E">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p</w:t>
            </w:r>
          </w:p>
        </w:tc>
        <w:tc>
          <w:tcPr>
            <w:tcW w:w="2781" w:type="dxa"/>
            <w:noWrap w:val="0"/>
            <w:vAlign w:val="center"/>
          </w:tcPr>
          <w:p w14:paraId="0207273D">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液体表面蒸气压，Pa</w:t>
            </w:r>
          </w:p>
        </w:tc>
        <w:tc>
          <w:tcPr>
            <w:tcW w:w="4262" w:type="dxa"/>
            <w:noWrap w:val="0"/>
            <w:vAlign w:val="center"/>
          </w:tcPr>
          <w:p w14:paraId="7471BFC8">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133</w:t>
            </w:r>
          </w:p>
        </w:tc>
      </w:tr>
      <w:tr w14:paraId="742CEC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75402608">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R</w:t>
            </w:r>
          </w:p>
        </w:tc>
        <w:tc>
          <w:tcPr>
            <w:tcW w:w="2781" w:type="dxa"/>
            <w:noWrap w:val="0"/>
            <w:vAlign w:val="center"/>
          </w:tcPr>
          <w:p w14:paraId="1E566F8E">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气体常数，J/（mol•K）</w:t>
            </w:r>
          </w:p>
        </w:tc>
        <w:tc>
          <w:tcPr>
            <w:tcW w:w="4262" w:type="dxa"/>
            <w:noWrap w:val="0"/>
            <w:vAlign w:val="center"/>
          </w:tcPr>
          <w:p w14:paraId="39E74470">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8.314</w:t>
            </w:r>
          </w:p>
        </w:tc>
      </w:tr>
      <w:tr w14:paraId="4668E08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37F081CE">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T</w:t>
            </w:r>
            <w:r>
              <w:rPr>
                <w:rFonts w:hint="default" w:ascii="Times New Roman" w:hAnsi="Times New Roman" w:cs="Times New Roman"/>
                <w:color w:val="auto"/>
                <w:sz w:val="21"/>
                <w:szCs w:val="21"/>
                <w:highlight w:val="none"/>
                <w:vertAlign w:val="subscript"/>
                <w:lang w:val="zh-CN"/>
              </w:rPr>
              <w:t>0</w:t>
            </w:r>
          </w:p>
        </w:tc>
        <w:tc>
          <w:tcPr>
            <w:tcW w:w="2781" w:type="dxa"/>
            <w:noWrap w:val="0"/>
            <w:vAlign w:val="center"/>
          </w:tcPr>
          <w:p w14:paraId="3A34C02D">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环境温度，K</w:t>
            </w:r>
          </w:p>
        </w:tc>
        <w:tc>
          <w:tcPr>
            <w:tcW w:w="4262" w:type="dxa"/>
            <w:noWrap w:val="0"/>
            <w:vAlign w:val="center"/>
          </w:tcPr>
          <w:p w14:paraId="5DD2AA15">
            <w:pPr>
              <w:keepNext w:val="0"/>
              <w:keepLines w:val="0"/>
              <w:suppressLineNumbers w:val="0"/>
              <w:adjustRightInd w:val="0"/>
              <w:snapToGrid w:val="0"/>
              <w:spacing w:before="0" w:beforeAutospacing="0" w:after="0" w:afterAutospacing="0" w:line="312" w:lineRule="exact"/>
              <w:ind w:left="0" w:right="0" w:firstLine="0" w:firstLineChars="0"/>
              <w:jc w:val="center"/>
              <w:rPr>
                <w:rFonts w:hint="eastAsia" w:ascii="Times New Roman" w:hAnsi="Times New Roman" w:eastAsia="宋体"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zh-CN"/>
              </w:rPr>
              <w:t>29</w:t>
            </w:r>
            <w:r>
              <w:rPr>
                <w:rFonts w:hint="eastAsia" w:cs="Times New Roman"/>
                <w:color w:val="auto"/>
                <w:sz w:val="21"/>
                <w:szCs w:val="21"/>
                <w:highlight w:val="none"/>
                <w:lang w:val="en-US" w:eastAsia="zh-CN"/>
              </w:rPr>
              <w:t>3</w:t>
            </w:r>
          </w:p>
        </w:tc>
      </w:tr>
      <w:tr w14:paraId="0D296BA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6FB53921">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M</w:t>
            </w:r>
          </w:p>
        </w:tc>
        <w:tc>
          <w:tcPr>
            <w:tcW w:w="2781" w:type="dxa"/>
            <w:noWrap w:val="0"/>
            <w:vAlign w:val="center"/>
          </w:tcPr>
          <w:p w14:paraId="60BFA306">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物质的摩尔质量，g/mol</w:t>
            </w:r>
          </w:p>
        </w:tc>
        <w:tc>
          <w:tcPr>
            <w:tcW w:w="4262" w:type="dxa"/>
            <w:noWrap w:val="0"/>
            <w:vAlign w:val="center"/>
          </w:tcPr>
          <w:p w14:paraId="336E4FB1">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80.06</w:t>
            </w:r>
          </w:p>
        </w:tc>
      </w:tr>
      <w:tr w14:paraId="5518468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36990BD0">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u</w:t>
            </w:r>
          </w:p>
        </w:tc>
        <w:tc>
          <w:tcPr>
            <w:tcW w:w="2781" w:type="dxa"/>
            <w:noWrap w:val="0"/>
            <w:vAlign w:val="center"/>
          </w:tcPr>
          <w:p w14:paraId="6F940658">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风速，m/s</w:t>
            </w:r>
          </w:p>
        </w:tc>
        <w:tc>
          <w:tcPr>
            <w:tcW w:w="4262" w:type="dxa"/>
            <w:noWrap w:val="0"/>
            <w:vAlign w:val="center"/>
          </w:tcPr>
          <w:p w14:paraId="7481BA93">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1.5</w:t>
            </w:r>
          </w:p>
        </w:tc>
      </w:tr>
      <w:tr w14:paraId="13E2021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059B0F0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r</w:t>
            </w:r>
          </w:p>
        </w:tc>
        <w:tc>
          <w:tcPr>
            <w:tcW w:w="2781" w:type="dxa"/>
            <w:noWrap w:val="0"/>
            <w:vAlign w:val="center"/>
          </w:tcPr>
          <w:p w14:paraId="3359222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液池半径，m</w:t>
            </w:r>
          </w:p>
        </w:tc>
        <w:tc>
          <w:tcPr>
            <w:tcW w:w="4262" w:type="dxa"/>
            <w:noWrap w:val="0"/>
            <w:vAlign w:val="center"/>
          </w:tcPr>
          <w:p w14:paraId="3B1B915F">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eastAsia"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zh-CN"/>
              </w:rPr>
              <w:t>（扣除储罐面积）</w:t>
            </w:r>
          </w:p>
        </w:tc>
      </w:tr>
      <w:tr w14:paraId="061E81F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479" w:type="dxa"/>
            <w:noWrap w:val="0"/>
            <w:vAlign w:val="center"/>
          </w:tcPr>
          <w:p w14:paraId="048A6B7F">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Q</w:t>
            </w:r>
          </w:p>
        </w:tc>
        <w:tc>
          <w:tcPr>
            <w:tcW w:w="2781" w:type="dxa"/>
            <w:noWrap w:val="0"/>
            <w:vAlign w:val="center"/>
          </w:tcPr>
          <w:p w14:paraId="730CF127">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ascii="Times New Roman" w:hAnsi="Times New Roman" w:cs="Times New Roman"/>
                <w:color w:val="auto"/>
                <w:sz w:val="21"/>
                <w:szCs w:val="21"/>
                <w:highlight w:val="none"/>
                <w:lang w:val="zh-CN"/>
              </w:rPr>
            </w:pPr>
            <w:r>
              <w:rPr>
                <w:rFonts w:hint="default" w:ascii="Times New Roman" w:hAnsi="Times New Roman" w:cs="Times New Roman"/>
                <w:color w:val="auto"/>
                <w:sz w:val="21"/>
                <w:szCs w:val="21"/>
                <w:highlight w:val="none"/>
                <w:lang w:val="zh-CN"/>
              </w:rPr>
              <w:t>质量蒸发速率，kg/s</w:t>
            </w:r>
          </w:p>
        </w:tc>
        <w:tc>
          <w:tcPr>
            <w:tcW w:w="4262" w:type="dxa"/>
            <w:noWrap w:val="0"/>
            <w:vAlign w:val="center"/>
          </w:tcPr>
          <w:p w14:paraId="2D63B19E">
            <w:pPr>
              <w:keepNext w:val="0"/>
              <w:keepLines w:val="0"/>
              <w:suppressLineNumbers w:val="0"/>
              <w:adjustRightInd w:val="0"/>
              <w:snapToGrid w:val="0"/>
              <w:spacing w:before="0" w:beforeAutospacing="0" w:after="0" w:afterAutospacing="0" w:line="312" w:lineRule="exact"/>
              <w:ind w:left="0" w:right="0" w:firstLine="0" w:firstLineChars="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0.506</w:t>
            </w:r>
          </w:p>
        </w:tc>
      </w:tr>
    </w:tbl>
    <w:p w14:paraId="20014BD5">
      <w:pPr>
        <w:pStyle w:val="3"/>
        <w:keepNext/>
        <w:keepLines/>
        <w:pageBreakBefore w:val="0"/>
        <w:widowControl w:val="0"/>
        <w:kinsoku/>
        <w:wordWrap/>
        <w:overflowPunct/>
        <w:topLinePunct w:val="0"/>
        <w:autoSpaceDE/>
        <w:autoSpaceDN/>
        <w:bidi w:val="0"/>
        <w:adjustRightInd/>
        <w:snapToGrid w:val="0"/>
        <w:spacing w:before="0" w:after="0" w:line="360" w:lineRule="auto"/>
        <w:ind w:firstLine="482" w:firstLineChars="200"/>
        <w:textAlignment w:val="auto"/>
        <w:rPr>
          <w:rFonts w:hint="default" w:ascii="Times New Roman" w:hAnsi="Times New Roman" w:cs="Times New Roman"/>
          <w:color w:val="auto"/>
          <w:sz w:val="24"/>
          <w:szCs w:val="24"/>
          <w:highlight w:val="none"/>
        </w:rPr>
      </w:pPr>
      <w:bookmarkStart w:id="11" w:name="_Toc21883"/>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.7环境风险影响评价</w:t>
      </w:r>
      <w:bookmarkEnd w:id="11"/>
    </w:p>
    <w:p w14:paraId="6EDB1CDC">
      <w:pPr>
        <w:pStyle w:val="4"/>
        <w:keepNext/>
        <w:keepLines/>
        <w:pageBreakBefore w:val="0"/>
        <w:widowControl w:val="0"/>
        <w:kinsoku/>
        <w:wordWrap/>
        <w:overflowPunct/>
        <w:topLinePunct w:val="0"/>
        <w:autoSpaceDE/>
        <w:autoSpaceDN/>
        <w:bidi w:val="0"/>
        <w:adjustRightInd/>
        <w:snapToGrid w:val="0"/>
        <w:spacing w:before="0" w:after="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.7.1大气环境风险影响评价</w:t>
      </w:r>
    </w:p>
    <w:p w14:paraId="153D40CB">
      <w:pPr>
        <w:pStyle w:val="5"/>
        <w:pageBreakBefore w:val="0"/>
        <w:widowControl w:val="0"/>
        <w:kinsoku/>
        <w:wordWrap/>
        <w:overflowPunct/>
        <w:topLinePunct w:val="0"/>
        <w:autoSpaceDE/>
        <w:autoSpaceDN/>
        <w:bidi w:val="0"/>
        <w:snapToGrid w:val="0"/>
        <w:spacing w:beforeLines="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.7.1.1预测模型的筛选</w:t>
      </w:r>
    </w:p>
    <w:p w14:paraId="486D09E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根据导则要求，预测计算时，应区分重质气体与轻质气体排放，依据附录G 筛选大气风险预测推荐模型的方法，确定各</w:t>
      </w:r>
      <w:r>
        <w:rPr>
          <w:rFonts w:hint="eastAsia" w:cs="Times New Roman"/>
          <w:color w:val="auto"/>
          <w:sz w:val="24"/>
          <w:szCs w:val="24"/>
          <w:highlight w:val="none"/>
          <w:lang w:eastAsia="zh-CN"/>
        </w:rPr>
        <w:t>事故</w:t>
      </w:r>
      <w:r>
        <w:rPr>
          <w:rFonts w:hint="default" w:ascii="Times New Roman" w:hAnsi="Times New Roman" w:cs="Times New Roman"/>
          <w:color w:val="auto"/>
          <w:sz w:val="24"/>
          <w:szCs w:val="24"/>
          <w:highlight w:val="none"/>
        </w:rPr>
        <w:t>预测模型如下：</w:t>
      </w:r>
    </w:p>
    <w:p w14:paraId="58595616">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1）排放形式的确定</w:t>
      </w:r>
    </w:p>
    <w:p w14:paraId="4A8E004F">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根据导则，判定连续排放还是瞬时排放，可以通过对比排放时间T</w:t>
      </w:r>
      <w:r>
        <w:rPr>
          <w:rFonts w:hint="default" w:ascii="Times New Roman" w:hAnsi="Times New Roman" w:cs="Times New Roman"/>
          <w:color w:val="auto"/>
          <w:sz w:val="24"/>
          <w:highlight w:val="none"/>
          <w:vertAlign w:val="subscript"/>
        </w:rPr>
        <w:t>d</w:t>
      </w:r>
      <w:r>
        <w:rPr>
          <w:rFonts w:hint="default" w:ascii="Times New Roman" w:hAnsi="Times New Roman" w:cs="Times New Roman"/>
          <w:color w:val="auto"/>
          <w:sz w:val="24"/>
          <w:highlight w:val="none"/>
        </w:rPr>
        <w:t>和污染物到达最近的受体点（网格点或敏感点）的</w:t>
      </w:r>
      <w:r>
        <w:rPr>
          <w:rFonts w:hint="default" w:ascii="Times New Roman" w:hAnsi="Times New Roman" w:eastAsia="宋体" w:cs="Times New Roman"/>
          <w:color w:val="auto"/>
          <w:sz w:val="24"/>
          <w:highlight w:val="none"/>
        </w:rPr>
        <w:t>时间</w:t>
      </w:r>
      <w:r>
        <w:rPr>
          <w:rFonts w:hint="default" w:ascii="Times New Roman" w:hAnsi="Times New Roman" w:cs="Times New Roman"/>
          <w:color w:val="auto"/>
          <w:sz w:val="24"/>
          <w:highlight w:val="none"/>
        </w:rPr>
        <w:t>T确定。</w:t>
      </w:r>
    </w:p>
    <w:p w14:paraId="0F856B69">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T=2X/U</w:t>
      </w:r>
      <w:r>
        <w:rPr>
          <w:rFonts w:hint="default" w:ascii="Times New Roman" w:hAnsi="Times New Roman" w:cs="Times New Roman"/>
          <w:color w:val="auto"/>
          <w:sz w:val="24"/>
          <w:highlight w:val="none"/>
          <w:vertAlign w:val="subscript"/>
        </w:rPr>
        <w:t>r</w:t>
      </w:r>
    </w:p>
    <w:p w14:paraId="3BDFC6CD">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式中：X——事故发生地与计算点的距离，m；</w:t>
      </w:r>
    </w:p>
    <w:p w14:paraId="698B8DBE">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U</w:t>
      </w:r>
      <w:r>
        <w:rPr>
          <w:rFonts w:hint="default" w:ascii="Times New Roman" w:hAnsi="Times New Roman" w:cs="Times New Roman"/>
          <w:color w:val="auto"/>
          <w:sz w:val="24"/>
          <w:highlight w:val="none"/>
          <w:vertAlign w:val="subscript"/>
        </w:rPr>
        <w:t>r</w:t>
      </w:r>
      <w:r>
        <w:rPr>
          <w:rFonts w:hint="default" w:ascii="Times New Roman" w:hAnsi="Times New Roman" w:cs="Times New Roman"/>
          <w:color w:val="auto"/>
          <w:sz w:val="24"/>
          <w:highlight w:val="none"/>
        </w:rPr>
        <w:t>——10m高处风速，m/s。假设风速和风向在T时间段内保持不变。取</w:t>
      </w:r>
      <w:r>
        <w:rPr>
          <w:rFonts w:hint="eastAsia" w:ascii="Times New Roman" w:hAnsi="Times New Roman" w:cs="Times New Roman"/>
          <w:color w:val="auto"/>
          <w:sz w:val="24"/>
          <w:highlight w:val="none"/>
          <w:lang w:val="en-US" w:eastAsia="zh-CN"/>
        </w:rPr>
        <w:t>2.1</w:t>
      </w:r>
      <w:r>
        <w:rPr>
          <w:rFonts w:hint="default" w:ascii="Times New Roman" w:hAnsi="Times New Roman" w:cs="Times New Roman"/>
          <w:color w:val="auto"/>
          <w:sz w:val="24"/>
          <w:highlight w:val="none"/>
        </w:rPr>
        <w:t>m/s。</w:t>
      </w:r>
    </w:p>
    <w:p w14:paraId="0ADD3E8B">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当T</w:t>
      </w:r>
      <w:r>
        <w:rPr>
          <w:rFonts w:hint="default" w:ascii="Times New Roman" w:hAnsi="Times New Roman" w:cs="Times New Roman"/>
          <w:color w:val="auto"/>
          <w:sz w:val="24"/>
          <w:highlight w:val="none"/>
          <w:vertAlign w:val="subscript"/>
        </w:rPr>
        <w:t>d</w:t>
      </w:r>
      <w:r>
        <w:rPr>
          <w:rFonts w:hint="default" w:ascii="Times New Roman" w:hAnsi="Times New Roman" w:cs="Times New Roman"/>
          <w:color w:val="auto"/>
          <w:sz w:val="24"/>
          <w:highlight w:val="none"/>
        </w:rPr>
        <w:t>＞T时，可被认为是连续排放的；当T</w:t>
      </w:r>
      <w:r>
        <w:rPr>
          <w:rFonts w:hint="default" w:ascii="Times New Roman" w:hAnsi="Times New Roman" w:cs="Times New Roman"/>
          <w:color w:val="auto"/>
          <w:sz w:val="24"/>
          <w:highlight w:val="none"/>
          <w:vertAlign w:val="subscript"/>
        </w:rPr>
        <w:t>d</w:t>
      </w:r>
      <w:r>
        <w:rPr>
          <w:rFonts w:hint="default" w:ascii="Times New Roman" w:hAnsi="Times New Roman" w:cs="Times New Roman"/>
          <w:color w:val="auto"/>
          <w:sz w:val="24"/>
          <w:highlight w:val="none"/>
        </w:rPr>
        <w:t>≤T时，可被认为是瞬时排放。</w:t>
      </w:r>
    </w:p>
    <w:p w14:paraId="6B180E05">
      <w:pPr>
        <w:pStyle w:val="41"/>
        <w:keepNext w:val="0"/>
        <w:keepLines w:val="0"/>
        <w:pageBreakBefore w:val="0"/>
        <w:widowControl w:val="0"/>
        <w:kinsoku/>
        <w:wordWrap/>
        <w:overflowPunct/>
        <w:topLinePunct w:val="0"/>
        <w:autoSpaceDE/>
        <w:autoSpaceDN/>
        <w:bidi w:val="0"/>
        <w:spacing w:line="450" w:lineRule="atLeast"/>
        <w:ind w:left="0" w:leftChars="0" w:firstLine="420" w:firstLineChars="200"/>
        <w:textAlignment w:val="auto"/>
        <w:rPr>
          <w:rFonts w:ascii="宋体" w:hAnsi="宋体" w:eastAsia="宋体" w:cs="宋体"/>
          <w:color w:val="auto"/>
          <w:sz w:val="12"/>
          <w:szCs w:val="24"/>
          <w:highlight w:val="none"/>
          <w:lang w:val="en-US" w:eastAsia="zh-CN" w:bidi="ar-SA"/>
        </w:rPr>
      </w:pPr>
      <w:r>
        <w:rPr>
          <w:color w:val="auto"/>
          <w:highlight w:val="none"/>
          <w:lang w:val="en-US" w:eastAsia="zh-CN"/>
        </w:rPr>
        <w:t xml:space="preserve">表 </w:t>
      </w:r>
      <w:r>
        <w:rPr>
          <w:rFonts w:hint="eastAsia"/>
          <w:color w:val="auto"/>
          <w:highlight w:val="none"/>
          <w:lang w:val="en-US" w:eastAsia="zh-CN"/>
        </w:rPr>
        <w:t>1.7-1</w:t>
      </w:r>
      <w:r>
        <w:rPr>
          <w:color w:val="auto"/>
          <w:highlight w:val="none"/>
          <w:lang w:val="en-US" w:eastAsia="zh-CN"/>
        </w:rPr>
        <w:tab/>
      </w:r>
      <w:r>
        <w:rPr>
          <w:color w:val="auto"/>
          <w:highlight w:val="none"/>
          <w:lang w:val="en-US" w:eastAsia="zh-CN"/>
        </w:rPr>
        <w:t>排放形式计算参数表</w:t>
      </w:r>
    </w:p>
    <w:tbl>
      <w:tblPr>
        <w:tblStyle w:val="21"/>
        <w:tblW w:w="4995"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363"/>
        <w:gridCol w:w="1457"/>
        <w:gridCol w:w="1421"/>
        <w:gridCol w:w="1610"/>
        <w:gridCol w:w="1127"/>
        <w:gridCol w:w="1319"/>
      </w:tblGrid>
      <w:tr w14:paraId="4891E17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282" w:hRule="atLeast"/>
          <w:jc w:val="center"/>
        </w:trPr>
        <w:tc>
          <w:tcPr>
            <w:tcW w:w="821" w:type="pct"/>
            <w:tcBorders>
              <w:tl2br w:val="nil"/>
              <w:tr2bl w:val="nil"/>
            </w:tcBorders>
            <w:vAlign w:val="center"/>
          </w:tcPr>
          <w:p w14:paraId="536B7913">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eastAsia"/>
                <w:color w:val="auto"/>
                <w:highlight w:val="none"/>
                <w:lang w:val="en-US" w:eastAsia="zh-CN"/>
              </w:rPr>
            </w:pPr>
            <w:r>
              <w:rPr>
                <w:rFonts w:hint="eastAsia"/>
                <w:color w:val="auto"/>
                <w:highlight w:val="none"/>
                <w:lang w:val="en-US" w:eastAsia="zh-CN"/>
              </w:rPr>
              <w:t>风险物质</w:t>
            </w:r>
          </w:p>
        </w:tc>
        <w:tc>
          <w:tcPr>
            <w:tcW w:w="878" w:type="pct"/>
            <w:tcBorders>
              <w:tl2br w:val="nil"/>
              <w:tr2bl w:val="nil"/>
            </w:tcBorders>
            <w:vAlign w:val="center"/>
          </w:tcPr>
          <w:p w14:paraId="2B037962">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default"/>
                <w:color w:val="auto"/>
                <w:highlight w:val="none"/>
                <w:lang w:val="en-US" w:eastAsia="zh-CN"/>
              </w:rPr>
              <w:t>X</w:t>
            </w:r>
            <w:r>
              <w:rPr>
                <w:rFonts w:hint="eastAsia"/>
                <w:color w:val="auto"/>
                <w:highlight w:val="none"/>
                <w:lang w:val="en-US" w:eastAsia="zh-CN"/>
              </w:rPr>
              <w:t>（</w:t>
            </w:r>
            <w:r>
              <w:rPr>
                <w:rFonts w:hint="default"/>
                <w:color w:val="auto"/>
                <w:highlight w:val="none"/>
                <w:lang w:val="en-US" w:eastAsia="zh-CN"/>
              </w:rPr>
              <w:t>m</w:t>
            </w:r>
            <w:r>
              <w:rPr>
                <w:rFonts w:hint="eastAsia"/>
                <w:color w:val="auto"/>
                <w:highlight w:val="none"/>
                <w:lang w:val="en-US" w:eastAsia="zh-CN"/>
              </w:rPr>
              <w:t>）</w:t>
            </w:r>
          </w:p>
        </w:tc>
        <w:tc>
          <w:tcPr>
            <w:tcW w:w="856" w:type="pct"/>
            <w:tcBorders>
              <w:tl2br w:val="nil"/>
              <w:tr2bl w:val="nil"/>
            </w:tcBorders>
            <w:vAlign w:val="center"/>
          </w:tcPr>
          <w:p w14:paraId="5E93E9B9">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default"/>
                <w:color w:val="auto"/>
                <w:highlight w:val="none"/>
                <w:lang w:val="en-US" w:eastAsia="zh-CN"/>
              </w:rPr>
              <w:t>Ur</w:t>
            </w:r>
            <w:r>
              <w:rPr>
                <w:rFonts w:hint="eastAsia"/>
                <w:color w:val="auto"/>
                <w:highlight w:val="none"/>
                <w:lang w:val="en-US" w:eastAsia="zh-CN"/>
              </w:rPr>
              <w:t>（</w:t>
            </w:r>
            <w:r>
              <w:rPr>
                <w:rFonts w:hint="default"/>
                <w:color w:val="auto"/>
                <w:highlight w:val="none"/>
                <w:lang w:val="en-US" w:eastAsia="zh-CN"/>
              </w:rPr>
              <w:t>m/s</w:t>
            </w:r>
            <w:r>
              <w:rPr>
                <w:rFonts w:hint="eastAsia"/>
                <w:color w:val="auto"/>
                <w:highlight w:val="none"/>
                <w:lang w:val="en-US" w:eastAsia="zh-CN"/>
              </w:rPr>
              <w:t>）</w:t>
            </w:r>
          </w:p>
        </w:tc>
        <w:tc>
          <w:tcPr>
            <w:tcW w:w="970" w:type="pct"/>
            <w:tcBorders>
              <w:tl2br w:val="nil"/>
              <w:tr2bl w:val="nil"/>
            </w:tcBorders>
            <w:vAlign w:val="center"/>
          </w:tcPr>
          <w:p w14:paraId="23D3C8D7">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eastAsia"/>
                <w:color w:val="auto"/>
                <w:highlight w:val="none"/>
                <w:lang w:val="en-US" w:eastAsia="zh-CN"/>
              </w:rPr>
            </w:pPr>
            <w:r>
              <w:rPr>
                <w:rFonts w:hint="default"/>
                <w:color w:val="auto"/>
                <w:highlight w:val="none"/>
                <w:lang w:val="en-US" w:eastAsia="zh-CN"/>
              </w:rPr>
              <w:t>T</w:t>
            </w:r>
            <w:r>
              <w:rPr>
                <w:rFonts w:hint="eastAsia"/>
                <w:color w:val="auto"/>
                <w:highlight w:val="none"/>
                <w:lang w:val="en-US" w:eastAsia="zh-CN"/>
              </w:rPr>
              <w:t>（</w:t>
            </w:r>
            <w:r>
              <w:rPr>
                <w:rFonts w:hint="default"/>
                <w:color w:val="auto"/>
                <w:highlight w:val="none"/>
                <w:lang w:val="en-US" w:eastAsia="zh-CN"/>
              </w:rPr>
              <w:t>min</w:t>
            </w:r>
            <w:r>
              <w:rPr>
                <w:rFonts w:hint="eastAsia"/>
                <w:color w:val="auto"/>
                <w:highlight w:val="none"/>
                <w:lang w:val="en-US" w:eastAsia="zh-CN"/>
              </w:rPr>
              <w:t>）</w:t>
            </w:r>
          </w:p>
        </w:tc>
        <w:tc>
          <w:tcPr>
            <w:tcW w:w="679" w:type="pct"/>
            <w:tcBorders>
              <w:tl2br w:val="nil"/>
              <w:tr2bl w:val="nil"/>
            </w:tcBorders>
            <w:vAlign w:val="center"/>
          </w:tcPr>
          <w:p w14:paraId="342A255B">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eastAsia"/>
                <w:color w:val="auto"/>
                <w:highlight w:val="none"/>
                <w:lang w:val="en-US" w:eastAsia="zh-CN"/>
              </w:rPr>
            </w:pPr>
            <w:r>
              <w:rPr>
                <w:rFonts w:hint="default"/>
                <w:color w:val="auto"/>
                <w:highlight w:val="none"/>
                <w:lang w:val="en-US" w:eastAsia="zh-CN"/>
              </w:rPr>
              <w:t>Td</w:t>
            </w:r>
            <w:r>
              <w:rPr>
                <w:rFonts w:hint="eastAsia"/>
                <w:color w:val="auto"/>
                <w:highlight w:val="none"/>
                <w:lang w:val="en-US" w:eastAsia="zh-CN"/>
              </w:rPr>
              <w:t>（</w:t>
            </w:r>
            <w:r>
              <w:rPr>
                <w:rFonts w:hint="default"/>
                <w:color w:val="auto"/>
                <w:highlight w:val="none"/>
                <w:lang w:val="en-US" w:eastAsia="zh-CN"/>
              </w:rPr>
              <w:t>min</w:t>
            </w:r>
            <w:r>
              <w:rPr>
                <w:rFonts w:hint="eastAsia"/>
                <w:color w:val="auto"/>
                <w:highlight w:val="none"/>
                <w:lang w:val="en-US" w:eastAsia="zh-CN"/>
              </w:rPr>
              <w:t>）</w:t>
            </w:r>
          </w:p>
        </w:tc>
        <w:tc>
          <w:tcPr>
            <w:tcW w:w="794" w:type="pct"/>
            <w:tcBorders>
              <w:tl2br w:val="nil"/>
              <w:tr2bl w:val="nil"/>
            </w:tcBorders>
            <w:vAlign w:val="center"/>
          </w:tcPr>
          <w:p w14:paraId="46722F6F">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eastAsia"/>
                <w:color w:val="auto"/>
                <w:highlight w:val="none"/>
                <w:lang w:val="en-US" w:eastAsia="zh-CN"/>
              </w:rPr>
            </w:pPr>
            <w:r>
              <w:rPr>
                <w:rFonts w:hint="eastAsia"/>
                <w:color w:val="auto"/>
                <w:highlight w:val="none"/>
                <w:lang w:val="en-US" w:eastAsia="zh-CN"/>
              </w:rPr>
              <w:t>排放方式</w:t>
            </w:r>
          </w:p>
        </w:tc>
      </w:tr>
      <w:tr w14:paraId="0CE62CBE">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821" w:type="pct"/>
            <w:tcBorders>
              <w:tl2br w:val="nil"/>
              <w:tr2bl w:val="nil"/>
            </w:tcBorders>
            <w:vAlign w:val="center"/>
          </w:tcPr>
          <w:p w14:paraId="78BD8014">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三氧化硫</w:t>
            </w:r>
          </w:p>
        </w:tc>
        <w:tc>
          <w:tcPr>
            <w:tcW w:w="878" w:type="pct"/>
            <w:tcBorders>
              <w:tl2br w:val="nil"/>
              <w:tr2bl w:val="nil"/>
            </w:tcBorders>
            <w:vAlign w:val="center"/>
          </w:tcPr>
          <w:p w14:paraId="3696B5D9">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260</w:t>
            </w:r>
          </w:p>
        </w:tc>
        <w:tc>
          <w:tcPr>
            <w:tcW w:w="856" w:type="pct"/>
            <w:tcBorders>
              <w:tl2br w:val="nil"/>
              <w:tr2bl w:val="nil"/>
            </w:tcBorders>
            <w:vAlign w:val="center"/>
          </w:tcPr>
          <w:p w14:paraId="7345D6F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2.1</w:t>
            </w:r>
          </w:p>
        </w:tc>
        <w:tc>
          <w:tcPr>
            <w:tcW w:w="970" w:type="pct"/>
            <w:tcBorders>
              <w:tl2br w:val="nil"/>
              <w:tr2bl w:val="nil"/>
            </w:tcBorders>
            <w:vAlign w:val="center"/>
          </w:tcPr>
          <w:p w14:paraId="2843166E">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4</w:t>
            </w:r>
          </w:p>
        </w:tc>
        <w:tc>
          <w:tcPr>
            <w:tcW w:w="679" w:type="pct"/>
            <w:tcBorders>
              <w:tl2br w:val="nil"/>
              <w:tr2bl w:val="nil"/>
            </w:tcBorders>
            <w:vAlign w:val="center"/>
          </w:tcPr>
          <w:p w14:paraId="15CFB4C2">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w:t>
            </w:r>
          </w:p>
        </w:tc>
        <w:tc>
          <w:tcPr>
            <w:tcW w:w="794" w:type="pct"/>
            <w:tcBorders>
              <w:tl2br w:val="nil"/>
              <w:tr2bl w:val="nil"/>
            </w:tcBorders>
            <w:vAlign w:val="center"/>
          </w:tcPr>
          <w:p w14:paraId="12ADC58C">
            <w:pPr>
              <w:pStyle w:val="4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tLeast"/>
              <w:ind w:left="0" w:leftChars="0" w:right="0" w:firstLine="0" w:firstLineChars="0"/>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连续排放</w:t>
            </w:r>
          </w:p>
        </w:tc>
      </w:tr>
    </w:tbl>
    <w:p w14:paraId="05F7F921">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w:t>
      </w:r>
      <w:r>
        <w:rPr>
          <w:rFonts w:hint="default" w:ascii="Times New Roman" w:hAnsi="Times New Roman" w:cs="Times New Roman"/>
          <w:color w:val="auto"/>
          <w:sz w:val="24"/>
          <w:szCs w:val="24"/>
          <w:highlight w:val="none"/>
        </w:rPr>
        <w:t>气体性质</w:t>
      </w:r>
      <w:r>
        <w:rPr>
          <w:rFonts w:hint="eastAsia" w:cs="Times New Roman"/>
          <w:color w:val="auto"/>
          <w:sz w:val="24"/>
          <w:szCs w:val="24"/>
          <w:highlight w:val="none"/>
          <w:lang w:eastAsia="zh-CN"/>
        </w:rPr>
        <w:t>的</w:t>
      </w:r>
      <w:r>
        <w:rPr>
          <w:rFonts w:hint="default" w:ascii="Times New Roman" w:hAnsi="Times New Roman" w:cs="Times New Roman"/>
          <w:color w:val="auto"/>
          <w:sz w:val="24"/>
          <w:szCs w:val="24"/>
          <w:highlight w:val="none"/>
        </w:rPr>
        <w:t>预测模型的确定</w:t>
      </w:r>
    </w:p>
    <w:p w14:paraId="0935B1E3">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判定烟团/烟羽是否为重质气体，取决于它相对空气的“过剩密度”和环境条件等因素。通常采用理查德森数（Ri）作为标准进行判断。</w:t>
      </w:r>
    </w:p>
    <w:p w14:paraId="67DB1972">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连续排放公式为：</w:t>
      </w:r>
    </w:p>
    <w:p w14:paraId="558A3A8D">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114300" distR="114300">
            <wp:extent cx="1847215" cy="651510"/>
            <wp:effectExtent l="0" t="0" r="12065" b="3810"/>
            <wp:docPr id="13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1"/>
                    <pic:cNvPicPr>
                      <a:picLocks noChangeAspect="1"/>
                    </pic:cNvPicPr>
                  </pic:nvPicPr>
                  <pic:blipFill>
                    <a:blip r:embed="rId23"/>
                    <a:stretch>
                      <a:fillRect/>
                    </a:stretch>
                  </pic:blipFill>
                  <pic:spPr>
                    <a:xfrm>
                      <a:off x="0" y="0"/>
                      <a:ext cx="1847215" cy="651510"/>
                    </a:xfrm>
                    <a:prstGeom prst="rect">
                      <a:avLst/>
                    </a:prstGeom>
                    <a:noFill/>
                    <a:ln>
                      <a:noFill/>
                    </a:ln>
                  </pic:spPr>
                </pic:pic>
              </a:graphicData>
            </a:graphic>
          </wp:inline>
        </w:drawing>
      </w:r>
    </w:p>
    <w:p w14:paraId="48F38B4C">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瞬时排放公式为：</w:t>
      </w:r>
    </w:p>
    <w:p w14:paraId="00CF44F8">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drawing>
          <wp:inline distT="0" distB="0" distL="114300" distR="114300">
            <wp:extent cx="1944370" cy="562610"/>
            <wp:effectExtent l="0" t="0" r="6350" b="1270"/>
            <wp:docPr id="13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2"/>
                    <pic:cNvPicPr>
                      <a:picLocks noChangeAspect="1"/>
                    </pic:cNvPicPr>
                  </pic:nvPicPr>
                  <pic:blipFill>
                    <a:blip r:embed="rId24"/>
                    <a:stretch>
                      <a:fillRect/>
                    </a:stretch>
                  </pic:blipFill>
                  <pic:spPr>
                    <a:xfrm>
                      <a:off x="0" y="0"/>
                      <a:ext cx="1944370" cy="562610"/>
                    </a:xfrm>
                    <a:prstGeom prst="rect">
                      <a:avLst/>
                    </a:prstGeom>
                    <a:noFill/>
                    <a:ln>
                      <a:noFill/>
                    </a:ln>
                  </pic:spPr>
                </pic:pic>
              </a:graphicData>
            </a:graphic>
          </wp:inline>
        </w:drawing>
      </w:r>
    </w:p>
    <w:p w14:paraId="49BFF2DA">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式中：ρ</w:t>
      </w:r>
      <w:r>
        <w:rPr>
          <w:rFonts w:hint="default" w:ascii="Times New Roman" w:hAnsi="Times New Roman" w:cs="Times New Roman"/>
          <w:color w:val="auto"/>
          <w:sz w:val="24"/>
          <w:highlight w:val="none"/>
          <w:vertAlign w:val="subscript"/>
        </w:rPr>
        <w:t>rel</w:t>
      </w:r>
      <w:r>
        <w:rPr>
          <w:rFonts w:hint="default" w:ascii="Times New Roman" w:hAnsi="Times New Roman" w:cs="Times New Roman"/>
          <w:color w:val="auto"/>
          <w:sz w:val="24"/>
          <w:highlight w:val="none"/>
        </w:rPr>
        <w:t>——排放物质进入大气的初始密度，kg/m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w:t>
      </w:r>
    </w:p>
    <w:p w14:paraId="646D6EC4">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ρ</w:t>
      </w:r>
      <w:r>
        <w:rPr>
          <w:rFonts w:hint="default" w:ascii="Times New Roman" w:hAnsi="Times New Roman" w:cs="Times New Roman"/>
          <w:color w:val="auto"/>
          <w:sz w:val="24"/>
          <w:highlight w:val="none"/>
          <w:vertAlign w:val="subscript"/>
        </w:rPr>
        <w:t>a</w:t>
      </w:r>
      <w:r>
        <w:rPr>
          <w:rFonts w:hint="default" w:ascii="Times New Roman" w:hAnsi="Times New Roman" w:cs="Times New Roman"/>
          <w:color w:val="auto"/>
          <w:sz w:val="24"/>
          <w:highlight w:val="none"/>
        </w:rPr>
        <w:t>——环境空气密度，kg/m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；为1.29kg/m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w:t>
      </w:r>
    </w:p>
    <w:p w14:paraId="02751819">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Q——连续排放烟羽的排放速率，kg/s。</w:t>
      </w:r>
    </w:p>
    <w:p w14:paraId="753C7ED1">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Q</w:t>
      </w:r>
      <w:r>
        <w:rPr>
          <w:rFonts w:hint="default" w:ascii="Times New Roman" w:hAnsi="Times New Roman" w:cs="Times New Roman"/>
          <w:color w:val="auto"/>
          <w:sz w:val="24"/>
          <w:highlight w:val="none"/>
          <w:vertAlign w:val="subscript"/>
        </w:rPr>
        <w:t>t</w:t>
      </w:r>
      <w:r>
        <w:rPr>
          <w:rFonts w:hint="default" w:ascii="Times New Roman" w:hAnsi="Times New Roman" w:cs="Times New Roman"/>
          <w:color w:val="auto"/>
          <w:sz w:val="24"/>
          <w:highlight w:val="none"/>
        </w:rPr>
        <w:t>——瞬时排放的物质质量，kg。</w:t>
      </w:r>
    </w:p>
    <w:p w14:paraId="30F1173D">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D</w:t>
      </w:r>
      <w:r>
        <w:rPr>
          <w:rFonts w:hint="default" w:ascii="Times New Roman" w:hAnsi="Times New Roman" w:cs="Times New Roman"/>
          <w:color w:val="auto"/>
          <w:sz w:val="24"/>
          <w:highlight w:val="none"/>
          <w:vertAlign w:val="subscript"/>
        </w:rPr>
        <w:t>rel</w:t>
      </w:r>
      <w:r>
        <w:rPr>
          <w:rFonts w:hint="default" w:ascii="Times New Roman" w:hAnsi="Times New Roman" w:cs="Times New Roman"/>
          <w:color w:val="auto"/>
          <w:sz w:val="24"/>
          <w:highlight w:val="none"/>
        </w:rPr>
        <w:t>——初始的烟团宽度，即源直径，m。</w:t>
      </w:r>
    </w:p>
    <w:p w14:paraId="39361FC5">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U</w:t>
      </w:r>
      <w:r>
        <w:rPr>
          <w:rFonts w:hint="default" w:ascii="Times New Roman" w:hAnsi="Times New Roman" w:cs="Times New Roman"/>
          <w:color w:val="auto"/>
          <w:sz w:val="24"/>
          <w:highlight w:val="none"/>
          <w:vertAlign w:val="subscript"/>
        </w:rPr>
        <w:t>r</w:t>
      </w:r>
      <w:r>
        <w:rPr>
          <w:rFonts w:hint="default" w:ascii="Times New Roman" w:hAnsi="Times New Roman" w:cs="Times New Roman"/>
          <w:color w:val="auto"/>
          <w:sz w:val="24"/>
          <w:highlight w:val="none"/>
        </w:rPr>
        <w:t>——10m高处风速，m/s。取年均风速2.1m/s。</w:t>
      </w:r>
    </w:p>
    <w:p w14:paraId="186E9425">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对于连续排放，R</w:t>
      </w:r>
      <w:r>
        <w:rPr>
          <w:rFonts w:hint="default" w:ascii="Times New Roman" w:hAnsi="Times New Roman" w:cs="Times New Roman"/>
          <w:color w:val="auto"/>
          <w:sz w:val="24"/>
          <w:szCs w:val="24"/>
          <w:highlight w:val="none"/>
          <w:vertAlign w:val="subscript"/>
        </w:rPr>
        <w:t>i</w:t>
      </w:r>
      <w:r>
        <w:rPr>
          <w:rFonts w:hint="default" w:ascii="Times New Roman" w:hAnsi="Times New Roman" w:cs="Times New Roman"/>
          <w:color w:val="auto"/>
          <w:sz w:val="24"/>
          <w:szCs w:val="24"/>
          <w:highlight w:val="none"/>
        </w:rPr>
        <w:t>≥1/6 为重质气体，R</w:t>
      </w:r>
      <w:r>
        <w:rPr>
          <w:rFonts w:hint="default" w:ascii="Times New Roman" w:hAnsi="Times New Roman" w:cs="Times New Roman"/>
          <w:color w:val="auto"/>
          <w:sz w:val="24"/>
          <w:szCs w:val="24"/>
          <w:highlight w:val="none"/>
          <w:vertAlign w:val="subscript"/>
        </w:rPr>
        <w:t>i</w:t>
      </w:r>
      <w:r>
        <w:rPr>
          <w:rFonts w:hint="default" w:ascii="Times New Roman" w:hAnsi="Times New Roman" w:cs="Times New Roman"/>
          <w:color w:val="auto"/>
          <w:sz w:val="24"/>
          <w:szCs w:val="24"/>
          <w:highlight w:val="none"/>
        </w:rPr>
        <w:t>＜1/6 为轻质气体；对于瞬时排放，R</w:t>
      </w:r>
      <w:r>
        <w:rPr>
          <w:rFonts w:hint="default" w:ascii="Times New Roman" w:hAnsi="Times New Roman" w:cs="Times New Roman"/>
          <w:color w:val="auto"/>
          <w:sz w:val="24"/>
          <w:szCs w:val="24"/>
          <w:highlight w:val="none"/>
          <w:vertAlign w:val="subscript"/>
        </w:rPr>
        <w:t>i</w:t>
      </w:r>
      <w:r>
        <w:rPr>
          <w:rFonts w:hint="default" w:ascii="Times New Roman" w:hAnsi="Times New Roman" w:cs="Times New Roman"/>
          <w:color w:val="auto"/>
          <w:sz w:val="24"/>
          <w:szCs w:val="24"/>
          <w:highlight w:val="none"/>
        </w:rPr>
        <w:t>＞0.04为重质气体，R</w:t>
      </w:r>
      <w:r>
        <w:rPr>
          <w:rFonts w:hint="default" w:ascii="Times New Roman" w:hAnsi="Times New Roman" w:cs="Times New Roman"/>
          <w:color w:val="auto"/>
          <w:sz w:val="24"/>
          <w:szCs w:val="24"/>
          <w:highlight w:val="none"/>
          <w:vertAlign w:val="subscript"/>
        </w:rPr>
        <w:t>i</w:t>
      </w:r>
      <w:r>
        <w:rPr>
          <w:rFonts w:hint="default" w:ascii="Times New Roman" w:hAnsi="Times New Roman" w:cs="Times New Roman"/>
          <w:color w:val="auto"/>
          <w:sz w:val="24"/>
          <w:szCs w:val="24"/>
          <w:highlight w:val="none"/>
        </w:rPr>
        <w:t>≤0.04为轻质气体。当R</w:t>
      </w:r>
      <w:r>
        <w:rPr>
          <w:rFonts w:hint="default" w:ascii="Times New Roman" w:hAnsi="Times New Roman" w:cs="Times New Roman"/>
          <w:color w:val="auto"/>
          <w:sz w:val="24"/>
          <w:szCs w:val="24"/>
          <w:highlight w:val="none"/>
          <w:vertAlign w:val="subscript"/>
        </w:rPr>
        <w:t>i</w:t>
      </w:r>
      <w:r>
        <w:rPr>
          <w:rFonts w:hint="default" w:ascii="Times New Roman" w:hAnsi="Times New Roman" w:cs="Times New Roman"/>
          <w:color w:val="auto"/>
          <w:sz w:val="24"/>
          <w:szCs w:val="24"/>
          <w:highlight w:val="none"/>
        </w:rPr>
        <w:t>处于临界值附近时，说明烟团/烟羽既不是典型的重质气体扩散，也不是典型的轻质气体扩散。可以进行敏感性分析，分别采用重质气体模型和轻质气体模型进行模拟，选取影响范围最大的结果。</w:t>
      </w:r>
    </w:p>
    <w:p w14:paraId="6C1BFC55">
      <w:pPr>
        <w:pStyle w:val="41"/>
        <w:keepNext w:val="0"/>
        <w:keepLines w:val="0"/>
        <w:pageBreakBefore w:val="0"/>
        <w:widowControl w:val="0"/>
        <w:kinsoku/>
        <w:wordWrap/>
        <w:overflowPunct/>
        <w:topLinePunct w:val="0"/>
        <w:autoSpaceDE/>
        <w:autoSpaceDN/>
        <w:bidi w:val="0"/>
        <w:spacing w:line="240" w:lineRule="auto"/>
        <w:ind w:left="0" w:leftChars="0" w:firstLine="420" w:firstLineChars="200"/>
        <w:textAlignment w:val="auto"/>
        <w:rPr>
          <w:rFonts w:ascii="宋体" w:hAnsi="宋体" w:eastAsia="宋体" w:cs="宋体"/>
          <w:color w:val="auto"/>
          <w:sz w:val="12"/>
          <w:szCs w:val="24"/>
          <w:highlight w:val="none"/>
          <w:lang w:val="en-US" w:eastAsia="zh-CN" w:bidi="ar-SA"/>
        </w:rPr>
      </w:pPr>
      <w:r>
        <w:rPr>
          <w:color w:val="auto"/>
          <w:highlight w:val="none"/>
          <w:lang w:val="en-US" w:eastAsia="zh-CN"/>
        </w:rPr>
        <w:t xml:space="preserve">表 </w:t>
      </w:r>
      <w:r>
        <w:rPr>
          <w:rFonts w:hint="eastAsia"/>
          <w:color w:val="auto"/>
          <w:highlight w:val="none"/>
          <w:lang w:val="en-US" w:eastAsia="zh-CN"/>
        </w:rPr>
        <w:t>1.7-2</w:t>
      </w:r>
      <w:r>
        <w:rPr>
          <w:color w:val="auto"/>
          <w:highlight w:val="none"/>
          <w:lang w:val="en-US" w:eastAsia="zh-CN"/>
        </w:rPr>
        <w:tab/>
      </w:r>
      <w:r>
        <w:rPr>
          <w:color w:val="auto"/>
          <w:highlight w:val="none"/>
          <w:lang w:val="en-US" w:eastAsia="zh-CN"/>
        </w:rPr>
        <w:t>气体性质计算参数表</w:t>
      </w:r>
    </w:p>
    <w:tbl>
      <w:tblPr>
        <w:tblStyle w:val="21"/>
        <w:tblW w:w="4996"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940"/>
        <w:gridCol w:w="1340"/>
        <w:gridCol w:w="1367"/>
        <w:gridCol w:w="1126"/>
        <w:gridCol w:w="855"/>
        <w:gridCol w:w="887"/>
        <w:gridCol w:w="839"/>
        <w:gridCol w:w="944"/>
      </w:tblGrid>
      <w:tr w14:paraId="208E753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566" w:type="pct"/>
            <w:tcBorders>
              <w:tl2br w:val="nil"/>
              <w:tr2bl w:val="nil"/>
            </w:tcBorders>
          </w:tcPr>
          <w:p w14:paraId="5D008E04">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eastAsia"/>
                <w:color w:val="auto"/>
                <w:highlight w:val="none"/>
                <w:lang w:val="en-US" w:eastAsia="zh-CN"/>
              </w:rPr>
            </w:pPr>
            <w:r>
              <w:rPr>
                <w:rFonts w:hint="eastAsia"/>
                <w:color w:val="auto"/>
                <w:highlight w:val="none"/>
                <w:lang w:val="en-US" w:eastAsia="zh-CN"/>
              </w:rPr>
              <w:t>风险物质</w:t>
            </w:r>
          </w:p>
        </w:tc>
        <w:tc>
          <w:tcPr>
            <w:tcW w:w="807" w:type="pct"/>
            <w:tcBorders>
              <w:tl2br w:val="nil"/>
              <w:tr2bl w:val="nil"/>
            </w:tcBorders>
          </w:tcPr>
          <w:p w14:paraId="52790A1C">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ρrel（kg/m3）</w:t>
            </w:r>
          </w:p>
        </w:tc>
        <w:tc>
          <w:tcPr>
            <w:tcW w:w="823" w:type="pct"/>
            <w:tcBorders>
              <w:tl2br w:val="nil"/>
              <w:tr2bl w:val="nil"/>
            </w:tcBorders>
          </w:tcPr>
          <w:p w14:paraId="7AC52B9B">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ρa（kg/m3）</w:t>
            </w:r>
          </w:p>
        </w:tc>
        <w:tc>
          <w:tcPr>
            <w:tcW w:w="678" w:type="pct"/>
            <w:tcBorders>
              <w:tl2br w:val="nil"/>
              <w:tr2bl w:val="nil"/>
            </w:tcBorders>
          </w:tcPr>
          <w:p w14:paraId="23033E1F">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Q（kg/s）</w:t>
            </w:r>
          </w:p>
        </w:tc>
        <w:tc>
          <w:tcPr>
            <w:tcW w:w="515" w:type="pct"/>
            <w:tcBorders>
              <w:tl2br w:val="nil"/>
              <w:tr2bl w:val="nil"/>
            </w:tcBorders>
          </w:tcPr>
          <w:p w14:paraId="6887083F">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default"/>
                <w:color w:val="auto"/>
                <w:highlight w:val="none"/>
                <w:lang w:val="en-US" w:eastAsia="zh-CN"/>
              </w:rPr>
              <w:t>Drel</w:t>
            </w:r>
            <w:r>
              <w:rPr>
                <w:rFonts w:hint="eastAsia"/>
                <w:color w:val="auto"/>
                <w:highlight w:val="none"/>
                <w:lang w:val="en-US" w:eastAsia="zh-CN"/>
              </w:rPr>
              <w:t>（</w:t>
            </w:r>
            <w:r>
              <w:rPr>
                <w:rFonts w:hint="default"/>
                <w:color w:val="auto"/>
                <w:highlight w:val="none"/>
                <w:lang w:val="en-US" w:eastAsia="zh-CN"/>
              </w:rPr>
              <w:t>m</w:t>
            </w:r>
            <w:r>
              <w:rPr>
                <w:rFonts w:hint="eastAsia"/>
                <w:color w:val="auto"/>
                <w:highlight w:val="none"/>
                <w:lang w:val="en-US" w:eastAsia="zh-CN"/>
              </w:rPr>
              <w:t>）</w:t>
            </w:r>
          </w:p>
        </w:tc>
        <w:tc>
          <w:tcPr>
            <w:tcW w:w="534" w:type="pct"/>
            <w:tcBorders>
              <w:tl2br w:val="nil"/>
              <w:tr2bl w:val="nil"/>
            </w:tcBorders>
          </w:tcPr>
          <w:p w14:paraId="6D9C233B">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default"/>
                <w:color w:val="auto"/>
                <w:highlight w:val="none"/>
                <w:lang w:val="en-US" w:eastAsia="zh-CN"/>
              </w:rPr>
              <w:t>Ur</w:t>
            </w:r>
            <w:r>
              <w:rPr>
                <w:rFonts w:hint="eastAsia"/>
                <w:color w:val="auto"/>
                <w:highlight w:val="none"/>
                <w:lang w:val="en-US" w:eastAsia="zh-CN"/>
              </w:rPr>
              <w:t>（</w:t>
            </w:r>
            <w:r>
              <w:rPr>
                <w:rFonts w:hint="default"/>
                <w:color w:val="auto"/>
                <w:highlight w:val="none"/>
                <w:lang w:val="en-US" w:eastAsia="zh-CN"/>
              </w:rPr>
              <w:t>m/s</w:t>
            </w:r>
            <w:r>
              <w:rPr>
                <w:rFonts w:hint="eastAsia"/>
                <w:color w:val="auto"/>
                <w:highlight w:val="none"/>
                <w:lang w:val="en-US" w:eastAsia="zh-CN"/>
              </w:rPr>
              <w:t>）</w:t>
            </w:r>
          </w:p>
        </w:tc>
        <w:tc>
          <w:tcPr>
            <w:tcW w:w="505" w:type="pct"/>
            <w:tcBorders>
              <w:tl2br w:val="nil"/>
              <w:tr2bl w:val="nil"/>
            </w:tcBorders>
          </w:tcPr>
          <w:p w14:paraId="7F255580">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default"/>
                <w:color w:val="auto"/>
                <w:highlight w:val="none"/>
                <w:lang w:val="en-US" w:eastAsia="zh-CN"/>
              </w:rPr>
              <w:t>Ri</w:t>
            </w:r>
          </w:p>
        </w:tc>
        <w:tc>
          <w:tcPr>
            <w:tcW w:w="568" w:type="pct"/>
            <w:tcBorders>
              <w:tl2br w:val="nil"/>
              <w:tr2bl w:val="nil"/>
            </w:tcBorders>
          </w:tcPr>
          <w:p w14:paraId="745F4086">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eastAsia"/>
                <w:color w:val="auto"/>
                <w:highlight w:val="none"/>
                <w:lang w:val="en-US" w:eastAsia="zh-CN"/>
              </w:rPr>
            </w:pPr>
            <w:r>
              <w:rPr>
                <w:rFonts w:hint="eastAsia"/>
                <w:color w:val="auto"/>
                <w:highlight w:val="none"/>
                <w:lang w:val="en-US" w:eastAsia="zh-CN"/>
              </w:rPr>
              <w:t>气体性质</w:t>
            </w:r>
          </w:p>
        </w:tc>
      </w:tr>
      <w:tr w14:paraId="7490134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566" w:type="pct"/>
            <w:tcBorders>
              <w:tl2br w:val="nil"/>
              <w:tr2bl w:val="nil"/>
            </w:tcBorders>
          </w:tcPr>
          <w:p w14:paraId="31849041">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三氧化硫</w:t>
            </w:r>
          </w:p>
        </w:tc>
        <w:tc>
          <w:tcPr>
            <w:tcW w:w="807" w:type="pct"/>
            <w:tcBorders>
              <w:tl2br w:val="nil"/>
              <w:tr2bl w:val="nil"/>
            </w:tcBorders>
            <w:vAlign w:val="center"/>
          </w:tcPr>
          <w:p w14:paraId="42B82657">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 xml:space="preserve">1.97 </w:t>
            </w:r>
          </w:p>
        </w:tc>
        <w:tc>
          <w:tcPr>
            <w:tcW w:w="823" w:type="pct"/>
            <w:tcBorders>
              <w:tl2br w:val="nil"/>
              <w:tr2bl w:val="nil"/>
            </w:tcBorders>
          </w:tcPr>
          <w:p w14:paraId="0A211D4A">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default"/>
                <w:color w:val="auto"/>
                <w:highlight w:val="none"/>
                <w:lang w:val="en-US" w:eastAsia="zh-CN"/>
              </w:rPr>
              <w:t>1.</w:t>
            </w:r>
            <w:r>
              <w:rPr>
                <w:rFonts w:hint="eastAsia"/>
                <w:color w:val="auto"/>
                <w:highlight w:val="none"/>
                <w:lang w:val="en-US" w:eastAsia="zh-CN"/>
              </w:rPr>
              <w:t>2</w:t>
            </w:r>
            <w:r>
              <w:rPr>
                <w:rFonts w:hint="default"/>
                <w:color w:val="auto"/>
                <w:highlight w:val="none"/>
                <w:lang w:val="en-US" w:eastAsia="zh-CN"/>
              </w:rPr>
              <w:t>9</w:t>
            </w:r>
          </w:p>
        </w:tc>
        <w:tc>
          <w:tcPr>
            <w:tcW w:w="678" w:type="pct"/>
            <w:tcBorders>
              <w:tl2br w:val="nil"/>
              <w:tr2bl w:val="nil"/>
            </w:tcBorders>
            <w:vAlign w:val="center"/>
          </w:tcPr>
          <w:p w14:paraId="3E3D44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12" w:lineRule="atLeast"/>
              <w:ind w:left="0" w:leftChars="0" w:right="0" w:firstLine="0" w:firstLineChars="0"/>
              <w:jc w:val="center"/>
              <w:textAlignment w:val="auto"/>
              <w:rPr>
                <w:rFonts w:hint="default"/>
                <w:color w:val="auto"/>
                <w:highlight w:val="none"/>
                <w:lang w:val="en-US" w:eastAsia="zh-CN"/>
              </w:rPr>
            </w:pPr>
            <w:r>
              <w:rPr>
                <w:rFonts w:hint="eastAsia" w:cs="Times New Roman"/>
                <w:color w:val="auto"/>
                <w:sz w:val="21"/>
                <w:szCs w:val="21"/>
                <w:highlight w:val="none"/>
                <w:lang w:val="en-US" w:eastAsia="zh-CN"/>
              </w:rPr>
              <w:t>0.506</w:t>
            </w:r>
          </w:p>
        </w:tc>
        <w:tc>
          <w:tcPr>
            <w:tcW w:w="515" w:type="pct"/>
            <w:tcBorders>
              <w:tl2br w:val="nil"/>
              <w:tr2bl w:val="nil"/>
            </w:tcBorders>
          </w:tcPr>
          <w:p w14:paraId="6F1F9D7C">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11.4</w:t>
            </w:r>
          </w:p>
        </w:tc>
        <w:tc>
          <w:tcPr>
            <w:tcW w:w="534" w:type="pct"/>
            <w:tcBorders>
              <w:tl2br w:val="nil"/>
              <w:tr2bl w:val="nil"/>
            </w:tcBorders>
          </w:tcPr>
          <w:p w14:paraId="22A7DE39">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2.1</w:t>
            </w:r>
          </w:p>
        </w:tc>
        <w:tc>
          <w:tcPr>
            <w:tcW w:w="505" w:type="pct"/>
            <w:tcBorders>
              <w:tl2br w:val="nil"/>
              <w:tr2bl w:val="nil"/>
            </w:tcBorders>
            <w:vAlign w:val="center"/>
          </w:tcPr>
          <w:p w14:paraId="10F205FD">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default"/>
                <w:color w:val="auto"/>
                <w:highlight w:val="none"/>
                <w:lang w:val="en-US" w:eastAsia="zh-CN"/>
              </w:rPr>
            </w:pPr>
            <w:r>
              <w:rPr>
                <w:rFonts w:hint="eastAsia"/>
                <w:color w:val="auto"/>
                <w:highlight w:val="none"/>
                <w:lang w:val="en-US" w:eastAsia="zh-CN"/>
              </w:rPr>
              <w:t>0.857</w:t>
            </w:r>
          </w:p>
        </w:tc>
        <w:tc>
          <w:tcPr>
            <w:tcW w:w="568" w:type="pct"/>
            <w:tcBorders>
              <w:tl2br w:val="nil"/>
              <w:tr2bl w:val="nil"/>
            </w:tcBorders>
          </w:tcPr>
          <w:p w14:paraId="71FEF6E4">
            <w:pPr>
              <w:pStyle w:val="42"/>
              <w:keepNext w:val="0"/>
              <w:keepLines w:val="0"/>
              <w:pageBreakBefore w:val="0"/>
              <w:widowControl w:val="0"/>
              <w:suppressLineNumbers w:val="0"/>
              <w:kinsoku/>
              <w:wordWrap/>
              <w:overflowPunct/>
              <w:topLinePunct w:val="0"/>
              <w:autoSpaceDE/>
              <w:autoSpaceDN/>
              <w:bidi w:val="0"/>
              <w:spacing w:before="0" w:beforeAutospacing="0" w:after="0" w:afterAutospacing="0" w:line="312" w:lineRule="atLeast"/>
              <w:ind w:left="0" w:leftChars="0" w:right="0" w:firstLine="0" w:firstLineChars="0"/>
              <w:textAlignment w:val="auto"/>
              <w:rPr>
                <w:rFonts w:hint="eastAsia"/>
                <w:color w:val="auto"/>
                <w:highlight w:val="none"/>
                <w:lang w:val="en-US" w:eastAsia="zh-CN"/>
              </w:rPr>
            </w:pPr>
            <w:r>
              <w:rPr>
                <w:rFonts w:hint="eastAsia"/>
                <w:color w:val="auto"/>
                <w:highlight w:val="none"/>
                <w:lang w:val="en-US" w:eastAsia="zh-CN"/>
              </w:rPr>
              <w:t>重质</w:t>
            </w:r>
          </w:p>
        </w:tc>
      </w:tr>
    </w:tbl>
    <w:p w14:paraId="7A03A919">
      <w:pPr>
        <w:keepNext w:val="0"/>
        <w:keepLines w:val="0"/>
        <w:pageBreakBefore w:val="0"/>
        <w:widowControl w:val="0"/>
        <w:kinsoku/>
        <w:wordWrap/>
        <w:overflowPunct/>
        <w:topLinePunct w:val="0"/>
        <w:autoSpaceDE/>
        <w:autoSpaceDN/>
        <w:bidi w:val="0"/>
        <w:snapToGrid w:val="0"/>
        <w:spacing w:line="360" w:lineRule="auto"/>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eastAsia="zh-CN"/>
        </w:rPr>
        <w:t>经计算，</w:t>
      </w:r>
      <w:r>
        <w:rPr>
          <w:rFonts w:hint="eastAsia" w:cs="Times New Roman"/>
          <w:color w:val="auto"/>
          <w:sz w:val="24"/>
          <w:szCs w:val="24"/>
          <w:highlight w:val="none"/>
          <w:lang w:val="en-US" w:eastAsia="zh-CN"/>
        </w:rPr>
        <w:t>三氧化硫</w:t>
      </w:r>
      <w:r>
        <w:rPr>
          <w:rFonts w:hint="default" w:ascii="Times New Roman" w:hAnsi="Times New Roman" w:cs="Times New Roman"/>
          <w:color w:val="auto"/>
          <w:sz w:val="24"/>
          <w:szCs w:val="24"/>
          <w:highlight w:val="none"/>
          <w:lang w:val="en-US" w:eastAsia="zh-CN"/>
        </w:rPr>
        <w:t>为</w:t>
      </w:r>
      <w:r>
        <w:rPr>
          <w:rFonts w:hint="eastAsia" w:cs="Times New Roman"/>
          <w:color w:val="auto"/>
          <w:sz w:val="24"/>
          <w:szCs w:val="24"/>
          <w:highlight w:val="none"/>
          <w:lang w:val="en-US" w:eastAsia="zh-CN"/>
        </w:rPr>
        <w:t>重质</w:t>
      </w:r>
      <w:r>
        <w:rPr>
          <w:rFonts w:hint="default" w:ascii="Times New Roman" w:hAnsi="Times New Roman" w:cs="Times New Roman"/>
          <w:color w:val="auto"/>
          <w:sz w:val="24"/>
          <w:szCs w:val="24"/>
          <w:highlight w:val="none"/>
          <w:lang w:val="en-US" w:eastAsia="zh-CN"/>
        </w:rPr>
        <w:t>气体，采用烟气扩散采用</w:t>
      </w:r>
      <w:r>
        <w:rPr>
          <w:rFonts w:hint="eastAsia" w:cs="Times New Roman"/>
          <w:color w:val="auto"/>
          <w:sz w:val="24"/>
          <w:szCs w:val="24"/>
          <w:highlight w:val="none"/>
          <w:lang w:val="en-US" w:eastAsia="zh-CN"/>
        </w:rPr>
        <w:t>SLAB</w:t>
      </w:r>
      <w:r>
        <w:rPr>
          <w:rFonts w:hint="default" w:ascii="Times New Roman" w:hAnsi="Times New Roman" w:cs="Times New Roman"/>
          <w:color w:val="auto"/>
          <w:sz w:val="24"/>
          <w:szCs w:val="24"/>
          <w:highlight w:val="none"/>
          <w:lang w:val="en-US" w:eastAsia="zh-CN"/>
        </w:rPr>
        <w:t>模型进行风险预测。</w:t>
      </w:r>
    </w:p>
    <w:p w14:paraId="4BBEE9EC">
      <w:pPr>
        <w:pStyle w:val="5"/>
        <w:pageBreakBefore w:val="0"/>
        <w:widowControl w:val="0"/>
        <w:kinsoku/>
        <w:wordWrap/>
        <w:overflowPunct/>
        <w:topLinePunct w:val="0"/>
        <w:autoSpaceDE/>
        <w:autoSpaceDN/>
        <w:bidi w:val="0"/>
        <w:snapToGrid w:val="0"/>
        <w:spacing w:beforeLines="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.7.1.2预测范围与计算点</w:t>
      </w:r>
    </w:p>
    <w:p w14:paraId="31936995">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预测范围为预测物质达到评价标准时的最大影响范围，根据预测结果进行调整、选取。一般计算点按照导则要求，均取50m间距。特殊计算点的选取综合考虑距离风险源的距离以及敏感点人数等因素，选取了</w:t>
      </w:r>
      <w:r>
        <w:rPr>
          <w:rFonts w:hint="eastAsia" w:ascii="宋体" w:hAnsi="宋体" w:eastAsia="宋体" w:cs="宋体"/>
          <w:i w:val="0"/>
          <w:iCs w:val="0"/>
          <w:color w:val="auto"/>
          <w:kern w:val="0"/>
          <w:sz w:val="24"/>
          <w:szCs w:val="24"/>
          <w:highlight w:val="none"/>
          <w:u w:val="none"/>
          <w:lang w:val="en-US" w:eastAsia="zh-CN" w:bidi="ar"/>
        </w:rPr>
        <w:t>南韩村</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北韩村</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洼子村</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东官村</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河东村</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个敏感目标。本次</w:t>
      </w:r>
      <w:r>
        <w:rPr>
          <w:rFonts w:hint="eastAsia" w:cs="Times New Roman"/>
          <w:color w:val="auto"/>
          <w:sz w:val="24"/>
          <w:szCs w:val="24"/>
          <w:highlight w:val="none"/>
          <w:lang w:eastAsia="zh-CN"/>
        </w:rPr>
        <w:t>预测</w:t>
      </w:r>
      <w:r>
        <w:rPr>
          <w:rFonts w:hint="default" w:ascii="Times New Roman" w:hAnsi="Times New Roman" w:cs="Times New Roman"/>
          <w:color w:val="auto"/>
          <w:sz w:val="24"/>
          <w:szCs w:val="24"/>
          <w:highlight w:val="none"/>
        </w:rPr>
        <w:t>范围与计算点选取情况详见下表：</w:t>
      </w:r>
    </w:p>
    <w:p w14:paraId="3B146F69">
      <w:pPr>
        <w:adjustRightInd w:val="0"/>
        <w:snapToGrid w:val="0"/>
        <w:ind w:firstLine="482"/>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eastAsia" w:cs="Times New Roman"/>
          <w:b/>
          <w:color w:val="auto"/>
          <w:highlight w:val="none"/>
          <w:lang w:val="en-US" w:eastAsia="zh-CN"/>
        </w:rPr>
        <w:t>1</w:t>
      </w:r>
      <w:r>
        <w:rPr>
          <w:rFonts w:hint="default" w:ascii="Times New Roman" w:hAnsi="Times New Roman" w:cs="Times New Roman"/>
          <w:b/>
          <w:color w:val="auto"/>
          <w:highlight w:val="none"/>
        </w:rPr>
        <w:t>.7-</w:t>
      </w:r>
      <w:r>
        <w:rPr>
          <w:rFonts w:hint="eastAsia" w:cs="Times New Roman"/>
          <w:b/>
          <w:color w:val="auto"/>
          <w:highlight w:val="none"/>
          <w:lang w:val="en-US" w:eastAsia="zh-CN"/>
        </w:rPr>
        <w:t>3</w:t>
      </w:r>
      <w:r>
        <w:rPr>
          <w:rFonts w:hint="default" w:ascii="Times New Roman" w:hAnsi="Times New Roman" w:cs="Times New Roman"/>
          <w:b/>
          <w:color w:val="auto"/>
          <w:highlight w:val="none"/>
        </w:rPr>
        <w:t xml:space="preserve"> 预测范围与计算点选取情况</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310"/>
        <w:gridCol w:w="5211"/>
      </w:tblGrid>
      <w:tr w14:paraId="76C7EC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42" w:type="pct"/>
            <w:noWrap w:val="0"/>
            <w:vAlign w:val="center"/>
          </w:tcPr>
          <w:p w14:paraId="3F47625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项目</w:t>
            </w:r>
          </w:p>
        </w:tc>
        <w:tc>
          <w:tcPr>
            <w:tcW w:w="3057" w:type="pct"/>
            <w:noWrap w:val="0"/>
            <w:vAlign w:val="center"/>
          </w:tcPr>
          <w:p w14:paraId="5BFE2C6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三氧化硫</w:t>
            </w:r>
          </w:p>
        </w:tc>
      </w:tr>
      <w:tr w14:paraId="4F43D6E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942" w:type="pct"/>
            <w:noWrap w:val="0"/>
            <w:vAlign w:val="center"/>
          </w:tcPr>
          <w:p w14:paraId="4FCA3E7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轴线最远距离</w:t>
            </w:r>
          </w:p>
        </w:tc>
        <w:tc>
          <w:tcPr>
            <w:tcW w:w="3057" w:type="pct"/>
            <w:noWrap w:val="0"/>
            <w:vAlign w:val="center"/>
          </w:tcPr>
          <w:p w14:paraId="78DB1A0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事故源至下风向5000m</w:t>
            </w:r>
          </w:p>
        </w:tc>
      </w:tr>
      <w:tr w14:paraId="19307B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42" w:type="pct"/>
            <w:noWrap w:val="0"/>
            <w:vAlign w:val="center"/>
          </w:tcPr>
          <w:p w14:paraId="4D7522C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轴线计算距离</w:t>
            </w:r>
          </w:p>
        </w:tc>
        <w:tc>
          <w:tcPr>
            <w:tcW w:w="3057" w:type="pct"/>
            <w:noWrap w:val="0"/>
            <w:vAlign w:val="center"/>
          </w:tcPr>
          <w:p w14:paraId="03A36B0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50m</w:t>
            </w:r>
          </w:p>
        </w:tc>
      </w:tr>
      <w:tr w14:paraId="5D5A554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942" w:type="pct"/>
            <w:noWrap w:val="0"/>
            <w:vAlign w:val="center"/>
          </w:tcPr>
          <w:p w14:paraId="31744A4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离散点</w:t>
            </w:r>
          </w:p>
        </w:tc>
        <w:tc>
          <w:tcPr>
            <w:tcW w:w="3057" w:type="pct"/>
            <w:noWrap w:val="0"/>
            <w:vAlign w:val="center"/>
          </w:tcPr>
          <w:p w14:paraId="2CF6496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南韩村、北韩村、洼子村、东官村、河东村</w:t>
            </w:r>
          </w:p>
        </w:tc>
      </w:tr>
    </w:tbl>
    <w:p w14:paraId="6FFC197F">
      <w:pPr>
        <w:pStyle w:val="5"/>
        <w:pageBreakBefore w:val="0"/>
        <w:widowControl w:val="0"/>
        <w:kinsoku/>
        <w:wordWrap/>
        <w:overflowPunct/>
        <w:topLinePunct w:val="0"/>
        <w:autoSpaceDE/>
        <w:autoSpaceDN/>
        <w:bidi w:val="0"/>
        <w:snapToGrid w:val="0"/>
        <w:spacing w:beforeLines="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.7.1.3气象参数</w:t>
      </w:r>
    </w:p>
    <w:p w14:paraId="35422986">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按照导则中关于二级评价的要求，选取最不利气象条件进行后果预测。最不利气象条件取F类稳定度，1.5m/s风速，温度25℃，相对湿度50%。大气风险预测模型主要参数见下表：</w:t>
      </w:r>
    </w:p>
    <w:p w14:paraId="3054A209">
      <w:pPr>
        <w:adjustRightInd w:val="0"/>
        <w:snapToGrid w:val="0"/>
        <w:ind w:firstLine="482"/>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eastAsia" w:cs="Times New Roman"/>
          <w:b/>
          <w:color w:val="auto"/>
          <w:highlight w:val="none"/>
          <w:lang w:val="en-US" w:eastAsia="zh-CN"/>
        </w:rPr>
        <w:t>1</w:t>
      </w:r>
      <w:r>
        <w:rPr>
          <w:rFonts w:hint="default" w:ascii="Times New Roman" w:hAnsi="Times New Roman" w:cs="Times New Roman"/>
          <w:b/>
          <w:color w:val="auto"/>
          <w:highlight w:val="none"/>
        </w:rPr>
        <w:t>.7-</w:t>
      </w:r>
      <w:r>
        <w:rPr>
          <w:rFonts w:hint="eastAsia" w:cs="Times New Roman"/>
          <w:b/>
          <w:color w:val="auto"/>
          <w:highlight w:val="none"/>
          <w:lang w:val="en-US" w:eastAsia="zh-CN"/>
        </w:rPr>
        <w:t>4</w:t>
      </w:r>
      <w:r>
        <w:rPr>
          <w:rFonts w:hint="default" w:ascii="Times New Roman" w:hAnsi="Times New Roman" w:cs="Times New Roman"/>
          <w:b/>
          <w:color w:val="auto"/>
          <w:highlight w:val="none"/>
        </w:rPr>
        <w:t xml:space="preserve"> 大气风险预测模型主要参数表</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524"/>
        <w:gridCol w:w="2550"/>
        <w:gridCol w:w="4447"/>
      </w:tblGrid>
      <w:tr w14:paraId="7944278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noWrap w:val="0"/>
            <w:vAlign w:val="center"/>
          </w:tcPr>
          <w:p w14:paraId="44B4AFE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参数类型</w:t>
            </w:r>
          </w:p>
        </w:tc>
        <w:tc>
          <w:tcPr>
            <w:tcW w:w="1496" w:type="pct"/>
            <w:noWrap w:val="0"/>
            <w:vAlign w:val="center"/>
          </w:tcPr>
          <w:p w14:paraId="12EC884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选项</w:t>
            </w:r>
          </w:p>
        </w:tc>
        <w:tc>
          <w:tcPr>
            <w:tcW w:w="2609" w:type="pct"/>
            <w:noWrap w:val="0"/>
            <w:vAlign w:val="center"/>
          </w:tcPr>
          <w:p w14:paraId="1E793A1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参数</w:t>
            </w:r>
          </w:p>
        </w:tc>
      </w:tr>
      <w:tr w14:paraId="7C3D1A6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restart"/>
            <w:noWrap w:val="0"/>
            <w:vAlign w:val="center"/>
          </w:tcPr>
          <w:p w14:paraId="21814E7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基本情况</w:t>
            </w:r>
          </w:p>
        </w:tc>
        <w:tc>
          <w:tcPr>
            <w:tcW w:w="1496" w:type="pct"/>
            <w:noWrap w:val="0"/>
            <w:vAlign w:val="center"/>
          </w:tcPr>
          <w:p w14:paraId="0231784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事故源经度/（º）</w:t>
            </w:r>
          </w:p>
        </w:tc>
        <w:tc>
          <w:tcPr>
            <w:tcW w:w="2609" w:type="pct"/>
            <w:noWrap w:val="0"/>
            <w:vAlign w:val="center"/>
          </w:tcPr>
          <w:p w14:paraId="7B6D757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118.091240</w:t>
            </w:r>
          </w:p>
        </w:tc>
      </w:tr>
      <w:tr w14:paraId="1014622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3818C20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593E374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事故源纬度/（º）</w:t>
            </w:r>
          </w:p>
        </w:tc>
        <w:tc>
          <w:tcPr>
            <w:tcW w:w="2609" w:type="pct"/>
            <w:noWrap w:val="0"/>
            <w:vAlign w:val="center"/>
          </w:tcPr>
          <w:p w14:paraId="4D3868F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36.701083</w:t>
            </w:r>
          </w:p>
        </w:tc>
      </w:tr>
      <w:tr w14:paraId="03D8FAB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241BEB2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3384BFA3">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事故源类型</w:t>
            </w:r>
          </w:p>
        </w:tc>
        <w:tc>
          <w:tcPr>
            <w:tcW w:w="2609" w:type="pct"/>
            <w:noWrap w:val="0"/>
            <w:vAlign w:val="center"/>
          </w:tcPr>
          <w:p w14:paraId="179ADB9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发烟硫酸</w:t>
            </w:r>
            <w:r>
              <w:rPr>
                <w:rFonts w:hint="default" w:ascii="Times New Roman" w:hAnsi="Times New Roman" w:cs="Times New Roman"/>
                <w:color w:val="auto"/>
                <w:sz w:val="21"/>
                <w:szCs w:val="21"/>
                <w:highlight w:val="none"/>
              </w:rPr>
              <w:t>事故：</w:t>
            </w:r>
            <w:r>
              <w:rPr>
                <w:rFonts w:hint="eastAsia" w:cs="Times New Roman"/>
                <w:color w:val="auto"/>
                <w:sz w:val="21"/>
                <w:szCs w:val="21"/>
                <w:highlight w:val="none"/>
                <w:lang w:eastAsia="zh-CN"/>
              </w:rPr>
              <w:t>常压</w:t>
            </w:r>
            <w:r>
              <w:rPr>
                <w:rFonts w:hint="default" w:ascii="Times New Roman" w:hAnsi="Times New Roman" w:cs="Times New Roman"/>
                <w:color w:val="auto"/>
                <w:sz w:val="21"/>
                <w:szCs w:val="21"/>
                <w:highlight w:val="none"/>
              </w:rPr>
              <w:t>储罐泄漏</w:t>
            </w:r>
          </w:p>
        </w:tc>
      </w:tr>
      <w:tr w14:paraId="10B720A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restart"/>
            <w:noWrap w:val="0"/>
            <w:vAlign w:val="center"/>
          </w:tcPr>
          <w:p w14:paraId="601F925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气象参数</w:t>
            </w:r>
          </w:p>
        </w:tc>
        <w:tc>
          <w:tcPr>
            <w:tcW w:w="1496" w:type="pct"/>
            <w:noWrap w:val="0"/>
            <w:vAlign w:val="center"/>
          </w:tcPr>
          <w:p w14:paraId="51952EE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气象条件类型</w:t>
            </w:r>
          </w:p>
        </w:tc>
        <w:tc>
          <w:tcPr>
            <w:tcW w:w="2609" w:type="pct"/>
            <w:noWrap w:val="0"/>
            <w:vAlign w:val="center"/>
          </w:tcPr>
          <w:p w14:paraId="21FB442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最不利气象</w:t>
            </w:r>
          </w:p>
        </w:tc>
      </w:tr>
      <w:tr w14:paraId="1CC9A12F">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10967DF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7344305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风速/（m/s）</w:t>
            </w:r>
          </w:p>
        </w:tc>
        <w:tc>
          <w:tcPr>
            <w:tcW w:w="2609" w:type="pct"/>
            <w:noWrap w:val="0"/>
            <w:vAlign w:val="center"/>
          </w:tcPr>
          <w:p w14:paraId="62A945A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1.5</w:t>
            </w:r>
          </w:p>
        </w:tc>
      </w:tr>
      <w:tr w14:paraId="415290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47FE6B3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2BDF42E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环境温度，K</w:t>
            </w:r>
          </w:p>
        </w:tc>
        <w:tc>
          <w:tcPr>
            <w:tcW w:w="2609" w:type="pct"/>
            <w:noWrap w:val="0"/>
            <w:vAlign w:val="center"/>
          </w:tcPr>
          <w:p w14:paraId="60A6143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298</w:t>
            </w:r>
          </w:p>
        </w:tc>
      </w:tr>
      <w:tr w14:paraId="6FE8B78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134FD79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0326D91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相对湿度/%</w:t>
            </w:r>
          </w:p>
        </w:tc>
        <w:tc>
          <w:tcPr>
            <w:tcW w:w="2609" w:type="pct"/>
            <w:noWrap w:val="0"/>
            <w:vAlign w:val="center"/>
          </w:tcPr>
          <w:p w14:paraId="3C51465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r>
      <w:tr w14:paraId="19A81F0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3ACE33D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362EB84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稳定度</w:t>
            </w:r>
          </w:p>
        </w:tc>
        <w:tc>
          <w:tcPr>
            <w:tcW w:w="2609" w:type="pct"/>
            <w:noWrap w:val="0"/>
            <w:vAlign w:val="center"/>
          </w:tcPr>
          <w:p w14:paraId="35F9583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F</w:t>
            </w:r>
          </w:p>
        </w:tc>
      </w:tr>
      <w:tr w14:paraId="70BA07F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restart"/>
            <w:noWrap w:val="0"/>
            <w:vAlign w:val="center"/>
          </w:tcPr>
          <w:p w14:paraId="701E8EE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其他参数</w:t>
            </w:r>
          </w:p>
        </w:tc>
        <w:tc>
          <w:tcPr>
            <w:tcW w:w="1496" w:type="pct"/>
            <w:noWrap w:val="0"/>
            <w:vAlign w:val="center"/>
          </w:tcPr>
          <w:p w14:paraId="1473805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地表粗糙度/m</w:t>
            </w:r>
          </w:p>
        </w:tc>
        <w:tc>
          <w:tcPr>
            <w:tcW w:w="2609" w:type="pct"/>
            <w:noWrap w:val="0"/>
            <w:vAlign w:val="center"/>
          </w:tcPr>
          <w:p w14:paraId="3BD6030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0.03</w:t>
            </w:r>
            <w:r>
              <w:rPr>
                <w:rFonts w:hint="default" w:ascii="Times New Roman" w:hAnsi="Times New Roman" w:cs="Times New Roman"/>
                <w:color w:val="auto"/>
                <w:sz w:val="21"/>
                <w:szCs w:val="21"/>
                <w:highlight w:val="none"/>
                <w:lang w:eastAsia="zh-CN"/>
              </w:rPr>
              <w:t>跑</w:t>
            </w:r>
            <w:r>
              <w:rPr>
                <w:rFonts w:hint="default" w:ascii="Times New Roman" w:hAnsi="Times New Roman" w:cs="Times New Roman"/>
                <w:color w:val="auto"/>
                <w:sz w:val="21"/>
                <w:szCs w:val="21"/>
                <w:highlight w:val="none"/>
              </w:rPr>
              <w:t>道</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开阔平地</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草地</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偶有单个障碍物</w:t>
            </w:r>
          </w:p>
        </w:tc>
      </w:tr>
      <w:tr w14:paraId="2E9ACD6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2B92411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2645987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事故考虑地形</w:t>
            </w:r>
          </w:p>
        </w:tc>
        <w:tc>
          <w:tcPr>
            <w:tcW w:w="2609" w:type="pct"/>
            <w:noWrap w:val="0"/>
            <w:vAlign w:val="center"/>
          </w:tcPr>
          <w:p w14:paraId="21B2523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r w14:paraId="1A6DF89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894" w:type="pct"/>
            <w:vMerge w:val="continue"/>
            <w:noWrap w:val="0"/>
            <w:vAlign w:val="center"/>
          </w:tcPr>
          <w:p w14:paraId="7399812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1496" w:type="pct"/>
            <w:noWrap w:val="0"/>
            <w:vAlign w:val="center"/>
          </w:tcPr>
          <w:p w14:paraId="7A473DB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地形数据精度/m</w:t>
            </w:r>
          </w:p>
        </w:tc>
        <w:tc>
          <w:tcPr>
            <w:tcW w:w="2609" w:type="pct"/>
            <w:noWrap w:val="0"/>
            <w:vAlign w:val="center"/>
          </w:tcPr>
          <w:p w14:paraId="0422F0F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p>
        </w:tc>
      </w:tr>
    </w:tbl>
    <w:p w14:paraId="4C2D24E3">
      <w:pPr>
        <w:pStyle w:val="5"/>
        <w:pageBreakBefore w:val="0"/>
        <w:widowControl w:val="0"/>
        <w:kinsoku/>
        <w:wordWrap/>
        <w:overflowPunct/>
        <w:topLinePunct w:val="0"/>
        <w:autoSpaceDE/>
        <w:autoSpaceDN/>
        <w:bidi w:val="0"/>
        <w:spacing w:beforeLines="0" w:afterLines="0" w:line="450" w:lineRule="atLeast"/>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.7.1.4 大气毒性终点浓度值选取</w:t>
      </w:r>
    </w:p>
    <w:p w14:paraId="07D8DACF">
      <w:pPr>
        <w:pageBreakBefore w:val="0"/>
        <w:widowControl w:val="0"/>
        <w:kinsoku/>
        <w:wordWrap/>
        <w:overflowPunct/>
        <w:topLinePunct w:val="0"/>
        <w:autoSpaceDE/>
        <w:autoSpaceDN/>
        <w:bidi w:val="0"/>
        <w:adjustRightInd w:val="0"/>
        <w:snapToGrid w:val="0"/>
        <w:spacing w:line="450" w:lineRule="atLeas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依据导则附录H，确定大气毒性终点浓度值。</w:t>
      </w:r>
    </w:p>
    <w:p w14:paraId="2EE2005C">
      <w:pPr>
        <w:adjustRightInd w:val="0"/>
        <w:snapToGrid w:val="0"/>
        <w:spacing w:line="420" w:lineRule="exact"/>
        <w:ind w:firstLine="482"/>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eastAsia" w:cs="Times New Roman"/>
          <w:b/>
          <w:color w:val="auto"/>
          <w:highlight w:val="none"/>
          <w:lang w:val="en-US" w:eastAsia="zh-CN"/>
        </w:rPr>
        <w:t>1</w:t>
      </w:r>
      <w:r>
        <w:rPr>
          <w:rFonts w:hint="default" w:ascii="Times New Roman" w:hAnsi="Times New Roman" w:cs="Times New Roman"/>
          <w:b/>
          <w:color w:val="auto"/>
          <w:highlight w:val="none"/>
        </w:rPr>
        <w:t>.7-</w:t>
      </w:r>
      <w:r>
        <w:rPr>
          <w:rFonts w:hint="eastAsia" w:cs="Times New Roman"/>
          <w:b/>
          <w:color w:val="auto"/>
          <w:highlight w:val="none"/>
          <w:lang w:val="en-US" w:eastAsia="zh-CN"/>
        </w:rPr>
        <w:t>5</w:t>
      </w:r>
      <w:r>
        <w:rPr>
          <w:rFonts w:hint="default" w:ascii="Times New Roman" w:hAnsi="Times New Roman" w:cs="Times New Roman"/>
          <w:b/>
          <w:color w:val="auto"/>
          <w:highlight w:val="none"/>
        </w:rPr>
        <w:t xml:space="preserve"> 大气毒性终点浓度值选取表</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202"/>
        <w:gridCol w:w="3307"/>
        <w:gridCol w:w="3012"/>
      </w:tblGrid>
      <w:tr w14:paraId="5DE31C7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92" w:type="pct"/>
            <w:noWrap w:val="0"/>
            <w:vAlign w:val="center"/>
          </w:tcPr>
          <w:p w14:paraId="0D9410C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物质</w:t>
            </w:r>
          </w:p>
        </w:tc>
        <w:tc>
          <w:tcPr>
            <w:tcW w:w="1940" w:type="pct"/>
            <w:noWrap w:val="0"/>
            <w:vAlign w:val="center"/>
          </w:tcPr>
          <w:p w14:paraId="459C793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毒性终点浓度-1（mg/m</w:t>
            </w:r>
            <w:r>
              <w:rPr>
                <w:rFonts w:hint="default" w:ascii="Times New Roman" w:hAnsi="Times New Roman" w:cs="Times New Roman"/>
                <w:b/>
                <w:color w:val="auto"/>
                <w:sz w:val="21"/>
                <w:szCs w:val="21"/>
                <w:highlight w:val="none"/>
                <w:vertAlign w:val="superscript"/>
              </w:rPr>
              <w:t>3</w:t>
            </w:r>
            <w:r>
              <w:rPr>
                <w:rFonts w:hint="default" w:ascii="Times New Roman" w:hAnsi="Times New Roman" w:cs="Times New Roman"/>
                <w:b/>
                <w:color w:val="auto"/>
                <w:sz w:val="21"/>
                <w:szCs w:val="21"/>
                <w:highlight w:val="none"/>
              </w:rPr>
              <w:t>）</w:t>
            </w:r>
          </w:p>
        </w:tc>
        <w:tc>
          <w:tcPr>
            <w:tcW w:w="1767" w:type="pct"/>
            <w:noWrap w:val="0"/>
            <w:vAlign w:val="center"/>
          </w:tcPr>
          <w:p w14:paraId="4561BA8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毒性终点浓度-2（mg/m</w:t>
            </w:r>
            <w:r>
              <w:rPr>
                <w:rFonts w:hint="default" w:ascii="Times New Roman" w:hAnsi="Times New Roman" w:cs="Times New Roman"/>
                <w:b/>
                <w:color w:val="auto"/>
                <w:sz w:val="21"/>
                <w:szCs w:val="21"/>
                <w:highlight w:val="none"/>
                <w:vertAlign w:val="superscript"/>
              </w:rPr>
              <w:t>3</w:t>
            </w:r>
            <w:r>
              <w:rPr>
                <w:rFonts w:hint="default" w:ascii="Times New Roman" w:hAnsi="Times New Roman" w:cs="Times New Roman"/>
                <w:b/>
                <w:color w:val="auto"/>
                <w:sz w:val="21"/>
                <w:szCs w:val="21"/>
                <w:highlight w:val="none"/>
              </w:rPr>
              <w:t>）</w:t>
            </w:r>
          </w:p>
        </w:tc>
      </w:tr>
      <w:tr w14:paraId="451E714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c>
          <w:tcPr>
            <w:tcW w:w="1292" w:type="pct"/>
            <w:noWrap w:val="0"/>
            <w:vAlign w:val="center"/>
          </w:tcPr>
          <w:p w14:paraId="6955AC0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三氧化硫</w:t>
            </w:r>
          </w:p>
        </w:tc>
        <w:tc>
          <w:tcPr>
            <w:tcW w:w="1940" w:type="pct"/>
            <w:noWrap w:val="0"/>
            <w:vAlign w:val="center"/>
          </w:tcPr>
          <w:p w14:paraId="2C7C641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1767" w:type="pct"/>
            <w:noWrap w:val="0"/>
            <w:vAlign w:val="center"/>
          </w:tcPr>
          <w:p w14:paraId="30674D95">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8.7</w:t>
            </w:r>
          </w:p>
        </w:tc>
      </w:tr>
    </w:tbl>
    <w:p w14:paraId="23FCE0C5">
      <w:pPr>
        <w:pStyle w:val="5"/>
        <w:pageBreakBefore w:val="0"/>
        <w:widowControl w:val="0"/>
        <w:kinsoku/>
        <w:wordWrap/>
        <w:overflowPunct/>
        <w:topLinePunct w:val="0"/>
        <w:autoSpaceDE/>
        <w:autoSpaceDN/>
        <w:bidi w:val="0"/>
        <w:snapToGrid w:val="0"/>
        <w:spacing w:beforeLines="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.7.1.5 预测结果</w:t>
      </w:r>
    </w:p>
    <w:p w14:paraId="21DEF4A4">
      <w:pPr>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按照导则附录J的J.2.4要求，给出风险事故情形分析及事故后果预测基本信息表，见表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.7-5；各污染物在下风向不同距离处最大浓度、预测浓度达到不同浓度终点浓度的最大影响范围及各关心点污染物浓度随时间变化情况见图</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.7-1-图</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w:t>
      </w:r>
      <w:r>
        <w:rPr>
          <w:rFonts w:hint="eastAsia" w:ascii="Times New Roman" w:hAnsi="Times New Roman" w:cs="Times New Roman"/>
          <w:color w:val="auto"/>
          <w:sz w:val="24"/>
          <w:szCs w:val="24"/>
          <w:highlight w:val="none"/>
          <w:lang w:val="en-US" w:eastAsia="zh-CN"/>
        </w:rPr>
        <w:t>8</w:t>
      </w:r>
      <w:r>
        <w:rPr>
          <w:rFonts w:hint="default" w:ascii="Times New Roman" w:hAnsi="Times New Roman" w:cs="Times New Roman"/>
          <w:color w:val="auto"/>
          <w:sz w:val="24"/>
          <w:szCs w:val="24"/>
          <w:highlight w:val="none"/>
        </w:rPr>
        <w:t>。</w:t>
      </w:r>
    </w:p>
    <w:p w14:paraId="1CC5BD2E">
      <w:pPr>
        <w:adjustRightInd w:val="0"/>
        <w:snapToGrid w:val="0"/>
        <w:ind w:firstLine="482"/>
        <w:jc w:val="center"/>
        <w:rPr>
          <w:rFonts w:hint="default" w:ascii="Times New Roman" w:hAnsi="Times New Roman" w:cs="Times New Roman"/>
          <w:b/>
          <w:color w:val="auto"/>
          <w:highlight w:val="none"/>
        </w:rPr>
        <w:sectPr>
          <w:headerReference r:id="rId7" w:type="default"/>
          <w:pgSz w:w="11905" w:h="16838"/>
          <w:pgMar w:top="1440" w:right="1800" w:bottom="1440" w:left="1800" w:header="851" w:footer="1077" w:gutter="0"/>
          <w:pgBorders>
            <w:top w:val="none" w:sz="0" w:space="0"/>
            <w:left w:val="none" w:sz="0" w:space="0"/>
            <w:bottom w:val="none" w:sz="0" w:space="0"/>
            <w:right w:val="none" w:sz="0" w:space="0"/>
          </w:pgBorders>
          <w:pgNumType w:fmt="decimal"/>
          <w:cols w:space="720" w:num="1"/>
          <w:rtlGutter w:val="0"/>
          <w:docGrid w:linePitch="319" w:charSpace="0"/>
        </w:sectPr>
      </w:pPr>
    </w:p>
    <w:p w14:paraId="6CF6BAAE">
      <w:pPr>
        <w:adjustRightInd w:val="0"/>
        <w:snapToGrid w:val="0"/>
        <w:ind w:firstLine="482"/>
        <w:jc w:val="center"/>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eastAsia" w:cs="Times New Roman"/>
          <w:b/>
          <w:color w:val="auto"/>
          <w:highlight w:val="none"/>
          <w:lang w:val="en-US" w:eastAsia="zh-CN"/>
        </w:rPr>
        <w:t>1</w:t>
      </w:r>
      <w:r>
        <w:rPr>
          <w:rFonts w:hint="default" w:ascii="Times New Roman" w:hAnsi="Times New Roman" w:cs="Times New Roman"/>
          <w:b/>
          <w:color w:val="auto"/>
          <w:highlight w:val="none"/>
        </w:rPr>
        <w:t>.7-</w:t>
      </w:r>
      <w:r>
        <w:rPr>
          <w:rFonts w:hint="eastAsia" w:cs="Times New Roman"/>
          <w:b/>
          <w:color w:val="auto"/>
          <w:highlight w:val="none"/>
          <w:lang w:val="en-US" w:eastAsia="zh-CN"/>
        </w:rPr>
        <w:t>6</w:t>
      </w:r>
      <w:r>
        <w:rPr>
          <w:rFonts w:hint="default" w:ascii="Times New Roman" w:hAnsi="Times New Roman" w:cs="Times New Roman"/>
          <w:b/>
          <w:color w:val="auto"/>
          <w:highlight w:val="none"/>
        </w:rPr>
        <w:t xml:space="preserve"> 事故源项及事故后果基本信息表</w:t>
      </w:r>
    </w:p>
    <w:tbl>
      <w:tblPr>
        <w:tblStyle w:val="21"/>
        <w:tblW w:w="5000" w:type="pct"/>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2204"/>
        <w:gridCol w:w="1856"/>
        <w:gridCol w:w="814"/>
        <w:gridCol w:w="1999"/>
        <w:gridCol w:w="2067"/>
        <w:gridCol w:w="323"/>
        <w:gridCol w:w="1840"/>
        <w:gridCol w:w="145"/>
        <w:gridCol w:w="2926"/>
      </w:tblGrid>
      <w:tr w14:paraId="7E1D37A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5000" w:type="pct"/>
            <w:gridSpan w:val="9"/>
            <w:noWrap w:val="0"/>
            <w:vAlign w:val="center"/>
          </w:tcPr>
          <w:p w14:paraId="6064351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风险事故情形分析</w:t>
            </w:r>
          </w:p>
        </w:tc>
      </w:tr>
      <w:tr w14:paraId="5E2C709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noWrap w:val="0"/>
            <w:vAlign w:val="center"/>
          </w:tcPr>
          <w:p w14:paraId="3160D9B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代表性事故情形描述</w:t>
            </w:r>
          </w:p>
        </w:tc>
        <w:tc>
          <w:tcPr>
            <w:tcW w:w="4221" w:type="pct"/>
            <w:gridSpan w:val="8"/>
            <w:noWrap w:val="0"/>
            <w:vAlign w:val="center"/>
          </w:tcPr>
          <w:p w14:paraId="0FDED469">
            <w:pPr>
              <w:keepNext w:val="0"/>
              <w:keepLines w:val="0"/>
              <w:numPr>
                <w:ilvl w:val="0"/>
                <w:numId w:val="0"/>
              </w:numPr>
              <w:suppressLineNumbers w:val="0"/>
              <w:spacing w:before="0" w:beforeAutospacing="0" w:after="0" w:afterAutospacing="0" w:line="240" w:lineRule="auto"/>
              <w:ind w:left="0" w:leftChars="0" w:right="0"/>
              <w:jc w:val="left"/>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液</w:t>
            </w:r>
            <w:r>
              <w:rPr>
                <w:rFonts w:hint="default" w:ascii="Times New Roman" w:hAnsi="Times New Roman" w:cs="Times New Roman"/>
                <w:color w:val="auto"/>
                <w:sz w:val="21"/>
                <w:szCs w:val="21"/>
                <w:highlight w:val="none"/>
              </w:rPr>
              <w:t>体储罐事故：</w:t>
            </w:r>
            <w:r>
              <w:rPr>
                <w:rFonts w:hint="eastAsia" w:cs="Times New Roman"/>
                <w:color w:val="auto"/>
                <w:sz w:val="21"/>
                <w:szCs w:val="21"/>
                <w:highlight w:val="none"/>
                <w:lang w:val="en-US" w:eastAsia="zh-CN"/>
              </w:rPr>
              <w:t>发烟硫酸</w:t>
            </w:r>
            <w:r>
              <w:rPr>
                <w:rFonts w:hint="default" w:ascii="Times New Roman" w:hAnsi="Times New Roman" w:cs="Times New Roman"/>
                <w:color w:val="auto"/>
                <w:sz w:val="21"/>
                <w:szCs w:val="21"/>
                <w:highlight w:val="none"/>
              </w:rPr>
              <w:t>储罐</w:t>
            </w:r>
            <w:r>
              <w:rPr>
                <w:rFonts w:hint="eastAsia" w:cs="Times New Roman"/>
                <w:color w:val="auto"/>
                <w:sz w:val="21"/>
                <w:szCs w:val="21"/>
                <w:highlight w:val="none"/>
                <w:lang w:eastAsia="zh-CN"/>
              </w:rPr>
              <w:t>连接管件破裂</w:t>
            </w:r>
            <w:r>
              <w:rPr>
                <w:rFonts w:hint="default" w:ascii="Times New Roman" w:hAnsi="Times New Roman" w:cs="Times New Roman"/>
                <w:color w:val="auto"/>
                <w:sz w:val="21"/>
                <w:szCs w:val="21"/>
                <w:highlight w:val="none"/>
              </w:rPr>
              <w:t>。</w:t>
            </w:r>
          </w:p>
        </w:tc>
      </w:tr>
      <w:tr w14:paraId="606C03D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noWrap w:val="0"/>
            <w:vAlign w:val="center"/>
          </w:tcPr>
          <w:p w14:paraId="60EF8CA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环境风险类型</w:t>
            </w:r>
          </w:p>
        </w:tc>
        <w:tc>
          <w:tcPr>
            <w:tcW w:w="4221" w:type="pct"/>
            <w:gridSpan w:val="8"/>
            <w:noWrap w:val="0"/>
            <w:vAlign w:val="center"/>
          </w:tcPr>
          <w:p w14:paraId="355E64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风险物质泄漏、泄漏风险物</w:t>
            </w:r>
            <w:r>
              <w:rPr>
                <w:rFonts w:hint="eastAsia" w:cs="Times New Roman"/>
                <w:color w:val="auto"/>
                <w:sz w:val="21"/>
                <w:szCs w:val="21"/>
                <w:highlight w:val="none"/>
                <w:lang w:eastAsia="zh-CN"/>
              </w:rPr>
              <w:t>挥发气体造成</w:t>
            </w:r>
            <w:r>
              <w:rPr>
                <w:rFonts w:hint="default" w:ascii="Times New Roman" w:hAnsi="Times New Roman" w:cs="Times New Roman"/>
                <w:color w:val="auto"/>
                <w:sz w:val="21"/>
                <w:szCs w:val="21"/>
                <w:highlight w:val="none"/>
              </w:rPr>
              <w:t>污染</w:t>
            </w:r>
          </w:p>
        </w:tc>
      </w:tr>
      <w:tr w14:paraId="45DEE5EC">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noWrap w:val="0"/>
            <w:vAlign w:val="center"/>
          </w:tcPr>
          <w:p w14:paraId="516B068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泄漏设备类型</w:t>
            </w:r>
          </w:p>
        </w:tc>
        <w:tc>
          <w:tcPr>
            <w:tcW w:w="942" w:type="pct"/>
            <w:gridSpan w:val="2"/>
            <w:noWrap w:val="0"/>
            <w:vAlign w:val="center"/>
          </w:tcPr>
          <w:p w14:paraId="5C4F439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常压</w:t>
            </w:r>
            <w:r>
              <w:rPr>
                <w:rFonts w:hint="default" w:ascii="Times New Roman" w:hAnsi="Times New Roman" w:cs="Times New Roman"/>
                <w:color w:val="auto"/>
                <w:sz w:val="21"/>
                <w:szCs w:val="21"/>
                <w:highlight w:val="none"/>
              </w:rPr>
              <w:t>储罐</w:t>
            </w:r>
          </w:p>
        </w:tc>
        <w:tc>
          <w:tcPr>
            <w:tcW w:w="705" w:type="pct"/>
            <w:noWrap w:val="0"/>
            <w:vAlign w:val="center"/>
          </w:tcPr>
          <w:p w14:paraId="52ACF80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操作温度/℃</w:t>
            </w:r>
          </w:p>
        </w:tc>
        <w:tc>
          <w:tcPr>
            <w:tcW w:w="843" w:type="pct"/>
            <w:gridSpan w:val="2"/>
            <w:noWrap w:val="0"/>
            <w:vAlign w:val="center"/>
          </w:tcPr>
          <w:p w14:paraId="2AAFD6D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25</w:t>
            </w:r>
          </w:p>
        </w:tc>
        <w:tc>
          <w:tcPr>
            <w:tcW w:w="700" w:type="pct"/>
            <w:gridSpan w:val="2"/>
            <w:noWrap w:val="0"/>
            <w:vAlign w:val="center"/>
          </w:tcPr>
          <w:p w14:paraId="28342B6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操作压力/MPa</w:t>
            </w:r>
          </w:p>
        </w:tc>
        <w:tc>
          <w:tcPr>
            <w:tcW w:w="1030" w:type="pct"/>
            <w:noWrap w:val="0"/>
            <w:vAlign w:val="center"/>
          </w:tcPr>
          <w:p w14:paraId="4D0BE7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yellow"/>
                <w:lang w:val="en-US" w:eastAsia="zh-CN"/>
              </w:rPr>
            </w:pPr>
            <w:r>
              <w:rPr>
                <w:rFonts w:hint="eastAsia" w:cs="Times New Roman"/>
                <w:color w:val="auto"/>
                <w:sz w:val="21"/>
                <w:szCs w:val="21"/>
                <w:highlight w:val="none"/>
                <w:lang w:val="en-US" w:eastAsia="zh-CN"/>
              </w:rPr>
              <w:t>0.101</w:t>
            </w:r>
          </w:p>
        </w:tc>
      </w:tr>
      <w:tr w14:paraId="6B9F3E1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noWrap w:val="0"/>
            <w:vAlign w:val="center"/>
          </w:tcPr>
          <w:p w14:paraId="3E6170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泄漏危险物质</w:t>
            </w:r>
          </w:p>
        </w:tc>
        <w:tc>
          <w:tcPr>
            <w:tcW w:w="942" w:type="pct"/>
            <w:gridSpan w:val="2"/>
            <w:noWrap w:val="0"/>
            <w:vAlign w:val="center"/>
          </w:tcPr>
          <w:p w14:paraId="1291C6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发烟硫酸</w:t>
            </w:r>
          </w:p>
        </w:tc>
        <w:tc>
          <w:tcPr>
            <w:tcW w:w="705" w:type="pct"/>
            <w:noWrap w:val="0"/>
            <w:vAlign w:val="center"/>
          </w:tcPr>
          <w:p w14:paraId="75AD637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最大存在量/kg</w:t>
            </w:r>
          </w:p>
        </w:tc>
        <w:tc>
          <w:tcPr>
            <w:tcW w:w="843" w:type="pct"/>
            <w:gridSpan w:val="2"/>
            <w:noWrap w:val="0"/>
            <w:vAlign w:val="center"/>
          </w:tcPr>
          <w:p w14:paraId="47B376B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796000</w:t>
            </w:r>
          </w:p>
        </w:tc>
        <w:tc>
          <w:tcPr>
            <w:tcW w:w="700" w:type="pct"/>
            <w:gridSpan w:val="2"/>
            <w:noWrap w:val="0"/>
            <w:vAlign w:val="center"/>
          </w:tcPr>
          <w:p w14:paraId="6C4D0E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泄漏</w:t>
            </w:r>
            <w:r>
              <w:rPr>
                <w:rFonts w:hint="default" w:ascii="Times New Roman" w:hAnsi="Times New Roman" w:cs="Times New Roman"/>
                <w:color w:val="auto"/>
                <w:sz w:val="21"/>
                <w:szCs w:val="21"/>
                <w:highlight w:val="none"/>
              </w:rPr>
              <w:t>孔径/mm</w:t>
            </w:r>
          </w:p>
        </w:tc>
        <w:tc>
          <w:tcPr>
            <w:tcW w:w="1030" w:type="pct"/>
            <w:noWrap w:val="0"/>
            <w:vAlign w:val="center"/>
          </w:tcPr>
          <w:p w14:paraId="31EF0EB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500</w:t>
            </w:r>
          </w:p>
        </w:tc>
      </w:tr>
      <w:tr w14:paraId="02382DC9">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noWrap w:val="0"/>
            <w:vAlign w:val="center"/>
          </w:tcPr>
          <w:p w14:paraId="2B5E445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泄漏速率/（kg/s）</w:t>
            </w:r>
          </w:p>
        </w:tc>
        <w:tc>
          <w:tcPr>
            <w:tcW w:w="942" w:type="pct"/>
            <w:gridSpan w:val="2"/>
            <w:noWrap w:val="0"/>
            <w:vAlign w:val="center"/>
          </w:tcPr>
          <w:p w14:paraId="73EE3A3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22.48</w:t>
            </w:r>
          </w:p>
        </w:tc>
        <w:tc>
          <w:tcPr>
            <w:tcW w:w="705" w:type="pct"/>
            <w:noWrap w:val="0"/>
            <w:vAlign w:val="center"/>
          </w:tcPr>
          <w:p w14:paraId="04D803E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泄漏时间/min</w:t>
            </w:r>
          </w:p>
        </w:tc>
        <w:tc>
          <w:tcPr>
            <w:tcW w:w="843" w:type="pct"/>
            <w:gridSpan w:val="2"/>
            <w:noWrap w:val="0"/>
            <w:vAlign w:val="center"/>
          </w:tcPr>
          <w:p w14:paraId="270715E8">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rPr>
              <w:t>1</w:t>
            </w:r>
            <w:r>
              <w:rPr>
                <w:rFonts w:hint="eastAsia" w:cs="Times New Roman"/>
                <w:color w:val="auto"/>
                <w:sz w:val="21"/>
                <w:szCs w:val="21"/>
                <w:highlight w:val="none"/>
                <w:lang w:val="en-US" w:eastAsia="zh-CN"/>
              </w:rPr>
              <w:t>0</w:t>
            </w:r>
          </w:p>
        </w:tc>
        <w:tc>
          <w:tcPr>
            <w:tcW w:w="700" w:type="pct"/>
            <w:gridSpan w:val="2"/>
            <w:noWrap w:val="0"/>
            <w:vAlign w:val="center"/>
          </w:tcPr>
          <w:p w14:paraId="34F0A6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泄漏量/kg</w:t>
            </w:r>
          </w:p>
        </w:tc>
        <w:tc>
          <w:tcPr>
            <w:tcW w:w="1030" w:type="pct"/>
            <w:noWrap w:val="0"/>
            <w:vAlign w:val="center"/>
          </w:tcPr>
          <w:p w14:paraId="4A12F1E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22480</w:t>
            </w:r>
          </w:p>
        </w:tc>
      </w:tr>
      <w:tr w14:paraId="2B28416A">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noWrap w:val="0"/>
            <w:vAlign w:val="center"/>
          </w:tcPr>
          <w:p w14:paraId="335D929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泄漏高度/m</w:t>
            </w:r>
          </w:p>
        </w:tc>
        <w:tc>
          <w:tcPr>
            <w:tcW w:w="942" w:type="pct"/>
            <w:gridSpan w:val="2"/>
            <w:noWrap w:val="0"/>
            <w:vAlign w:val="center"/>
          </w:tcPr>
          <w:p w14:paraId="24EBE4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705" w:type="pct"/>
            <w:noWrap w:val="0"/>
            <w:vAlign w:val="center"/>
          </w:tcPr>
          <w:p w14:paraId="48DABD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泄漏液体蒸发量/kg</w:t>
            </w:r>
          </w:p>
        </w:tc>
        <w:tc>
          <w:tcPr>
            <w:tcW w:w="843" w:type="pct"/>
            <w:gridSpan w:val="2"/>
            <w:noWrap w:val="0"/>
            <w:vAlign w:val="center"/>
          </w:tcPr>
          <w:p w14:paraId="6D17FC9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303.6</w:t>
            </w:r>
          </w:p>
        </w:tc>
        <w:tc>
          <w:tcPr>
            <w:tcW w:w="700" w:type="pct"/>
            <w:gridSpan w:val="2"/>
            <w:noWrap w:val="0"/>
            <w:vAlign w:val="center"/>
          </w:tcPr>
          <w:p w14:paraId="270A18F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泄漏频率</w:t>
            </w:r>
          </w:p>
        </w:tc>
        <w:tc>
          <w:tcPr>
            <w:tcW w:w="1030" w:type="pct"/>
            <w:noWrap w:val="0"/>
            <w:vAlign w:val="center"/>
          </w:tcPr>
          <w:p w14:paraId="78A1AE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.00×10</w:t>
            </w:r>
            <w:r>
              <w:rPr>
                <w:rFonts w:hint="default" w:ascii="Times New Roman" w:hAnsi="Times New Roman" w:cs="Times New Roman"/>
                <w:color w:val="auto"/>
                <w:sz w:val="21"/>
                <w:szCs w:val="21"/>
                <w:highlight w:val="none"/>
                <w:vertAlign w:val="superscript"/>
              </w:rPr>
              <w:t>-6</w:t>
            </w:r>
            <w:r>
              <w:rPr>
                <w:rFonts w:hint="default" w:ascii="Times New Roman" w:hAnsi="Times New Roman" w:cs="Times New Roman"/>
                <w:color w:val="auto"/>
                <w:sz w:val="21"/>
                <w:szCs w:val="21"/>
                <w:highlight w:val="none"/>
              </w:rPr>
              <w:t>/a</w:t>
            </w:r>
          </w:p>
        </w:tc>
      </w:tr>
      <w:tr w14:paraId="2B9D5F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5000" w:type="pct"/>
            <w:gridSpan w:val="9"/>
            <w:noWrap w:val="0"/>
            <w:vAlign w:val="center"/>
          </w:tcPr>
          <w:p w14:paraId="72614C2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事故后果预测</w:t>
            </w:r>
          </w:p>
        </w:tc>
      </w:tr>
      <w:tr w14:paraId="605A4628">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restart"/>
            <w:noWrap w:val="0"/>
            <w:vAlign w:val="center"/>
          </w:tcPr>
          <w:p w14:paraId="36EA914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w:t>
            </w:r>
          </w:p>
        </w:tc>
        <w:tc>
          <w:tcPr>
            <w:tcW w:w="655" w:type="pct"/>
            <w:noWrap w:val="0"/>
            <w:vAlign w:val="center"/>
          </w:tcPr>
          <w:p w14:paraId="73D557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危险物质</w:t>
            </w:r>
          </w:p>
        </w:tc>
        <w:tc>
          <w:tcPr>
            <w:tcW w:w="3565" w:type="pct"/>
            <w:gridSpan w:val="7"/>
            <w:noWrap w:val="0"/>
            <w:vAlign w:val="center"/>
          </w:tcPr>
          <w:p w14:paraId="7302E5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大气环境影响</w:t>
            </w:r>
          </w:p>
        </w:tc>
      </w:tr>
      <w:tr w14:paraId="41ADF7E1">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4625B28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p>
        </w:tc>
        <w:tc>
          <w:tcPr>
            <w:tcW w:w="655" w:type="pct"/>
            <w:vMerge w:val="restart"/>
            <w:noWrap w:val="0"/>
            <w:vAlign w:val="center"/>
          </w:tcPr>
          <w:p w14:paraId="1950FB1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三氧化硫</w:t>
            </w:r>
          </w:p>
        </w:tc>
        <w:tc>
          <w:tcPr>
            <w:tcW w:w="992" w:type="pct"/>
            <w:gridSpan w:val="2"/>
            <w:noWrap w:val="0"/>
            <w:vAlign w:val="center"/>
          </w:tcPr>
          <w:p w14:paraId="487186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指标</w:t>
            </w:r>
          </w:p>
        </w:tc>
        <w:tc>
          <w:tcPr>
            <w:tcW w:w="729" w:type="pct"/>
            <w:noWrap w:val="0"/>
            <w:vAlign w:val="center"/>
          </w:tcPr>
          <w:p w14:paraId="43E7476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浓度值/（mg/m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p>
        </w:tc>
        <w:tc>
          <w:tcPr>
            <w:tcW w:w="763" w:type="pct"/>
            <w:gridSpan w:val="2"/>
            <w:noWrap w:val="0"/>
            <w:vAlign w:val="center"/>
          </w:tcPr>
          <w:p w14:paraId="1D6C9E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最远影响距离/m</w:t>
            </w:r>
          </w:p>
        </w:tc>
        <w:tc>
          <w:tcPr>
            <w:tcW w:w="1081" w:type="pct"/>
            <w:gridSpan w:val="2"/>
            <w:noWrap w:val="0"/>
            <w:vAlign w:val="center"/>
          </w:tcPr>
          <w:p w14:paraId="69F3474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到达时间/min</w:t>
            </w:r>
          </w:p>
        </w:tc>
      </w:tr>
      <w:tr w14:paraId="54A0D92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5ADF45B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1B5EE9B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37BC59C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大气毒性终点浓度-1</w:t>
            </w:r>
          </w:p>
        </w:tc>
        <w:tc>
          <w:tcPr>
            <w:tcW w:w="729" w:type="pct"/>
            <w:noWrap w:val="0"/>
            <w:vAlign w:val="center"/>
          </w:tcPr>
          <w:p w14:paraId="7A39C2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763" w:type="pct"/>
            <w:gridSpan w:val="2"/>
            <w:noWrap w:val="0"/>
            <w:vAlign w:val="center"/>
          </w:tcPr>
          <w:p w14:paraId="6A7E20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70</w:t>
            </w:r>
          </w:p>
        </w:tc>
        <w:tc>
          <w:tcPr>
            <w:tcW w:w="1081" w:type="pct"/>
            <w:gridSpan w:val="2"/>
            <w:noWrap w:val="0"/>
            <w:vAlign w:val="center"/>
          </w:tcPr>
          <w:p w14:paraId="1486DBD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0.7</w:t>
            </w:r>
          </w:p>
        </w:tc>
      </w:tr>
      <w:tr w14:paraId="0FDFC976">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1E6EE59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77C8EAD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78E7F3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大气毒性终点浓度-2</w:t>
            </w:r>
          </w:p>
        </w:tc>
        <w:tc>
          <w:tcPr>
            <w:tcW w:w="729" w:type="pct"/>
            <w:noWrap w:val="0"/>
            <w:vAlign w:val="center"/>
          </w:tcPr>
          <w:p w14:paraId="3CE71D8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8.7</w:t>
            </w:r>
          </w:p>
        </w:tc>
        <w:tc>
          <w:tcPr>
            <w:tcW w:w="763" w:type="pct"/>
            <w:gridSpan w:val="2"/>
            <w:noWrap w:val="0"/>
            <w:vAlign w:val="center"/>
          </w:tcPr>
          <w:p w14:paraId="6569CC5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160</w:t>
            </w:r>
          </w:p>
        </w:tc>
        <w:tc>
          <w:tcPr>
            <w:tcW w:w="1081" w:type="pct"/>
            <w:gridSpan w:val="2"/>
            <w:noWrap w:val="0"/>
            <w:vAlign w:val="center"/>
          </w:tcPr>
          <w:p w14:paraId="75251C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w:t>
            </w:r>
          </w:p>
        </w:tc>
      </w:tr>
      <w:tr w14:paraId="1210F95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3CEF9B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35E455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7D90A8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敏感目标名称</w:t>
            </w:r>
          </w:p>
        </w:tc>
        <w:tc>
          <w:tcPr>
            <w:tcW w:w="729" w:type="pct"/>
            <w:noWrap w:val="0"/>
            <w:vAlign w:val="center"/>
          </w:tcPr>
          <w:p w14:paraId="29601E4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超标时间/min</w:t>
            </w:r>
          </w:p>
        </w:tc>
        <w:tc>
          <w:tcPr>
            <w:tcW w:w="763" w:type="pct"/>
            <w:gridSpan w:val="2"/>
            <w:noWrap w:val="0"/>
            <w:vAlign w:val="center"/>
          </w:tcPr>
          <w:p w14:paraId="00337D6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超标持续时间/min</w:t>
            </w:r>
          </w:p>
        </w:tc>
        <w:tc>
          <w:tcPr>
            <w:tcW w:w="1081" w:type="pct"/>
            <w:gridSpan w:val="2"/>
            <w:noWrap w:val="0"/>
            <w:vAlign w:val="center"/>
          </w:tcPr>
          <w:p w14:paraId="1EE514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最大浓度（mg/m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p>
        </w:tc>
      </w:tr>
      <w:tr w14:paraId="3D75044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4BDC25D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62078B0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755E7818">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南韩村</w:t>
            </w:r>
          </w:p>
        </w:tc>
        <w:tc>
          <w:tcPr>
            <w:tcW w:w="729" w:type="pct"/>
            <w:noWrap w:val="0"/>
            <w:vAlign w:val="center"/>
          </w:tcPr>
          <w:p w14:paraId="5D3C24BA">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763" w:type="pct"/>
            <w:gridSpan w:val="2"/>
            <w:noWrap w:val="0"/>
            <w:vAlign w:val="center"/>
          </w:tcPr>
          <w:p w14:paraId="049F27A7">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1" w:type="pct"/>
            <w:gridSpan w:val="2"/>
            <w:noWrap w:val="0"/>
            <w:vAlign w:val="center"/>
          </w:tcPr>
          <w:p w14:paraId="519D508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1.12</w:t>
            </w:r>
          </w:p>
        </w:tc>
      </w:tr>
      <w:tr w14:paraId="01251824">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3E29A2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44691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147A6B16">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北韩村</w:t>
            </w:r>
          </w:p>
        </w:tc>
        <w:tc>
          <w:tcPr>
            <w:tcW w:w="729" w:type="pct"/>
            <w:noWrap w:val="0"/>
            <w:vAlign w:val="center"/>
          </w:tcPr>
          <w:p w14:paraId="744ADC9B">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763" w:type="pct"/>
            <w:gridSpan w:val="2"/>
            <w:noWrap w:val="0"/>
            <w:vAlign w:val="center"/>
          </w:tcPr>
          <w:p w14:paraId="72A126DB">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1" w:type="pct"/>
            <w:gridSpan w:val="2"/>
            <w:noWrap w:val="0"/>
            <w:vAlign w:val="center"/>
          </w:tcPr>
          <w:p w14:paraId="6FBC863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1.03</w:t>
            </w:r>
          </w:p>
        </w:tc>
      </w:tr>
      <w:tr w14:paraId="58C069A5">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3946E0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4F73B21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27AF1135">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洼子村</w:t>
            </w:r>
          </w:p>
        </w:tc>
        <w:tc>
          <w:tcPr>
            <w:tcW w:w="729" w:type="pct"/>
            <w:noWrap w:val="0"/>
            <w:vAlign w:val="center"/>
          </w:tcPr>
          <w:p w14:paraId="6E226176">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763" w:type="pct"/>
            <w:gridSpan w:val="2"/>
            <w:noWrap w:val="0"/>
            <w:vAlign w:val="center"/>
          </w:tcPr>
          <w:p w14:paraId="4B5CF54F">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1" w:type="pct"/>
            <w:gridSpan w:val="2"/>
            <w:noWrap w:val="0"/>
            <w:vAlign w:val="center"/>
          </w:tcPr>
          <w:p w14:paraId="29553BA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0.89</w:t>
            </w:r>
          </w:p>
        </w:tc>
      </w:tr>
      <w:tr w14:paraId="5EEBE4A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7B68CA7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0D5A7BF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4E62E0C0">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东官村</w:t>
            </w:r>
          </w:p>
        </w:tc>
        <w:tc>
          <w:tcPr>
            <w:tcW w:w="729" w:type="pct"/>
            <w:noWrap w:val="0"/>
            <w:vAlign w:val="center"/>
          </w:tcPr>
          <w:p w14:paraId="2E7C719A">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763" w:type="pct"/>
            <w:gridSpan w:val="2"/>
            <w:noWrap w:val="0"/>
            <w:vAlign w:val="center"/>
          </w:tcPr>
          <w:p w14:paraId="4EE84563">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1" w:type="pct"/>
            <w:gridSpan w:val="2"/>
            <w:noWrap w:val="0"/>
            <w:vAlign w:val="center"/>
          </w:tcPr>
          <w:p w14:paraId="7CDE356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0.259</w:t>
            </w:r>
          </w:p>
        </w:tc>
      </w:tr>
      <w:tr w14:paraId="6804F177">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778" w:type="pct"/>
            <w:vMerge w:val="continue"/>
            <w:noWrap w:val="0"/>
            <w:vAlign w:val="center"/>
          </w:tcPr>
          <w:p w14:paraId="1057CB6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655" w:type="pct"/>
            <w:vMerge w:val="continue"/>
            <w:noWrap w:val="0"/>
            <w:vAlign w:val="center"/>
          </w:tcPr>
          <w:p w14:paraId="1FE511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yellow"/>
              </w:rPr>
            </w:pPr>
          </w:p>
        </w:tc>
        <w:tc>
          <w:tcPr>
            <w:tcW w:w="992" w:type="pct"/>
            <w:gridSpan w:val="2"/>
            <w:noWrap w:val="0"/>
            <w:vAlign w:val="center"/>
          </w:tcPr>
          <w:p w14:paraId="78942C9A">
            <w:pPr>
              <w:pStyle w:val="44"/>
              <w:keepNext w:val="0"/>
              <w:keepLines w:val="0"/>
              <w:suppressLineNumbers w:val="0"/>
              <w:spacing w:before="15" w:beforeAutospacing="0" w:after="0" w:afterAutospacing="0" w:line="245" w:lineRule="exact"/>
              <w:ind w:left="89" w:leftChars="0" w:right="88" w:rightChars="0" w:firstLine="0" w:firstLineChars="0"/>
              <w:jc w:val="center"/>
              <w:rPr>
                <w:rFonts w:hint="default" w:ascii="Times New Roman" w:hAnsi="Times New Roman" w:eastAsia="宋体" w:cs="Times New Roman"/>
                <w:color w:val="auto"/>
                <w:kern w:val="2"/>
                <w:sz w:val="21"/>
                <w:szCs w:val="24"/>
                <w:lang w:val="en-US" w:eastAsia="zh-CN" w:bidi="zh-CN"/>
              </w:rPr>
            </w:pPr>
            <w:r>
              <w:rPr>
                <w:rFonts w:hint="default" w:eastAsia="宋体"/>
                <w:color w:val="auto"/>
                <w:sz w:val="21"/>
                <w:lang w:val="en-US"/>
              </w:rPr>
              <w:t>河东村</w:t>
            </w:r>
          </w:p>
        </w:tc>
        <w:tc>
          <w:tcPr>
            <w:tcW w:w="729" w:type="pct"/>
            <w:noWrap w:val="0"/>
            <w:vAlign w:val="center"/>
          </w:tcPr>
          <w:p w14:paraId="545E9B17">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763" w:type="pct"/>
            <w:gridSpan w:val="2"/>
            <w:noWrap w:val="0"/>
            <w:vAlign w:val="center"/>
          </w:tcPr>
          <w:p w14:paraId="7BE8D3B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81" w:type="pct"/>
            <w:gridSpan w:val="2"/>
            <w:noWrap w:val="0"/>
            <w:vAlign w:val="center"/>
          </w:tcPr>
          <w:p w14:paraId="75C896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yellow"/>
                <w:lang w:val="en-US" w:eastAsia="zh-CN"/>
              </w:rPr>
            </w:pPr>
            <w:r>
              <w:rPr>
                <w:rFonts w:hint="eastAsia" w:cs="Times New Roman"/>
                <w:color w:val="auto"/>
                <w:sz w:val="21"/>
                <w:szCs w:val="21"/>
                <w:highlight w:val="none"/>
                <w:lang w:val="en-US" w:eastAsia="zh-CN"/>
              </w:rPr>
              <w:t>1.88×10</w:t>
            </w:r>
            <w:r>
              <w:rPr>
                <w:rFonts w:hint="eastAsia" w:cs="Times New Roman"/>
                <w:color w:val="auto"/>
                <w:sz w:val="21"/>
                <w:szCs w:val="21"/>
                <w:highlight w:val="none"/>
                <w:vertAlign w:val="superscript"/>
                <w:lang w:val="en-US" w:eastAsia="zh-CN"/>
              </w:rPr>
              <w:t>-7</w:t>
            </w:r>
          </w:p>
        </w:tc>
      </w:tr>
      <w:tr w14:paraId="5E873302">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91" w:hRule="atLeast"/>
        </w:trPr>
        <w:tc>
          <w:tcPr>
            <w:tcW w:w="5000" w:type="pct"/>
            <w:gridSpan w:val="9"/>
            <w:noWrap w:val="0"/>
            <w:vAlign w:val="center"/>
          </w:tcPr>
          <w:p w14:paraId="159FB37E">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a按选择的代表性风险事故情形分别填写；</w:t>
            </w:r>
          </w:p>
          <w:p w14:paraId="790C5EED">
            <w:pPr>
              <w:keepNext w:val="0"/>
              <w:keepLines w:val="0"/>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b根据预测结果表述，选择受纳水体最远超标距离及到达时间或环境敏感目标到达时间、超标时间、超标持续时间及最大浓度填写</w:t>
            </w:r>
          </w:p>
        </w:tc>
      </w:tr>
    </w:tbl>
    <w:p w14:paraId="02B0A040">
      <w:pPr>
        <w:pStyle w:val="16"/>
        <w:keepNext w:val="0"/>
        <w:keepLines w:val="0"/>
        <w:pageBreakBefore w:val="0"/>
        <w:widowControl w:val="0"/>
        <w:tabs>
          <w:tab w:val="left" w:pos="1470"/>
        </w:tabs>
        <w:kinsoku/>
        <w:wordWrap/>
        <w:overflowPunct/>
        <w:topLinePunct w:val="0"/>
        <w:autoSpaceDE/>
        <w:autoSpaceDN/>
        <w:bidi w:val="0"/>
        <w:adjustRightInd w:val="0"/>
        <w:snapToGrid w:val="0"/>
        <w:spacing w:line="450" w:lineRule="exact"/>
        <w:ind w:left="0" w:leftChars="0" w:firstLine="480" w:firstLineChars="200"/>
        <w:textAlignment w:val="auto"/>
        <w:rPr>
          <w:rFonts w:hint="default" w:ascii="Times New Roman" w:hAnsi="Times New Roman" w:eastAsia="宋体" w:cs="Times New Roman"/>
          <w:b w:val="0"/>
          <w:bCs/>
          <w:color w:val="auto"/>
          <w:spacing w:val="0"/>
          <w:position w:val="0"/>
          <w:sz w:val="24"/>
          <w:szCs w:val="24"/>
          <w:highlight w:val="yellow"/>
        </w:rPr>
        <w:sectPr>
          <w:headerReference r:id="rId8" w:type="default"/>
          <w:pgSz w:w="16838" w:h="11905" w:orient="landscape"/>
          <w:pgMar w:top="1800" w:right="1440" w:bottom="1800" w:left="1440" w:header="851" w:footer="1077" w:gutter="0"/>
          <w:pgBorders>
            <w:top w:val="none" w:sz="0" w:space="0"/>
            <w:left w:val="none" w:sz="0" w:space="0"/>
            <w:bottom w:val="none" w:sz="0" w:space="0"/>
            <w:right w:val="none" w:sz="0" w:space="0"/>
          </w:pgBorders>
          <w:pgNumType w:fmt="decimal"/>
          <w:cols w:space="720" w:num="1"/>
          <w:rtlGutter w:val="0"/>
          <w:docGrid w:linePitch="319" w:charSpace="0"/>
        </w:sectPr>
      </w:pPr>
    </w:p>
    <w:p w14:paraId="24BA0043">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根据前述分析，</w:t>
      </w:r>
      <w:r>
        <w:rPr>
          <w:rFonts w:hint="eastAsia" w:ascii="Times New Roman" w:hAnsi="Times New Roman" w:cs="Times New Roman"/>
          <w:color w:val="auto"/>
          <w:sz w:val="24"/>
          <w:szCs w:val="24"/>
          <w:highlight w:val="none"/>
          <w:lang w:eastAsia="zh-CN"/>
        </w:rPr>
        <w:t>厂区</w:t>
      </w:r>
      <w:r>
        <w:rPr>
          <w:rFonts w:hint="eastAsia" w:cs="Times New Roman"/>
          <w:color w:val="auto"/>
          <w:sz w:val="24"/>
          <w:szCs w:val="24"/>
          <w:highlight w:val="none"/>
          <w:lang w:eastAsia="zh-CN"/>
        </w:rPr>
        <w:t>现有</w:t>
      </w:r>
      <w:r>
        <w:rPr>
          <w:rFonts w:hint="default" w:ascii="Times New Roman" w:hAnsi="Times New Roman" w:cs="Times New Roman"/>
          <w:color w:val="auto"/>
          <w:sz w:val="24"/>
          <w:szCs w:val="24"/>
          <w:highlight w:val="none"/>
        </w:rPr>
        <w:t>储罐区贮存</w:t>
      </w:r>
      <w:r>
        <w:rPr>
          <w:rFonts w:hint="eastAsia" w:cs="Times New Roman"/>
          <w:color w:val="auto"/>
          <w:sz w:val="24"/>
          <w:szCs w:val="24"/>
          <w:highlight w:val="none"/>
          <w:lang w:eastAsia="zh-CN"/>
        </w:rPr>
        <w:t>发烟硫酸</w:t>
      </w:r>
      <w:r>
        <w:rPr>
          <w:rFonts w:hint="default" w:ascii="Times New Roman" w:hAnsi="Times New Roman" w:cs="Times New Roman"/>
          <w:color w:val="auto"/>
          <w:sz w:val="24"/>
          <w:szCs w:val="24"/>
          <w:highlight w:val="none"/>
        </w:rPr>
        <w:t>过程中具有一定事故隐患。具体包括：</w:t>
      </w:r>
    </w:p>
    <w:p w14:paraId="1BEBB7FD">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（1）运输途中发生交通事故，火灾等意外情况，导致</w:t>
      </w:r>
      <w:r>
        <w:rPr>
          <w:rFonts w:hint="eastAsia" w:cs="Times New Roman"/>
          <w:color w:val="auto"/>
          <w:sz w:val="24"/>
          <w:szCs w:val="24"/>
          <w:highlight w:val="none"/>
          <w:lang w:eastAsia="zh-CN"/>
        </w:rPr>
        <w:t>发烟硫酸</w:t>
      </w:r>
      <w:r>
        <w:rPr>
          <w:rFonts w:hint="default" w:ascii="Times New Roman" w:hAnsi="Times New Roman" w:cs="Times New Roman"/>
          <w:color w:val="auto"/>
          <w:sz w:val="24"/>
          <w:szCs w:val="24"/>
          <w:highlight w:val="none"/>
        </w:rPr>
        <w:t>泄漏。</w:t>
      </w:r>
    </w:p>
    <w:p w14:paraId="6A11B827">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（2）装卸过程中管道损坏、破裂以及运输过程中运输车辆储槽损坏、破裂、储罐破裂均会导致</w:t>
      </w:r>
      <w:r>
        <w:rPr>
          <w:rFonts w:hint="eastAsia" w:cs="Times New Roman"/>
          <w:color w:val="auto"/>
          <w:sz w:val="24"/>
          <w:szCs w:val="24"/>
          <w:highlight w:val="none"/>
          <w:lang w:eastAsia="zh-CN"/>
        </w:rPr>
        <w:t>发烟硫酸泄漏</w:t>
      </w:r>
      <w:r>
        <w:rPr>
          <w:rFonts w:hint="default" w:ascii="Times New Roman" w:hAnsi="Times New Roman" w:cs="Times New Roman"/>
          <w:color w:val="auto"/>
          <w:sz w:val="24"/>
          <w:szCs w:val="24"/>
          <w:highlight w:val="none"/>
        </w:rPr>
        <w:t>。</w:t>
      </w:r>
    </w:p>
    <w:p w14:paraId="7C2D57C6">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当发生该类事故时</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区域人员立即</w:t>
      </w:r>
      <w:r>
        <w:rPr>
          <w:rFonts w:hint="eastAsia" w:cs="Times New Roman"/>
          <w:color w:val="auto"/>
          <w:sz w:val="24"/>
          <w:szCs w:val="24"/>
          <w:highlight w:val="none"/>
          <w:lang w:eastAsia="zh-CN"/>
        </w:rPr>
        <w:t>撤离</w:t>
      </w:r>
      <w:r>
        <w:rPr>
          <w:rFonts w:hint="default" w:ascii="Times New Roman" w:hAnsi="Times New Roman" w:cs="Times New Roman"/>
          <w:color w:val="auto"/>
          <w:sz w:val="24"/>
          <w:szCs w:val="24"/>
          <w:highlight w:val="none"/>
        </w:rPr>
        <w:t>泄漏区到上风区</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疏散无关人员并建立警戒区</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切断泄漏源</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在确保安全的情况下堵漏。防止泄漏物进入水体、下水道、地下室或密闭性空间。禁止接触和跨越</w:t>
      </w:r>
      <w:r>
        <w:rPr>
          <w:rFonts w:hint="eastAsia" w:ascii="Times New Roman" w:hAnsi="Times New Roman" w:cs="Times New Roman"/>
          <w:color w:val="auto"/>
          <w:sz w:val="24"/>
          <w:szCs w:val="24"/>
          <w:highlight w:val="none"/>
          <w:lang w:eastAsia="zh-CN"/>
        </w:rPr>
        <w:t>泄漏</w:t>
      </w:r>
      <w:r>
        <w:rPr>
          <w:rFonts w:hint="default" w:ascii="Times New Roman" w:hAnsi="Times New Roman" w:cs="Times New Roman"/>
          <w:color w:val="auto"/>
          <w:sz w:val="24"/>
          <w:szCs w:val="24"/>
          <w:highlight w:val="none"/>
        </w:rPr>
        <w:t>物。用</w:t>
      </w:r>
      <w:r>
        <w:rPr>
          <w:rFonts w:hint="eastAsia" w:ascii="Times New Roman" w:hAnsi="Times New Roman" w:cs="Times New Roman"/>
          <w:color w:val="auto"/>
          <w:sz w:val="24"/>
          <w:szCs w:val="24"/>
          <w:highlight w:val="none"/>
          <w:lang w:eastAsia="zh-CN"/>
        </w:rPr>
        <w:t>水进行稀释或用碱进行中和</w:t>
      </w:r>
      <w:r>
        <w:rPr>
          <w:rFonts w:hint="default" w:ascii="Times New Roman" w:hAnsi="Times New Roman" w:cs="Times New Roman"/>
          <w:color w:val="auto"/>
          <w:sz w:val="24"/>
          <w:szCs w:val="24"/>
          <w:highlight w:val="none"/>
        </w:rPr>
        <w:t>。发生该类事故，只要措施控制得当，不会造成泄漏物进入附近水体而造成明显的</w:t>
      </w:r>
      <w:r>
        <w:rPr>
          <w:rFonts w:hint="eastAsia" w:ascii="Times New Roman" w:hAnsi="Times New Roman" w:cs="Times New Roman"/>
          <w:color w:val="auto"/>
          <w:sz w:val="24"/>
          <w:szCs w:val="24"/>
          <w:highlight w:val="none"/>
          <w:lang w:eastAsia="zh-CN"/>
        </w:rPr>
        <w:t>大气和</w:t>
      </w:r>
      <w:r>
        <w:rPr>
          <w:rFonts w:hint="default" w:ascii="Times New Roman" w:hAnsi="Times New Roman" w:cs="Times New Roman"/>
          <w:color w:val="auto"/>
          <w:sz w:val="24"/>
          <w:szCs w:val="24"/>
          <w:highlight w:val="none"/>
        </w:rPr>
        <w:t>水环境污染事故。该厂主要事故挥发性物料废气污染物为</w:t>
      </w:r>
      <w:r>
        <w:rPr>
          <w:rFonts w:hint="eastAsia" w:cs="Times New Roman"/>
          <w:color w:val="auto"/>
          <w:sz w:val="24"/>
          <w:szCs w:val="24"/>
          <w:highlight w:val="none"/>
          <w:lang w:val="en-US" w:eastAsia="zh-CN"/>
        </w:rPr>
        <w:t>三氧化硫，</w:t>
      </w:r>
      <w:r>
        <w:rPr>
          <w:rFonts w:hint="default" w:ascii="Times New Roman" w:hAnsi="Times New Roman" w:cs="Times New Roman"/>
          <w:color w:val="auto"/>
          <w:sz w:val="24"/>
          <w:szCs w:val="24"/>
          <w:highlight w:val="none"/>
        </w:rPr>
        <w:t>会对周围大气产生影响</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泄漏事故发生时将不可避免</w:t>
      </w:r>
      <w:r>
        <w:rPr>
          <w:rFonts w:hint="eastAsia" w:cs="Times New Roman"/>
          <w:color w:val="auto"/>
          <w:sz w:val="24"/>
          <w:szCs w:val="24"/>
          <w:highlight w:val="none"/>
          <w:lang w:eastAsia="zh-CN"/>
        </w:rPr>
        <w:t>地</w:t>
      </w:r>
      <w:r>
        <w:rPr>
          <w:rFonts w:hint="default" w:ascii="Times New Roman" w:hAnsi="Times New Roman" w:cs="Times New Roman"/>
          <w:color w:val="auto"/>
          <w:sz w:val="24"/>
          <w:szCs w:val="24"/>
          <w:highlight w:val="none"/>
        </w:rPr>
        <w:t>对厂区内人员安全及周围大气产生不利影响。</w:t>
      </w:r>
    </w:p>
    <w:p w14:paraId="05D697AC">
      <w:pPr>
        <w:pStyle w:val="4"/>
        <w:pageBreakBefore w:val="0"/>
        <w:widowControl w:val="0"/>
        <w:kinsoku/>
        <w:wordWrap/>
        <w:overflowPunct/>
        <w:topLinePunct w:val="0"/>
        <w:bidi w:val="0"/>
        <w:snapToGrid w:val="0"/>
        <w:spacing w:before="0" w:after="0" w:line="360" w:lineRule="auto"/>
        <w:ind w:left="0" w:leftChars="0" w:firstLine="482"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.7.2地表水</w:t>
      </w:r>
      <w:r>
        <w:rPr>
          <w:rFonts w:hint="eastAsia" w:ascii="Times New Roman" w:hAnsi="Times New Roman" w:cs="Times New Roman"/>
          <w:color w:val="auto"/>
          <w:sz w:val="24"/>
          <w:szCs w:val="24"/>
          <w:highlight w:val="none"/>
          <w:lang w:eastAsia="zh-CN"/>
        </w:rPr>
        <w:t>、地下水</w:t>
      </w:r>
      <w:r>
        <w:rPr>
          <w:rFonts w:hint="default" w:ascii="Times New Roman" w:hAnsi="Times New Roman" w:cs="Times New Roman"/>
          <w:color w:val="auto"/>
          <w:sz w:val="24"/>
          <w:szCs w:val="24"/>
          <w:highlight w:val="none"/>
        </w:rPr>
        <w:t>环境风险影响评价</w:t>
      </w:r>
    </w:p>
    <w:p w14:paraId="1552A33E">
      <w:pPr>
        <w:pStyle w:val="29"/>
        <w:keepNext w:val="0"/>
        <w:keepLines w:val="0"/>
        <w:pageBreakBefore w:val="0"/>
        <w:widowControl w:val="0"/>
        <w:kinsoku/>
        <w:wordWrap/>
        <w:overflowPunct/>
        <w:topLinePunct w:val="0"/>
        <w:autoSpaceDE w:val="0"/>
        <w:autoSpaceDN w:val="0"/>
        <w:bidi w:val="0"/>
        <w:adjustRightInd w:val="0"/>
        <w:snapToGrid w:val="0"/>
        <w:spacing w:before="0" w:beforeLines="0" w:after="0"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本项目水污染事故风险主要源于厂区储罐</w:t>
      </w:r>
      <w:r>
        <w:rPr>
          <w:rFonts w:hint="eastAsia" w:ascii="Times New Roman" w:hAnsi="Times New Roman" w:eastAsia="宋体" w:cs="Times New Roman"/>
          <w:color w:val="auto"/>
          <w:kern w:val="0"/>
          <w:sz w:val="24"/>
          <w:szCs w:val="24"/>
          <w:highlight w:val="none"/>
          <w:lang w:val="en-US" w:eastAsia="zh-CN" w:bidi="ar-SA"/>
        </w:rPr>
        <w:t>泄漏、事故消防水等的外溢，</w:t>
      </w:r>
      <w:r>
        <w:rPr>
          <w:rFonts w:hint="default" w:ascii="Times New Roman" w:hAnsi="Times New Roman" w:eastAsia="宋体" w:cs="Times New Roman"/>
          <w:color w:val="auto"/>
          <w:kern w:val="0"/>
          <w:sz w:val="24"/>
          <w:szCs w:val="24"/>
          <w:highlight w:val="none"/>
          <w:lang w:val="en-US" w:eastAsia="zh-CN" w:bidi="ar-SA"/>
        </w:rPr>
        <w:t>如未能及时阻断废水的流动，废水有可能进入周围环境，继而进一步下渗，污染地下水体。</w:t>
      </w:r>
    </w:p>
    <w:p w14:paraId="0609758C">
      <w:pPr>
        <w:pStyle w:val="29"/>
        <w:keepNext w:val="0"/>
        <w:keepLines w:val="0"/>
        <w:pageBreakBefore w:val="0"/>
        <w:widowControl w:val="0"/>
        <w:kinsoku/>
        <w:wordWrap/>
        <w:overflowPunct/>
        <w:topLinePunct w:val="0"/>
        <w:autoSpaceDE w:val="0"/>
        <w:autoSpaceDN w:val="0"/>
        <w:bidi w:val="0"/>
        <w:adjustRightInd w:val="0"/>
        <w:snapToGrid w:val="0"/>
        <w:spacing w:before="0" w:beforeLines="0" w:after="0"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储罐</w:t>
      </w:r>
      <w:r>
        <w:rPr>
          <w:rFonts w:hint="eastAsia" w:ascii="Times New Roman" w:hAnsi="Times New Roman" w:eastAsia="宋体" w:cs="Times New Roman"/>
          <w:color w:val="auto"/>
          <w:kern w:val="0"/>
          <w:sz w:val="24"/>
          <w:szCs w:val="24"/>
          <w:highlight w:val="none"/>
          <w:lang w:val="en-US" w:eastAsia="zh-CN" w:bidi="ar-SA"/>
        </w:rPr>
        <w:t>泄漏</w:t>
      </w:r>
      <w:r>
        <w:rPr>
          <w:rFonts w:hint="default" w:ascii="Times New Roman" w:hAnsi="Times New Roman" w:eastAsia="宋体" w:cs="Times New Roman"/>
          <w:color w:val="auto"/>
          <w:kern w:val="0"/>
          <w:sz w:val="24"/>
          <w:szCs w:val="24"/>
          <w:highlight w:val="none"/>
          <w:lang w:val="en-US" w:eastAsia="zh-CN" w:bidi="ar-SA"/>
        </w:rPr>
        <w:t>量及污染物排放量与发现及抢修的时间有关。由于储罐或输送干管内废水的污染物浓度较高，排入任何水体都将对水质产生较大影响。因此，必须做好这类事故的防范工作，一旦发生此类事故应及时组织抢修，降低泄漏量；二是项目在厂区设置了环境风险事故水污染三级防控系统：即项目各罐区均按规范设置了围堰，仓储区域设有围挡，车间、仓库内部设有地沟和排水系统；厂区设有容积</w:t>
      </w:r>
      <w:r>
        <w:rPr>
          <w:rFonts w:hint="eastAsia" w:ascii="Times New Roman" w:hAnsi="Times New Roman" w:eastAsia="宋体" w:cs="Times New Roman"/>
          <w:color w:val="auto"/>
          <w:kern w:val="0"/>
          <w:sz w:val="24"/>
          <w:szCs w:val="24"/>
          <w:highlight w:val="none"/>
          <w:lang w:val="en-US" w:eastAsia="zh-CN" w:bidi="ar-SA"/>
        </w:rPr>
        <w:t>240</w:t>
      </w:r>
      <w:r>
        <w:rPr>
          <w:rFonts w:hint="default" w:ascii="Times New Roman" w:hAnsi="Times New Roman" w:eastAsia="宋体" w:cs="Times New Roman"/>
          <w:color w:val="auto"/>
          <w:kern w:val="0"/>
          <w:sz w:val="24"/>
          <w:szCs w:val="24"/>
          <w:highlight w:val="none"/>
          <w:lang w:val="en-US" w:eastAsia="zh-CN" w:bidi="ar-SA"/>
        </w:rPr>
        <w:t>m</w:t>
      </w:r>
      <w:r>
        <w:rPr>
          <w:rFonts w:hint="default" w:ascii="Times New Roman" w:hAnsi="Times New Roman" w:eastAsia="宋体" w:cs="Times New Roman"/>
          <w:color w:val="auto"/>
          <w:kern w:val="0"/>
          <w:sz w:val="24"/>
          <w:szCs w:val="24"/>
          <w:highlight w:val="none"/>
          <w:vertAlign w:val="superscript"/>
          <w:lang w:val="en-US" w:eastAsia="zh-CN" w:bidi="ar-SA"/>
        </w:rPr>
        <w:t>3</w:t>
      </w:r>
      <w:r>
        <w:rPr>
          <w:rFonts w:hint="default" w:ascii="Times New Roman" w:hAnsi="Times New Roman" w:eastAsia="宋体" w:cs="Times New Roman"/>
          <w:color w:val="auto"/>
          <w:kern w:val="0"/>
          <w:sz w:val="24"/>
          <w:szCs w:val="24"/>
          <w:highlight w:val="none"/>
          <w:lang w:val="en-US" w:eastAsia="zh-CN" w:bidi="ar-SA"/>
        </w:rPr>
        <w:t>的应急事故池，全厂雨水总排口设置切换阀。在采取上述措施后，本项目在事故状态下的事故废水和消防废水得到有效收集，不出厂，不会对周边水体造成较大影响。</w:t>
      </w:r>
    </w:p>
    <w:p w14:paraId="2C2818B5">
      <w:pPr>
        <w:keepNext w:val="0"/>
        <w:keepLines w:val="0"/>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SA"/>
        </w:rPr>
        <w:t>本项目建有围堰及事故水池，能满足消防废水收集，不会溢流出厂外；生产车间、罐区等均采取了源头控制、分区防渗等措施，事故废水/物料不会渗透进入土壤/地下含水层。因此，本次分析不对废水污染物进行定量分析。</w:t>
      </w:r>
    </w:p>
    <w:p w14:paraId="255577C0">
      <w:pPr>
        <w:pStyle w:val="3"/>
        <w:pageBreakBefore w:val="0"/>
        <w:widowControl w:val="0"/>
        <w:kinsoku/>
        <w:wordWrap/>
        <w:overflowPunct/>
        <w:topLinePunct w:val="0"/>
        <w:bidi w:val="0"/>
        <w:snapToGrid w:val="0"/>
        <w:spacing w:before="0" w:after="0" w:line="360" w:lineRule="auto"/>
        <w:ind w:left="0" w:leftChars="0" w:firstLine="482" w:firstLineChars="200"/>
        <w:textAlignment w:val="auto"/>
        <w:rPr>
          <w:rFonts w:hint="default" w:ascii="Times New Roman" w:hAnsi="Times New Roman" w:cs="Times New Roman"/>
          <w:color w:val="auto"/>
          <w:sz w:val="24"/>
          <w:szCs w:val="24"/>
          <w:highlight w:val="none"/>
        </w:rPr>
      </w:pPr>
      <w:bookmarkStart w:id="12" w:name="_Toc6924"/>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.8环境风险管理</w:t>
      </w:r>
      <w:bookmarkEnd w:id="12"/>
    </w:p>
    <w:p w14:paraId="71C64127">
      <w:pPr>
        <w:pStyle w:val="4"/>
        <w:pageBreakBefore w:val="0"/>
        <w:widowControl w:val="0"/>
        <w:kinsoku/>
        <w:wordWrap/>
        <w:overflowPunct/>
        <w:topLinePunct w:val="0"/>
        <w:bidi w:val="0"/>
        <w:snapToGrid w:val="0"/>
        <w:spacing w:before="0" w:after="0" w:line="360" w:lineRule="auto"/>
        <w:ind w:left="0" w:leftChars="0" w:firstLine="482" w:firstLineChars="200"/>
        <w:textAlignment w:val="auto"/>
        <w:rPr>
          <w:rFonts w:hint="default" w:ascii="Times New Roman" w:hAnsi="Times New Roman" w:cs="Times New Roman"/>
          <w:color w:val="auto"/>
          <w:sz w:val="24"/>
          <w:szCs w:val="24"/>
          <w:highlight w:val="none"/>
        </w:rPr>
      </w:pPr>
      <w:bookmarkStart w:id="13" w:name="_Toc18809"/>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.8.1环境风险管理目标</w:t>
      </w:r>
    </w:p>
    <w:p w14:paraId="6A326308">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环境风险管理目标是采用最低合理可行原则管控环境风险。采取的环境风险防范措施应与社会经济技术发展水平相适应，运用科学的技术手段和管理方法，对环境风险进行有效</w:t>
      </w:r>
      <w:r>
        <w:rPr>
          <w:rFonts w:hint="eastAsia" w:cs="Times New Roman"/>
          <w:color w:val="auto"/>
          <w:sz w:val="24"/>
          <w:szCs w:val="24"/>
          <w:highlight w:val="none"/>
          <w:lang w:eastAsia="zh-CN"/>
        </w:rPr>
        <w:t>地</w:t>
      </w:r>
      <w:r>
        <w:rPr>
          <w:rFonts w:hint="default" w:ascii="Times New Roman" w:hAnsi="Times New Roman" w:cs="Times New Roman"/>
          <w:color w:val="auto"/>
          <w:sz w:val="24"/>
          <w:szCs w:val="24"/>
          <w:highlight w:val="none"/>
        </w:rPr>
        <w:t>预防、监控、响应。</w:t>
      </w:r>
    </w:p>
    <w:p w14:paraId="205F35E8">
      <w:pPr>
        <w:pStyle w:val="4"/>
        <w:keepNext/>
        <w:keepLines/>
        <w:pageBreakBefore w:val="0"/>
        <w:widowControl w:val="0"/>
        <w:kinsoku/>
        <w:wordWrap/>
        <w:overflowPunct/>
        <w:topLinePunct w:val="0"/>
        <w:autoSpaceDE/>
        <w:autoSpaceDN/>
        <w:bidi w:val="0"/>
        <w:adjustRightInd/>
        <w:snapToGrid/>
        <w:spacing w:before="0" w:beforeLines="0" w:after="0" w:afterLines="0" w:line="360" w:lineRule="auto"/>
        <w:ind w:left="0" w:leftChars="0" w:firstLine="482"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.8.2环境风险防范措施</w:t>
      </w:r>
    </w:p>
    <w:p w14:paraId="45B82682">
      <w:pPr>
        <w:pStyle w:val="5"/>
        <w:pageBreakBefore w:val="0"/>
        <w:widowControl w:val="0"/>
        <w:kinsoku/>
        <w:wordWrap/>
        <w:overflowPunct/>
        <w:topLinePunct w:val="0"/>
        <w:bidi w:val="0"/>
        <w:spacing w:beforeLines="0" w:afterLines="0" w:line="360" w:lineRule="auto"/>
        <w:ind w:left="0" w:leftChars="0" w:firstLine="482"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.8.2.1大气环境风险事故防范措施</w:t>
      </w:r>
    </w:p>
    <w:p w14:paraId="1119E958">
      <w:pPr>
        <w:pageBreakBefore w:val="0"/>
        <w:widowControl w:val="0"/>
        <w:kinsoku/>
        <w:wordWrap/>
        <w:overflowPunct/>
        <w:topLinePunct w:val="0"/>
        <w:bidi w:val="0"/>
        <w:spacing w:line="360" w:lineRule="auto"/>
        <w:ind w:left="0" w:leftChars="0" w:firstLine="480" w:firstLineChars="20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szCs w:val="24"/>
          <w:highlight w:val="none"/>
        </w:rPr>
        <w:t>1、建立大气环境风险防范措施体系</w:t>
      </w:r>
    </w:p>
    <w:p w14:paraId="5CF83AC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object>
          <v:shape id="_x0000_i1028" o:spt="75" type="#_x0000_t75" style="height:411.45pt;width:453.25pt;" o:ole="t" filled="f" o:preferrelative="t" stroked="f" coordsize="21600,21600">
            <v:path/>
            <v:fill on="f" focussize="0,0"/>
            <v:stroke on="f"/>
            <v:imagedata r:id="rId26" o:title=""/>
            <o:lock v:ext="edit" aspectratio="f"/>
            <w10:wrap type="none"/>
            <w10:anchorlock/>
          </v:shape>
          <o:OLEObject Type="Embed" ProgID="Visio.Drawing.11" ShapeID="_x0000_i1028" DrawAspect="Content" ObjectID="_1468075728" r:id="rId25">
            <o:LockedField>false</o:LockedField>
          </o:OLEObject>
        </w:object>
      </w:r>
      <w:r>
        <w:rPr>
          <w:rFonts w:hint="default" w:ascii="Times New Roman" w:hAnsi="Times New Roman" w:cs="Times New Roman"/>
          <w:b/>
          <w:bCs/>
          <w:color w:val="auto"/>
          <w:highlight w:val="none"/>
        </w:rPr>
        <w:t>图</w:t>
      </w:r>
      <w:r>
        <w:rPr>
          <w:rFonts w:hint="eastAsia" w:ascii="Times New Roman" w:hAnsi="Times New Roman" w:cs="Times New Roman"/>
          <w:b/>
          <w:bCs/>
          <w:color w:val="auto"/>
          <w:highlight w:val="none"/>
          <w:lang w:val="en-US" w:eastAsia="zh-CN"/>
        </w:rPr>
        <w:t>1</w:t>
      </w:r>
      <w:r>
        <w:rPr>
          <w:rFonts w:hint="default" w:ascii="Times New Roman" w:hAnsi="Times New Roman" w:cs="Times New Roman"/>
          <w:b/>
          <w:bCs/>
          <w:color w:val="auto"/>
          <w:highlight w:val="none"/>
        </w:rPr>
        <w:t>.8-1  大气环境风险防范措施体系框架图</w:t>
      </w:r>
    </w:p>
    <w:p w14:paraId="3059FA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2、建立大气环境风险三级防范体系</w:t>
      </w:r>
    </w:p>
    <w:p w14:paraId="07B435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（1）一级防控措施：工艺设计与安全方面，如罐区、装置区、管线等密封防泄漏措施。以有效减少或避免使用风险物质。</w:t>
      </w:r>
    </w:p>
    <w:p w14:paraId="01C1E4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（2）二级防控措施：报警、监控与切断系统，如有毒、有害气体自动监测报警系统，自动控制，联锁装置及自动切断系统等。以有效减少泄漏量、缩短泄漏时间的措施。</w:t>
      </w:r>
    </w:p>
    <w:p w14:paraId="1A4E54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3）三级防控措施：事故后应急处置措施，如喷淋消防系统、事故引风喷淋系统、泡沫覆盖、地下储池或备用罐等措施，并有效转移到废水、固废、备用储存设施中等。以有效降低事故状态下大气释放源强、缩短时间、</w:t>
      </w:r>
      <w:r>
        <w:rPr>
          <w:rFonts w:hint="eastAsia" w:cs="Times New Roman"/>
          <w:bCs/>
          <w:color w:val="auto"/>
          <w:sz w:val="24"/>
          <w:szCs w:val="24"/>
          <w:highlight w:val="none"/>
          <w:lang w:eastAsia="zh-CN"/>
        </w:rPr>
        <w:t>减少</w:t>
      </w:r>
      <w:r>
        <w:rPr>
          <w:rFonts w:hint="default" w:ascii="Times New Roman" w:hAnsi="Times New Roman" w:cs="Times New Roman"/>
          <w:bCs/>
          <w:color w:val="auto"/>
          <w:sz w:val="24"/>
          <w:szCs w:val="24"/>
          <w:highlight w:val="none"/>
        </w:rPr>
        <w:t>排放量。</w:t>
      </w:r>
    </w:p>
    <w:p w14:paraId="4835B7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3、项目大气环境风险防范措施</w:t>
      </w:r>
    </w:p>
    <w:p w14:paraId="28FB35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szCs w:val="24"/>
          <w:highlight w:val="none"/>
        </w:rPr>
        <w:t>项目大气环境风险防范措施见表</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.8-1。</w:t>
      </w:r>
    </w:p>
    <w:p w14:paraId="467AB96A">
      <w:pPr>
        <w:ind w:firstLine="482"/>
        <w:jc w:val="center"/>
        <w:rPr>
          <w:rFonts w:hint="default" w:ascii="Times New Roman" w:hAnsi="Times New Roman" w:cs="Times New Roman"/>
          <w:b/>
          <w:bCs/>
          <w:color w:val="auto"/>
          <w:highlight w:val="none"/>
        </w:rPr>
      </w:pPr>
    </w:p>
    <w:p w14:paraId="6DE926F8">
      <w:pPr>
        <w:ind w:firstLine="482"/>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ascii="Times New Roman" w:hAnsi="Times New Roman" w:cs="Times New Roman"/>
          <w:b/>
          <w:bCs/>
          <w:color w:val="auto"/>
          <w:highlight w:val="none"/>
          <w:lang w:val="en-US" w:eastAsia="zh-CN"/>
        </w:rPr>
        <w:t>1</w:t>
      </w:r>
      <w:r>
        <w:rPr>
          <w:rFonts w:hint="default" w:ascii="Times New Roman" w:hAnsi="Times New Roman" w:cs="Times New Roman"/>
          <w:b/>
          <w:bCs/>
          <w:color w:val="auto"/>
          <w:highlight w:val="none"/>
        </w:rPr>
        <w:t>.8-1  项目大气环境风险防范措施一览表</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20"/>
        <w:gridCol w:w="2522"/>
        <w:gridCol w:w="4763"/>
      </w:tblGrid>
      <w:tr w14:paraId="0125B4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noWrap w:val="0"/>
            <w:vAlign w:val="center"/>
          </w:tcPr>
          <w:p w14:paraId="3C54E6A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防范措施</w:t>
            </w:r>
          </w:p>
        </w:tc>
        <w:tc>
          <w:tcPr>
            <w:tcW w:w="1518" w:type="pct"/>
            <w:noWrap w:val="0"/>
            <w:vAlign w:val="center"/>
          </w:tcPr>
          <w:p w14:paraId="4E5866A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措施分项</w:t>
            </w:r>
          </w:p>
        </w:tc>
        <w:tc>
          <w:tcPr>
            <w:tcW w:w="2867" w:type="pct"/>
            <w:noWrap w:val="0"/>
            <w:vAlign w:val="center"/>
          </w:tcPr>
          <w:p w14:paraId="4797037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大气环境风险防范措施具体内容</w:t>
            </w:r>
          </w:p>
        </w:tc>
      </w:tr>
      <w:tr w14:paraId="6523F7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restart"/>
            <w:noWrap w:val="0"/>
            <w:vAlign w:val="center"/>
          </w:tcPr>
          <w:p w14:paraId="7838E9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事故预防</w:t>
            </w:r>
          </w:p>
          <w:p w14:paraId="26F7E3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措施</w:t>
            </w:r>
          </w:p>
        </w:tc>
        <w:tc>
          <w:tcPr>
            <w:tcW w:w="1518" w:type="pct"/>
            <w:noWrap w:val="0"/>
            <w:vAlign w:val="center"/>
          </w:tcPr>
          <w:p w14:paraId="251269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安全、环保设计措施</w:t>
            </w:r>
          </w:p>
        </w:tc>
        <w:tc>
          <w:tcPr>
            <w:tcW w:w="2867" w:type="pct"/>
            <w:noWrap w:val="0"/>
            <w:vAlign w:val="center"/>
          </w:tcPr>
          <w:p w14:paraId="5DA2A1E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严格按照《建筑设计防火规范》和《石油化工企业设计防火规范》进行安全环保设计。</w:t>
            </w:r>
          </w:p>
        </w:tc>
      </w:tr>
      <w:tr w14:paraId="534559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125450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01FCDC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防火、防爆、防泄漏措施</w:t>
            </w:r>
          </w:p>
        </w:tc>
        <w:tc>
          <w:tcPr>
            <w:tcW w:w="2867" w:type="pct"/>
            <w:noWrap w:val="0"/>
            <w:vAlign w:val="center"/>
          </w:tcPr>
          <w:p w14:paraId="63B695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建构筑物按火灾危险性和耐火等级严格进行防火分区，</w:t>
            </w:r>
            <w:r>
              <w:rPr>
                <w:rFonts w:hint="eastAsia" w:cs="Times New Roman"/>
                <w:bCs/>
                <w:color w:val="auto"/>
                <w:sz w:val="21"/>
                <w:szCs w:val="21"/>
                <w:highlight w:val="none"/>
                <w:lang w:eastAsia="zh-CN"/>
              </w:rPr>
              <w:t>设置必需的</w:t>
            </w:r>
            <w:r>
              <w:rPr>
                <w:rFonts w:hint="default" w:ascii="Times New Roman" w:hAnsi="Times New Roman" w:cs="Times New Roman"/>
                <w:bCs/>
                <w:color w:val="auto"/>
                <w:sz w:val="21"/>
                <w:szCs w:val="21"/>
                <w:highlight w:val="none"/>
              </w:rPr>
              <w:t>防火门窗、防爆墙等设施，设计环形消防通道。</w:t>
            </w:r>
          </w:p>
        </w:tc>
      </w:tr>
      <w:tr w14:paraId="71138A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201E674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25A118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安全自动控制与连锁报警系统、紧急切断与停车措施</w:t>
            </w:r>
          </w:p>
        </w:tc>
        <w:tc>
          <w:tcPr>
            <w:tcW w:w="2867" w:type="pct"/>
            <w:noWrap w:val="0"/>
            <w:vAlign w:val="center"/>
          </w:tcPr>
          <w:p w14:paraId="138487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生产区采用DCS 控制系统进行自动控制，对储运过程进行监控和自动控制；各操作参数报警、越限联锁及机泵、阀门等联锁主要通过DCS 控制；设置紧急切断与停车措施；配套远程控制系统，一旦发生事故，可立即通过远程控制系统。</w:t>
            </w:r>
          </w:p>
        </w:tc>
      </w:tr>
      <w:tr w14:paraId="16D99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restart"/>
            <w:noWrap w:val="0"/>
            <w:vAlign w:val="center"/>
          </w:tcPr>
          <w:p w14:paraId="7BA0D1F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事故预警</w:t>
            </w:r>
          </w:p>
          <w:p w14:paraId="6388FE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措施</w:t>
            </w:r>
          </w:p>
        </w:tc>
        <w:tc>
          <w:tcPr>
            <w:tcW w:w="1518" w:type="pct"/>
            <w:noWrap w:val="0"/>
            <w:vAlign w:val="center"/>
          </w:tcPr>
          <w:p w14:paraId="185C605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可燃气体、有毒气体检测报</w:t>
            </w:r>
          </w:p>
          <w:p w14:paraId="4275D2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警系统</w:t>
            </w:r>
          </w:p>
        </w:tc>
        <w:tc>
          <w:tcPr>
            <w:tcW w:w="2867" w:type="pct"/>
            <w:noWrap w:val="0"/>
            <w:vAlign w:val="center"/>
          </w:tcPr>
          <w:p w14:paraId="34DF49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罐区配备有毒气体报警器。</w:t>
            </w:r>
          </w:p>
        </w:tc>
      </w:tr>
      <w:tr w14:paraId="0E35D3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0C2D436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5FBA945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泄漏、火灾、爆炸事故报警</w:t>
            </w:r>
          </w:p>
          <w:p w14:paraId="714F502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系统</w:t>
            </w:r>
          </w:p>
        </w:tc>
        <w:tc>
          <w:tcPr>
            <w:tcW w:w="2867" w:type="pct"/>
            <w:noWrap w:val="0"/>
            <w:vAlign w:val="center"/>
          </w:tcPr>
          <w:p w14:paraId="4C94300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各重点部位罐区设备设置自动控制系统控制和设置完善的报警联锁系统</w:t>
            </w:r>
            <w:r>
              <w:rPr>
                <w:rFonts w:hint="eastAsia" w:cs="Times New Roman"/>
                <w:bCs/>
                <w:color w:val="auto"/>
                <w:sz w:val="21"/>
                <w:szCs w:val="21"/>
                <w:highlight w:val="none"/>
                <w:lang w:eastAsia="zh-CN"/>
              </w:rPr>
              <w:t>，以及</w:t>
            </w:r>
            <w:r>
              <w:rPr>
                <w:rFonts w:hint="default" w:ascii="Times New Roman" w:hAnsi="Times New Roman" w:cs="Times New Roman"/>
                <w:bCs/>
                <w:color w:val="auto"/>
                <w:sz w:val="21"/>
                <w:szCs w:val="21"/>
                <w:highlight w:val="none"/>
              </w:rPr>
              <w:t>水消防系统和ABC 类干粉灭火器等。</w:t>
            </w:r>
          </w:p>
        </w:tc>
      </w:tr>
      <w:tr w14:paraId="7515FA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restart"/>
            <w:noWrap w:val="0"/>
            <w:vAlign w:val="center"/>
          </w:tcPr>
          <w:p w14:paraId="12F6DE6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应急处置</w:t>
            </w:r>
          </w:p>
          <w:p w14:paraId="56B29E2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措施</w:t>
            </w:r>
          </w:p>
        </w:tc>
        <w:tc>
          <w:tcPr>
            <w:tcW w:w="1518" w:type="pct"/>
            <w:noWrap w:val="0"/>
            <w:vAlign w:val="center"/>
          </w:tcPr>
          <w:p w14:paraId="766C2F4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应急监测能力</w:t>
            </w:r>
          </w:p>
        </w:tc>
        <w:tc>
          <w:tcPr>
            <w:tcW w:w="2867" w:type="pct"/>
            <w:noWrap w:val="0"/>
            <w:vAlign w:val="center"/>
          </w:tcPr>
          <w:p w14:paraId="1153E3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企业须具备一定的环境风险事故应急监测能力，配备特征污染物便携监测仪器，并针对不同事故类型制定了环境风险事故应急监测方案。</w:t>
            </w:r>
          </w:p>
        </w:tc>
      </w:tr>
      <w:tr w14:paraId="3601D9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376C048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421F6A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终止事故源的基本方案</w:t>
            </w:r>
          </w:p>
        </w:tc>
        <w:tc>
          <w:tcPr>
            <w:tcW w:w="2867" w:type="pct"/>
            <w:noWrap w:val="0"/>
            <w:vAlign w:val="center"/>
          </w:tcPr>
          <w:p w14:paraId="59A7BD2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严格按照公司突发环境事件应急预案终止事故源；配套突发事故紧急切断、停车、堵漏、消防、输转等措施。</w:t>
            </w:r>
          </w:p>
        </w:tc>
      </w:tr>
      <w:tr w14:paraId="31D608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28B2270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79F949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对释放至大气的危险物质的控制方案</w:t>
            </w:r>
          </w:p>
        </w:tc>
        <w:tc>
          <w:tcPr>
            <w:tcW w:w="2867" w:type="pct"/>
            <w:noWrap w:val="0"/>
            <w:vAlign w:val="center"/>
          </w:tcPr>
          <w:p w14:paraId="2A4649A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针对不同事故类型，结合泄漏物料理化性质，采取水幕、喷淋减量、中和消除、覆盖抑制、负压引风至吸收装置等措施。</w:t>
            </w:r>
          </w:p>
        </w:tc>
      </w:tr>
      <w:tr w14:paraId="4B19BE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73D4005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1D4AB34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应急区域与安全隔离方案</w:t>
            </w:r>
          </w:p>
        </w:tc>
        <w:tc>
          <w:tcPr>
            <w:tcW w:w="2867" w:type="pct"/>
            <w:noWrap w:val="0"/>
            <w:vAlign w:val="center"/>
          </w:tcPr>
          <w:p w14:paraId="66EFF02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应急区域：按危险程度分为三个区域，分别为事故中心区、事故波及区和受影响区安全隔离方案：根据事故大小分为：事故现场安全隔离、LC50（半致死）撤离半径安全隔离、IDLH（立即威胁生命和健康）撤离半径安全隔离。</w:t>
            </w:r>
          </w:p>
        </w:tc>
      </w:tr>
      <w:tr w14:paraId="00016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3D75D47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3B8590A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应急防护与救援方案</w:t>
            </w:r>
          </w:p>
        </w:tc>
        <w:tc>
          <w:tcPr>
            <w:tcW w:w="2867" w:type="pct"/>
            <w:noWrap w:val="0"/>
            <w:vAlign w:val="center"/>
          </w:tcPr>
          <w:p w14:paraId="68F3FB1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企业自行配备一定能力的应急防护设施、设备，重大事故应立即启动应急预案，与当地政府形成应急联动。</w:t>
            </w:r>
          </w:p>
        </w:tc>
      </w:tr>
      <w:tr w14:paraId="3F6AAC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restart"/>
            <w:noWrap w:val="0"/>
            <w:vAlign w:val="center"/>
          </w:tcPr>
          <w:p w14:paraId="67CF722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外环境敏</w:t>
            </w:r>
          </w:p>
          <w:p w14:paraId="3028D7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感目标保</w:t>
            </w:r>
          </w:p>
          <w:p w14:paraId="679CE5B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护措施</w:t>
            </w:r>
          </w:p>
        </w:tc>
        <w:tc>
          <w:tcPr>
            <w:tcW w:w="1518" w:type="pct"/>
            <w:vMerge w:val="restart"/>
            <w:noWrap w:val="0"/>
            <w:vAlign w:val="center"/>
          </w:tcPr>
          <w:p w14:paraId="19D002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环境风险防范区的设置与应急撤离方案</w:t>
            </w:r>
          </w:p>
        </w:tc>
        <w:tc>
          <w:tcPr>
            <w:tcW w:w="2867" w:type="pct"/>
            <w:noWrap w:val="0"/>
            <w:vAlign w:val="center"/>
          </w:tcPr>
          <w:p w14:paraId="3F09122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风险防范区：事故现场安全隔离区、LC50（半致死）撤离半径安全隔离区、IDLH 撤离半径安全隔离区。</w:t>
            </w:r>
          </w:p>
        </w:tc>
      </w:tr>
      <w:tr w14:paraId="0F0A27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492B9D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vMerge w:val="continue"/>
            <w:noWrap w:val="0"/>
            <w:vAlign w:val="center"/>
          </w:tcPr>
          <w:p w14:paraId="514C7E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2867" w:type="pct"/>
            <w:noWrap w:val="0"/>
            <w:vAlign w:val="center"/>
          </w:tcPr>
          <w:p w14:paraId="5A65F0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应急撤离方案：包括事故现场</w:t>
            </w:r>
            <w:r>
              <w:rPr>
                <w:rFonts w:hint="eastAsia" w:cs="Times New Roman"/>
                <w:bCs/>
                <w:color w:val="auto"/>
                <w:sz w:val="21"/>
                <w:szCs w:val="21"/>
                <w:highlight w:val="none"/>
                <w:lang w:eastAsia="zh-CN"/>
              </w:rPr>
              <w:t>人员</w:t>
            </w:r>
            <w:r>
              <w:rPr>
                <w:rFonts w:hint="default" w:ascii="Times New Roman" w:hAnsi="Times New Roman" w:cs="Times New Roman"/>
                <w:bCs/>
                <w:color w:val="auto"/>
                <w:sz w:val="21"/>
                <w:szCs w:val="21"/>
                <w:highlight w:val="none"/>
              </w:rPr>
              <w:t>清点、撤离的方式、方法；非事故现场人员清点、撤离的方式、方法。</w:t>
            </w:r>
          </w:p>
        </w:tc>
      </w:tr>
      <w:tr w14:paraId="5BF05B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56F1C94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62902B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可能受影响人员的基本保护措施和防护方法</w:t>
            </w:r>
          </w:p>
        </w:tc>
        <w:tc>
          <w:tcPr>
            <w:tcW w:w="2867" w:type="pct"/>
            <w:noWrap w:val="0"/>
            <w:vAlign w:val="center"/>
          </w:tcPr>
          <w:p w14:paraId="5A481BC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事故发生后，及时通知当地有关环境保护部门和县、乡政府，配合公安、消防等部门做好受影响公众的疏散、撤离、防护、救治等工作。</w:t>
            </w:r>
          </w:p>
        </w:tc>
      </w:tr>
      <w:tr w14:paraId="65272D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vMerge w:val="continue"/>
            <w:noWrap w:val="0"/>
            <w:vAlign w:val="center"/>
          </w:tcPr>
          <w:p w14:paraId="303E42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c>
          <w:tcPr>
            <w:tcW w:w="1518" w:type="pct"/>
            <w:noWrap w:val="0"/>
            <w:vAlign w:val="center"/>
          </w:tcPr>
          <w:p w14:paraId="57F0DDF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紧急避难场所的设置</w:t>
            </w:r>
          </w:p>
        </w:tc>
        <w:tc>
          <w:tcPr>
            <w:tcW w:w="2867" w:type="pct"/>
            <w:noWrap w:val="0"/>
            <w:vAlign w:val="center"/>
          </w:tcPr>
          <w:p w14:paraId="6AB3A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企业应配备紧急救援站和有毒气体防护站。</w:t>
            </w:r>
          </w:p>
        </w:tc>
      </w:tr>
      <w:tr w14:paraId="115E5D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noWrap w:val="0"/>
            <w:vAlign w:val="center"/>
          </w:tcPr>
          <w:p w14:paraId="7BA996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中止后处</w:t>
            </w:r>
          </w:p>
          <w:p w14:paraId="25BB5A1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理措施</w:t>
            </w:r>
          </w:p>
        </w:tc>
        <w:tc>
          <w:tcPr>
            <w:tcW w:w="1518" w:type="pct"/>
            <w:noWrap w:val="0"/>
            <w:vAlign w:val="center"/>
          </w:tcPr>
          <w:p w14:paraId="157C669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疏散人群的返回</w:t>
            </w:r>
          </w:p>
        </w:tc>
        <w:tc>
          <w:tcPr>
            <w:tcW w:w="2867" w:type="pct"/>
            <w:noWrap w:val="0"/>
            <w:vAlign w:val="center"/>
          </w:tcPr>
          <w:p w14:paraId="2092622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根据对外环境大气等影响范围、时间、程度等确定。</w:t>
            </w:r>
          </w:p>
        </w:tc>
      </w:tr>
    </w:tbl>
    <w:p w14:paraId="198A2064">
      <w:pPr>
        <w:pStyle w:val="5"/>
        <w:pageBreakBefore w:val="0"/>
        <w:widowControl w:val="0"/>
        <w:kinsoku/>
        <w:wordWrap/>
        <w:overflowPunct/>
        <w:topLinePunct w:val="0"/>
        <w:autoSpaceDE/>
        <w:autoSpaceDN/>
        <w:bidi w:val="0"/>
        <w:adjustRightInd/>
        <w:snapToGrid/>
        <w:spacing w:beforeLines="0" w:afterLines="0" w:line="450" w:lineRule="atLeast"/>
        <w:ind w:firstLine="482"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.8.2.2水环境风险事故防范措施</w:t>
      </w:r>
    </w:p>
    <w:p w14:paraId="0F917DD3">
      <w:pPr>
        <w:pageBreakBefore w:val="0"/>
        <w:widowControl w:val="0"/>
        <w:kinsoku/>
        <w:wordWrap/>
        <w:overflowPunct/>
        <w:topLinePunct w:val="0"/>
        <w:autoSpaceDE/>
        <w:autoSpaceDN/>
        <w:bidi w:val="0"/>
        <w:adjustRightInd/>
        <w:snapToGrid/>
        <w:spacing w:line="450" w:lineRule="atLeast"/>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1、建立水环境风险防范措施体系</w:t>
      </w:r>
    </w:p>
    <w:p w14:paraId="413948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object>
          <v:shape id="_x0000_i1029" o:spt="75" type="#_x0000_t75" style="height:495.7pt;width:453.25pt;" o:ole="t" filled="f" o:preferrelative="t" stroked="f" coordsize="21600,21600">
            <v:path/>
            <v:fill on="f" focussize="0,0"/>
            <v:stroke on="f"/>
            <v:imagedata r:id="rId28" o:title=""/>
            <o:lock v:ext="edit" aspectratio="f"/>
            <w10:wrap type="none"/>
            <w10:anchorlock/>
          </v:shape>
          <o:OLEObject Type="Embed" ProgID="Visio.Drawing.11" ShapeID="_x0000_i1029" DrawAspect="Content" ObjectID="_1468075729" r:id="rId27">
            <o:LockedField>false</o:LockedField>
          </o:OLEObject>
        </w:object>
      </w:r>
      <w:r>
        <w:rPr>
          <w:rFonts w:hint="default" w:ascii="Times New Roman" w:hAnsi="Times New Roman" w:cs="Times New Roman"/>
          <w:b/>
          <w:bCs/>
          <w:color w:val="auto"/>
          <w:highlight w:val="none"/>
        </w:rPr>
        <w:t>图7.8-2  水环境风险防范措施体系框架图</w:t>
      </w:r>
    </w:p>
    <w:p w14:paraId="2600D0D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2、建立三级防控体系</w:t>
      </w:r>
    </w:p>
    <w:p w14:paraId="496A8A0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为进一步控制事故发生时污染区对环境的影响，本项目设立三级应急防控体系：</w:t>
      </w:r>
    </w:p>
    <w:p w14:paraId="46ECA489">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一级防控措施：</w:t>
      </w:r>
    </w:p>
    <w:p w14:paraId="104BBD47">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（1）在装置开工、停工、检修、生产过程中，以及可能发生含有可燃、有毒、对环境有污染液体漫流的装置单元区周围，新建不低于100mm的围堰和导流设施；</w:t>
      </w:r>
    </w:p>
    <w:p w14:paraId="0D28D079">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（2）应根据围堰内可能泄漏液体的特性设置集水沟槽、排水口。宜在集水沟槽、排水口下游设置水封井；</w:t>
      </w:r>
    </w:p>
    <w:p w14:paraId="3FC7BB0F">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围堰外设闸阀切换井，正常情况下雨排水系统阀门关闭，下雨初期和事故状态下打开与污水收集暗沟连接阀门，受污染水排入污水处理系统，清净雨水切入雨排系统，切换阀宜设在地面操作，切换时间按照《石油化工污水处理设计规范》（SH3095-2000）执行；</w:t>
      </w:r>
    </w:p>
    <w:p w14:paraId="63BBE58E">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（4）在围堰检修通道及交通入口的围堰应当设为梯形缓坡，便于车辆的通行；</w:t>
      </w:r>
    </w:p>
    <w:p w14:paraId="458505B3">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（5）在巡检通道经过的围堰处应设置指示标志和警示标识；</w:t>
      </w:r>
    </w:p>
    <w:p w14:paraId="0A70D9C9">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（6）在围堰内应设置混凝土地坪，并要求防渗达到10</w:t>
      </w:r>
      <w:r>
        <w:rPr>
          <w:rFonts w:hint="default" w:ascii="Times New Roman" w:hAnsi="Times New Roman" w:cs="Times New Roman"/>
          <w:color w:val="auto"/>
          <w:sz w:val="24"/>
          <w:szCs w:val="24"/>
          <w:highlight w:val="none"/>
          <w:vertAlign w:val="superscript"/>
        </w:rPr>
        <w:t>-7</w:t>
      </w:r>
      <w:r>
        <w:rPr>
          <w:rFonts w:hint="default" w:ascii="Times New Roman" w:hAnsi="Times New Roman" w:cs="Times New Roman"/>
          <w:color w:val="auto"/>
          <w:sz w:val="24"/>
          <w:szCs w:val="24"/>
          <w:highlight w:val="none"/>
        </w:rPr>
        <w:t>cm/s。</w:t>
      </w:r>
    </w:p>
    <w:p w14:paraId="2051C37B">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二级防控措施：</w:t>
      </w:r>
    </w:p>
    <w:p w14:paraId="46D707B0">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（1）当装置围堰、罐区围堤不能控制物料和消防废水时，关闭雨排水系统的阀门，将事故污染水排入二级事故缓冲设施。</w:t>
      </w:r>
    </w:p>
    <w:p w14:paraId="570622F6">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（2）本项目可依托的厂区现有事故水池总容积为</w:t>
      </w:r>
      <w:r>
        <w:rPr>
          <w:rFonts w:hint="eastAsia" w:cs="Times New Roman"/>
          <w:color w:val="auto"/>
          <w:sz w:val="24"/>
          <w:szCs w:val="24"/>
          <w:highlight w:val="none"/>
          <w:lang w:val="en-US" w:eastAsia="zh-CN"/>
        </w:rPr>
        <w:t>240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p>
    <w:p w14:paraId="4CCA4C56">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三级防控措施：</w:t>
      </w:r>
    </w:p>
    <w:p w14:paraId="6FCE942C">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该公司将对厂区污水及雨水总排口设置切断措施，防止事故情况下物料经雨水及污水管线进入地表水水体。</w:t>
      </w:r>
    </w:p>
    <w:p w14:paraId="6AF0B217">
      <w:pPr>
        <w:keepNext w:val="0"/>
        <w:keepLines w:val="0"/>
        <w:pageBreakBefore w:val="0"/>
        <w:widowControl w:val="0"/>
        <w:tabs>
          <w:tab w:val="left" w:pos="60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cs="Times New Roman"/>
          <w:color w:val="auto"/>
          <w:highlight w:val="none"/>
        </w:rPr>
      </w:pPr>
      <w:bookmarkStart w:id="14" w:name="OLE_LINK2"/>
      <w:bookmarkStart w:id="15" w:name="OLE_LINK1"/>
      <w:r>
        <w:rPr>
          <w:rFonts w:hint="default" w:ascii="Times New Roman" w:hAnsi="Times New Roman" w:cs="Times New Roman"/>
          <w:color w:val="auto"/>
          <w:sz w:val="24"/>
          <w:szCs w:val="24"/>
          <w:highlight w:val="none"/>
        </w:rPr>
        <w:t>本项目厂区事故废水导排系统及三级防护体系图见图</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.8-3。</w:t>
      </w:r>
    </w:p>
    <w:p w14:paraId="186FB907">
      <w:pPr>
        <w:spacing w:line="360" w:lineRule="auto"/>
        <w:ind w:firstLine="480"/>
        <w:jc w:val="center"/>
        <w:rPr>
          <w:rFonts w:hint="default" w:ascii="Times New Roman" w:hAnsi="Times New Roman" w:cs="Times New Roman"/>
          <w:b/>
          <w:bCs/>
          <w:color w:val="auto"/>
          <w:highlight w:val="none"/>
        </w:rPr>
      </w:pPr>
      <w:r>
        <w:rPr>
          <w:rFonts w:hint="default" w:ascii="Times New Roman" w:hAnsi="Times New Roman" w:cs="Times New Roman"/>
          <w:bCs/>
          <w:color w:val="auto"/>
          <w:highlight w:val="none"/>
        </w:rPr>
        <w:object>
          <v:shape id="_x0000_i1030" o:spt="75" type="#_x0000_t75" style="height:237.55pt;width:453.55pt;" o:ole="t" filled="f" o:preferrelative="t" stroked="f" coordsize="21600,21600">
            <v:path/>
            <v:fill on="f" focussize="0,0"/>
            <v:stroke on="f"/>
            <v:imagedata r:id="rId30" o:title=""/>
            <o:lock v:ext="edit" aspectratio="f"/>
            <w10:wrap type="none"/>
            <w10:anchorlock/>
          </v:shape>
          <o:OLEObject Type="Embed" ProgID="Visio.Drawing.11" ShapeID="_x0000_i1030" DrawAspect="Content" ObjectID="_1468075730" r:id="rId29">
            <o:LockedField>false</o:LockedField>
          </o:OLEObject>
        </w:object>
      </w:r>
      <w:r>
        <w:rPr>
          <w:rFonts w:hint="default" w:ascii="Times New Roman" w:hAnsi="Times New Roman" w:cs="Times New Roman"/>
          <w:b/>
          <w:bCs/>
          <w:color w:val="auto"/>
          <w:highlight w:val="none"/>
        </w:rPr>
        <w:t>图</w:t>
      </w:r>
      <w:r>
        <w:rPr>
          <w:rFonts w:hint="eastAsia" w:ascii="Times New Roman" w:hAnsi="Times New Roman" w:cs="Times New Roman"/>
          <w:b/>
          <w:bCs/>
          <w:color w:val="auto"/>
          <w:highlight w:val="none"/>
          <w:lang w:val="en-US" w:eastAsia="zh-CN"/>
        </w:rPr>
        <w:t>1</w:t>
      </w:r>
      <w:r>
        <w:rPr>
          <w:rFonts w:hint="default" w:ascii="Times New Roman" w:hAnsi="Times New Roman" w:cs="Times New Roman"/>
          <w:b/>
          <w:bCs/>
          <w:color w:val="auto"/>
          <w:highlight w:val="none"/>
        </w:rPr>
        <w:t>.8-3  项目三级防控体系</w:t>
      </w:r>
      <w:bookmarkEnd w:id="14"/>
      <w:bookmarkEnd w:id="15"/>
      <w:r>
        <w:rPr>
          <w:rFonts w:hint="default" w:ascii="Times New Roman" w:hAnsi="Times New Roman" w:cs="Times New Roman"/>
          <w:b/>
          <w:bCs/>
          <w:color w:val="auto"/>
          <w:highlight w:val="none"/>
        </w:rPr>
        <w:t>图</w:t>
      </w:r>
    </w:p>
    <w:p w14:paraId="74563ACB">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3、</w:t>
      </w:r>
      <w:r>
        <w:rPr>
          <w:rFonts w:hint="eastAsia" w:cs="Times New Roman"/>
          <w:bCs/>
          <w:color w:val="auto"/>
          <w:sz w:val="24"/>
          <w:szCs w:val="24"/>
          <w:highlight w:val="none"/>
          <w:lang w:val="en-US" w:eastAsia="zh-CN"/>
        </w:rPr>
        <w:t>罐区</w:t>
      </w:r>
      <w:r>
        <w:rPr>
          <w:rFonts w:hint="default" w:ascii="Times New Roman" w:hAnsi="Times New Roman" w:cs="Times New Roman"/>
          <w:bCs/>
          <w:color w:val="auto"/>
          <w:sz w:val="24"/>
          <w:szCs w:val="24"/>
          <w:highlight w:val="none"/>
        </w:rPr>
        <w:t>事故废水的确定</w:t>
      </w:r>
    </w:p>
    <w:p w14:paraId="5981DBE9">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事故废水量参考中国石化建标[2006]43号《关于印发&lt;水体污染防控紧急措施设计导则&gt;的通知》中计算公式确定。具体公式如下：</w:t>
      </w:r>
    </w:p>
    <w:p w14:paraId="65B99E79">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总</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1</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2</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3</w:t>
      </w: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vertAlign w:val="subscript"/>
        </w:rPr>
        <w:t>max</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4</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5</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1</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2</w:t>
      </w: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3</w:t>
      </w:r>
      <w:r>
        <w:rPr>
          <w:rFonts w:hint="default" w:ascii="Times New Roman" w:hAnsi="Times New Roman" w:cs="Times New Roman"/>
          <w:bCs/>
          <w:color w:val="auto"/>
          <w:sz w:val="24"/>
          <w:szCs w:val="24"/>
          <w:highlight w:val="none"/>
        </w:rPr>
        <w:t>）</w:t>
      </w:r>
      <w:r>
        <w:rPr>
          <w:rFonts w:hint="default" w:ascii="Times New Roman" w:hAnsi="Times New Roman" w:cs="Times New Roman"/>
          <w:bCs/>
          <w:color w:val="auto"/>
          <w:sz w:val="24"/>
          <w:szCs w:val="24"/>
          <w:highlight w:val="none"/>
          <w:vertAlign w:val="subscript"/>
        </w:rPr>
        <w:t>max</w:t>
      </w:r>
      <w:r>
        <w:rPr>
          <w:rFonts w:hint="default" w:ascii="Times New Roman" w:hAnsi="Times New Roman" w:cs="Times New Roman"/>
          <w:bCs/>
          <w:color w:val="auto"/>
          <w:sz w:val="24"/>
          <w:szCs w:val="24"/>
          <w:highlight w:val="none"/>
        </w:rPr>
        <w:t>为计算各装置最大量）；单位m</w:t>
      </w:r>
      <w:r>
        <w:rPr>
          <w:rFonts w:hint="default" w:ascii="Times New Roman" w:hAnsi="Times New Roman" w:cs="Times New Roman"/>
          <w:bCs/>
          <w:color w:val="auto"/>
          <w:sz w:val="24"/>
          <w:szCs w:val="24"/>
          <w:highlight w:val="none"/>
          <w:vertAlign w:val="superscript"/>
        </w:rPr>
        <w:t>3</w:t>
      </w:r>
      <w:r>
        <w:rPr>
          <w:rFonts w:hint="default" w:ascii="Times New Roman" w:hAnsi="Times New Roman" w:cs="Times New Roman"/>
          <w:bCs/>
          <w:color w:val="auto"/>
          <w:sz w:val="24"/>
          <w:szCs w:val="24"/>
          <w:highlight w:val="none"/>
        </w:rPr>
        <w:t>。</w:t>
      </w:r>
    </w:p>
    <w:p w14:paraId="77BB8197">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1</w:t>
      </w:r>
      <w:r>
        <w:rPr>
          <w:rFonts w:hint="default" w:ascii="Times New Roman" w:hAnsi="Times New Roman" w:cs="Times New Roman"/>
          <w:bCs/>
          <w:color w:val="auto"/>
          <w:sz w:val="24"/>
          <w:szCs w:val="24"/>
          <w:highlight w:val="none"/>
        </w:rPr>
        <w:t>：收集系统内发生事故时一个罐组或装置最大物料泄漏量，主要考虑</w:t>
      </w:r>
      <w:r>
        <w:rPr>
          <w:rFonts w:hint="eastAsia" w:cs="Times New Roman"/>
          <w:bCs/>
          <w:color w:val="auto"/>
          <w:sz w:val="24"/>
          <w:szCs w:val="24"/>
          <w:highlight w:val="none"/>
          <w:lang w:eastAsia="zh-CN"/>
        </w:rPr>
        <w:t>发烟硫酸</w:t>
      </w:r>
      <w:r>
        <w:rPr>
          <w:rFonts w:hint="eastAsia" w:ascii="Times New Roman" w:hAnsi="Times New Roman" w:cs="Times New Roman"/>
          <w:bCs/>
          <w:color w:val="auto"/>
          <w:sz w:val="24"/>
          <w:szCs w:val="24"/>
          <w:highlight w:val="none"/>
          <w:lang w:eastAsia="zh-CN"/>
        </w:rPr>
        <w:t>、硫酸</w:t>
      </w:r>
      <w:r>
        <w:rPr>
          <w:rFonts w:hint="default" w:ascii="Times New Roman" w:hAnsi="Times New Roman" w:cs="Times New Roman"/>
          <w:bCs/>
          <w:color w:val="auto"/>
          <w:sz w:val="24"/>
          <w:szCs w:val="24"/>
          <w:highlight w:val="none"/>
        </w:rPr>
        <w:t>储罐泄漏（</w:t>
      </w:r>
      <w:r>
        <w:rPr>
          <w:rFonts w:hint="eastAsia" w:cs="Times New Roman"/>
          <w:bCs/>
          <w:color w:val="auto"/>
          <w:sz w:val="24"/>
          <w:szCs w:val="24"/>
          <w:highlight w:val="none"/>
          <w:lang w:eastAsia="zh-CN"/>
        </w:rPr>
        <w:t>最大安全储存容积约为</w:t>
      </w:r>
      <w:r>
        <w:rPr>
          <w:rFonts w:hint="eastAsia" w:cs="Times New Roman"/>
          <w:bCs/>
          <w:color w:val="auto"/>
          <w:sz w:val="24"/>
          <w:szCs w:val="24"/>
          <w:highlight w:val="none"/>
          <w:lang w:val="en-US" w:eastAsia="zh-CN"/>
        </w:rPr>
        <w:t>1000</w:t>
      </w:r>
      <w:r>
        <w:rPr>
          <w:rFonts w:hint="default" w:ascii="Times New Roman" w:hAnsi="Times New Roman" w:cs="Times New Roman"/>
          <w:bCs/>
          <w:color w:val="auto"/>
          <w:sz w:val="24"/>
          <w:szCs w:val="24"/>
          <w:highlight w:val="none"/>
        </w:rPr>
        <w:t>m</w:t>
      </w:r>
      <w:r>
        <w:rPr>
          <w:rFonts w:hint="default" w:ascii="Times New Roman" w:hAnsi="Times New Roman" w:cs="Times New Roman"/>
          <w:bCs/>
          <w:color w:val="auto"/>
          <w:sz w:val="24"/>
          <w:szCs w:val="24"/>
          <w:highlight w:val="none"/>
          <w:vertAlign w:val="superscript"/>
        </w:rPr>
        <w:t>3</w:t>
      </w:r>
      <w:r>
        <w:rPr>
          <w:rFonts w:hint="default" w:ascii="Times New Roman" w:hAnsi="Times New Roman" w:cs="Times New Roman"/>
          <w:bCs/>
          <w:color w:val="auto"/>
          <w:sz w:val="24"/>
          <w:szCs w:val="24"/>
          <w:highlight w:val="none"/>
        </w:rPr>
        <w:t>）。</w:t>
      </w:r>
    </w:p>
    <w:p w14:paraId="068133E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2</w:t>
      </w:r>
      <w:r>
        <w:rPr>
          <w:rFonts w:hint="default" w:ascii="Times New Roman" w:hAnsi="Times New Roman" w:cs="Times New Roman"/>
          <w:bCs/>
          <w:color w:val="auto"/>
          <w:sz w:val="24"/>
          <w:szCs w:val="24"/>
          <w:highlight w:val="none"/>
        </w:rPr>
        <w:t>：发生事故的消防水量，</w:t>
      </w:r>
      <w:r>
        <w:rPr>
          <w:rFonts w:hint="default" w:ascii="Times New Roman" w:hAnsi="Times New Roman" w:cs="Times New Roman"/>
          <w:color w:val="auto"/>
          <w:sz w:val="24"/>
          <w:szCs w:val="24"/>
          <w:highlight w:val="none"/>
        </w:rPr>
        <w:t>发生事故的装置消防水量</w:t>
      </w:r>
      <w:r>
        <w:rPr>
          <w:rFonts w:hint="eastAsia"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根据《消防给水及消火栓系统技术规范》（GB50974-2014）提供数据，本项目室外消火栓</w:t>
      </w:r>
      <w:r>
        <w:rPr>
          <w:rFonts w:hint="default" w:ascii="Times New Roman" w:hAnsi="Times New Roman" w:cs="Times New Roman"/>
          <w:color w:val="auto"/>
          <w:sz w:val="24"/>
          <w:szCs w:val="24"/>
          <w:highlight w:val="none"/>
        </w:rPr>
        <w:t>消防</w:t>
      </w:r>
      <w:r>
        <w:rPr>
          <w:rFonts w:hint="eastAsia" w:ascii="Times New Roman" w:hAnsi="Times New Roman" w:eastAsia="宋体" w:cs="Times New Roman"/>
          <w:color w:val="auto"/>
          <w:sz w:val="24"/>
          <w:szCs w:val="24"/>
          <w:highlight w:val="none"/>
          <w:lang w:val="en-US" w:eastAsia="zh-CN"/>
        </w:rPr>
        <w:t>用</w:t>
      </w:r>
      <w:r>
        <w:rPr>
          <w:rFonts w:hint="default" w:ascii="Times New Roman" w:hAnsi="Times New Roman" w:cs="Times New Roman"/>
          <w:color w:val="auto"/>
          <w:sz w:val="24"/>
          <w:szCs w:val="24"/>
          <w:highlight w:val="none"/>
        </w:rPr>
        <w:t>水量按</w:t>
      </w:r>
      <w:r>
        <w:rPr>
          <w:rFonts w:hint="eastAsia"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L/s，扑救时间</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h 计，</w:t>
      </w:r>
      <w:r>
        <w:rPr>
          <w:rFonts w:hint="eastAsia" w:ascii="Times New Roman" w:hAnsi="Times New Roman" w:eastAsia="宋体" w:cs="Times New Roman"/>
          <w:color w:val="auto"/>
          <w:sz w:val="24"/>
          <w:szCs w:val="24"/>
          <w:highlight w:val="none"/>
          <w:lang w:val="en-US" w:eastAsia="zh-CN"/>
        </w:rPr>
        <w:t>则灭火时</w:t>
      </w:r>
      <w:r>
        <w:rPr>
          <w:rFonts w:hint="default" w:ascii="Times New Roman" w:hAnsi="Times New Roman" w:cs="Times New Roman"/>
          <w:color w:val="auto"/>
          <w:sz w:val="24"/>
          <w:szCs w:val="24"/>
          <w:highlight w:val="none"/>
        </w:rPr>
        <w:t>本工程消防废水产生量约</w:t>
      </w:r>
      <w:r>
        <w:rPr>
          <w:rFonts w:hint="eastAsia" w:cs="Times New Roman"/>
          <w:color w:val="auto"/>
          <w:sz w:val="24"/>
          <w:szCs w:val="24"/>
          <w:highlight w:val="none"/>
          <w:lang w:val="en-US" w:eastAsia="zh-CN"/>
        </w:rPr>
        <w:t>126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，即 V</w:t>
      </w:r>
      <w:r>
        <w:rPr>
          <w:rFonts w:hint="default" w:ascii="Times New Roman" w:hAnsi="Times New Roman" w:cs="Times New Roman"/>
          <w:color w:val="auto"/>
          <w:sz w:val="24"/>
          <w:szCs w:val="24"/>
          <w:highlight w:val="none"/>
          <w:vertAlign w:val="subscript"/>
        </w:rPr>
        <w:t>2</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126</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bCs/>
          <w:color w:val="auto"/>
          <w:sz w:val="24"/>
          <w:szCs w:val="24"/>
          <w:highlight w:val="none"/>
        </w:rPr>
        <w:t>。</w:t>
      </w:r>
    </w:p>
    <w:p w14:paraId="53934F69">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3</w:t>
      </w:r>
      <w:r>
        <w:rPr>
          <w:rFonts w:hint="default" w:ascii="Times New Roman" w:hAnsi="Times New Roman" w:cs="Times New Roman"/>
          <w:bCs/>
          <w:color w:val="auto"/>
          <w:sz w:val="24"/>
          <w:szCs w:val="24"/>
          <w:highlight w:val="none"/>
        </w:rPr>
        <w:t>：发生事故时物料转移至其他容器及单元量，V3=0。</w:t>
      </w:r>
    </w:p>
    <w:p w14:paraId="317B33C6">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4</w:t>
      </w:r>
      <w:r>
        <w:rPr>
          <w:rFonts w:hint="default" w:ascii="Times New Roman" w:hAnsi="Times New Roman" w:cs="Times New Roman"/>
          <w:bCs/>
          <w:color w:val="auto"/>
          <w:sz w:val="24"/>
          <w:szCs w:val="24"/>
          <w:highlight w:val="none"/>
        </w:rPr>
        <w:t>：发生事故时必须进入该系统的生产废水量V4=0。</w:t>
      </w:r>
    </w:p>
    <w:p w14:paraId="1126D7CE">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V</w:t>
      </w:r>
      <w:r>
        <w:rPr>
          <w:rFonts w:hint="default" w:ascii="Times New Roman" w:hAnsi="Times New Roman" w:cs="Times New Roman"/>
          <w:bCs/>
          <w:color w:val="auto"/>
          <w:sz w:val="24"/>
          <w:szCs w:val="24"/>
          <w:highlight w:val="none"/>
          <w:vertAlign w:val="subscript"/>
        </w:rPr>
        <w:t>5</w:t>
      </w:r>
      <w:r>
        <w:rPr>
          <w:rFonts w:hint="default" w:ascii="Times New Roman" w:hAnsi="Times New Roman" w:cs="Times New Roman"/>
          <w:bCs/>
          <w:color w:val="auto"/>
          <w:sz w:val="24"/>
          <w:szCs w:val="24"/>
          <w:highlight w:val="none"/>
        </w:rPr>
        <w:t>：发生事故时可能进入该系统的最大雨水量，V5=10qF；其中q—降雨强度，mm；按平均日降雨量考虑。</w:t>
      </w:r>
    </w:p>
    <w:p w14:paraId="59A1CDE8">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color w:val="auto"/>
          <w:sz w:val="24"/>
          <w:szCs w:val="24"/>
          <w:highlight w:val="none"/>
        </w:rPr>
        <w:drawing>
          <wp:inline distT="0" distB="0" distL="114300" distR="114300">
            <wp:extent cx="381000" cy="400050"/>
            <wp:effectExtent l="0" t="0" r="0" b="0"/>
            <wp:docPr id="13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6"/>
                    <pic:cNvPicPr>
                      <a:picLocks noChangeAspect="1"/>
                    </pic:cNvPicPr>
                  </pic:nvPicPr>
                  <pic:blipFill>
                    <a:blip r:embed="rId31">
                      <a:clrChange>
                        <a:clrFrom>
                          <a:srgbClr val="FFFFFF"/>
                        </a:clrFrom>
                        <a:clrTo>
                          <a:srgbClr val="FFFFFF">
                            <a:alpha val="0"/>
                          </a:srgbClr>
                        </a:clrTo>
                      </a:clrChange>
                    </a:blip>
                    <a:stretch>
                      <a:fillRect/>
                    </a:stretch>
                  </pic:blipFill>
                  <pic:spPr>
                    <a:xfrm>
                      <a:off x="0" y="0"/>
                      <a:ext cx="381000" cy="400050"/>
                    </a:xfrm>
                    <a:prstGeom prst="rect">
                      <a:avLst/>
                    </a:prstGeom>
                    <a:noFill/>
                    <a:ln>
                      <a:noFill/>
                    </a:ln>
                  </pic:spPr>
                </pic:pic>
              </a:graphicData>
            </a:graphic>
          </wp:inline>
        </w:drawing>
      </w:r>
    </w:p>
    <w:p w14:paraId="0F498706">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q</w:t>
      </w:r>
      <w:r>
        <w:rPr>
          <w:rFonts w:hint="default" w:ascii="Times New Roman" w:hAnsi="Times New Roman" w:cs="Times New Roman"/>
          <w:bCs/>
          <w:color w:val="auto"/>
          <w:sz w:val="24"/>
          <w:szCs w:val="24"/>
          <w:highlight w:val="none"/>
          <w:vertAlign w:val="subscript"/>
        </w:rPr>
        <w:t>a</w:t>
      </w:r>
      <w:r>
        <w:rPr>
          <w:rFonts w:hint="default" w:ascii="Times New Roman" w:hAnsi="Times New Roman" w:cs="Times New Roman"/>
          <w:bCs/>
          <w:color w:val="auto"/>
          <w:sz w:val="24"/>
          <w:szCs w:val="24"/>
          <w:highlight w:val="none"/>
        </w:rPr>
        <w:t>-年平均降雨量，mm。根据气象站气象要素统计，本环评取562.2mm。</w:t>
      </w:r>
    </w:p>
    <w:p w14:paraId="3BB97422">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n-年平均降雨日数。根据中国天气网站上的数据，本环评取65d。</w:t>
      </w:r>
    </w:p>
    <w:p w14:paraId="0BE425B4">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f-必须进入事故废水收集系统的雨水汇水面积，ha。本环评取</w:t>
      </w:r>
      <w:r>
        <w:rPr>
          <w:rFonts w:hint="eastAsia" w:cs="Times New Roman"/>
          <w:bCs/>
          <w:color w:val="auto"/>
          <w:sz w:val="24"/>
          <w:szCs w:val="24"/>
          <w:highlight w:val="none"/>
          <w:lang w:val="en-US" w:eastAsia="zh-CN"/>
        </w:rPr>
        <w:t>0.4</w:t>
      </w:r>
      <w:r>
        <w:rPr>
          <w:rFonts w:hint="default" w:ascii="Times New Roman" w:hAnsi="Times New Roman" w:cs="Times New Roman"/>
          <w:bCs/>
          <w:color w:val="auto"/>
          <w:sz w:val="24"/>
          <w:szCs w:val="24"/>
          <w:highlight w:val="none"/>
        </w:rPr>
        <w:t>ha。</w:t>
      </w:r>
    </w:p>
    <w:p w14:paraId="04DD1328">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因此V</w:t>
      </w:r>
      <w:r>
        <w:rPr>
          <w:rFonts w:hint="default" w:ascii="Times New Roman" w:hAnsi="Times New Roman" w:cs="Times New Roman"/>
          <w:bCs/>
          <w:color w:val="auto"/>
          <w:sz w:val="24"/>
          <w:szCs w:val="24"/>
          <w:highlight w:val="none"/>
          <w:vertAlign w:val="subscript"/>
        </w:rPr>
        <w:t>5</w:t>
      </w:r>
      <w:r>
        <w:rPr>
          <w:rFonts w:hint="default" w:ascii="Times New Roman" w:hAnsi="Times New Roman" w:cs="Times New Roman"/>
          <w:bCs/>
          <w:color w:val="auto"/>
          <w:sz w:val="24"/>
          <w:szCs w:val="24"/>
          <w:highlight w:val="none"/>
        </w:rPr>
        <w:t>=</w:t>
      </w:r>
      <w:r>
        <w:rPr>
          <w:rFonts w:hint="eastAsia" w:cs="Times New Roman"/>
          <w:bCs/>
          <w:color w:val="auto"/>
          <w:sz w:val="24"/>
          <w:szCs w:val="24"/>
          <w:highlight w:val="none"/>
          <w:lang w:val="en-US" w:eastAsia="zh-CN"/>
        </w:rPr>
        <w:t>35</w:t>
      </w:r>
      <w:r>
        <w:rPr>
          <w:rFonts w:hint="default" w:ascii="Times New Roman" w:hAnsi="Times New Roman" w:cs="Times New Roman"/>
          <w:bCs/>
          <w:color w:val="auto"/>
          <w:sz w:val="24"/>
          <w:szCs w:val="24"/>
          <w:highlight w:val="none"/>
        </w:rPr>
        <w:t>m</w:t>
      </w:r>
      <w:r>
        <w:rPr>
          <w:rFonts w:hint="default" w:ascii="Times New Roman" w:hAnsi="Times New Roman" w:cs="Times New Roman"/>
          <w:bCs/>
          <w:color w:val="auto"/>
          <w:sz w:val="24"/>
          <w:szCs w:val="24"/>
          <w:highlight w:val="none"/>
          <w:vertAlign w:val="superscript"/>
        </w:rPr>
        <w:t>3</w:t>
      </w:r>
      <w:r>
        <w:rPr>
          <w:rFonts w:hint="default" w:ascii="Times New Roman" w:hAnsi="Times New Roman" w:cs="Times New Roman"/>
          <w:bCs/>
          <w:color w:val="auto"/>
          <w:sz w:val="24"/>
          <w:szCs w:val="24"/>
          <w:highlight w:val="none"/>
        </w:rPr>
        <w:t>。</w:t>
      </w:r>
    </w:p>
    <w:p w14:paraId="1E2AF60A">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经计算，</w:t>
      </w:r>
      <w:r>
        <w:rPr>
          <w:rFonts w:hint="eastAsia"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罐区</w:t>
      </w:r>
      <w:r>
        <w:rPr>
          <w:rFonts w:hint="eastAsia" w:cs="Times New Roman"/>
          <w:bCs/>
          <w:color w:val="auto"/>
          <w:sz w:val="24"/>
          <w:szCs w:val="24"/>
          <w:highlight w:val="none"/>
          <w:lang w:eastAsia="zh-CN"/>
        </w:rPr>
        <w:t>及</w:t>
      </w:r>
      <w:r>
        <w:rPr>
          <w:rFonts w:hint="eastAsia" w:cs="Times New Roman"/>
          <w:bCs/>
          <w:color w:val="auto"/>
          <w:sz w:val="24"/>
          <w:szCs w:val="24"/>
          <w:highlight w:val="none"/>
          <w:lang w:val="en-US" w:eastAsia="zh-CN"/>
        </w:rPr>
        <w:t>2#罐区</w:t>
      </w:r>
      <w:r>
        <w:rPr>
          <w:rFonts w:hint="default" w:ascii="Times New Roman" w:hAnsi="Times New Roman" w:cs="Times New Roman"/>
          <w:bCs/>
          <w:color w:val="auto"/>
          <w:sz w:val="24"/>
          <w:szCs w:val="24"/>
          <w:highlight w:val="none"/>
        </w:rPr>
        <w:t>最大事故水量为V</w:t>
      </w:r>
      <w:r>
        <w:rPr>
          <w:rFonts w:hint="default" w:ascii="Times New Roman" w:hAnsi="Times New Roman" w:cs="Times New Roman"/>
          <w:bCs/>
          <w:color w:val="auto"/>
          <w:sz w:val="24"/>
          <w:szCs w:val="24"/>
          <w:highlight w:val="none"/>
          <w:vertAlign w:val="subscript"/>
        </w:rPr>
        <w:t>总</w:t>
      </w:r>
      <w:r>
        <w:rPr>
          <w:rFonts w:hint="default" w:ascii="Times New Roman" w:hAnsi="Times New Roman" w:cs="Times New Roman"/>
          <w:bCs/>
          <w:color w:val="auto"/>
          <w:sz w:val="24"/>
          <w:szCs w:val="24"/>
          <w:highlight w:val="none"/>
        </w:rPr>
        <w:t>=</w:t>
      </w:r>
      <w:r>
        <w:rPr>
          <w:rFonts w:hint="eastAsia" w:cs="Times New Roman"/>
          <w:bCs/>
          <w:color w:val="auto"/>
          <w:sz w:val="24"/>
          <w:szCs w:val="24"/>
          <w:highlight w:val="none"/>
          <w:lang w:val="en-US" w:eastAsia="zh-CN"/>
        </w:rPr>
        <w:t>1161</w:t>
      </w:r>
      <w:r>
        <w:rPr>
          <w:rFonts w:hint="default" w:ascii="Times New Roman" w:hAnsi="Times New Roman" w:cs="Times New Roman"/>
          <w:bCs/>
          <w:color w:val="auto"/>
          <w:sz w:val="24"/>
          <w:szCs w:val="24"/>
          <w:highlight w:val="none"/>
        </w:rPr>
        <w:t>m</w:t>
      </w:r>
      <w:r>
        <w:rPr>
          <w:rFonts w:hint="default" w:ascii="Times New Roman" w:hAnsi="Times New Roman" w:cs="Times New Roman"/>
          <w:bCs/>
          <w:color w:val="auto"/>
          <w:sz w:val="24"/>
          <w:szCs w:val="24"/>
          <w:highlight w:val="none"/>
          <w:vertAlign w:val="superscript"/>
        </w:rPr>
        <w:t>3</w:t>
      </w:r>
      <w:r>
        <w:rPr>
          <w:rFonts w:hint="default" w:ascii="Times New Roman" w:hAnsi="Times New Roman" w:cs="Times New Roman"/>
          <w:bCs/>
          <w:color w:val="auto"/>
          <w:sz w:val="24"/>
          <w:szCs w:val="24"/>
          <w:highlight w:val="none"/>
        </w:rPr>
        <w:t>。</w:t>
      </w:r>
    </w:p>
    <w:p w14:paraId="3EF6C9C4">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罐区围堰有效容积为</w:t>
      </w:r>
      <w:r>
        <w:rPr>
          <w:rFonts w:hint="eastAsia" w:cs="Times New Roman"/>
          <w:color w:val="auto"/>
          <w:sz w:val="24"/>
          <w:szCs w:val="24"/>
          <w:highlight w:val="none"/>
          <w:lang w:val="en-US" w:eastAsia="zh-CN"/>
        </w:rPr>
        <w:t>1550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罐区围堰有效容积为</w:t>
      </w:r>
      <w:r>
        <w:rPr>
          <w:rFonts w:hint="eastAsia" w:cs="Times New Roman"/>
          <w:color w:val="auto"/>
          <w:sz w:val="24"/>
          <w:szCs w:val="24"/>
          <w:highlight w:val="none"/>
          <w:lang w:val="en-US" w:eastAsia="zh-CN"/>
        </w:rPr>
        <w:t>1800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能够</w:t>
      </w:r>
      <w:r>
        <w:rPr>
          <w:rFonts w:hint="default" w:ascii="Times New Roman" w:hAnsi="Times New Roman" w:cs="Times New Roman"/>
          <w:color w:val="auto"/>
          <w:sz w:val="24"/>
          <w:szCs w:val="24"/>
          <w:highlight w:val="none"/>
        </w:rPr>
        <w:t>满足事故废水收集要求。</w:t>
      </w:r>
    </w:p>
    <w:p w14:paraId="4B27EB87">
      <w:pPr>
        <w:pageBreakBefore w:val="0"/>
        <w:widowControl w:val="0"/>
        <w:kinsoku/>
        <w:wordWrap/>
        <w:overflowPunct/>
        <w:topLinePunct w:val="0"/>
        <w:bidi w:val="0"/>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项目厂区</w:t>
      </w:r>
      <w:r>
        <w:rPr>
          <w:rFonts w:hint="eastAsia" w:cs="Times New Roman"/>
          <w:color w:val="auto"/>
          <w:sz w:val="24"/>
          <w:szCs w:val="24"/>
          <w:highlight w:val="none"/>
          <w:lang w:val="en-US" w:eastAsia="zh-CN"/>
        </w:rPr>
        <w:t>现有</w:t>
      </w:r>
      <w:r>
        <w:rPr>
          <w:rFonts w:hint="default" w:ascii="Times New Roman" w:hAnsi="Times New Roman" w:cs="Times New Roman"/>
          <w:color w:val="auto"/>
          <w:sz w:val="24"/>
          <w:szCs w:val="24"/>
          <w:highlight w:val="none"/>
        </w:rPr>
        <w:t>事故水池</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座</w:t>
      </w:r>
      <w:r>
        <w:rPr>
          <w:rFonts w:hint="default" w:ascii="Times New Roman" w:hAnsi="Times New Roman" w:cs="Times New Roman"/>
          <w:color w:val="auto"/>
          <w:sz w:val="24"/>
          <w:szCs w:val="24"/>
          <w:highlight w:val="none"/>
          <w:lang w:eastAsia="zh-CN"/>
        </w:rPr>
        <w:t>，总</w:t>
      </w:r>
      <w:r>
        <w:rPr>
          <w:rFonts w:hint="default" w:ascii="Times New Roman" w:hAnsi="Times New Roman" w:cs="Times New Roman"/>
          <w:color w:val="auto"/>
          <w:sz w:val="24"/>
          <w:szCs w:val="24"/>
          <w:highlight w:val="none"/>
        </w:rPr>
        <w:t>有效容积</w:t>
      </w:r>
      <w:r>
        <w:rPr>
          <w:rFonts w:hint="eastAsia" w:cs="Times New Roman"/>
          <w:color w:val="auto"/>
          <w:sz w:val="24"/>
          <w:szCs w:val="24"/>
          <w:highlight w:val="none"/>
          <w:lang w:val="en-US" w:eastAsia="zh-CN"/>
        </w:rPr>
        <w:t>240</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与围堰</w:t>
      </w:r>
      <w:r>
        <w:rPr>
          <w:rFonts w:hint="default" w:ascii="Times New Roman" w:hAnsi="Times New Roman" w:cs="Times New Roman"/>
          <w:color w:val="auto"/>
          <w:sz w:val="24"/>
          <w:szCs w:val="24"/>
          <w:highlight w:val="none"/>
        </w:rPr>
        <w:t>满足事故废水收集要求。事故水排入事故水池暂存，确保事故废水不出厂</w:t>
      </w:r>
      <w:r>
        <w:rPr>
          <w:rFonts w:hint="eastAsia" w:ascii="Times New Roman" w:hAnsi="Times New Roman" w:cs="Times New Roman"/>
          <w:color w:val="auto"/>
          <w:sz w:val="24"/>
          <w:szCs w:val="24"/>
          <w:highlight w:val="none"/>
          <w:lang w:val="en-US" w:eastAsia="zh-CN"/>
        </w:rPr>
        <w:t>。</w:t>
      </w:r>
    </w:p>
    <w:p w14:paraId="434CF675">
      <w:pPr>
        <w:pStyle w:val="5"/>
        <w:pageBreakBefore w:val="0"/>
        <w:widowControl w:val="0"/>
        <w:kinsoku/>
        <w:wordWrap/>
        <w:overflowPunct/>
        <w:topLinePunct w:val="0"/>
        <w:bidi w:val="0"/>
        <w:snapToGrid/>
        <w:spacing w:beforeLines="0" w:afterLines="0" w:line="360" w:lineRule="auto"/>
        <w:textAlignment w:val="auto"/>
        <w:rPr>
          <w:rFonts w:hint="default" w:ascii="Times New Roman" w:hAnsi="Times New Roman" w:cs="Times New Roman"/>
          <w:color w:val="auto"/>
          <w:highlight w:val="none"/>
        </w:rPr>
      </w:pPr>
      <w:r>
        <w:rPr>
          <w:color w:val="auto"/>
          <w:sz w:val="21"/>
        </w:rPr>
        <mc:AlternateContent>
          <mc:Choice Requires="wps">
            <w:drawing>
              <wp:anchor distT="0" distB="0" distL="114300" distR="114300" simplePos="0" relativeHeight="251663360" behindDoc="0" locked="0" layoutInCell="1" allowOverlap="1">
                <wp:simplePos x="0" y="0"/>
                <wp:positionH relativeFrom="column">
                  <wp:posOffset>2844800</wp:posOffset>
                </wp:positionH>
                <wp:positionV relativeFrom="paragraph">
                  <wp:posOffset>1591310</wp:posOffset>
                </wp:positionV>
                <wp:extent cx="0" cy="63500"/>
                <wp:effectExtent l="6350" t="0" r="8890" b="12700"/>
                <wp:wrapNone/>
                <wp:docPr id="123" name="直接连接符 123"/>
                <wp:cNvGraphicFramePr/>
                <a:graphic xmlns:a="http://schemas.openxmlformats.org/drawingml/2006/main">
                  <a:graphicData uri="http://schemas.microsoft.com/office/word/2010/wordprocessingShape">
                    <wps:wsp>
                      <wps:cNvCnPr/>
                      <wps:spPr>
                        <a:xfrm>
                          <a:off x="3987800" y="5777230"/>
                          <a:ext cx="0" cy="63500"/>
                        </a:xfrm>
                        <a:prstGeom prst="line">
                          <a:avLst/>
                        </a:prstGeom>
                        <a:noFill/>
                        <a:ln w="12700" cap="flat" cmpd="sng" algn="ctr">
                          <a:solidFill>
                            <a:srgbClr val="7030A0"/>
                          </a:solidFill>
                          <a:prstDash val="solid"/>
                        </a:ln>
                        <a:effectLst/>
                      </wps:spPr>
                      <wps:bodyPr/>
                    </wps:wsp>
                  </a:graphicData>
                </a:graphic>
              </wp:anchor>
            </w:drawing>
          </mc:Choice>
          <mc:Fallback>
            <w:pict>
              <v:line id="_x0000_s1026" o:spid="_x0000_s1026" o:spt="20" style="position:absolute;left:0pt;margin-left:224pt;margin-top:125.3pt;height:5pt;width:0pt;z-index:251663360;mso-width-relative:page;mso-height-relative:page;" filled="f" stroked="t" coordsize="21600,21600" o:gfxdata="UEsDBAoAAAAAAIdO4kAAAAAAAAAAAAAAAAAEAAAAZHJzL1BLAwQUAAAACACHTuJAKG8k1NcAAAAL&#10;AQAADwAAAGRycy9kb3ducmV2LnhtbE2PwU7DMBBE70j8g7VI3KjdKomqEKeHoh4qLlCKxNGJlyRq&#10;vLZipy1/zyIOcNzZ0cybanN1ozjjFAdPGpYLBQKp9XagTsPxbfewBhGTIWtGT6jhCyNs6tubypTW&#10;X+gVz4fUCQ6hWBoNfUqhlDK2PToTFz4g8e/TT84kPqdO2slcONyNcqVUIZ0ZiBt6E3DbY3s6zE5D&#10;vt81T52i932esvm5eAlz/Aha398t1SOIhNf0Z4YffEaHmpkaP5ONYtSQZWvekjSsclWAYMev0rBS&#10;sCLrSv7fUH8DUEsDBBQAAAAIAIdO4kBE3YMr7AEAALcDAAAOAAAAZHJzL2Uyb0RvYy54bWytU0tu&#10;2zAQ3RfoHQjuayk2EjmC5aCIkW6K1kDbA4wpSiLAHziMZV+iFyjQXbvqsvveJukxOpSUT9NNFt1Q&#10;M5zh47zHp9XFwWi2lwGVsxU/meWcSStcrWxb8U8fr14tOcMItgbtrKz4USK/WL98sep9Keeuc7qW&#10;gRGIxbL3Fe9i9GWWoeikAZw5Ly0VGxcMREpDm9UBekI3Opvn+VnWu1D74IREpN3NWOQTYngOoGsa&#10;JeTGiWsjbRxRg9QQiRJ2yiNfD9M2jRTxfdOgjExXnJjGYaVLKN6lNVuvoGwD+E6JaQR4zghPOBlQ&#10;li69h9pABHYd1D9QRong0DVxJpzJRiKDIsTiJH+izYcOvBy4kNTo70XH/wcr3u23gamanDBfcGbB&#10;0JPffvl58/nb719fab398Z2lEgnVeyyp/9Juw5Sh34bE+tAEk77Ehx0qvjhfFsucJD5W/LQoivli&#10;EloeIhPUQCVBtbPFKXURVvYA4QPGN9IZloKKa2WTAlDC/i3GsfWuJW1bd6W0pn0otWV9olGkmwWQ&#10;NRuyBIXGEz20LWegW/K8iGGARKdVnY6n0xja3aUObA/klCJf5K/vJvurLd29AezGvqE0EdA2wcjB&#10;c9OoSbBRohTtXH0clMtSRu858J68lwzzOKf48f+2/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byTU1wAAAAsBAAAPAAAAAAAAAAEAIAAAACIAAABkcnMvZG93bnJldi54bWxQSwECFAAUAAAACACH&#10;TuJARN2DK+wBAAC3AwAADgAAAAAAAAABACAAAAAmAQAAZHJzL2Uyb0RvYy54bWxQSwUGAAAAAAYA&#10;BgBZAQAAhAUAAAAA&#10;">
                <v:fill on="f" focussize="0,0"/>
                <v:stroke weight="1pt" color="#7030A0" joinstyle="round"/>
                <v:imagedata o:title=""/>
                <o:lock v:ext="edit" aspectratio="f"/>
              </v:line>
            </w:pict>
          </mc:Fallback>
        </mc:AlternateConten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.8.2.3 其他风险防范措施</w:t>
      </w:r>
    </w:p>
    <w:p w14:paraId="28B5E879">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w:t>
      </w:r>
      <w:r>
        <w:rPr>
          <w:rFonts w:hint="default" w:ascii="Times New Roman" w:hAnsi="Times New Roman" w:eastAsia="黑体" w:cs="Times New Roman"/>
          <w:b/>
          <w:bCs/>
          <w:color w:val="auto"/>
          <w:sz w:val="21"/>
          <w:szCs w:val="21"/>
          <w:highlight w:val="none"/>
        </w:rPr>
        <w:t xml:space="preserve">.8-1  </w:t>
      </w:r>
      <w:r>
        <w:rPr>
          <w:rFonts w:hint="eastAsia" w:eastAsia="黑体" w:cs="Times New Roman"/>
          <w:b/>
          <w:bCs/>
          <w:color w:val="auto"/>
          <w:sz w:val="21"/>
          <w:szCs w:val="21"/>
          <w:highlight w:val="none"/>
          <w:lang w:eastAsia="zh-CN"/>
        </w:rPr>
        <w:t>其他风险</w:t>
      </w:r>
      <w:r>
        <w:rPr>
          <w:rFonts w:hint="default" w:ascii="Times New Roman" w:hAnsi="Times New Roman" w:eastAsia="黑体" w:cs="Times New Roman"/>
          <w:b/>
          <w:bCs/>
          <w:color w:val="auto"/>
          <w:sz w:val="21"/>
          <w:szCs w:val="21"/>
          <w:highlight w:val="none"/>
        </w:rPr>
        <w:t>防范措施</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02"/>
        <w:gridCol w:w="6319"/>
      </w:tblGrid>
      <w:tr w14:paraId="20F04D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92" w:type="pct"/>
            <w:noWrap w:val="0"/>
            <w:vAlign w:val="center"/>
          </w:tcPr>
          <w:p w14:paraId="7D4C43D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w:t>
            </w:r>
          </w:p>
        </w:tc>
        <w:tc>
          <w:tcPr>
            <w:tcW w:w="3707" w:type="pct"/>
            <w:noWrap w:val="0"/>
            <w:vAlign w:val="center"/>
          </w:tcPr>
          <w:p w14:paraId="513E2AD9">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防范措施</w:t>
            </w:r>
          </w:p>
        </w:tc>
      </w:tr>
      <w:tr w14:paraId="06DA91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92" w:type="pct"/>
            <w:noWrap w:val="0"/>
            <w:vAlign w:val="center"/>
          </w:tcPr>
          <w:p w14:paraId="177E1AEB">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总图布置</w:t>
            </w:r>
          </w:p>
        </w:tc>
        <w:tc>
          <w:tcPr>
            <w:tcW w:w="3707" w:type="pct"/>
            <w:noWrap w:val="0"/>
            <w:vAlign w:val="center"/>
          </w:tcPr>
          <w:p w14:paraId="73E2E86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项目由有资质单位设计，厂内厂外卫生防护距离、安全防护距离和防火间距应满足相应要求。</w:t>
            </w:r>
          </w:p>
        </w:tc>
      </w:tr>
      <w:tr w14:paraId="7D00F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92" w:type="pct"/>
            <w:vMerge w:val="restart"/>
            <w:noWrap w:val="0"/>
            <w:vAlign w:val="center"/>
          </w:tcPr>
          <w:p w14:paraId="13ACFA6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建筑安全</w:t>
            </w:r>
          </w:p>
        </w:tc>
        <w:tc>
          <w:tcPr>
            <w:tcW w:w="3707" w:type="pct"/>
            <w:noWrap w:val="0"/>
            <w:vAlign w:val="center"/>
          </w:tcPr>
          <w:p w14:paraId="660BD2D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罐区地坪混凝土垫层下设350厚砂夹石防冻胀层。</w:t>
            </w:r>
          </w:p>
        </w:tc>
      </w:tr>
      <w:tr w14:paraId="02CD0A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92" w:type="pct"/>
            <w:vMerge w:val="continue"/>
            <w:noWrap w:val="0"/>
            <w:vAlign w:val="center"/>
          </w:tcPr>
          <w:p w14:paraId="45A1B1C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p>
        </w:tc>
        <w:tc>
          <w:tcPr>
            <w:tcW w:w="3707" w:type="pct"/>
            <w:noWrap w:val="0"/>
            <w:vAlign w:val="center"/>
          </w:tcPr>
          <w:p w14:paraId="4760171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所有建筑物均按《建筑设计防火规范》设置足够的安全疏散通道并满足</w:t>
            </w:r>
            <w:r>
              <w:rPr>
                <w:rFonts w:hint="eastAsia" w:cs="Times New Roman"/>
                <w:color w:val="auto"/>
                <w:sz w:val="21"/>
                <w:szCs w:val="21"/>
                <w:highlight w:val="none"/>
                <w:lang w:eastAsia="zh-CN"/>
              </w:rPr>
              <w:t>其他</w:t>
            </w:r>
            <w:r>
              <w:rPr>
                <w:rFonts w:hint="default" w:ascii="Times New Roman" w:hAnsi="Times New Roman" w:cs="Times New Roman"/>
                <w:color w:val="auto"/>
                <w:sz w:val="21"/>
                <w:szCs w:val="21"/>
                <w:highlight w:val="none"/>
              </w:rPr>
              <w:t>防火疏散要求遵照《工业建筑防腐蚀设计规范》，防腐蚀材料的选择应根据腐蚀介质的性质和作用条件，</w:t>
            </w:r>
            <w:r>
              <w:rPr>
                <w:rFonts w:hint="eastAsia" w:cs="Times New Roman"/>
                <w:color w:val="auto"/>
                <w:sz w:val="21"/>
                <w:szCs w:val="21"/>
                <w:highlight w:val="none"/>
                <w:lang w:eastAsia="zh-CN"/>
              </w:rPr>
              <w:t>复合材料</w:t>
            </w:r>
            <w:r>
              <w:rPr>
                <w:rFonts w:hint="default" w:ascii="Times New Roman" w:hAnsi="Times New Roman" w:cs="Times New Roman"/>
                <w:color w:val="auto"/>
                <w:sz w:val="21"/>
                <w:szCs w:val="21"/>
                <w:highlight w:val="none"/>
              </w:rPr>
              <w:t>的耐腐蚀性能和物理力学性能、使用位置的重要性等。</w:t>
            </w:r>
          </w:p>
        </w:tc>
      </w:tr>
      <w:tr w14:paraId="1FDE89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92" w:type="pct"/>
            <w:vMerge w:val="restart"/>
            <w:noWrap w:val="0"/>
            <w:vAlign w:val="center"/>
          </w:tcPr>
          <w:p w14:paraId="1D9FDD6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危险化学品储运安全</w:t>
            </w:r>
          </w:p>
        </w:tc>
        <w:tc>
          <w:tcPr>
            <w:tcW w:w="3707" w:type="pct"/>
            <w:noWrap w:val="0"/>
            <w:vAlign w:val="center"/>
          </w:tcPr>
          <w:p w14:paraId="4F44089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危险化学品贮存系统：本项目的设计从原料的输入、加工直至产品的输出，所有可燃物料始终密闭在各类设备和管道中，各个连接处采用可靠的密封措施。设置安全联锁系统。在各危险区域设置可燃气体和有毒气体浓度报警器，进行监测和报警。</w:t>
            </w:r>
          </w:p>
        </w:tc>
      </w:tr>
      <w:tr w14:paraId="7639E4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92" w:type="pct"/>
            <w:vMerge w:val="continue"/>
            <w:noWrap w:val="0"/>
            <w:vAlign w:val="center"/>
          </w:tcPr>
          <w:p w14:paraId="5F1D7A7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p>
        </w:tc>
        <w:tc>
          <w:tcPr>
            <w:tcW w:w="3707" w:type="pct"/>
            <w:noWrap w:val="0"/>
            <w:vAlign w:val="center"/>
          </w:tcPr>
          <w:p w14:paraId="3D04F75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危险化学品运输防范措施：本项目增加了危险化学品的运输量，各危险化学品运出及运入多为汽车输送，汽运管理应严格按照国家有关危险化学品运输的规定进行管理，对承运单位资质、运输人员资质、货物装载、运输路线等严格把关，减少风险发生的因素</w:t>
            </w:r>
          </w:p>
        </w:tc>
      </w:tr>
      <w:tr w14:paraId="3D7F04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92" w:type="pct"/>
            <w:noWrap w:val="0"/>
            <w:vAlign w:val="center"/>
          </w:tcPr>
          <w:p w14:paraId="495112C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有毒物质防护和紧急救援措施</w:t>
            </w:r>
          </w:p>
        </w:tc>
        <w:tc>
          <w:tcPr>
            <w:tcW w:w="3707" w:type="pct"/>
            <w:noWrap w:val="0"/>
            <w:vAlign w:val="center"/>
          </w:tcPr>
          <w:p w14:paraId="5AE46E4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在所有人身可能接触到有害物质而引起烧伤、刺激或伤害皮肤的区域内，均设紧急淋浴器和洗眼器；除防护眼镜、手套、洗眼淋浴器等一般防护外，还应设有专用的防毒面具；对关键操作强制使用人员配备防护设备，例如空气呼吸面具、全身防护服、手套和防护镜等。</w:t>
            </w:r>
          </w:p>
        </w:tc>
      </w:tr>
    </w:tbl>
    <w:p w14:paraId="760D4894">
      <w:pPr>
        <w:pStyle w:val="5"/>
        <w:pageBreakBefore w:val="0"/>
        <w:widowControl w:val="0"/>
        <w:kinsoku/>
        <w:wordWrap/>
        <w:overflowPunct/>
        <w:topLinePunct w:val="0"/>
        <w:autoSpaceDE/>
        <w:autoSpaceDN/>
        <w:bidi w:val="0"/>
        <w:adjustRightInd/>
        <w:snapToGrid/>
        <w:spacing w:beforeLines="0" w:afterLines="0" w:line="450" w:lineRule="atLeast"/>
        <w:ind w:firstLine="482"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.8.2.4 本项目风险防范措施一览表</w:t>
      </w:r>
    </w:p>
    <w:p w14:paraId="4622A255">
      <w:pPr>
        <w:pageBreakBefore w:val="0"/>
        <w:widowControl w:val="0"/>
        <w:kinsoku/>
        <w:wordWrap/>
        <w:overflowPunct/>
        <w:topLinePunct w:val="0"/>
        <w:autoSpaceDE/>
        <w:autoSpaceDN/>
        <w:bidi w:val="0"/>
        <w:adjustRightInd/>
        <w:snapToGrid/>
        <w:spacing w:line="450" w:lineRule="atLeas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本项目应采取的风险防范措施具体见表</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.8-2。</w:t>
      </w:r>
    </w:p>
    <w:p w14:paraId="70D41B10">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w:t>
      </w:r>
      <w:r>
        <w:rPr>
          <w:rFonts w:hint="default" w:ascii="Times New Roman" w:hAnsi="Times New Roman" w:eastAsia="黑体" w:cs="Times New Roman"/>
          <w:b/>
          <w:bCs/>
          <w:color w:val="auto"/>
          <w:sz w:val="21"/>
          <w:szCs w:val="21"/>
          <w:highlight w:val="none"/>
        </w:rPr>
        <w:t>.8-2 本项目应采取的风险防范措施一览表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686"/>
        <w:gridCol w:w="5994"/>
      </w:tblGrid>
      <w:tr w14:paraId="0AE990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7" w:type="dxa"/>
            <w:noWrap w:val="0"/>
            <w:vAlign w:val="center"/>
          </w:tcPr>
          <w:p w14:paraId="0A928D8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825" w:type="dxa"/>
            <w:noWrap w:val="0"/>
            <w:vAlign w:val="center"/>
          </w:tcPr>
          <w:p w14:paraId="4C607F70">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风险环节</w:t>
            </w:r>
          </w:p>
        </w:tc>
        <w:tc>
          <w:tcPr>
            <w:tcW w:w="6574" w:type="dxa"/>
            <w:noWrap w:val="0"/>
            <w:vAlign w:val="center"/>
          </w:tcPr>
          <w:p w14:paraId="592BA9B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采取措施</w:t>
            </w:r>
          </w:p>
        </w:tc>
      </w:tr>
      <w:tr w14:paraId="7A7E6B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center"/>
          </w:tcPr>
          <w:p w14:paraId="62962E5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825" w:type="dxa"/>
            <w:noWrap w:val="0"/>
            <w:vAlign w:val="center"/>
          </w:tcPr>
          <w:p w14:paraId="335135A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大气环境风险</w:t>
            </w:r>
          </w:p>
        </w:tc>
        <w:tc>
          <w:tcPr>
            <w:tcW w:w="6574" w:type="dxa"/>
            <w:noWrap w:val="0"/>
            <w:vAlign w:val="center"/>
          </w:tcPr>
          <w:p w14:paraId="77E83809">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1、装置区安装可燃气体探测器和有毒气体报警仪，出现可燃气体和CO等次生污染时报警；可燃、有毒气体报警信号引入厂区控制室，控制室中设置报警机柜集中显示报警。</w:t>
            </w:r>
          </w:p>
          <w:p w14:paraId="0734B73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2、生产设备须购置符合标准的设备，并定期检查；配备防静电、防爆设施；配备应急电源。</w:t>
            </w:r>
          </w:p>
        </w:tc>
      </w:tr>
      <w:tr w14:paraId="2B9BBE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center"/>
          </w:tcPr>
          <w:p w14:paraId="4C21898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1825" w:type="dxa"/>
            <w:noWrap w:val="0"/>
            <w:vAlign w:val="center"/>
          </w:tcPr>
          <w:p w14:paraId="4240B440">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eastAsia" w:cs="Times New Roman"/>
                <w:color w:val="auto"/>
                <w:sz w:val="21"/>
                <w:szCs w:val="21"/>
                <w:highlight w:val="none"/>
                <w:lang w:eastAsia="zh-CN"/>
              </w:rPr>
              <w:t>地表</w:t>
            </w:r>
            <w:r>
              <w:rPr>
                <w:rFonts w:hint="default" w:ascii="Times New Roman" w:hAnsi="Times New Roman" w:cs="Times New Roman"/>
                <w:color w:val="auto"/>
                <w:sz w:val="21"/>
                <w:szCs w:val="21"/>
                <w:highlight w:val="none"/>
              </w:rPr>
              <w:t>水环境风险</w:t>
            </w:r>
          </w:p>
        </w:tc>
        <w:tc>
          <w:tcPr>
            <w:tcW w:w="6574" w:type="dxa"/>
            <w:noWrap w:val="0"/>
            <w:vAlign w:val="center"/>
          </w:tcPr>
          <w:p w14:paraId="7D188559">
            <w:pPr>
              <w:pStyle w:val="20"/>
              <w:keepNext w:val="0"/>
              <w:keepLines w:val="0"/>
              <w:pageBreakBefore w:val="0"/>
              <w:widowControl w:val="0"/>
              <w:numPr>
                <w:ilvl w:val="0"/>
                <w:numId w:val="3"/>
              </w:numPr>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装置区</w:t>
            </w:r>
            <w:r>
              <w:rPr>
                <w:rFonts w:hint="eastAsia" w:cs="Times New Roman"/>
                <w:color w:val="auto"/>
                <w:sz w:val="21"/>
                <w:szCs w:val="21"/>
                <w:highlight w:val="none"/>
                <w:lang w:eastAsia="zh-CN"/>
              </w:rPr>
              <w:t>、罐区</w:t>
            </w:r>
            <w:r>
              <w:rPr>
                <w:rFonts w:hint="default" w:ascii="Times New Roman" w:hAnsi="Times New Roman" w:cs="Times New Roman"/>
                <w:color w:val="auto"/>
                <w:sz w:val="21"/>
                <w:szCs w:val="21"/>
                <w:highlight w:val="none"/>
              </w:rPr>
              <w:t>设置围堰和导流设施；全厂将健全三级防控体系，设有</w:t>
            </w:r>
            <w:r>
              <w:rPr>
                <w:rFonts w:hint="eastAsia" w:cs="Times New Roman"/>
                <w:color w:val="auto"/>
                <w:sz w:val="21"/>
                <w:szCs w:val="21"/>
                <w:highlight w:val="none"/>
                <w:lang w:val="en-US" w:eastAsia="zh-CN"/>
              </w:rPr>
              <w:t>240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事故水池，</w:t>
            </w:r>
            <w:r>
              <w:rPr>
                <w:rFonts w:hint="eastAsia" w:cs="Times New Roman"/>
                <w:color w:val="auto"/>
                <w:sz w:val="21"/>
                <w:szCs w:val="21"/>
                <w:highlight w:val="none"/>
                <w:lang w:eastAsia="zh-CN"/>
              </w:rPr>
              <w:t>厂内雨污水管网均设有应急截断阀门，事故状态下可迅速阻断厂内外的雨水污水传送，</w:t>
            </w:r>
            <w:r>
              <w:rPr>
                <w:rFonts w:hint="default" w:ascii="Times New Roman" w:hAnsi="Times New Roman" w:cs="Times New Roman"/>
                <w:color w:val="auto"/>
                <w:sz w:val="21"/>
                <w:szCs w:val="21"/>
                <w:highlight w:val="none"/>
              </w:rPr>
              <w:t>确保事故状态下事故废水不泄漏到外环境；</w:t>
            </w:r>
          </w:p>
          <w:p w14:paraId="76282CF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2、一旦出现环境风险事故，及时通知园区应急部门，启动相应的园区风险应急方案。</w:t>
            </w:r>
          </w:p>
        </w:tc>
      </w:tr>
      <w:tr w14:paraId="547576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center"/>
          </w:tcPr>
          <w:p w14:paraId="7D16AA2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w:t>
            </w:r>
          </w:p>
        </w:tc>
        <w:tc>
          <w:tcPr>
            <w:tcW w:w="1825" w:type="dxa"/>
            <w:noWrap w:val="0"/>
            <w:vAlign w:val="center"/>
          </w:tcPr>
          <w:p w14:paraId="5427862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地下水环境风险</w:t>
            </w:r>
          </w:p>
        </w:tc>
        <w:tc>
          <w:tcPr>
            <w:tcW w:w="6574" w:type="dxa"/>
            <w:noWrap w:val="0"/>
            <w:vAlign w:val="center"/>
          </w:tcPr>
          <w:p w14:paraId="3D9EF18B">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1、应首先采取源头控制的方式</w:t>
            </w:r>
            <w:r>
              <w:rPr>
                <w:rFonts w:hint="eastAsia" w:cs="Times New Roman"/>
                <w:color w:val="auto"/>
                <w:sz w:val="21"/>
                <w:szCs w:val="21"/>
                <w:highlight w:val="none"/>
                <w:lang w:eastAsia="zh-CN"/>
              </w:rPr>
              <w:t>避免</w:t>
            </w:r>
            <w:r>
              <w:rPr>
                <w:rFonts w:hint="default" w:ascii="Times New Roman" w:hAnsi="Times New Roman" w:cs="Times New Roman"/>
                <w:color w:val="auto"/>
                <w:sz w:val="21"/>
                <w:szCs w:val="21"/>
                <w:highlight w:val="none"/>
              </w:rPr>
              <w:t>物料泄漏、火灾爆炸等事故的发生；</w:t>
            </w:r>
          </w:p>
          <w:p w14:paraId="529C7E2B">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2、加强分区防渗措施的落实，在罐区和装置区内设置混凝土地坪，确保防渗达到重点防渗区要求；</w:t>
            </w:r>
          </w:p>
          <w:p w14:paraId="77073FE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3、设置地下水监控井，并加强地下水环境的监控、预警，一旦发现环境风险事故造成地下水污染应及时采取事故应急减缓和修复措施；</w:t>
            </w:r>
          </w:p>
        </w:tc>
      </w:tr>
      <w:tr w14:paraId="0479A1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center"/>
          </w:tcPr>
          <w:p w14:paraId="5E440F0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w:t>
            </w:r>
          </w:p>
        </w:tc>
        <w:tc>
          <w:tcPr>
            <w:tcW w:w="1825" w:type="dxa"/>
            <w:noWrap w:val="0"/>
            <w:vAlign w:val="center"/>
          </w:tcPr>
          <w:p w14:paraId="766013D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应急体系与监测</w:t>
            </w:r>
          </w:p>
        </w:tc>
        <w:tc>
          <w:tcPr>
            <w:tcW w:w="6574" w:type="dxa"/>
            <w:noWrap w:val="0"/>
            <w:vAlign w:val="center"/>
          </w:tcPr>
          <w:p w14:paraId="7FEF0E7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1、委托有资质的单位对项目</w:t>
            </w:r>
            <w:r>
              <w:rPr>
                <w:rFonts w:hint="eastAsia" w:cs="Times New Roman"/>
                <w:color w:val="auto"/>
                <w:sz w:val="21"/>
                <w:szCs w:val="21"/>
                <w:highlight w:val="none"/>
                <w:lang w:eastAsia="zh-CN"/>
              </w:rPr>
              <w:t>总体</w:t>
            </w:r>
            <w:r>
              <w:rPr>
                <w:rFonts w:hint="default" w:ascii="Times New Roman" w:hAnsi="Times New Roman" w:cs="Times New Roman"/>
                <w:color w:val="auto"/>
                <w:sz w:val="21"/>
                <w:szCs w:val="21"/>
                <w:highlight w:val="none"/>
              </w:rPr>
              <w:t>布置和装置的防火防爆设施等进行规范设计和施工，确保符合国家标准和安全生产要求；</w:t>
            </w:r>
          </w:p>
          <w:p w14:paraId="1D09D43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2、设置消防冷却水系统，并配置移动式干粉、泡沫灭火器等灭火设施；</w:t>
            </w:r>
          </w:p>
          <w:p w14:paraId="32EFDCF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3、配备齐全应急监测设备，确保发生环境风险事故时能够及时有效</w:t>
            </w:r>
            <w:r>
              <w:rPr>
                <w:rFonts w:hint="eastAsia" w:cs="Times New Roman"/>
                <w:color w:val="auto"/>
                <w:sz w:val="21"/>
                <w:szCs w:val="21"/>
                <w:highlight w:val="none"/>
                <w:lang w:eastAsia="zh-CN"/>
              </w:rPr>
              <w:t>地</w:t>
            </w:r>
            <w:r>
              <w:rPr>
                <w:rFonts w:hint="default" w:ascii="Times New Roman" w:hAnsi="Times New Roman" w:cs="Times New Roman"/>
                <w:color w:val="auto"/>
                <w:sz w:val="21"/>
                <w:szCs w:val="21"/>
                <w:highlight w:val="none"/>
              </w:rPr>
              <w:t>做好应急监测工作；实现事故预警和快速应急监测、跟踪；</w:t>
            </w:r>
          </w:p>
          <w:p w14:paraId="3AF1F4EB">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4、需配备应急物资、并落实应急救援处置人员职责，确保环境风险事故发生时能够有效</w:t>
            </w:r>
            <w:r>
              <w:rPr>
                <w:rFonts w:hint="eastAsia" w:cs="Times New Roman"/>
                <w:color w:val="auto"/>
                <w:sz w:val="21"/>
                <w:szCs w:val="21"/>
                <w:highlight w:val="none"/>
                <w:lang w:eastAsia="zh-CN"/>
              </w:rPr>
              <w:t>地</w:t>
            </w:r>
            <w:r>
              <w:rPr>
                <w:rFonts w:hint="default" w:ascii="Times New Roman" w:hAnsi="Times New Roman" w:cs="Times New Roman"/>
                <w:color w:val="auto"/>
                <w:sz w:val="21"/>
                <w:szCs w:val="21"/>
                <w:highlight w:val="none"/>
              </w:rPr>
              <w:t>采取应急措施。</w:t>
            </w:r>
          </w:p>
          <w:p w14:paraId="5F6AA92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r>
              <w:rPr>
                <w:rFonts w:hint="eastAsia" w:cs="Times New Roman"/>
                <w:color w:val="auto"/>
                <w:sz w:val="21"/>
                <w:szCs w:val="21"/>
                <w:highlight w:val="none"/>
                <w:lang w:eastAsia="zh-CN"/>
              </w:rPr>
              <w:t>需要</w:t>
            </w:r>
            <w:r>
              <w:rPr>
                <w:rFonts w:hint="default" w:ascii="Times New Roman" w:hAnsi="Times New Roman" w:cs="Times New Roman"/>
                <w:color w:val="auto"/>
                <w:sz w:val="21"/>
                <w:szCs w:val="21"/>
                <w:highlight w:val="none"/>
              </w:rPr>
              <w:t>更新现有的应急预案并在环保局备案，定期组织实施应急演练，将应急预案</w:t>
            </w:r>
            <w:r>
              <w:rPr>
                <w:rFonts w:hint="eastAsia" w:cs="Times New Roman"/>
                <w:color w:val="auto"/>
                <w:sz w:val="21"/>
                <w:szCs w:val="21"/>
                <w:highlight w:val="none"/>
                <w:lang w:eastAsia="zh-CN"/>
              </w:rPr>
              <w:t>落到实处</w:t>
            </w:r>
            <w:r>
              <w:rPr>
                <w:rFonts w:hint="default" w:ascii="Times New Roman" w:hAnsi="Times New Roman" w:cs="Times New Roman"/>
                <w:color w:val="auto"/>
                <w:sz w:val="21"/>
                <w:szCs w:val="21"/>
                <w:highlight w:val="none"/>
              </w:rPr>
              <w:t>；制定系列排查环境风险的安全生产制度。</w:t>
            </w:r>
          </w:p>
        </w:tc>
      </w:tr>
      <w:tr w14:paraId="4FE69F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center"/>
          </w:tcPr>
          <w:p w14:paraId="73872A1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w:t>
            </w:r>
          </w:p>
        </w:tc>
        <w:tc>
          <w:tcPr>
            <w:tcW w:w="1825" w:type="dxa"/>
            <w:noWrap w:val="0"/>
            <w:vAlign w:val="center"/>
          </w:tcPr>
          <w:p w14:paraId="5FCDD07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环保验收</w:t>
            </w:r>
          </w:p>
        </w:tc>
        <w:tc>
          <w:tcPr>
            <w:tcW w:w="6574" w:type="dxa"/>
            <w:noWrap w:val="0"/>
            <w:vAlign w:val="center"/>
          </w:tcPr>
          <w:p w14:paraId="0B663DC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本次评价提出的环境风险防范措施后期建设运营过程中应纳入环保投资预算中，并在建设项目竣工环境保护验收时对风险防范措施情况进行验收。</w:t>
            </w:r>
          </w:p>
        </w:tc>
      </w:tr>
      <w:tr w14:paraId="28984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7" w:type="dxa"/>
            <w:noWrap w:val="0"/>
            <w:vAlign w:val="center"/>
          </w:tcPr>
          <w:p w14:paraId="7AD0F87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w:t>
            </w:r>
          </w:p>
        </w:tc>
        <w:tc>
          <w:tcPr>
            <w:tcW w:w="1825" w:type="dxa"/>
            <w:noWrap w:val="0"/>
            <w:vAlign w:val="center"/>
          </w:tcPr>
          <w:p w14:paraId="7321DD9F">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联动机制</w:t>
            </w:r>
          </w:p>
        </w:tc>
        <w:tc>
          <w:tcPr>
            <w:tcW w:w="6574" w:type="dxa"/>
            <w:noWrap w:val="0"/>
            <w:vAlign w:val="center"/>
          </w:tcPr>
          <w:p w14:paraId="010B8C8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本项目厂内环境风险防控系统应纳入园区环境风险防控体系，并做好与园区风险防控设施和管理的衔接工作。</w:t>
            </w:r>
          </w:p>
        </w:tc>
      </w:tr>
    </w:tbl>
    <w:p w14:paraId="6CA159FD">
      <w:pPr>
        <w:pStyle w:val="4"/>
        <w:keepNext/>
        <w:keepLines/>
        <w:pageBreakBefore w:val="0"/>
        <w:widowControl w:val="0"/>
        <w:kinsoku/>
        <w:wordWrap/>
        <w:overflowPunct/>
        <w:topLinePunct w:val="0"/>
        <w:autoSpaceDE/>
        <w:autoSpaceDN/>
        <w:bidi w:val="0"/>
        <w:adjustRightInd/>
        <w:snapToGrid/>
        <w:spacing w:before="0" w:beforeLines="0" w:after="0" w:afterLines="0" w:line="360" w:lineRule="auto"/>
        <w:ind w:left="0" w:leftChars="0" w:firstLine="482"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.8.3 应急监测</w:t>
      </w:r>
    </w:p>
    <w:p w14:paraId="6DC2585E">
      <w:pPr>
        <w:pageBreakBefore w:val="0"/>
        <w:widowControl w:val="0"/>
        <w:kinsoku/>
        <w:wordWrap/>
        <w:overflowPunct/>
        <w:topLinePunct w:val="0"/>
        <w:autoSpaceDE/>
        <w:autoSpaceDN/>
        <w:bidi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公司委托第三方机构负责企业内部污染物的采样监测，为污染物消减提供监测数据。化验室负责外部配合地区层面的应急环境监测开展相应的监测工作。</w:t>
      </w:r>
    </w:p>
    <w:p w14:paraId="28442231">
      <w:pPr>
        <w:pStyle w:val="20"/>
        <w:pageBreakBefore w:val="0"/>
        <w:widowControl w:val="0"/>
        <w:kinsoku/>
        <w:wordWrap/>
        <w:overflowPunct/>
        <w:topLinePunct w:val="0"/>
        <w:autoSpaceDE/>
        <w:autoSpaceDN/>
        <w:bidi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（1）发生环境污染事故时，水环境监测方案</w:t>
      </w:r>
    </w:p>
    <w:p w14:paraId="04ECDC09">
      <w:pPr>
        <w:pStyle w:val="20"/>
        <w:pageBreakBefore w:val="0"/>
        <w:widowControl w:val="0"/>
        <w:kinsoku/>
        <w:wordWrap/>
        <w:overflowPunct/>
        <w:topLinePunct w:val="0"/>
        <w:autoSpaceDE/>
        <w:autoSpaceDN/>
        <w:bidi w:val="0"/>
        <w:spacing w:after="0" w:line="360" w:lineRule="auto"/>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事故风险发生后应根据不同风险因子发生泄漏或消防等废水进行有针对性</w:t>
      </w:r>
      <w:r>
        <w:rPr>
          <w:rFonts w:hint="eastAsia" w:cs="Times New Roman"/>
          <w:color w:val="auto"/>
          <w:sz w:val="24"/>
          <w:szCs w:val="24"/>
          <w:highlight w:val="none"/>
          <w:lang w:eastAsia="zh-CN"/>
        </w:rPr>
        <w:t>地</w:t>
      </w:r>
      <w:r>
        <w:rPr>
          <w:rFonts w:hint="default" w:ascii="Times New Roman" w:hAnsi="Times New Roman" w:cs="Times New Roman"/>
          <w:color w:val="auto"/>
          <w:sz w:val="24"/>
          <w:szCs w:val="24"/>
          <w:highlight w:val="none"/>
        </w:rPr>
        <w:t>监测，监测因子情况见</w:t>
      </w: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.8-3。</w:t>
      </w:r>
    </w:p>
    <w:p w14:paraId="129378C3">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w:t>
      </w:r>
      <w:r>
        <w:rPr>
          <w:rFonts w:hint="default" w:ascii="Times New Roman" w:hAnsi="Times New Roman" w:eastAsia="黑体" w:cs="Times New Roman"/>
          <w:b/>
          <w:bCs/>
          <w:color w:val="auto"/>
          <w:sz w:val="21"/>
          <w:szCs w:val="21"/>
          <w:highlight w:val="none"/>
        </w:rPr>
        <w:t>.8-3 事故风险状态下事故废水监测因子</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8"/>
        <w:gridCol w:w="4080"/>
        <w:gridCol w:w="2973"/>
      </w:tblGrid>
      <w:tr w14:paraId="784B30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7" w:type="dxa"/>
            <w:noWrap w:val="0"/>
            <w:vAlign w:val="center"/>
          </w:tcPr>
          <w:p w14:paraId="633BAD9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编号</w:t>
            </w:r>
          </w:p>
        </w:tc>
        <w:tc>
          <w:tcPr>
            <w:tcW w:w="4500" w:type="dxa"/>
            <w:noWrap w:val="0"/>
            <w:vAlign w:val="center"/>
          </w:tcPr>
          <w:p w14:paraId="38A594B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监测位置</w:t>
            </w:r>
          </w:p>
        </w:tc>
        <w:tc>
          <w:tcPr>
            <w:tcW w:w="3199" w:type="dxa"/>
            <w:noWrap w:val="0"/>
            <w:vAlign w:val="center"/>
          </w:tcPr>
          <w:p w14:paraId="27CDC4B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监测因子</w:t>
            </w:r>
          </w:p>
        </w:tc>
      </w:tr>
      <w:tr w14:paraId="436D82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587" w:type="dxa"/>
            <w:noWrap w:val="0"/>
            <w:vAlign w:val="center"/>
          </w:tcPr>
          <w:p w14:paraId="285988B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4500" w:type="dxa"/>
            <w:noWrap w:val="0"/>
            <w:vAlign w:val="center"/>
          </w:tcPr>
          <w:p w14:paraId="33E3AE9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厂区总排口</w:t>
            </w:r>
          </w:p>
        </w:tc>
        <w:tc>
          <w:tcPr>
            <w:tcW w:w="3199" w:type="dxa"/>
            <w:noWrap w:val="0"/>
            <w:vAlign w:val="center"/>
          </w:tcPr>
          <w:p w14:paraId="6D6D96B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pH、COD</w:t>
            </w:r>
            <w:r>
              <w:rPr>
                <w:rFonts w:hint="default" w:ascii="Times New Roman" w:hAnsi="Times New Roman" w:cs="Times New Roman"/>
                <w:color w:val="auto"/>
                <w:sz w:val="21"/>
                <w:szCs w:val="21"/>
                <w:highlight w:val="none"/>
                <w:vertAlign w:val="subscript"/>
              </w:rPr>
              <w:t>Cr</w:t>
            </w:r>
            <w:r>
              <w:rPr>
                <w:rFonts w:hint="default" w:ascii="Times New Roman" w:hAnsi="Times New Roman" w:cs="Times New Roman"/>
                <w:color w:val="auto"/>
                <w:sz w:val="21"/>
                <w:szCs w:val="21"/>
                <w:highlight w:val="none"/>
              </w:rPr>
              <w:t>、氨氮、SS、石油类</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Cl</w:t>
            </w:r>
            <w:r>
              <w:rPr>
                <w:rFonts w:hint="eastAsia" w:cs="Times New Roman"/>
                <w:color w:val="auto"/>
                <w:sz w:val="21"/>
                <w:szCs w:val="21"/>
                <w:highlight w:val="none"/>
                <w:vertAlign w:val="superscript"/>
                <w:lang w:val="en-US" w:eastAsia="zh-CN"/>
              </w:rPr>
              <w:t>-</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SO</w:t>
            </w:r>
            <w:r>
              <w:rPr>
                <w:rFonts w:hint="eastAsia" w:cs="Times New Roman"/>
                <w:color w:val="auto"/>
                <w:sz w:val="21"/>
                <w:szCs w:val="21"/>
                <w:highlight w:val="none"/>
                <w:vertAlign w:val="subscript"/>
                <w:lang w:val="en-US" w:eastAsia="zh-CN"/>
              </w:rPr>
              <w:t>4</w:t>
            </w:r>
            <w:r>
              <w:rPr>
                <w:rFonts w:hint="eastAsia" w:cs="Times New Roman"/>
                <w:color w:val="auto"/>
                <w:sz w:val="21"/>
                <w:szCs w:val="21"/>
                <w:highlight w:val="none"/>
                <w:vertAlign w:val="superscript"/>
                <w:lang w:val="en-US" w:eastAsia="zh-CN"/>
              </w:rPr>
              <w:t>-</w:t>
            </w:r>
            <w:r>
              <w:rPr>
                <w:rFonts w:hint="default" w:ascii="Times New Roman" w:hAnsi="Times New Roman" w:cs="Times New Roman"/>
                <w:color w:val="auto"/>
                <w:sz w:val="21"/>
                <w:szCs w:val="21"/>
                <w:highlight w:val="none"/>
              </w:rPr>
              <w:t>等</w:t>
            </w:r>
          </w:p>
        </w:tc>
      </w:tr>
    </w:tbl>
    <w:p w14:paraId="2BCEDFD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监测时间和频次：根据污染物泄漏未经收集进入附近河流持续的时间决定监测时间，根据事故严重性决定监测频次。事故发生及处理过程中随时监测，每间隔20min一次直至应急结束。</w:t>
      </w:r>
    </w:p>
    <w:p w14:paraId="0F03C24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（2）发生环境污染事故时，大气环境监测方案</w:t>
      </w:r>
    </w:p>
    <w:p w14:paraId="73006BC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项目投产后可能发生环境风险事故为储罐泄漏或装置区物料输送管道泄漏，全厂</w:t>
      </w:r>
      <w:r>
        <w:rPr>
          <w:rFonts w:hint="eastAsia" w:cs="Times New Roman"/>
          <w:color w:val="auto"/>
          <w:sz w:val="24"/>
          <w:szCs w:val="24"/>
          <w:highlight w:val="none"/>
          <w:lang w:eastAsia="zh-CN"/>
        </w:rPr>
        <w:t>涉及的</w:t>
      </w:r>
      <w:r>
        <w:rPr>
          <w:rFonts w:hint="default" w:ascii="Times New Roman" w:hAnsi="Times New Roman" w:cs="Times New Roman"/>
          <w:color w:val="auto"/>
          <w:sz w:val="24"/>
          <w:szCs w:val="24"/>
          <w:highlight w:val="none"/>
        </w:rPr>
        <w:t>可能风险因子为</w:t>
      </w:r>
      <w:r>
        <w:rPr>
          <w:rFonts w:hint="eastAsia" w:ascii="Times New Roman" w:hAnsi="Times New Roman" w:cs="Times New Roman"/>
          <w:color w:val="auto"/>
          <w:sz w:val="24"/>
          <w:szCs w:val="24"/>
          <w:highlight w:val="none"/>
          <w:lang w:eastAsia="zh-CN"/>
        </w:rPr>
        <w:t>硫酸雾、</w:t>
      </w:r>
      <w:r>
        <w:rPr>
          <w:rFonts w:hint="eastAsia" w:cs="Times New Roman"/>
          <w:color w:val="auto"/>
          <w:sz w:val="24"/>
          <w:szCs w:val="24"/>
          <w:highlight w:val="none"/>
          <w:lang w:val="en-US" w:eastAsia="zh-CN"/>
        </w:rPr>
        <w:t>三氧化硫、二氧化硫</w:t>
      </w:r>
      <w:r>
        <w:rPr>
          <w:rFonts w:hint="default" w:ascii="Times New Roman" w:hAnsi="Times New Roman" w:cs="Times New Roman"/>
          <w:color w:val="auto"/>
          <w:sz w:val="24"/>
          <w:szCs w:val="24"/>
          <w:highlight w:val="none"/>
        </w:rPr>
        <w:t>等，事故下应根据发生的不同事故有针对性的布置监测。</w:t>
      </w:r>
    </w:p>
    <w:p w14:paraId="52C4F91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监测因子：特征因子应根据发生事故的实际情况布置监测，特征污染物必须作为监测因子进行监测。</w:t>
      </w:r>
    </w:p>
    <w:p w14:paraId="7FFA529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监测时间和频次：按照事故泄漏的污染源和泄漏物的持续时间决定监测时间，根据事故严重性决定监测频次。事故发生及处理过程中随时监测，每间隔20min一次直至应急结束。</w:t>
      </w:r>
    </w:p>
    <w:p w14:paraId="51A82813">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w:t>
      </w:r>
      <w:r>
        <w:rPr>
          <w:rFonts w:hint="default" w:ascii="Times New Roman" w:hAnsi="Times New Roman" w:eastAsia="黑体" w:cs="Times New Roman"/>
          <w:b/>
          <w:bCs/>
          <w:color w:val="auto"/>
          <w:sz w:val="21"/>
          <w:szCs w:val="21"/>
          <w:highlight w:val="none"/>
        </w:rPr>
        <w:t>.8-4  事故风险状态下大气环境监测因子</w:t>
      </w:r>
    </w:p>
    <w:tbl>
      <w:tblPr>
        <w:tblStyle w:val="2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766"/>
        <w:gridCol w:w="2769"/>
        <w:gridCol w:w="2767"/>
      </w:tblGrid>
      <w:tr w14:paraId="46EF97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666" w:type="pct"/>
            <w:noWrap w:val="0"/>
            <w:vAlign w:val="center"/>
          </w:tcPr>
          <w:p w14:paraId="38558A5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监测位置</w:t>
            </w:r>
          </w:p>
        </w:tc>
        <w:tc>
          <w:tcPr>
            <w:tcW w:w="1667" w:type="pct"/>
            <w:noWrap w:val="0"/>
            <w:vAlign w:val="center"/>
          </w:tcPr>
          <w:p w14:paraId="2C0E8C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监测点位</w:t>
            </w:r>
          </w:p>
        </w:tc>
        <w:tc>
          <w:tcPr>
            <w:tcW w:w="1666" w:type="pct"/>
            <w:noWrap w:val="0"/>
            <w:vAlign w:val="center"/>
          </w:tcPr>
          <w:p w14:paraId="25E0043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监测项目</w:t>
            </w:r>
          </w:p>
        </w:tc>
      </w:tr>
      <w:tr w14:paraId="1EBB90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666" w:type="pct"/>
            <w:noWrap w:val="0"/>
            <w:vAlign w:val="center"/>
          </w:tcPr>
          <w:p w14:paraId="7E484C9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当时风向的下风向</w:t>
            </w:r>
          </w:p>
        </w:tc>
        <w:tc>
          <w:tcPr>
            <w:tcW w:w="1667" w:type="pct"/>
            <w:noWrap w:val="0"/>
            <w:vAlign w:val="center"/>
          </w:tcPr>
          <w:p w14:paraId="2F3BCED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每隔500m布设一个监控点，共布设3个。</w:t>
            </w:r>
          </w:p>
        </w:tc>
        <w:tc>
          <w:tcPr>
            <w:tcW w:w="1666" w:type="pct"/>
            <w:vMerge w:val="restart"/>
            <w:noWrap w:val="0"/>
            <w:vAlign w:val="center"/>
          </w:tcPr>
          <w:p w14:paraId="79ED76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eastAsia" w:ascii="Times New Roman" w:hAnsi="Times New Roman" w:cs="Times New Roman"/>
                <w:color w:val="auto"/>
                <w:sz w:val="21"/>
                <w:szCs w:val="21"/>
                <w:highlight w:val="none"/>
                <w:lang w:eastAsia="zh-CN"/>
              </w:rPr>
              <w:t>硫酸雾、</w:t>
            </w:r>
            <w:r>
              <w:rPr>
                <w:rFonts w:hint="eastAsia" w:cs="Times New Roman"/>
                <w:color w:val="auto"/>
                <w:sz w:val="21"/>
                <w:szCs w:val="21"/>
                <w:highlight w:val="none"/>
                <w:lang w:val="en-US" w:eastAsia="zh-CN"/>
              </w:rPr>
              <w:t>三氧化硫、二氧化硫</w:t>
            </w:r>
            <w:r>
              <w:rPr>
                <w:rFonts w:hint="default" w:ascii="Times New Roman" w:hAnsi="Times New Roman" w:cs="Times New Roman"/>
                <w:bCs/>
                <w:color w:val="auto"/>
                <w:sz w:val="21"/>
                <w:szCs w:val="21"/>
                <w:highlight w:val="none"/>
              </w:rPr>
              <w:t>等</w:t>
            </w:r>
          </w:p>
        </w:tc>
      </w:tr>
      <w:tr w14:paraId="4F4631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666" w:type="pct"/>
            <w:noWrap w:val="0"/>
            <w:vAlign w:val="center"/>
          </w:tcPr>
          <w:p w14:paraId="3D7EC91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当时风向的侧风向</w:t>
            </w:r>
          </w:p>
        </w:tc>
        <w:tc>
          <w:tcPr>
            <w:tcW w:w="1667" w:type="pct"/>
            <w:noWrap w:val="0"/>
            <w:vAlign w:val="center"/>
          </w:tcPr>
          <w:p w14:paraId="2173ED7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两侧各布设一个监控点，共布设2个。</w:t>
            </w:r>
          </w:p>
        </w:tc>
        <w:tc>
          <w:tcPr>
            <w:tcW w:w="1666" w:type="pct"/>
            <w:vMerge w:val="continue"/>
            <w:noWrap w:val="0"/>
            <w:vAlign w:val="center"/>
          </w:tcPr>
          <w:p w14:paraId="6371B9A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r>
      <w:tr w14:paraId="6AF300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1666" w:type="pct"/>
            <w:noWrap w:val="0"/>
            <w:vAlign w:val="center"/>
          </w:tcPr>
          <w:p w14:paraId="1EB5540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下风向最近敏感点</w:t>
            </w:r>
          </w:p>
        </w:tc>
        <w:tc>
          <w:tcPr>
            <w:tcW w:w="1666" w:type="pct"/>
            <w:noWrap w:val="0"/>
            <w:vAlign w:val="center"/>
          </w:tcPr>
          <w:p w14:paraId="023B3B3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下风向最近敏感点</w:t>
            </w:r>
          </w:p>
        </w:tc>
        <w:tc>
          <w:tcPr>
            <w:tcW w:w="1666" w:type="pct"/>
            <w:vMerge w:val="continue"/>
            <w:noWrap w:val="0"/>
            <w:vAlign w:val="center"/>
          </w:tcPr>
          <w:p w14:paraId="43D1B08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p>
        </w:tc>
      </w:tr>
    </w:tbl>
    <w:p w14:paraId="0193A1B5">
      <w:pPr>
        <w:pStyle w:val="4"/>
        <w:keepNext/>
        <w:keepLines/>
        <w:pageBreakBefore w:val="0"/>
        <w:widowControl w:val="0"/>
        <w:kinsoku/>
        <w:wordWrap/>
        <w:overflowPunct/>
        <w:topLinePunct w:val="0"/>
        <w:autoSpaceDE/>
        <w:autoSpaceDN/>
        <w:bidi w:val="0"/>
        <w:adjustRightInd/>
        <w:snapToGrid/>
        <w:spacing w:before="0" w:beforeLines="0" w:after="0" w:afterLines="0" w:line="360" w:lineRule="auto"/>
        <w:ind w:firstLine="482" w:firstLineChars="200"/>
        <w:textAlignment w:val="auto"/>
        <w:rPr>
          <w:rFonts w:hint="default"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.8.4突发环境事件应急预案编制要求</w:t>
      </w:r>
    </w:p>
    <w:p w14:paraId="6EC852E4">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建设单位应</w:t>
      </w:r>
      <w:r>
        <w:rPr>
          <w:rFonts w:hint="eastAsia" w:ascii="Times New Roman" w:hAnsi="Times New Roman" w:cs="Times New Roman"/>
          <w:bCs/>
          <w:color w:val="auto"/>
          <w:sz w:val="24"/>
          <w:szCs w:val="24"/>
          <w:highlight w:val="none"/>
          <w:lang w:eastAsia="zh-CN"/>
        </w:rPr>
        <w:t>制定突发环境事件应急预案</w:t>
      </w:r>
      <w:r>
        <w:rPr>
          <w:rFonts w:hint="default" w:ascii="Times New Roman" w:hAnsi="Times New Roman" w:cs="Times New Roman"/>
          <w:bCs/>
          <w:color w:val="auto"/>
          <w:sz w:val="24"/>
          <w:szCs w:val="24"/>
          <w:highlight w:val="none"/>
        </w:rPr>
        <w:t>，并报</w:t>
      </w:r>
      <w:r>
        <w:rPr>
          <w:rFonts w:hint="eastAsia" w:ascii="Times New Roman" w:hAnsi="Times New Roman" w:cs="Times New Roman"/>
          <w:bCs/>
          <w:color w:val="auto"/>
          <w:sz w:val="24"/>
          <w:szCs w:val="24"/>
          <w:highlight w:val="none"/>
          <w:lang w:eastAsia="zh-CN"/>
        </w:rPr>
        <w:t>淄博市</w:t>
      </w:r>
      <w:r>
        <w:rPr>
          <w:rFonts w:hint="default" w:ascii="Times New Roman" w:hAnsi="Times New Roman" w:cs="Times New Roman"/>
          <w:bCs/>
          <w:color w:val="auto"/>
          <w:sz w:val="24"/>
          <w:szCs w:val="24"/>
          <w:highlight w:val="none"/>
        </w:rPr>
        <w:t>生态环境局进行备案。</w:t>
      </w:r>
    </w:p>
    <w:p w14:paraId="41AB4E51">
      <w:pPr>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Cs/>
          <w:color w:val="auto"/>
          <w:sz w:val="24"/>
          <w:szCs w:val="24"/>
          <w:highlight w:val="none"/>
        </w:rPr>
      </w:pPr>
      <w:r>
        <w:rPr>
          <w:rFonts w:hint="eastAsia" w:cs="Times New Roman"/>
          <w:bCs/>
          <w:color w:val="auto"/>
          <w:sz w:val="24"/>
          <w:szCs w:val="24"/>
          <w:highlight w:val="none"/>
          <w:lang w:eastAsia="zh-CN"/>
        </w:rPr>
        <w:t>项目</w:t>
      </w:r>
      <w:r>
        <w:rPr>
          <w:rFonts w:hint="default" w:ascii="Times New Roman" w:hAnsi="Times New Roman" w:cs="Times New Roman"/>
          <w:bCs/>
          <w:color w:val="auto"/>
          <w:sz w:val="24"/>
          <w:szCs w:val="24"/>
          <w:highlight w:val="none"/>
        </w:rPr>
        <w:t>应急预案基本内容见表</w:t>
      </w:r>
      <w:r>
        <w:rPr>
          <w:rFonts w:hint="eastAsia" w:ascii="Times New Roman" w:hAnsi="Times New Roman" w:cs="Times New Roman"/>
          <w:bCs/>
          <w:color w:val="auto"/>
          <w:sz w:val="24"/>
          <w:szCs w:val="24"/>
          <w:highlight w:val="none"/>
          <w:lang w:val="en-US" w:eastAsia="zh-CN"/>
        </w:rPr>
        <w:t>1</w:t>
      </w:r>
      <w:r>
        <w:rPr>
          <w:rFonts w:hint="default" w:ascii="Times New Roman" w:hAnsi="Times New Roman" w:cs="Times New Roman"/>
          <w:bCs/>
          <w:color w:val="auto"/>
          <w:sz w:val="24"/>
          <w:szCs w:val="24"/>
          <w:highlight w:val="none"/>
        </w:rPr>
        <w:t>.8-5。</w:t>
      </w:r>
    </w:p>
    <w:p w14:paraId="58F71329">
      <w:pPr>
        <w:ind w:firstLine="0" w:firstLineChars="0"/>
        <w:jc w:val="center"/>
        <w:rPr>
          <w:rFonts w:hint="default" w:ascii="Times New Roman" w:hAnsi="Times New Roman" w:eastAsia="黑体" w:cs="Times New Roman"/>
          <w:b/>
          <w:bCs/>
          <w:color w:val="auto"/>
          <w:sz w:val="21"/>
          <w:szCs w:val="21"/>
          <w:highlight w:val="none"/>
        </w:rPr>
      </w:pPr>
      <w:r>
        <w:rPr>
          <w:rFonts w:hint="default" w:ascii="Times New Roman" w:hAnsi="Times New Roman" w:eastAsia="黑体" w:cs="Times New Roman"/>
          <w:b/>
          <w:bCs/>
          <w:color w:val="auto"/>
          <w:sz w:val="21"/>
          <w:szCs w:val="21"/>
          <w:highlight w:val="none"/>
        </w:rPr>
        <w:t>表</w:t>
      </w:r>
      <w:r>
        <w:rPr>
          <w:rFonts w:hint="eastAsia" w:ascii="Times New Roman" w:hAnsi="Times New Roman" w:eastAsia="黑体" w:cs="Times New Roman"/>
          <w:b/>
          <w:bCs/>
          <w:color w:val="auto"/>
          <w:sz w:val="21"/>
          <w:szCs w:val="21"/>
          <w:highlight w:val="none"/>
          <w:lang w:val="en-US" w:eastAsia="zh-CN"/>
        </w:rPr>
        <w:t>1</w:t>
      </w:r>
      <w:r>
        <w:rPr>
          <w:rFonts w:hint="default" w:ascii="Times New Roman" w:hAnsi="Times New Roman" w:eastAsia="黑体" w:cs="Times New Roman"/>
          <w:b/>
          <w:bCs/>
          <w:color w:val="auto"/>
          <w:sz w:val="21"/>
          <w:szCs w:val="21"/>
          <w:highlight w:val="none"/>
        </w:rPr>
        <w:t>.8-5  应急预案基本内容</w:t>
      </w:r>
    </w:p>
    <w:tbl>
      <w:tblPr>
        <w:tblStyle w:val="21"/>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2059"/>
        <w:gridCol w:w="5952"/>
      </w:tblGrid>
      <w:tr w14:paraId="50B9CA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29B700F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序号</w:t>
            </w:r>
          </w:p>
        </w:tc>
        <w:tc>
          <w:tcPr>
            <w:tcW w:w="1208" w:type="pct"/>
            <w:noWrap w:val="0"/>
            <w:vAlign w:val="center"/>
          </w:tcPr>
          <w:p w14:paraId="23D4CC9C">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项目</w:t>
            </w:r>
          </w:p>
        </w:tc>
        <w:tc>
          <w:tcPr>
            <w:tcW w:w="3491" w:type="pct"/>
            <w:noWrap w:val="0"/>
            <w:vAlign w:val="center"/>
          </w:tcPr>
          <w:p w14:paraId="43E0A2E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b/>
                <w:color w:val="auto"/>
                <w:sz w:val="21"/>
                <w:szCs w:val="22"/>
                <w:highlight w:val="none"/>
                <w:lang w:val="zh-CN"/>
              </w:rPr>
            </w:pPr>
            <w:r>
              <w:rPr>
                <w:rFonts w:hint="default" w:ascii="Times New Roman" w:hAnsi="Times New Roman" w:cs="Times New Roman"/>
                <w:b/>
                <w:color w:val="auto"/>
                <w:sz w:val="21"/>
                <w:szCs w:val="22"/>
                <w:highlight w:val="none"/>
                <w:lang w:val="zh-CN"/>
              </w:rPr>
              <w:t>内容及要求</w:t>
            </w:r>
          </w:p>
        </w:tc>
      </w:tr>
      <w:tr w14:paraId="68A8EA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63C4AC0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w:t>
            </w:r>
          </w:p>
        </w:tc>
        <w:tc>
          <w:tcPr>
            <w:tcW w:w="1208" w:type="pct"/>
            <w:noWrap w:val="0"/>
            <w:vAlign w:val="center"/>
          </w:tcPr>
          <w:p w14:paraId="5B74136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应急计划区</w:t>
            </w:r>
          </w:p>
        </w:tc>
        <w:tc>
          <w:tcPr>
            <w:tcW w:w="3491" w:type="pct"/>
            <w:noWrap w:val="0"/>
            <w:vAlign w:val="center"/>
          </w:tcPr>
          <w:p w14:paraId="5FA8C1AF">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危险目标：各生产车间、</w:t>
            </w:r>
            <w:r>
              <w:rPr>
                <w:rFonts w:hint="eastAsia" w:cs="Times New Roman"/>
                <w:color w:val="auto"/>
                <w:sz w:val="21"/>
                <w:szCs w:val="21"/>
                <w:highlight w:val="none"/>
                <w:lang w:eastAsia="zh-CN"/>
              </w:rPr>
              <w:t>现有罐区（1#罐区）</w:t>
            </w:r>
            <w:r>
              <w:rPr>
                <w:rFonts w:hint="default" w:ascii="Times New Roman" w:hAnsi="Times New Roman" w:cs="Times New Roman"/>
                <w:color w:val="auto"/>
                <w:sz w:val="21"/>
                <w:szCs w:val="21"/>
                <w:highlight w:val="none"/>
              </w:rPr>
              <w:t>、</w:t>
            </w:r>
            <w:r>
              <w:rPr>
                <w:rFonts w:hint="eastAsia" w:cs="Times New Roman"/>
                <w:color w:val="auto"/>
                <w:sz w:val="21"/>
                <w:szCs w:val="21"/>
                <w:highlight w:val="none"/>
                <w:lang w:eastAsia="zh-CN"/>
              </w:rPr>
              <w:t>2#罐区</w:t>
            </w:r>
            <w:r>
              <w:rPr>
                <w:rFonts w:hint="default" w:ascii="Times New Roman" w:hAnsi="Times New Roman" w:cs="Times New Roman"/>
                <w:color w:val="auto"/>
                <w:sz w:val="21"/>
                <w:szCs w:val="22"/>
                <w:highlight w:val="none"/>
                <w:lang w:val="zh-CN"/>
              </w:rPr>
              <w:t>、环境保护目标。</w:t>
            </w:r>
          </w:p>
        </w:tc>
      </w:tr>
      <w:tr w14:paraId="14C030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6405A76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2</w:t>
            </w:r>
          </w:p>
        </w:tc>
        <w:tc>
          <w:tcPr>
            <w:tcW w:w="1208" w:type="pct"/>
            <w:noWrap w:val="0"/>
            <w:vAlign w:val="center"/>
          </w:tcPr>
          <w:p w14:paraId="32977C0B">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应急组织机构、人员</w:t>
            </w:r>
          </w:p>
        </w:tc>
        <w:tc>
          <w:tcPr>
            <w:tcW w:w="3491" w:type="pct"/>
            <w:noWrap w:val="0"/>
            <w:vAlign w:val="center"/>
          </w:tcPr>
          <w:p w14:paraId="5795920D">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工厂、地区应急组织机构、人员。</w:t>
            </w:r>
          </w:p>
        </w:tc>
      </w:tr>
      <w:tr w14:paraId="53E401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11852BB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3</w:t>
            </w:r>
          </w:p>
        </w:tc>
        <w:tc>
          <w:tcPr>
            <w:tcW w:w="1208" w:type="pct"/>
            <w:noWrap w:val="0"/>
            <w:vAlign w:val="center"/>
          </w:tcPr>
          <w:p w14:paraId="0906F33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预案分级响应条件</w:t>
            </w:r>
          </w:p>
        </w:tc>
        <w:tc>
          <w:tcPr>
            <w:tcW w:w="3491" w:type="pct"/>
            <w:noWrap w:val="0"/>
            <w:vAlign w:val="center"/>
          </w:tcPr>
          <w:p w14:paraId="12F43A95">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规定预案的级别及分级响应程序。</w:t>
            </w:r>
          </w:p>
        </w:tc>
      </w:tr>
      <w:tr w14:paraId="1C000A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122854B6">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4</w:t>
            </w:r>
          </w:p>
        </w:tc>
        <w:tc>
          <w:tcPr>
            <w:tcW w:w="1208" w:type="pct"/>
            <w:noWrap w:val="0"/>
            <w:vAlign w:val="center"/>
          </w:tcPr>
          <w:p w14:paraId="28A0A10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kern w:val="0"/>
                <w:sz w:val="21"/>
                <w:szCs w:val="22"/>
                <w:highlight w:val="none"/>
                <w:lang w:val="zh-CN"/>
              </w:rPr>
            </w:pPr>
            <w:r>
              <w:rPr>
                <w:rFonts w:hint="default" w:ascii="Times New Roman" w:hAnsi="Times New Roman" w:cs="Times New Roman"/>
                <w:color w:val="auto"/>
                <w:kern w:val="0"/>
                <w:sz w:val="21"/>
                <w:szCs w:val="22"/>
                <w:highlight w:val="none"/>
                <w:lang w:val="zh-CN"/>
              </w:rPr>
              <w:t>应急救援保障</w:t>
            </w:r>
          </w:p>
        </w:tc>
        <w:tc>
          <w:tcPr>
            <w:tcW w:w="3491" w:type="pct"/>
            <w:noWrap w:val="0"/>
            <w:vAlign w:val="center"/>
          </w:tcPr>
          <w:p w14:paraId="42284CCF">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应急设施，设备与器材等。</w:t>
            </w:r>
          </w:p>
        </w:tc>
      </w:tr>
      <w:tr w14:paraId="2C7A79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1A658337">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5</w:t>
            </w:r>
          </w:p>
        </w:tc>
        <w:tc>
          <w:tcPr>
            <w:tcW w:w="1208" w:type="pct"/>
            <w:noWrap w:val="0"/>
            <w:vAlign w:val="center"/>
          </w:tcPr>
          <w:p w14:paraId="1CC87B2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报警、通讯联络方式</w:t>
            </w:r>
          </w:p>
        </w:tc>
        <w:tc>
          <w:tcPr>
            <w:tcW w:w="3491" w:type="pct"/>
            <w:noWrap w:val="0"/>
            <w:vAlign w:val="center"/>
          </w:tcPr>
          <w:p w14:paraId="0F0B790F">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规定应急状态下的</w:t>
            </w:r>
            <w:r>
              <w:rPr>
                <w:rFonts w:hint="eastAsia" w:cs="Times New Roman"/>
                <w:color w:val="auto"/>
                <w:sz w:val="21"/>
                <w:szCs w:val="22"/>
                <w:highlight w:val="none"/>
                <w:lang w:val="zh-CN"/>
              </w:rPr>
              <w:t>报警通信</w:t>
            </w:r>
            <w:r>
              <w:rPr>
                <w:rFonts w:hint="default" w:ascii="Times New Roman" w:hAnsi="Times New Roman" w:cs="Times New Roman"/>
                <w:color w:val="auto"/>
                <w:sz w:val="21"/>
                <w:szCs w:val="22"/>
                <w:highlight w:val="none"/>
                <w:lang w:val="zh-CN"/>
              </w:rPr>
              <w:t>方式、通知方式和交通保障、管制。</w:t>
            </w:r>
          </w:p>
        </w:tc>
      </w:tr>
      <w:tr w14:paraId="4BE50C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0EE53344">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6</w:t>
            </w:r>
          </w:p>
        </w:tc>
        <w:tc>
          <w:tcPr>
            <w:tcW w:w="1208" w:type="pct"/>
            <w:noWrap w:val="0"/>
            <w:vAlign w:val="center"/>
          </w:tcPr>
          <w:p w14:paraId="1EB0422D">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应急环境监测、抢险、救援及控制措施</w:t>
            </w:r>
          </w:p>
        </w:tc>
        <w:tc>
          <w:tcPr>
            <w:tcW w:w="3491" w:type="pct"/>
            <w:noWrap w:val="0"/>
            <w:vAlign w:val="center"/>
          </w:tcPr>
          <w:p w14:paraId="2BFD4783">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由专业队伍负责对事故现场进行侦察监测，对事故性质、参数与后果进行评估，为指挥部门提供决策依据。</w:t>
            </w:r>
          </w:p>
        </w:tc>
      </w:tr>
      <w:tr w14:paraId="22B17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61D3C7E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7</w:t>
            </w:r>
          </w:p>
        </w:tc>
        <w:tc>
          <w:tcPr>
            <w:tcW w:w="1208" w:type="pct"/>
            <w:noWrap w:val="0"/>
            <w:vAlign w:val="center"/>
          </w:tcPr>
          <w:p w14:paraId="59CDF83F">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应急检测、防护措施、清除泄漏措施和器材</w:t>
            </w:r>
          </w:p>
        </w:tc>
        <w:tc>
          <w:tcPr>
            <w:tcW w:w="3491" w:type="pct"/>
            <w:noWrap w:val="0"/>
            <w:vAlign w:val="center"/>
          </w:tcPr>
          <w:p w14:paraId="5CEA9922">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kern w:val="0"/>
                <w:sz w:val="21"/>
                <w:szCs w:val="22"/>
                <w:highlight w:val="none"/>
                <w:lang w:val="zh-CN"/>
              </w:rPr>
            </w:pPr>
            <w:r>
              <w:rPr>
                <w:rFonts w:hint="default" w:ascii="Times New Roman" w:hAnsi="Times New Roman" w:cs="Times New Roman"/>
                <w:color w:val="auto"/>
                <w:kern w:val="0"/>
                <w:sz w:val="21"/>
                <w:szCs w:val="22"/>
                <w:highlight w:val="none"/>
                <w:lang w:val="zh-CN"/>
              </w:rPr>
              <w:t>事故现场、邻近区域、控制防火区域，控制和清除污染措施及相应设备。</w:t>
            </w:r>
          </w:p>
        </w:tc>
      </w:tr>
      <w:tr w14:paraId="1227FE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73E5F7B8">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8</w:t>
            </w:r>
          </w:p>
        </w:tc>
        <w:tc>
          <w:tcPr>
            <w:tcW w:w="1208" w:type="pct"/>
            <w:noWrap w:val="0"/>
            <w:vAlign w:val="center"/>
          </w:tcPr>
          <w:p w14:paraId="5EFFF40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人员紧急撤离、疏散，应急剂量控制、撤离组织计划</w:t>
            </w:r>
          </w:p>
        </w:tc>
        <w:tc>
          <w:tcPr>
            <w:tcW w:w="3491" w:type="pct"/>
            <w:noWrap w:val="0"/>
            <w:vAlign w:val="center"/>
          </w:tcPr>
          <w:p w14:paraId="6F7B93CF">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事故现场、工厂邻近区、受事故影响的区域人员及公众对毒物应急剂量控制规定，撤离组织计划及救护，医疗救护与公众健康。</w:t>
            </w:r>
          </w:p>
        </w:tc>
      </w:tr>
      <w:tr w14:paraId="53668D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7404F98A">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9</w:t>
            </w:r>
          </w:p>
        </w:tc>
        <w:tc>
          <w:tcPr>
            <w:tcW w:w="1208" w:type="pct"/>
            <w:noWrap w:val="0"/>
            <w:vAlign w:val="center"/>
          </w:tcPr>
          <w:p w14:paraId="0BF33FE9">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事故应急救援关闭程序与恢复措施</w:t>
            </w:r>
          </w:p>
        </w:tc>
        <w:tc>
          <w:tcPr>
            <w:tcW w:w="3491" w:type="pct"/>
            <w:noWrap w:val="0"/>
            <w:vAlign w:val="center"/>
          </w:tcPr>
          <w:p w14:paraId="010BF3AA">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规定应急状态终止程序；事故现场善后处理，恢复措施；邻近区域解除事故警戒及善后恢复措施。</w:t>
            </w:r>
          </w:p>
        </w:tc>
      </w:tr>
      <w:tr w14:paraId="597820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51E24452">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10</w:t>
            </w:r>
          </w:p>
        </w:tc>
        <w:tc>
          <w:tcPr>
            <w:tcW w:w="1208" w:type="pct"/>
            <w:noWrap w:val="0"/>
            <w:vAlign w:val="center"/>
          </w:tcPr>
          <w:p w14:paraId="154BDB60">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应急培训计划</w:t>
            </w:r>
          </w:p>
        </w:tc>
        <w:tc>
          <w:tcPr>
            <w:tcW w:w="3491" w:type="pct"/>
            <w:noWrap w:val="0"/>
            <w:vAlign w:val="center"/>
          </w:tcPr>
          <w:p w14:paraId="1D706DCA">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应急计划制定后，平时安排人员培训与演练。</w:t>
            </w:r>
          </w:p>
        </w:tc>
      </w:tr>
      <w:tr w14:paraId="29EE39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99" w:type="pct"/>
            <w:noWrap w:val="0"/>
            <w:vAlign w:val="center"/>
          </w:tcPr>
          <w:p w14:paraId="50ADDBD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11</w:t>
            </w:r>
          </w:p>
        </w:tc>
        <w:tc>
          <w:tcPr>
            <w:tcW w:w="1208" w:type="pct"/>
            <w:noWrap w:val="0"/>
            <w:vAlign w:val="center"/>
          </w:tcPr>
          <w:p w14:paraId="2843602E">
            <w:pPr>
              <w:keepNext w:val="0"/>
              <w:keepLines w:val="0"/>
              <w:suppressLineNumbers w:val="0"/>
              <w:adjustRightInd w:val="0"/>
              <w:snapToGrid w:val="0"/>
              <w:spacing w:before="0" w:beforeAutospacing="0" w:after="0" w:afterAutospacing="0" w:line="240" w:lineRule="auto"/>
              <w:ind w:left="0" w:right="0" w:firstLine="0" w:firstLineChars="0"/>
              <w:jc w:val="center"/>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公众教育和信息</w:t>
            </w:r>
          </w:p>
        </w:tc>
        <w:tc>
          <w:tcPr>
            <w:tcW w:w="3491" w:type="pct"/>
            <w:noWrap w:val="0"/>
            <w:vAlign w:val="center"/>
          </w:tcPr>
          <w:p w14:paraId="76E96C56">
            <w:pPr>
              <w:keepNext w:val="0"/>
              <w:keepLines w:val="0"/>
              <w:suppressLineNumbers w:val="0"/>
              <w:adjustRightInd w:val="0"/>
              <w:snapToGrid w:val="0"/>
              <w:spacing w:before="0" w:beforeAutospacing="0" w:after="0" w:afterAutospacing="0" w:line="240" w:lineRule="auto"/>
              <w:ind w:left="0" w:right="0" w:firstLine="420"/>
              <w:rPr>
                <w:rFonts w:hint="default" w:ascii="Times New Roman" w:hAnsi="Times New Roman" w:cs="Times New Roman"/>
                <w:color w:val="auto"/>
                <w:sz w:val="21"/>
                <w:szCs w:val="22"/>
                <w:highlight w:val="none"/>
                <w:lang w:val="zh-CN"/>
              </w:rPr>
            </w:pPr>
            <w:r>
              <w:rPr>
                <w:rFonts w:hint="default" w:ascii="Times New Roman" w:hAnsi="Times New Roman" w:cs="Times New Roman"/>
                <w:color w:val="auto"/>
                <w:sz w:val="21"/>
                <w:szCs w:val="22"/>
                <w:highlight w:val="none"/>
                <w:lang w:val="zh-CN"/>
              </w:rPr>
              <w:t>对工厂邻近地区开展公众教育、培训和发布有关信息</w:t>
            </w:r>
          </w:p>
        </w:tc>
      </w:tr>
    </w:tbl>
    <w:p w14:paraId="3198B31C">
      <w:pPr>
        <w:keepNext w:val="0"/>
        <w:keepLines w:val="0"/>
        <w:pageBreakBefore w:val="0"/>
        <w:widowControl w:val="0"/>
        <w:kinsoku/>
        <w:wordWrap/>
        <w:overflowPunct/>
        <w:topLinePunct w:val="0"/>
        <w:autoSpaceDE/>
        <w:autoSpaceDN/>
        <w:bidi w:val="0"/>
        <w:adjustRightInd/>
        <w:snapToGrid/>
        <w:spacing w:line="450" w:lineRule="atLeast"/>
        <w:ind w:firstLine="482" w:firstLineChars="200"/>
        <w:textAlignment w:val="auto"/>
        <w:outlineLvl w:val="3"/>
        <w:rPr>
          <w:rFonts w:hint="default"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.8.4.1应急组织与职责</w:t>
      </w:r>
    </w:p>
    <w:p w14:paraId="258F884C">
      <w:pPr>
        <w:keepNext w:val="0"/>
        <w:keepLines w:val="0"/>
        <w:pageBreakBefore w:val="0"/>
        <w:widowControl w:val="0"/>
        <w:kinsoku/>
        <w:wordWrap/>
        <w:overflowPunct/>
        <w:topLinePunct w:val="0"/>
        <w:autoSpaceDE/>
        <w:autoSpaceDN/>
        <w:bidi w:val="0"/>
        <w:adjustRightInd/>
        <w:snapToGrid/>
        <w:spacing w:line="450" w:lineRule="atLeast"/>
        <w:ind w:firstLine="480" w:firstLineChars="200"/>
        <w:textAlignment w:val="auto"/>
        <w:rPr>
          <w:rFonts w:hint="default" w:ascii="Times New Roman" w:hAnsi="Times New Roman" w:cs="Times New Roman"/>
          <w:bCs/>
          <w:color w:val="auto"/>
          <w:highlight w:val="none"/>
        </w:rPr>
      </w:pPr>
      <w:r>
        <w:rPr>
          <w:rFonts w:hint="default" w:ascii="Times New Roman" w:hAnsi="Times New Roman" w:cs="Times New Roman"/>
          <w:bCs/>
          <w:color w:val="auto"/>
          <w:sz w:val="24"/>
          <w:szCs w:val="24"/>
          <w:highlight w:val="none"/>
        </w:rPr>
        <w:t>突发环境事件应急组织机构见下图：</w:t>
      </w:r>
    </w:p>
    <w:p w14:paraId="744D2519">
      <w:pPr>
        <w:pStyle w:val="20"/>
        <w:spacing w:after="0" w:line="240" w:lineRule="auto"/>
        <w:ind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object>
          <v:shape id="_x0000_i1031" o:spt="75" type="#_x0000_t75" style="height:282pt;width:264pt;" o:ole="t" filled="f" o:preferrelative="t" stroked="f" coordsize="21600,21600">
            <v:path/>
            <v:fill on="f" focussize="0,0"/>
            <v:stroke on="f"/>
            <v:imagedata r:id="rId33" o:title=""/>
            <o:lock v:ext="edit" aspectratio="f"/>
            <w10:wrap type="none"/>
            <w10:anchorlock/>
          </v:shape>
          <o:OLEObject Type="Embed" ProgID="Visio.Drawing.11" ShapeID="_x0000_i1031" DrawAspect="Content" ObjectID="_1468075731" r:id="rId32">
            <o:LockedField>false</o:LockedField>
          </o:OLEObject>
        </w:object>
      </w:r>
    </w:p>
    <w:p w14:paraId="4BE98F3E">
      <w:pPr>
        <w:pStyle w:val="20"/>
        <w:ind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图</w:t>
      </w:r>
      <w:r>
        <w:rPr>
          <w:rFonts w:hint="eastAsia" w:cs="Times New Roman"/>
          <w:b/>
          <w:bCs/>
          <w:color w:val="auto"/>
          <w:highlight w:val="none"/>
          <w:lang w:val="en-US" w:eastAsia="zh-CN"/>
        </w:rPr>
        <w:t>1</w:t>
      </w:r>
      <w:r>
        <w:rPr>
          <w:rFonts w:hint="default" w:ascii="Times New Roman" w:hAnsi="Times New Roman" w:cs="Times New Roman"/>
          <w:b/>
          <w:bCs/>
          <w:color w:val="auto"/>
          <w:highlight w:val="none"/>
        </w:rPr>
        <w:t>.8-</w:t>
      </w:r>
      <w:r>
        <w:rPr>
          <w:rFonts w:hint="eastAsia" w:cs="Times New Roman"/>
          <w:b/>
          <w:bCs/>
          <w:color w:val="auto"/>
          <w:highlight w:val="none"/>
          <w:lang w:val="en-US" w:eastAsia="zh-CN"/>
        </w:rPr>
        <w:t>5</w:t>
      </w:r>
      <w:r>
        <w:rPr>
          <w:rFonts w:hint="default" w:ascii="Times New Roman" w:hAnsi="Times New Roman" w:cs="Times New Roman"/>
          <w:b/>
          <w:bCs/>
          <w:color w:val="auto"/>
          <w:highlight w:val="none"/>
        </w:rPr>
        <w:t xml:space="preserve"> 应急救援组织机构图</w:t>
      </w:r>
    </w:p>
    <w:p w14:paraId="600E0BB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指挥组织的主要职责</w:t>
      </w:r>
    </w:p>
    <w:p w14:paraId="15BC953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（1）应急指挥部</w:t>
      </w:r>
    </w:p>
    <w:p w14:paraId="75439DD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①发生事故时，启动和解除应急救援的命令、信号；</w:t>
      </w:r>
    </w:p>
    <w:p w14:paraId="599DDEC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②全面负责公司突发环境事件应急指挥工作；</w:t>
      </w:r>
    </w:p>
    <w:p w14:paraId="11297ED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③向上级汇报事故情况，必要时向有关单位发出救援请求；</w:t>
      </w:r>
    </w:p>
    <w:p w14:paraId="7026413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④负责确定事故调查小组的成员名单；</w:t>
      </w:r>
    </w:p>
    <w:p w14:paraId="3746237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⑤负责确定事故善后处理小组的成员名单；</w:t>
      </w:r>
    </w:p>
    <w:p w14:paraId="30EF125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⑥负责确定事故后的组织正常生产小组的成员名单；</w:t>
      </w:r>
    </w:p>
    <w:p w14:paraId="50659EF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⑦负责上级政府主管部门安排的临时性工作，接受上级领导的指挥和调遣；</w:t>
      </w:r>
    </w:p>
    <w:p w14:paraId="1FD6CC38">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⑧日常工作时应保持电话24h畅通，加强应急指挥能力的培训。</w:t>
      </w:r>
    </w:p>
    <w:p w14:paraId="5B9E820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（2）各救援小组主要职责</w:t>
      </w:r>
    </w:p>
    <w:p w14:paraId="4BAB44D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①抢险救灾组：根据指挥部指令，负责工程、设备抢险、抢修。负责事故现场及有害物质扩散区域内的洗消检测工作。</w:t>
      </w:r>
    </w:p>
    <w:p w14:paraId="2D6A324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②医疗救护组：负责对现场医疗</w:t>
      </w:r>
      <w:r>
        <w:rPr>
          <w:rFonts w:hint="eastAsia" w:cs="Times New Roman"/>
          <w:bCs/>
          <w:color w:val="auto"/>
          <w:sz w:val="24"/>
          <w:szCs w:val="24"/>
          <w:highlight w:val="none"/>
          <w:lang w:eastAsia="zh-CN"/>
        </w:rPr>
        <w:t>救治</w:t>
      </w:r>
      <w:r>
        <w:rPr>
          <w:rFonts w:hint="default" w:ascii="Times New Roman" w:hAnsi="Times New Roman" w:cs="Times New Roman"/>
          <w:bCs/>
          <w:color w:val="auto"/>
          <w:sz w:val="24"/>
          <w:szCs w:val="24"/>
          <w:highlight w:val="none"/>
        </w:rPr>
        <w:t>及中毒、受伤人员的分类抢救和护送、转院工作。</w:t>
      </w:r>
    </w:p>
    <w:p w14:paraId="545CE26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③后勤保障组：负责抢险救援物资的供应工作，负责现场劳保用品和防毒用具协调工作，负责本公司车辆调度工作以及工程抢救和救护人员或其他应急用车。</w:t>
      </w:r>
    </w:p>
    <w:p w14:paraId="155A6FA4">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④警戒保卫组：负责事故现场警戒、治安、保卫、疏散、道路管制及迎接外援队伍到达事故现场，负责事故后的现场保卫工作，维护秩序。</w:t>
      </w:r>
    </w:p>
    <w:p w14:paraId="71A18FF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⑤应急监测组：负责协助第三方检测机构做好事故现场应急监测。</w:t>
      </w:r>
    </w:p>
    <w:p w14:paraId="6EEBD6F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⑥通讯联络组：负责把领导的指令传达到现场，把现场的情况报告给总指挥以及事故现场</w:t>
      </w:r>
      <w:r>
        <w:rPr>
          <w:rFonts w:hint="eastAsia" w:cs="Times New Roman"/>
          <w:bCs/>
          <w:color w:val="auto"/>
          <w:sz w:val="24"/>
          <w:szCs w:val="24"/>
          <w:highlight w:val="none"/>
          <w:lang w:eastAsia="zh-CN"/>
        </w:rPr>
        <w:t>所有的通信</w:t>
      </w:r>
      <w:r>
        <w:rPr>
          <w:rFonts w:hint="default" w:ascii="Times New Roman" w:hAnsi="Times New Roman" w:cs="Times New Roman"/>
          <w:bCs/>
          <w:color w:val="auto"/>
          <w:sz w:val="24"/>
          <w:szCs w:val="24"/>
          <w:highlight w:val="none"/>
        </w:rPr>
        <w:t>联络工作。</w:t>
      </w:r>
    </w:p>
    <w:p w14:paraId="1F85BAA5">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.8.4.2应急响应</w:t>
      </w:r>
    </w:p>
    <w:p w14:paraId="72F9A75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应急响应流程</w:t>
      </w:r>
    </w:p>
    <w:p w14:paraId="4233467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（1）当在预警监控或人工巡查发现突发事故时，最早发现者应立即向生产车间主任报告，并根据实际情况向公司副总经理或总经理报告，同时有关车间职工在保证自身安全的前提下采取一切办法切断事故源。</w:t>
      </w:r>
    </w:p>
    <w:p w14:paraId="790D1EE6">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（2）接报的车间主任立即赶赴现场核实情况，根据现场实际情况预判事故响应级别上报应急救援指挥组织机构，启动企业相应应急预案。</w:t>
      </w:r>
    </w:p>
    <w:p w14:paraId="154C712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（3）启动应急预案后各应急小组立即按照应急预案并结合实际情况进行封堵泄漏源、医疗救护、事故废水的截流收集等措施，开展相应的应急处置。</w:t>
      </w:r>
    </w:p>
    <w:p w14:paraId="2A4BABE9">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应急处置完毕并符合应急终止的条件后可申请应急终止，取得同意后各应急救援小组应及时总结经验，查找疏漏等工作，并根据总结的经验对原有的应急预案进行补充和完善。应急响应的过程为接警、应急启动、控制及应急行动、扩大应急。发生重大环境事件，总指挥决定扩大应急范围后，应立即按程序上报，启动相应应急预案。</w:t>
      </w:r>
    </w:p>
    <w:p w14:paraId="3E9AABE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2、分级响应及启动条件</w:t>
      </w:r>
    </w:p>
    <w:p w14:paraId="7D1B09B9">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企业应急响应级别、条件及措施见表</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.8-6。</w:t>
      </w:r>
    </w:p>
    <w:p w14:paraId="61B2ADA8">
      <w:pPr>
        <w:ind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表</w:t>
      </w:r>
      <w:r>
        <w:rPr>
          <w:rFonts w:hint="eastAsia" w:cs="Times New Roman"/>
          <w:b/>
          <w:bCs/>
          <w:color w:val="auto"/>
          <w:highlight w:val="none"/>
          <w:lang w:val="en-US" w:eastAsia="zh-CN"/>
        </w:rPr>
        <w:t>1</w:t>
      </w:r>
      <w:r>
        <w:rPr>
          <w:rFonts w:hint="default" w:ascii="Times New Roman" w:hAnsi="Times New Roman" w:cs="Times New Roman"/>
          <w:b/>
          <w:bCs/>
          <w:color w:val="auto"/>
          <w:highlight w:val="none"/>
        </w:rPr>
        <w:t>.8-6 应急响应级别、条件及措施一览表</w:t>
      </w:r>
    </w:p>
    <w:tbl>
      <w:tblPr>
        <w:tblStyle w:val="2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19"/>
        <w:gridCol w:w="3496"/>
        <w:gridCol w:w="3787"/>
      </w:tblGrid>
      <w:tr w14:paraId="229E1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noWrap w:val="0"/>
            <w:vAlign w:val="center"/>
          </w:tcPr>
          <w:p w14:paraId="680E095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响应级别</w:t>
            </w:r>
          </w:p>
        </w:tc>
        <w:tc>
          <w:tcPr>
            <w:tcW w:w="2105" w:type="pct"/>
            <w:noWrap w:val="0"/>
            <w:vAlign w:val="center"/>
          </w:tcPr>
          <w:p w14:paraId="183633D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启动条件</w:t>
            </w:r>
          </w:p>
        </w:tc>
        <w:tc>
          <w:tcPr>
            <w:tcW w:w="2280" w:type="pct"/>
            <w:noWrap w:val="0"/>
            <w:vAlign w:val="center"/>
          </w:tcPr>
          <w:p w14:paraId="2971555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响应措施</w:t>
            </w:r>
          </w:p>
        </w:tc>
      </w:tr>
      <w:tr w14:paraId="1D1BAC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49" w:hRule="atLeast"/>
        </w:trPr>
        <w:tc>
          <w:tcPr>
            <w:tcW w:w="614" w:type="pct"/>
            <w:noWrap w:val="0"/>
            <w:vAlign w:val="center"/>
          </w:tcPr>
          <w:p w14:paraId="6016BBF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三级响应</w:t>
            </w:r>
          </w:p>
        </w:tc>
        <w:tc>
          <w:tcPr>
            <w:tcW w:w="2105" w:type="pct"/>
            <w:noWrap w:val="0"/>
            <w:vAlign w:val="center"/>
          </w:tcPr>
          <w:p w14:paraId="435944D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三级环境事件，三级预警时，装置区或储罐区污染物超标，事故废水等污染物控制在装置区或储罐区</w:t>
            </w:r>
          </w:p>
        </w:tc>
        <w:tc>
          <w:tcPr>
            <w:tcW w:w="2280" w:type="pct"/>
            <w:noWrap w:val="0"/>
            <w:vAlign w:val="center"/>
          </w:tcPr>
          <w:p w14:paraId="76690F8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进行车间内部响应，车间主任组织处置行动，运行现场处置应急预案，并上报公司领导</w:t>
            </w:r>
          </w:p>
        </w:tc>
      </w:tr>
      <w:tr w14:paraId="6D5745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4" w:type="pct"/>
            <w:noWrap w:val="0"/>
            <w:vAlign w:val="center"/>
          </w:tcPr>
          <w:p w14:paraId="513BC77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二级响应</w:t>
            </w:r>
          </w:p>
        </w:tc>
        <w:tc>
          <w:tcPr>
            <w:tcW w:w="2105" w:type="pct"/>
            <w:noWrap w:val="0"/>
            <w:vAlign w:val="center"/>
          </w:tcPr>
          <w:p w14:paraId="53C922C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二级环境事件，二级预警时，污染物泄漏影响关联装置或储罐，未扩散出厂界，污染物控制在厂界内部</w:t>
            </w:r>
          </w:p>
        </w:tc>
        <w:tc>
          <w:tcPr>
            <w:tcW w:w="2280" w:type="pct"/>
            <w:noWrap w:val="0"/>
            <w:vAlign w:val="center"/>
          </w:tcPr>
          <w:p w14:paraId="1993206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进行公司范围内响应，各职能小组紧急动员，现场负责人为应急救援指挥部总指挥，启动综合及专项预案，并根据情况拨打</w:t>
            </w:r>
            <w:r>
              <w:rPr>
                <w:rFonts w:hint="eastAsia" w:cs="Times New Roman"/>
                <w:bCs/>
                <w:color w:val="auto"/>
                <w:sz w:val="21"/>
                <w:szCs w:val="21"/>
                <w:highlight w:val="none"/>
                <w:lang w:eastAsia="zh-CN"/>
              </w:rPr>
              <w:t>淄川区</w:t>
            </w:r>
            <w:r>
              <w:rPr>
                <w:rFonts w:hint="default" w:ascii="Times New Roman" w:hAnsi="Times New Roman" w:cs="Times New Roman"/>
                <w:bCs/>
                <w:color w:val="auto"/>
                <w:sz w:val="21"/>
                <w:szCs w:val="21"/>
                <w:highlight w:val="none"/>
              </w:rPr>
              <w:t>公安、消防、医疗救护电话</w:t>
            </w:r>
          </w:p>
        </w:tc>
      </w:tr>
      <w:tr w14:paraId="461B0E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c>
          <w:tcPr>
            <w:tcW w:w="614" w:type="pct"/>
            <w:noWrap w:val="0"/>
            <w:vAlign w:val="center"/>
          </w:tcPr>
          <w:p w14:paraId="0D76EBF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一级响应</w:t>
            </w:r>
          </w:p>
        </w:tc>
        <w:tc>
          <w:tcPr>
            <w:tcW w:w="2105" w:type="pct"/>
            <w:noWrap w:val="0"/>
            <w:vAlign w:val="center"/>
          </w:tcPr>
          <w:p w14:paraId="60AD1F3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一级环境事件，一级预警时，事故影响超出厂界范围，引起外环境污染物浓度超标，事故废水流出厂区，火灾产生的一氧化碳等有毒气体扩散出厂界，对厂界外敏感目标产生不利影响</w:t>
            </w:r>
          </w:p>
        </w:tc>
        <w:tc>
          <w:tcPr>
            <w:tcW w:w="2280" w:type="pct"/>
            <w:noWrap w:val="0"/>
            <w:vAlign w:val="center"/>
          </w:tcPr>
          <w:p w14:paraId="2AF2FC14">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拨打</w:t>
            </w:r>
            <w:r>
              <w:rPr>
                <w:rFonts w:hint="eastAsia" w:cs="Times New Roman"/>
                <w:bCs/>
                <w:color w:val="auto"/>
                <w:sz w:val="21"/>
                <w:szCs w:val="21"/>
                <w:highlight w:val="none"/>
                <w:lang w:val="en-US" w:eastAsia="zh-CN"/>
              </w:rPr>
              <w:t>淄川区</w:t>
            </w:r>
            <w:r>
              <w:rPr>
                <w:rFonts w:hint="default" w:ascii="Times New Roman" w:hAnsi="Times New Roman" w:cs="Times New Roman"/>
                <w:bCs/>
                <w:color w:val="auto"/>
                <w:sz w:val="21"/>
                <w:szCs w:val="21"/>
                <w:highlight w:val="none"/>
              </w:rPr>
              <w:t>环境应急</w:t>
            </w:r>
            <w:r>
              <w:rPr>
                <w:rFonts w:hint="eastAsia" w:cs="Times New Roman"/>
                <w:bCs/>
                <w:color w:val="auto"/>
                <w:sz w:val="21"/>
                <w:szCs w:val="21"/>
                <w:highlight w:val="none"/>
                <w:lang w:val="en-US" w:eastAsia="zh-CN"/>
              </w:rPr>
              <w:t>电话</w:t>
            </w:r>
            <w:r>
              <w:rPr>
                <w:rFonts w:hint="default" w:ascii="Times New Roman" w:hAnsi="Times New Roman" w:cs="Times New Roman"/>
                <w:bCs/>
                <w:color w:val="auto"/>
                <w:sz w:val="21"/>
                <w:szCs w:val="21"/>
                <w:highlight w:val="none"/>
              </w:rPr>
              <w:t>、110、120，现场负责人为应急救援指挥部总指挥。应急救援指挥部将事件情况上报</w:t>
            </w:r>
            <w:r>
              <w:rPr>
                <w:rFonts w:hint="eastAsia" w:cs="Times New Roman"/>
                <w:bCs/>
                <w:color w:val="auto"/>
                <w:sz w:val="21"/>
                <w:szCs w:val="21"/>
                <w:highlight w:val="none"/>
                <w:lang w:eastAsia="zh-CN"/>
              </w:rPr>
              <w:t>淄川区</w:t>
            </w:r>
            <w:r>
              <w:rPr>
                <w:rFonts w:hint="default" w:ascii="Times New Roman" w:hAnsi="Times New Roman" w:cs="Times New Roman"/>
                <w:bCs/>
                <w:color w:val="auto"/>
                <w:sz w:val="21"/>
                <w:szCs w:val="21"/>
                <w:highlight w:val="none"/>
              </w:rPr>
              <w:t>环保、应急、消防部门，各部门开展相应的紧急救援工作</w:t>
            </w:r>
          </w:p>
        </w:tc>
      </w:tr>
    </w:tbl>
    <w:p w14:paraId="77D810B8">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.8.4.3 信息报告与处置</w:t>
      </w:r>
    </w:p>
    <w:p w14:paraId="4A4A53D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1、信息报告内容</w:t>
      </w:r>
    </w:p>
    <w:p w14:paraId="1BFC423C">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突发性环境污染事件的报告分为初报、续报和处理结果报告三类。初报从发现事件后立即上报；续报在查清有关基本情况后随时上报；处理结果报告在事件处理完毕后上报。初次报告可用电话直接报告，主要内容包括：</w:t>
      </w:r>
    </w:p>
    <w:p w14:paraId="36473E3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（1）发生事故的单位、时间、地点；</w:t>
      </w:r>
    </w:p>
    <w:p w14:paraId="5762B8A7">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（2）事故的简要经过、伤亡人数，经济损失；</w:t>
      </w:r>
    </w:p>
    <w:p w14:paraId="2F5AD492">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（3）事故原因、污染物名称种类和数量、性质的初步判断；</w:t>
      </w:r>
    </w:p>
    <w:p w14:paraId="10F9F15E">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（4）事故抢救处理的情况和采取的措施及已污染的范围、潜在的危害程度；</w:t>
      </w:r>
    </w:p>
    <w:p w14:paraId="056E3F5D">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（5）可能受影响区域及采取的措施建议；</w:t>
      </w:r>
    </w:p>
    <w:p w14:paraId="21220D0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（6）需要有关部门和单位协助抢救和处理的有关事宜；</w:t>
      </w:r>
    </w:p>
    <w:p w14:paraId="5FD404DA">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（7）事故的报告单位、报告时间、报告人和联系电话。</w:t>
      </w:r>
    </w:p>
    <w:p w14:paraId="48F88363">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续报（中间报告）可通过网络或书面报告，在初次报告的基础上报告有关确切数据，事件发生的原因、过程、进展情况及采取的应急措施等基本情况。</w:t>
      </w:r>
    </w:p>
    <w:p w14:paraId="76E8786B">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处理结果报告（最终版事故报告）采用书面报告，在初次报告和续间报告的基础上，报告处理事件的措施、过程和结果，事件潜在或间接的危害、社会影响、处理后的遗留问题，参加处理工作的有关部门和工作内容。</w:t>
      </w:r>
    </w:p>
    <w:p w14:paraId="77D0C9B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2、信息通报流程</w:t>
      </w:r>
    </w:p>
    <w:p w14:paraId="275CC090">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发生突发环境事件后，由应急救援指挥部在与上级环境主管部门沟通后共同发布通报，向公司周边范围内有可能受影响的单位及居民聚集区通报公司事故情况，协助转移、撤离或者疏散可能受到危害的人员，并进行妥善安置。针对突发事故可能造成的危害，封闭、隔离或者限制使用有关场所，中止可能导致危害扩大的行为和活动，要及时向上述区域通报事故进展情况，减小损失。</w:t>
      </w:r>
    </w:p>
    <w:p w14:paraId="3E3C1BE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3、内部报告</w:t>
      </w:r>
    </w:p>
    <w:p w14:paraId="6C829ED8">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应急救援信号以本公司</w:t>
      </w:r>
      <w:r>
        <w:rPr>
          <w:rFonts w:hint="eastAsia" w:cs="Times New Roman"/>
          <w:color w:val="auto"/>
          <w:sz w:val="24"/>
          <w:szCs w:val="24"/>
          <w:highlight w:val="none"/>
          <w:lang w:eastAsia="zh-CN"/>
        </w:rPr>
        <w:t>现有通信</w:t>
      </w:r>
      <w:r>
        <w:rPr>
          <w:rFonts w:hint="default" w:ascii="Times New Roman" w:hAnsi="Times New Roman" w:cs="Times New Roman"/>
          <w:color w:val="auto"/>
          <w:sz w:val="24"/>
          <w:szCs w:val="24"/>
          <w:highlight w:val="none"/>
        </w:rPr>
        <w:t>资源如固定电话、手机为通知信号。在生产过程中，如岗位操作人员或巡检员巡检时发现危险目标泄漏，除应立即采取相应措施外，立即向</w:t>
      </w:r>
      <w:r>
        <w:rPr>
          <w:rFonts w:hint="eastAsia" w:cs="Times New Roman"/>
          <w:color w:val="auto"/>
          <w:sz w:val="24"/>
          <w:szCs w:val="24"/>
          <w:highlight w:val="none"/>
          <w:lang w:eastAsia="zh-CN"/>
        </w:rPr>
        <w:t>公司</w:t>
      </w:r>
      <w:r>
        <w:rPr>
          <w:rFonts w:hint="default" w:ascii="Times New Roman" w:hAnsi="Times New Roman" w:cs="Times New Roman"/>
          <w:color w:val="auto"/>
          <w:sz w:val="24"/>
          <w:szCs w:val="24"/>
          <w:highlight w:val="none"/>
        </w:rPr>
        <w:t>24小时应急值守电话</w:t>
      </w:r>
      <w:r>
        <w:rPr>
          <w:rFonts w:hint="eastAsia" w:cs="Times New Roman"/>
          <w:color w:val="auto"/>
          <w:sz w:val="24"/>
          <w:szCs w:val="24"/>
          <w:highlight w:val="none"/>
          <w:lang w:eastAsia="zh-CN"/>
        </w:rPr>
        <w:t>报告</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报告</w:t>
      </w:r>
      <w:r>
        <w:rPr>
          <w:rFonts w:hint="default" w:ascii="Times New Roman" w:hAnsi="Times New Roman" w:cs="Times New Roman"/>
          <w:color w:val="auto"/>
          <w:sz w:val="24"/>
          <w:szCs w:val="24"/>
          <w:highlight w:val="none"/>
        </w:rPr>
        <w:t>应口齿清楚，具体说明事件发生的地点、事件状况等。</w:t>
      </w:r>
      <w:r>
        <w:rPr>
          <w:rFonts w:hint="eastAsia" w:cs="Times New Roman"/>
          <w:color w:val="auto"/>
          <w:sz w:val="24"/>
          <w:szCs w:val="24"/>
          <w:highlight w:val="none"/>
          <w:lang w:eastAsia="zh-CN"/>
        </w:rPr>
        <w:t>值守办公室</w:t>
      </w:r>
      <w:r>
        <w:rPr>
          <w:rFonts w:hint="default" w:ascii="Times New Roman" w:hAnsi="Times New Roman" w:cs="Times New Roman"/>
          <w:color w:val="auto"/>
          <w:sz w:val="24"/>
          <w:szCs w:val="24"/>
          <w:highlight w:val="none"/>
        </w:rPr>
        <w:t>接到</w:t>
      </w:r>
      <w:r>
        <w:rPr>
          <w:rFonts w:hint="eastAsia" w:cs="Times New Roman"/>
          <w:color w:val="auto"/>
          <w:sz w:val="24"/>
          <w:szCs w:val="24"/>
          <w:highlight w:val="none"/>
          <w:lang w:eastAsia="zh-CN"/>
        </w:rPr>
        <w:t>报告</w:t>
      </w:r>
      <w:r>
        <w:rPr>
          <w:rFonts w:hint="default" w:ascii="Times New Roman" w:hAnsi="Times New Roman" w:cs="Times New Roman"/>
          <w:color w:val="auto"/>
          <w:sz w:val="24"/>
          <w:szCs w:val="24"/>
          <w:highlight w:val="none"/>
        </w:rPr>
        <w:t>后，依照事件危险程度，立即向环境应急领导小组有关人员汇报，并通知其他相关部门。根据时间地点、事态的发展决定应急救援形式，对于重大环境事件，应尽早争取社会支援，以便尽快控制事件的发展。</w:t>
      </w:r>
    </w:p>
    <w:p w14:paraId="2B3675D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4、外部报告</w:t>
      </w:r>
    </w:p>
    <w:p w14:paraId="628CE415">
      <w:pPr>
        <w:pStyle w:val="20"/>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向上级主管部门报告：达到重大（I级）事件级别的，依靠公司自身力量无法消除危害时，应立即通过手机等方式在1小时内向</w:t>
      </w:r>
      <w:r>
        <w:rPr>
          <w:rFonts w:hint="eastAsia" w:cs="Times New Roman"/>
          <w:color w:val="auto"/>
          <w:sz w:val="24"/>
          <w:szCs w:val="24"/>
          <w:highlight w:val="none"/>
          <w:lang w:eastAsia="zh-CN"/>
        </w:rPr>
        <w:t>淄川区</w:t>
      </w:r>
      <w:r>
        <w:rPr>
          <w:rFonts w:hint="default" w:ascii="Times New Roman" w:hAnsi="Times New Roman" w:cs="Times New Roman"/>
          <w:color w:val="auto"/>
          <w:sz w:val="24"/>
          <w:szCs w:val="24"/>
          <w:highlight w:val="none"/>
        </w:rPr>
        <w:t>人民政府、</w:t>
      </w:r>
      <w:r>
        <w:rPr>
          <w:rFonts w:hint="eastAsia" w:cs="Times New Roman"/>
          <w:color w:val="auto"/>
          <w:sz w:val="24"/>
          <w:szCs w:val="24"/>
          <w:highlight w:val="none"/>
          <w:lang w:eastAsia="zh-CN"/>
        </w:rPr>
        <w:t>淄博市</w:t>
      </w:r>
      <w:r>
        <w:rPr>
          <w:rFonts w:hint="default" w:ascii="Times New Roman" w:hAnsi="Times New Roman" w:cs="Times New Roman"/>
          <w:color w:val="auto"/>
          <w:sz w:val="24"/>
          <w:szCs w:val="24"/>
          <w:highlight w:val="none"/>
        </w:rPr>
        <w:t>生态环境局</w:t>
      </w:r>
      <w:r>
        <w:rPr>
          <w:rFonts w:hint="eastAsia" w:cs="Times New Roman"/>
          <w:color w:val="auto"/>
          <w:sz w:val="24"/>
          <w:szCs w:val="24"/>
          <w:highlight w:val="none"/>
          <w:lang w:eastAsia="zh-CN"/>
        </w:rPr>
        <w:t>淄川分局</w:t>
      </w:r>
      <w:r>
        <w:rPr>
          <w:rFonts w:hint="default" w:ascii="Times New Roman" w:hAnsi="Times New Roman" w:cs="Times New Roman"/>
          <w:color w:val="auto"/>
          <w:sz w:val="24"/>
          <w:szCs w:val="24"/>
          <w:highlight w:val="none"/>
        </w:rPr>
        <w:t>和</w:t>
      </w:r>
      <w:r>
        <w:rPr>
          <w:rFonts w:hint="eastAsia" w:cs="Times New Roman"/>
          <w:color w:val="auto"/>
          <w:sz w:val="24"/>
          <w:szCs w:val="24"/>
          <w:highlight w:val="none"/>
          <w:lang w:eastAsia="zh-CN"/>
        </w:rPr>
        <w:t>淄川区</w:t>
      </w:r>
      <w:r>
        <w:rPr>
          <w:rFonts w:hint="default" w:ascii="Times New Roman" w:hAnsi="Times New Roman" w:cs="Times New Roman"/>
          <w:color w:val="auto"/>
          <w:sz w:val="24"/>
          <w:szCs w:val="24"/>
          <w:highlight w:val="none"/>
        </w:rPr>
        <w:t>应急管理局等有关部门报告，并立即组织进行现场调查。同时，采用电话、手机、网络等方式向周边企业请求协助支援。</w:t>
      </w:r>
    </w:p>
    <w:p w14:paraId="2E485454">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.8.4.</w:t>
      </w:r>
      <w:r>
        <w:rPr>
          <w:rFonts w:hint="eastAsia"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 xml:space="preserve"> 区域应急联动</w:t>
      </w:r>
    </w:p>
    <w:p w14:paraId="1FD3729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当厂区发生突发环境事件时首先启动企业应急预案进行紧急处理，若污染物扩散出厂界、企业应急预案无法应对时应启动区域应急预案，应与政府进行应急响应，企业应急预案同时保持响应；及时通知</w:t>
      </w:r>
      <w:r>
        <w:rPr>
          <w:rFonts w:hint="eastAsia" w:cs="Times New Roman"/>
          <w:color w:val="auto"/>
          <w:sz w:val="24"/>
          <w:szCs w:val="24"/>
          <w:highlight w:val="none"/>
          <w:lang w:eastAsia="zh-CN"/>
        </w:rPr>
        <w:t>淄川区</w:t>
      </w:r>
      <w:r>
        <w:rPr>
          <w:rFonts w:hint="default" w:ascii="Times New Roman" w:hAnsi="Times New Roman" w:cs="Times New Roman"/>
          <w:color w:val="auto"/>
          <w:sz w:val="24"/>
          <w:szCs w:val="24"/>
          <w:highlight w:val="none"/>
        </w:rPr>
        <w:t>人民政府，启动</w:t>
      </w:r>
      <w:r>
        <w:rPr>
          <w:rFonts w:hint="eastAsia" w:cs="Times New Roman"/>
          <w:color w:val="auto"/>
          <w:sz w:val="24"/>
          <w:szCs w:val="24"/>
          <w:highlight w:val="none"/>
          <w:lang w:eastAsia="zh-CN"/>
        </w:rPr>
        <w:t>淄川区</w:t>
      </w:r>
      <w:r>
        <w:rPr>
          <w:rFonts w:hint="default" w:ascii="Times New Roman" w:hAnsi="Times New Roman" w:cs="Times New Roman"/>
          <w:color w:val="auto"/>
          <w:sz w:val="24"/>
          <w:szCs w:val="24"/>
          <w:highlight w:val="none"/>
        </w:rPr>
        <w:t>突发环境事件应急预案，进行</w:t>
      </w:r>
      <w:r>
        <w:rPr>
          <w:rFonts w:hint="eastAsia" w:cs="Times New Roman"/>
          <w:color w:val="auto"/>
          <w:sz w:val="24"/>
          <w:szCs w:val="24"/>
          <w:highlight w:val="none"/>
          <w:lang w:eastAsia="zh-CN"/>
        </w:rPr>
        <w:t>淄川区</w:t>
      </w:r>
      <w:r>
        <w:rPr>
          <w:rFonts w:hint="default" w:ascii="Times New Roman" w:hAnsi="Times New Roman" w:cs="Times New Roman"/>
          <w:color w:val="auto"/>
          <w:sz w:val="24"/>
          <w:szCs w:val="24"/>
          <w:highlight w:val="none"/>
        </w:rPr>
        <w:t>范围内应急响应。</w:t>
      </w:r>
    </w:p>
    <w:p w14:paraId="02269491">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sz w:val="24"/>
          <w:szCs w:val="24"/>
          <w:highlight w:val="none"/>
        </w:rPr>
        <w:t>公司突发环境事件超出应急处置能力时，需要与政府建立联动机制，弥补自身应急物资和应急人员的不足。应急预案体系从层面上分为三级：政府总体应急预案，部门/行业应急预案，公司突发环境事件应急预案。公司与</w:t>
      </w:r>
      <w:r>
        <w:rPr>
          <w:rFonts w:hint="eastAsia" w:cs="Times New Roman"/>
          <w:color w:val="auto"/>
          <w:sz w:val="24"/>
          <w:szCs w:val="24"/>
          <w:highlight w:val="none"/>
          <w:lang w:eastAsia="zh-CN"/>
        </w:rPr>
        <w:t>淄博市</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eastAsia="zh-CN"/>
        </w:rPr>
        <w:t>淄川区</w:t>
      </w:r>
      <w:r>
        <w:rPr>
          <w:rFonts w:hint="default" w:ascii="Times New Roman" w:hAnsi="Times New Roman" w:cs="Times New Roman"/>
          <w:color w:val="auto"/>
          <w:sz w:val="24"/>
          <w:szCs w:val="24"/>
          <w:highlight w:val="none"/>
        </w:rPr>
        <w:t>政府相关预案的衔接情况见图</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.8-</w:t>
      </w:r>
      <w:r>
        <w:rPr>
          <w:rFonts w:hint="eastAsia" w:ascii="Times New Roman" w:hAnsi="Times New Roman" w:cs="Times New Roman"/>
          <w:color w:val="auto"/>
          <w:sz w:val="24"/>
          <w:szCs w:val="24"/>
          <w:highlight w:val="none"/>
          <w:lang w:val="en-US" w:eastAsia="zh-CN"/>
        </w:rPr>
        <w:t>6</w:t>
      </w:r>
      <w:r>
        <w:rPr>
          <w:rFonts w:hint="default" w:ascii="Times New Roman" w:hAnsi="Times New Roman" w:cs="Times New Roman"/>
          <w:color w:val="auto"/>
          <w:sz w:val="24"/>
          <w:szCs w:val="24"/>
          <w:highlight w:val="none"/>
        </w:rPr>
        <w:t>。</w:t>
      </w:r>
    </w:p>
    <w:p w14:paraId="219D52B3">
      <w:pPr>
        <w:ind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object>
          <v:shape id="_x0000_i1032" o:spt="75" type="#_x0000_t75" style="height:186pt;width:319.5pt;" o:ole="t" filled="f" o:preferrelative="t" stroked="f" coordsize="21600,21600">
            <v:path/>
            <v:fill on="f" focussize="0,0"/>
            <v:stroke on="f"/>
            <v:imagedata r:id="rId35" o:title=""/>
            <o:lock v:ext="edit" aspectratio="f"/>
            <w10:wrap type="none"/>
            <w10:anchorlock/>
          </v:shape>
          <o:OLEObject Type="Embed" ProgID="Visio.Drawing.11" ShapeID="_x0000_i1032" DrawAspect="Content" ObjectID="_1468075732" r:id="rId34">
            <o:LockedField>false</o:LockedField>
          </o:OLEObject>
        </w:object>
      </w:r>
    </w:p>
    <w:p w14:paraId="31706EBC">
      <w:pPr>
        <w:ind w:firstLine="0" w:firstLineChars="0"/>
        <w:jc w:val="center"/>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图</w:t>
      </w:r>
      <w:r>
        <w:rPr>
          <w:rFonts w:hint="eastAsia" w:cs="Times New Roman"/>
          <w:b/>
          <w:bCs/>
          <w:color w:val="auto"/>
          <w:highlight w:val="none"/>
          <w:lang w:val="en-US" w:eastAsia="zh-CN"/>
        </w:rPr>
        <w:t>1</w:t>
      </w:r>
      <w:r>
        <w:rPr>
          <w:rFonts w:hint="default" w:ascii="Times New Roman" w:hAnsi="Times New Roman" w:cs="Times New Roman"/>
          <w:b/>
          <w:bCs/>
          <w:color w:val="auto"/>
          <w:highlight w:val="none"/>
        </w:rPr>
        <w:t>.8-</w:t>
      </w:r>
      <w:r>
        <w:rPr>
          <w:rFonts w:hint="eastAsia" w:ascii="Times New Roman" w:hAnsi="Times New Roman" w:cs="Times New Roman"/>
          <w:b/>
          <w:bCs/>
          <w:color w:val="auto"/>
          <w:highlight w:val="none"/>
          <w:lang w:val="en-US" w:eastAsia="zh-CN"/>
        </w:rPr>
        <w:t>6</w:t>
      </w:r>
      <w:r>
        <w:rPr>
          <w:rFonts w:hint="default" w:ascii="Times New Roman" w:hAnsi="Times New Roman" w:cs="Times New Roman"/>
          <w:b/>
          <w:bCs/>
          <w:color w:val="auto"/>
          <w:highlight w:val="none"/>
        </w:rPr>
        <w:t xml:space="preserve"> 公司突发环境事件应急预案与政府相关预案的衔接</w:t>
      </w:r>
    </w:p>
    <w:p w14:paraId="606AA8E8">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当发生</w:t>
      </w:r>
      <w:r>
        <w:rPr>
          <w:rFonts w:hint="eastAsia" w:cs="Times New Roman"/>
          <w:color w:val="auto"/>
          <w:sz w:val="24"/>
          <w:szCs w:val="24"/>
          <w:highlight w:val="none"/>
          <w:lang w:eastAsia="zh-CN"/>
        </w:rPr>
        <w:t>事故</w:t>
      </w:r>
      <w:r>
        <w:rPr>
          <w:rFonts w:hint="default" w:ascii="Times New Roman" w:hAnsi="Times New Roman" w:cs="Times New Roman"/>
          <w:color w:val="auto"/>
          <w:sz w:val="24"/>
          <w:szCs w:val="24"/>
          <w:highlight w:val="none"/>
        </w:rPr>
        <w:t>时，企业安全预案和突发环境事件应急预案同时启动，安全应急预案关注企业内部和外部的生命安全，突发环境事件应急预案关注事故发生后的环境后果及次生污染危害，两预案相互补充、相互配合，能使企业内部和周围生命财产安全及周边环境得到最大程度的保护。随着</w:t>
      </w:r>
      <w:r>
        <w:rPr>
          <w:rFonts w:hint="eastAsia" w:cs="Times New Roman"/>
          <w:color w:val="auto"/>
          <w:sz w:val="24"/>
          <w:szCs w:val="24"/>
          <w:highlight w:val="none"/>
          <w:lang w:eastAsia="zh-CN"/>
        </w:rPr>
        <w:t>事故扩大</w:t>
      </w:r>
      <w:r>
        <w:rPr>
          <w:rFonts w:hint="default" w:ascii="Times New Roman" w:hAnsi="Times New Roman" w:cs="Times New Roman"/>
          <w:color w:val="auto"/>
          <w:sz w:val="24"/>
          <w:szCs w:val="24"/>
          <w:highlight w:val="none"/>
        </w:rPr>
        <w:t>，安全处置更加关注</w:t>
      </w:r>
      <w:r>
        <w:rPr>
          <w:rFonts w:hint="eastAsia" w:cs="Times New Roman"/>
          <w:color w:val="auto"/>
          <w:sz w:val="24"/>
          <w:szCs w:val="24"/>
          <w:highlight w:val="none"/>
          <w:lang w:eastAsia="zh-CN"/>
        </w:rPr>
        <w:t>事故</w:t>
      </w:r>
      <w:r>
        <w:rPr>
          <w:rFonts w:hint="default" w:ascii="Times New Roman" w:hAnsi="Times New Roman" w:cs="Times New Roman"/>
          <w:color w:val="auto"/>
          <w:sz w:val="24"/>
          <w:szCs w:val="24"/>
          <w:highlight w:val="none"/>
        </w:rPr>
        <w:t>的蔓延及控制情况，环境应急处置需要关注灭火过程中产生的消防废水，防止消防废水漫流出厂界造成污染。一旦废水流出厂界，应及时告知</w:t>
      </w:r>
      <w:r>
        <w:rPr>
          <w:rFonts w:hint="eastAsia" w:cs="Times New Roman"/>
          <w:color w:val="auto"/>
          <w:sz w:val="24"/>
          <w:szCs w:val="24"/>
          <w:highlight w:val="none"/>
          <w:lang w:eastAsia="zh-CN"/>
        </w:rPr>
        <w:t>淄博市</w:t>
      </w:r>
      <w:r>
        <w:rPr>
          <w:rFonts w:hint="default" w:ascii="Times New Roman" w:hAnsi="Times New Roman" w:cs="Times New Roman"/>
          <w:color w:val="auto"/>
          <w:sz w:val="24"/>
          <w:szCs w:val="24"/>
          <w:highlight w:val="none"/>
        </w:rPr>
        <w:t>生态环境局</w:t>
      </w:r>
      <w:r>
        <w:rPr>
          <w:rFonts w:hint="eastAsia" w:cs="Times New Roman"/>
          <w:color w:val="auto"/>
          <w:sz w:val="24"/>
          <w:szCs w:val="24"/>
          <w:highlight w:val="none"/>
          <w:lang w:eastAsia="zh-CN"/>
        </w:rPr>
        <w:t>淄川分局</w:t>
      </w:r>
      <w:r>
        <w:rPr>
          <w:rFonts w:hint="default" w:ascii="Times New Roman" w:hAnsi="Times New Roman" w:cs="Times New Roman"/>
          <w:color w:val="auto"/>
          <w:sz w:val="24"/>
          <w:szCs w:val="24"/>
          <w:highlight w:val="none"/>
        </w:rPr>
        <w:t>、</w:t>
      </w:r>
      <w:r>
        <w:rPr>
          <w:rFonts w:hint="eastAsia" w:cs="Times New Roman"/>
          <w:color w:val="auto"/>
          <w:sz w:val="24"/>
          <w:szCs w:val="24"/>
          <w:highlight w:val="none"/>
          <w:lang w:val="en-US" w:eastAsia="zh-CN"/>
        </w:rPr>
        <w:t>河道</w:t>
      </w:r>
      <w:r>
        <w:rPr>
          <w:rFonts w:hint="default" w:ascii="Times New Roman" w:hAnsi="Times New Roman" w:cs="Times New Roman"/>
          <w:color w:val="auto"/>
          <w:sz w:val="24"/>
          <w:szCs w:val="24"/>
          <w:highlight w:val="none"/>
        </w:rPr>
        <w:t>水务管理等部门，及时切断雨水管网至</w:t>
      </w:r>
      <w:r>
        <w:rPr>
          <w:rFonts w:hint="eastAsia" w:cs="Times New Roman"/>
          <w:color w:val="auto"/>
          <w:sz w:val="24"/>
          <w:szCs w:val="24"/>
          <w:highlight w:val="none"/>
          <w:lang w:val="en-US" w:eastAsia="zh-CN"/>
        </w:rPr>
        <w:t>下游</w:t>
      </w:r>
      <w:r>
        <w:rPr>
          <w:rFonts w:hint="eastAsia" w:cs="Times New Roman"/>
          <w:color w:val="auto"/>
          <w:sz w:val="24"/>
          <w:szCs w:val="24"/>
          <w:highlight w:val="none"/>
          <w:lang w:eastAsia="zh-CN"/>
        </w:rPr>
        <w:t>河</w:t>
      </w:r>
      <w:r>
        <w:rPr>
          <w:rFonts w:hint="eastAsia" w:cs="Times New Roman"/>
          <w:color w:val="auto"/>
          <w:sz w:val="24"/>
          <w:szCs w:val="24"/>
          <w:highlight w:val="none"/>
          <w:lang w:val="en-US" w:eastAsia="zh-CN"/>
        </w:rPr>
        <w:t>流</w:t>
      </w:r>
      <w:r>
        <w:rPr>
          <w:rFonts w:hint="default" w:ascii="Times New Roman" w:hAnsi="Times New Roman" w:cs="Times New Roman"/>
          <w:color w:val="auto"/>
          <w:sz w:val="24"/>
          <w:szCs w:val="24"/>
          <w:highlight w:val="none"/>
        </w:rPr>
        <w:t>断面附近的闸阀，切断事故时</w:t>
      </w:r>
      <w:r>
        <w:rPr>
          <w:rFonts w:hint="eastAsia" w:cs="Times New Roman"/>
          <w:color w:val="auto"/>
          <w:sz w:val="24"/>
          <w:szCs w:val="24"/>
          <w:highlight w:val="none"/>
          <w:lang w:val="en-US" w:eastAsia="zh-CN"/>
        </w:rPr>
        <w:t>雨水管网</w:t>
      </w:r>
      <w:r>
        <w:rPr>
          <w:rFonts w:hint="default" w:ascii="Times New Roman" w:hAnsi="Times New Roman" w:cs="Times New Roman"/>
          <w:color w:val="auto"/>
          <w:sz w:val="24"/>
          <w:szCs w:val="24"/>
          <w:highlight w:val="none"/>
        </w:rPr>
        <w:t>与下游的水力联系。</w:t>
      </w:r>
    </w:p>
    <w:p w14:paraId="4B0C85A3">
      <w:pPr>
        <w:keepNext w:val="0"/>
        <w:keepLines w:val="0"/>
        <w:pageBreakBefore w:val="0"/>
        <w:widowControl w:val="0"/>
        <w:kinsoku/>
        <w:wordWrap/>
        <w:overflowPunct/>
        <w:topLinePunct w:val="0"/>
        <w:autoSpaceDE/>
        <w:autoSpaceDN/>
        <w:bidi w:val="0"/>
        <w:adjustRightInd/>
        <w:snapToGrid w:val="0"/>
        <w:spacing w:line="360" w:lineRule="auto"/>
        <w:ind w:left="0" w:leftChars="0"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.8.4.</w:t>
      </w:r>
      <w:r>
        <w:rPr>
          <w:rFonts w:hint="eastAsia" w:ascii="Times New Roman" w:hAnsi="Times New Roman" w:cs="Times New Roman"/>
          <w:b/>
          <w:bCs/>
          <w:color w:val="auto"/>
          <w:sz w:val="24"/>
          <w:szCs w:val="24"/>
          <w:highlight w:val="none"/>
          <w:lang w:val="en-US" w:eastAsia="zh-CN"/>
        </w:rPr>
        <w:t>5</w:t>
      </w:r>
      <w:r>
        <w:rPr>
          <w:rFonts w:hint="default" w:ascii="Times New Roman" w:hAnsi="Times New Roman" w:cs="Times New Roman"/>
          <w:b/>
          <w:bCs/>
          <w:color w:val="auto"/>
          <w:sz w:val="24"/>
          <w:szCs w:val="24"/>
          <w:highlight w:val="none"/>
        </w:rPr>
        <w:t xml:space="preserve"> 紧急安全疏散</w:t>
      </w:r>
    </w:p>
    <w:p w14:paraId="2223D472">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发生有毒物质泄漏需要紧急疏散撤离职工时，安环科、生产部、化验室负责人要组织人员查明毒物浓度和扩散情况，根据当时风向、风速判断扩散的方向和速度，组织人员尽量向事故泄漏点上风向撤离，若距离事故源点很远，难以迅速到达时，则应沿着</w:t>
      </w:r>
      <w:r>
        <w:rPr>
          <w:rFonts w:hint="eastAsia" w:cs="Times New Roman"/>
          <w:color w:val="auto"/>
          <w:sz w:val="24"/>
          <w:szCs w:val="24"/>
          <w:highlight w:val="none"/>
          <w:lang w:eastAsia="zh-CN"/>
        </w:rPr>
        <w:t>垂直</w:t>
      </w:r>
      <w:r>
        <w:rPr>
          <w:rFonts w:hint="default" w:ascii="Times New Roman" w:hAnsi="Times New Roman" w:cs="Times New Roman"/>
          <w:color w:val="auto"/>
          <w:sz w:val="24"/>
          <w:szCs w:val="24"/>
          <w:highlight w:val="none"/>
        </w:rPr>
        <w:t>风向迅速撤离至毒物扩散影响区范围外。可能威胁到公司外居民或厂外职工安全时，警戒保卫组、医疗救护组根据以上原则做好疏散群众的工作，公司周边情况要及时向救援领导小组报告</w:t>
      </w:r>
      <w:r>
        <w:rPr>
          <w:rFonts w:hint="eastAsia" w:cs="Times New Roman"/>
          <w:color w:val="auto"/>
          <w:sz w:val="24"/>
          <w:szCs w:val="24"/>
          <w:highlight w:val="none"/>
          <w:lang w:val="en-US" w:eastAsia="zh-CN"/>
        </w:rPr>
        <w:t>。</w:t>
      </w:r>
    </w:p>
    <w:p w14:paraId="2EF091D7">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（1）警戒疏散</w:t>
      </w:r>
    </w:p>
    <w:p w14:paraId="7671F5CE">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当发生火灾、爆炸、危险品泄漏等事故时，警戒组应立即警戒事故现场，并打开最近通道，当消防车辆到达后，引导消防车辆进入事故现场，同时，禁止无关人员进入事故现场，组织与施救无关人员到安全地带。</w:t>
      </w:r>
    </w:p>
    <w:p w14:paraId="7739DEB6">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（2）人员急救措施</w:t>
      </w:r>
    </w:p>
    <w:p w14:paraId="226E406C">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当发生人员受伤时，现场受伤人员应迅速转移到安全区域，由医护人员实施救护，严重者送到医院抢救。如发生事故时，有员工受伤，首先拨打电话120请求救援，如120急救车不能及时赶到，应由公司指派车辆（人员）护送伤员到医院进行救治。</w:t>
      </w:r>
    </w:p>
    <w:p w14:paraId="7B1C2F13">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（3）逃生路线</w:t>
      </w:r>
    </w:p>
    <w:p w14:paraId="75D32E3F">
      <w:pPr>
        <w:pStyle w:val="20"/>
        <w:keepNext w:val="0"/>
        <w:keepLines w:val="0"/>
        <w:pageBreakBefore w:val="0"/>
        <w:widowControl w:val="0"/>
        <w:kinsoku/>
        <w:wordWrap/>
        <w:overflowPunct/>
        <w:topLinePunct w:val="0"/>
        <w:autoSpaceDE/>
        <w:autoSpaceDN/>
        <w:bidi w:val="0"/>
        <w:adjustRightInd/>
        <w:snapToGrid w:val="0"/>
        <w:spacing w:after="0" w:line="360" w:lineRule="auto"/>
        <w:ind w:left="0" w:leftChars="0" w:firstLine="480" w:firstLineChars="200"/>
        <w:textAlignment w:val="auto"/>
        <w:rPr>
          <w:rFonts w:hint="default"/>
          <w:color w:val="auto"/>
          <w:sz w:val="24"/>
          <w:szCs w:val="24"/>
          <w:highlight w:val="none"/>
        </w:rPr>
      </w:pPr>
      <w:r>
        <w:rPr>
          <w:rFonts w:hint="eastAsia"/>
          <w:bCs/>
          <w:color w:val="auto"/>
          <w:sz w:val="24"/>
          <w:szCs w:val="24"/>
          <w:highlight w:val="none"/>
        </w:rPr>
        <w:t>一旦发生对人危害性较大的重特大事故时，及时逃生将是降低事故损失非常关键的步骤，在应急救援领导小组组长下达撤离事故现场的命令后，撤离人员，应迅速从各岗位向规定区域进行逃生，逃生过程中必须沿消防路逃生，以便在发生意外时，可以进行及时有效的救治，缩短抢救人员的救援时间。</w:t>
      </w:r>
    </w:p>
    <w:p w14:paraId="5F9D3003">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（4）社会关注区应急撤离、疏散计划</w:t>
      </w:r>
    </w:p>
    <w:p w14:paraId="7010A91D">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项目环境风险敏感的重点关注</w:t>
      </w:r>
      <w:r>
        <w:rPr>
          <w:rFonts w:hint="eastAsia"/>
          <w:bCs/>
          <w:color w:val="auto"/>
          <w:sz w:val="24"/>
          <w:szCs w:val="24"/>
          <w:highlight w:val="none"/>
          <w:lang w:eastAsia="zh-CN"/>
        </w:rPr>
        <w:t>区域</w:t>
      </w:r>
      <w:r>
        <w:rPr>
          <w:rFonts w:hint="eastAsia"/>
          <w:bCs/>
          <w:color w:val="auto"/>
          <w:sz w:val="24"/>
          <w:szCs w:val="24"/>
          <w:highlight w:val="none"/>
        </w:rPr>
        <w:t>包括：</w:t>
      </w:r>
    </w:p>
    <w:p w14:paraId="0CE5927E">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周边</w:t>
      </w:r>
      <w:r>
        <w:rPr>
          <w:rFonts w:hint="eastAsia"/>
          <w:bCs/>
          <w:color w:val="auto"/>
          <w:sz w:val="24"/>
          <w:szCs w:val="24"/>
          <w:highlight w:val="none"/>
          <w:lang w:eastAsia="zh-CN"/>
        </w:rPr>
        <w:t>敏感点、</w:t>
      </w:r>
      <w:r>
        <w:rPr>
          <w:rFonts w:hint="eastAsia"/>
          <w:bCs/>
          <w:color w:val="auto"/>
          <w:sz w:val="24"/>
          <w:szCs w:val="24"/>
          <w:highlight w:val="none"/>
        </w:rPr>
        <w:t>村庄：</w:t>
      </w:r>
      <w:r>
        <w:rPr>
          <w:rFonts w:hint="eastAsia" w:ascii="宋体" w:hAnsi="宋体" w:eastAsia="宋体" w:cs="宋体"/>
          <w:i w:val="0"/>
          <w:iCs w:val="0"/>
          <w:color w:val="auto"/>
          <w:kern w:val="0"/>
          <w:sz w:val="24"/>
          <w:szCs w:val="24"/>
          <w:u w:val="none"/>
          <w:lang w:val="en-US" w:eastAsia="zh-CN" w:bidi="ar"/>
        </w:rPr>
        <w:t>南韩村</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北韩村</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洼子村</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东官村</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河东村</w:t>
      </w:r>
      <w:r>
        <w:rPr>
          <w:rFonts w:hint="eastAsia"/>
          <w:bCs/>
          <w:color w:val="auto"/>
          <w:sz w:val="24"/>
          <w:szCs w:val="24"/>
          <w:highlight w:val="none"/>
        </w:rPr>
        <w:t>等。</w:t>
      </w:r>
    </w:p>
    <w:p w14:paraId="0AF86667">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根据环境风险预测结果，当发生</w:t>
      </w:r>
      <w:r>
        <w:rPr>
          <w:rFonts w:hint="eastAsia"/>
          <w:bCs/>
          <w:color w:val="auto"/>
          <w:sz w:val="24"/>
          <w:szCs w:val="24"/>
          <w:highlight w:val="none"/>
          <w:lang w:eastAsia="zh-CN"/>
        </w:rPr>
        <w:t>发烟硫酸</w:t>
      </w:r>
      <w:r>
        <w:rPr>
          <w:rFonts w:hint="eastAsia"/>
          <w:bCs/>
          <w:color w:val="auto"/>
          <w:sz w:val="24"/>
          <w:szCs w:val="24"/>
          <w:highlight w:val="none"/>
        </w:rPr>
        <w:t>泄漏</w:t>
      </w:r>
      <w:r>
        <w:rPr>
          <w:rFonts w:hint="eastAsia"/>
          <w:bCs/>
          <w:color w:val="auto"/>
          <w:sz w:val="24"/>
          <w:szCs w:val="24"/>
          <w:highlight w:val="none"/>
          <w:lang w:eastAsia="zh-CN"/>
        </w:rPr>
        <w:t>导致挥发的</w:t>
      </w:r>
      <w:r>
        <w:rPr>
          <w:rFonts w:hint="eastAsia"/>
          <w:bCs/>
          <w:color w:val="auto"/>
          <w:sz w:val="24"/>
          <w:szCs w:val="24"/>
          <w:highlight w:val="none"/>
          <w:lang w:val="en-US" w:eastAsia="zh-CN"/>
        </w:rPr>
        <w:t>三氧化硫</w:t>
      </w:r>
      <w:r>
        <w:rPr>
          <w:rFonts w:hint="eastAsia"/>
          <w:bCs/>
          <w:color w:val="auto"/>
          <w:sz w:val="24"/>
          <w:szCs w:val="24"/>
          <w:highlight w:val="none"/>
        </w:rPr>
        <w:t>等有毒有害气体</w:t>
      </w:r>
      <w:r>
        <w:rPr>
          <w:rFonts w:hint="eastAsia"/>
          <w:bCs/>
          <w:color w:val="auto"/>
          <w:sz w:val="24"/>
          <w:szCs w:val="24"/>
          <w:highlight w:val="none"/>
          <w:lang w:eastAsia="zh-CN"/>
        </w:rPr>
        <w:t>扩散</w:t>
      </w:r>
      <w:r>
        <w:rPr>
          <w:rFonts w:hint="eastAsia"/>
          <w:bCs/>
          <w:color w:val="auto"/>
          <w:sz w:val="24"/>
          <w:szCs w:val="24"/>
          <w:highlight w:val="none"/>
        </w:rPr>
        <w:t>事故时，应对重点关注区制定详细的应急响应预案及应急撤离、疏散计划，具体如下：</w:t>
      </w:r>
    </w:p>
    <w:p w14:paraId="3D879F7B">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①根据《突发公共卫生事件应急条例》的要求，坚决贯彻“信息畅通、反应快捷、指挥有力、责任明确”的应急原则分别制定各关注区的“公共安全应急预案”。</w:t>
      </w:r>
    </w:p>
    <w:p w14:paraId="1BC52596">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②重点关注区常设专项机构、专人与区应急指挥中心保持联系，无事故状态下进行定期信息互换和监督管理，事故状态下则进行事故报警、应急措施指导、通报以及处理结果反馈等紧急信息联络。</w:t>
      </w:r>
    </w:p>
    <w:p w14:paraId="180A1425">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③在发生</w:t>
      </w:r>
      <w:r>
        <w:rPr>
          <w:rFonts w:hint="eastAsia"/>
          <w:bCs/>
          <w:color w:val="auto"/>
          <w:sz w:val="24"/>
          <w:szCs w:val="24"/>
          <w:highlight w:val="none"/>
          <w:lang w:eastAsia="zh-CN"/>
        </w:rPr>
        <w:t>特别</w:t>
      </w:r>
      <w:r>
        <w:rPr>
          <w:rFonts w:hint="eastAsia"/>
          <w:bCs/>
          <w:color w:val="auto"/>
          <w:sz w:val="24"/>
          <w:szCs w:val="24"/>
          <w:highlight w:val="none"/>
        </w:rPr>
        <w:t>重大有毒有害物质泄漏、火灾、爆炸事故情况下，调度室应立即通知受影响敏感区公共安全应急预案小组，预案指导小组应根据事故通报信息及时通过高音广播或专职信息员向受灾居民报警，杜绝明火，主要路口组织人员发放安全防范用具（防毒面具、口罩等），并按照风向、风速指示器及撤离应急计划安排敏感区内居民有序、快速撤离到远离事故地点的空旷地带，附近地区消防、公安武警、医疗机构及时出调相关人员，确保撤离路线安全、通畅、组织有序、救护及时。对于老弱病残人员，应组织专业人员或车辆进行特殊保护、撤离。并要求启动人员安置及物资供应紧急方案，同时向相关地方部门和国家有关部门及时通报应急处理情况。</w:t>
      </w:r>
    </w:p>
    <w:p w14:paraId="102DB72C">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④突发事故结束后，根据敏感点的实际情况，结合环境监测部门的监测结果，由受害区应急预案小组协同地方政府、公司等相关部门，通知、组织安排撤离人员有序返回，必要时应提供相关帮助和支持，做好人员返回后的善后、赔偿、教育工作，并适时宣布关闭事故应急程序。</w:t>
      </w:r>
    </w:p>
    <w:p w14:paraId="52810FB2">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eastAsia"/>
          <w:bCs/>
          <w:color w:val="auto"/>
          <w:sz w:val="24"/>
          <w:szCs w:val="24"/>
          <w:highlight w:val="none"/>
        </w:rPr>
      </w:pPr>
      <w:r>
        <w:rPr>
          <w:rFonts w:hint="eastAsia"/>
          <w:bCs/>
          <w:color w:val="auto"/>
          <w:sz w:val="24"/>
          <w:szCs w:val="24"/>
          <w:highlight w:val="none"/>
        </w:rPr>
        <w:t>⑤结合本公司事故应急预案，定期组织敏感点内</w:t>
      </w:r>
      <w:r>
        <w:rPr>
          <w:rFonts w:hint="eastAsia"/>
          <w:bCs/>
          <w:color w:val="auto"/>
          <w:sz w:val="24"/>
          <w:szCs w:val="24"/>
          <w:highlight w:val="none"/>
          <w:lang w:eastAsia="zh-CN"/>
        </w:rPr>
        <w:t>常住居民</w:t>
      </w:r>
      <w:r>
        <w:rPr>
          <w:rFonts w:hint="eastAsia"/>
          <w:bCs/>
          <w:color w:val="auto"/>
          <w:sz w:val="24"/>
          <w:szCs w:val="24"/>
          <w:highlight w:val="none"/>
        </w:rPr>
        <w:t>进行健康、安全教育和应急预案演习，</w:t>
      </w:r>
      <w:r>
        <w:rPr>
          <w:rFonts w:hint="eastAsia"/>
          <w:bCs/>
          <w:color w:val="auto"/>
          <w:sz w:val="24"/>
          <w:szCs w:val="24"/>
          <w:highlight w:val="none"/>
          <w:lang w:eastAsia="zh-CN"/>
        </w:rPr>
        <w:t>增强</w:t>
      </w:r>
      <w:r>
        <w:rPr>
          <w:rFonts w:hint="eastAsia"/>
          <w:bCs/>
          <w:color w:val="auto"/>
          <w:sz w:val="24"/>
          <w:szCs w:val="24"/>
          <w:highlight w:val="none"/>
        </w:rPr>
        <w:t>自我防范意识和自救能力，安排能力较</w:t>
      </w:r>
      <w:r>
        <w:rPr>
          <w:rFonts w:hint="eastAsia"/>
          <w:bCs/>
          <w:color w:val="auto"/>
          <w:sz w:val="24"/>
          <w:szCs w:val="24"/>
          <w:highlight w:val="none"/>
          <w:lang w:eastAsia="zh-CN"/>
        </w:rPr>
        <w:t>强的</w:t>
      </w:r>
      <w:r>
        <w:rPr>
          <w:rFonts w:hint="eastAsia"/>
          <w:bCs/>
          <w:color w:val="auto"/>
          <w:sz w:val="24"/>
          <w:szCs w:val="24"/>
          <w:highlight w:val="none"/>
        </w:rPr>
        <w:t>居民作为安全协防人员，协调敏感区应急指导小组与居民群众的紧急事故处理关系。</w:t>
      </w:r>
    </w:p>
    <w:p w14:paraId="58F18198">
      <w:pPr>
        <w:keepNext w:val="0"/>
        <w:keepLines w:val="0"/>
        <w:pageBreakBefore w:val="0"/>
        <w:widowControl w:val="0"/>
        <w:kinsoku/>
        <w:wordWrap/>
        <w:overflowPunct/>
        <w:topLinePunct w:val="0"/>
        <w:autoSpaceDE/>
        <w:autoSpaceDN/>
        <w:bidi w:val="0"/>
        <w:adjustRightInd/>
        <w:snapToGrid w:val="0"/>
        <w:spacing w:line="360" w:lineRule="auto"/>
        <w:ind w:left="0" w:leftChars="0"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.8.4.6 事故应急终止</w:t>
      </w:r>
    </w:p>
    <w:p w14:paraId="1E8BEE79">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（1）现场应急救援指挥部确认终止时机（或事件负责单位提出），经现场应急救援指挥部批准应急终止。</w:t>
      </w:r>
    </w:p>
    <w:p w14:paraId="24329F71">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（2）</w:t>
      </w:r>
      <w:r>
        <w:rPr>
          <w:rFonts w:hint="eastAsia" w:cs="Times New Roman"/>
          <w:color w:val="auto"/>
          <w:sz w:val="24"/>
          <w:szCs w:val="24"/>
          <w:highlight w:val="none"/>
          <w:lang w:eastAsia="zh-CN"/>
        </w:rPr>
        <w:t>现场</w:t>
      </w:r>
      <w:r>
        <w:rPr>
          <w:rFonts w:hint="default" w:ascii="Times New Roman" w:hAnsi="Times New Roman" w:cs="Times New Roman"/>
          <w:color w:val="auto"/>
          <w:sz w:val="24"/>
          <w:szCs w:val="24"/>
          <w:highlight w:val="none"/>
        </w:rPr>
        <w:t>应急救援指挥部向所属各专业应急救援队伍下达应急终止命令。</w:t>
      </w:r>
    </w:p>
    <w:p w14:paraId="3CCAA2F5">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（3）应急状态终止后，环境事件应急指挥部应根据实际情况和上级应急指挥机构有关指示，继续进行环境监测和评价工作，直至</w:t>
      </w:r>
      <w:r>
        <w:rPr>
          <w:rFonts w:hint="eastAsia" w:cs="Times New Roman"/>
          <w:color w:val="auto"/>
          <w:sz w:val="24"/>
          <w:szCs w:val="24"/>
          <w:highlight w:val="none"/>
          <w:lang w:eastAsia="zh-CN"/>
        </w:rPr>
        <w:t>其他</w:t>
      </w:r>
      <w:r>
        <w:rPr>
          <w:rFonts w:hint="default" w:ascii="Times New Roman" w:hAnsi="Times New Roman" w:cs="Times New Roman"/>
          <w:color w:val="auto"/>
          <w:sz w:val="24"/>
          <w:szCs w:val="24"/>
          <w:highlight w:val="none"/>
        </w:rPr>
        <w:t>补救措施无需继续进行为止。</w:t>
      </w:r>
    </w:p>
    <w:p w14:paraId="603AC336">
      <w:pPr>
        <w:keepNext w:val="0"/>
        <w:keepLines w:val="0"/>
        <w:pageBreakBefore w:val="0"/>
        <w:widowControl w:val="0"/>
        <w:kinsoku/>
        <w:wordWrap/>
        <w:overflowPunct/>
        <w:topLinePunct w:val="0"/>
        <w:autoSpaceDE/>
        <w:autoSpaceDN/>
        <w:bidi w:val="0"/>
        <w:adjustRightInd/>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（4）应急状态终止后，在公司副总经理指挥下组成由生产、安全环保和发生事故单位参加的事故调查小组；</w:t>
      </w:r>
      <w:r>
        <w:rPr>
          <w:rFonts w:hint="eastAsia" w:cs="Times New Roman"/>
          <w:color w:val="auto"/>
          <w:sz w:val="24"/>
          <w:szCs w:val="24"/>
          <w:highlight w:val="none"/>
          <w:lang w:eastAsia="zh-CN"/>
        </w:rPr>
        <w:t>调查</w:t>
      </w:r>
      <w:r>
        <w:rPr>
          <w:rFonts w:hint="default" w:ascii="Times New Roman" w:hAnsi="Times New Roman" w:cs="Times New Roman"/>
          <w:color w:val="auto"/>
          <w:sz w:val="24"/>
          <w:szCs w:val="24"/>
          <w:highlight w:val="none"/>
        </w:rPr>
        <w:t>事故发生的原因和研究制定防范措施；保护事故现场，需要移动现场物品时，应当做出标记和书面记录，妥善保管有关证物；对事故过程中造成的人员伤亡和财产损失做收集统计、归纳、形成文件，为进一步处理事故的工作提供资料，并按照国家有关规定及时向有关部门进行事故报告。</w:t>
      </w:r>
    </w:p>
    <w:p w14:paraId="3E03BF3B">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（5）应急状态终止后妥善处理好在事故中伤亡人员的善后工作，尽快组织恢复正常的</w:t>
      </w:r>
      <w:r>
        <w:rPr>
          <w:rFonts w:hint="eastAsia" w:cs="Times New Roman"/>
          <w:color w:val="auto"/>
          <w:sz w:val="24"/>
          <w:szCs w:val="24"/>
          <w:highlight w:val="none"/>
          <w:lang w:eastAsia="zh-CN"/>
        </w:rPr>
        <w:t>生产</w:t>
      </w:r>
      <w:r>
        <w:rPr>
          <w:rFonts w:hint="default" w:ascii="Times New Roman" w:hAnsi="Times New Roman" w:cs="Times New Roman"/>
          <w:color w:val="auto"/>
          <w:sz w:val="24"/>
          <w:szCs w:val="24"/>
          <w:highlight w:val="none"/>
        </w:rPr>
        <w:t>工作。</w:t>
      </w:r>
    </w:p>
    <w:p w14:paraId="2C110E1C">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（6）对应急预案在事故发生实施的全过程，认真科学</w:t>
      </w:r>
      <w:r>
        <w:rPr>
          <w:rFonts w:hint="eastAsia" w:cs="Times New Roman"/>
          <w:color w:val="auto"/>
          <w:sz w:val="24"/>
          <w:szCs w:val="24"/>
          <w:highlight w:val="none"/>
          <w:lang w:eastAsia="zh-CN"/>
        </w:rPr>
        <w:t>地做出</w:t>
      </w:r>
      <w:r>
        <w:rPr>
          <w:rFonts w:hint="default" w:ascii="Times New Roman" w:hAnsi="Times New Roman" w:cs="Times New Roman"/>
          <w:color w:val="auto"/>
          <w:sz w:val="24"/>
          <w:szCs w:val="24"/>
          <w:highlight w:val="none"/>
        </w:rPr>
        <w:t>总结，完善预案中的不足和缺陷，为今后的预案建立、制定提供经验和完善的依据。</w:t>
      </w:r>
    </w:p>
    <w:p w14:paraId="4AC29703">
      <w:pPr>
        <w:pageBreakBefore w:val="0"/>
        <w:widowControl w:val="0"/>
        <w:kinsoku/>
        <w:wordWrap/>
        <w:overflowPunct/>
        <w:topLinePunct w:val="0"/>
        <w:bidi w:val="0"/>
        <w:snapToGrid w:val="0"/>
        <w:spacing w:line="360" w:lineRule="auto"/>
        <w:ind w:left="0" w:leftChars="0" w:firstLine="482" w:firstLineChars="200"/>
        <w:textAlignment w:val="auto"/>
        <w:outlineLvl w:val="3"/>
        <w:rPr>
          <w:rFonts w:hint="default" w:ascii="Times New Roman" w:hAnsi="Times New Roman" w:cs="Times New Roman"/>
          <w:b/>
          <w:bCs/>
          <w:color w:val="auto"/>
          <w:sz w:val="24"/>
          <w:szCs w:val="24"/>
          <w:highlight w:val="none"/>
        </w:rPr>
      </w:pPr>
      <w:r>
        <w:rPr>
          <w:rFonts w:hint="eastAsia" w:cs="Times New Roman"/>
          <w:b/>
          <w:bCs/>
          <w:color w:val="auto"/>
          <w:sz w:val="24"/>
          <w:szCs w:val="24"/>
          <w:highlight w:val="none"/>
          <w:lang w:val="en-US" w:eastAsia="zh-CN"/>
        </w:rPr>
        <w:t>1</w:t>
      </w:r>
      <w:r>
        <w:rPr>
          <w:rFonts w:hint="default" w:ascii="Times New Roman" w:hAnsi="Times New Roman" w:cs="Times New Roman"/>
          <w:b/>
          <w:bCs/>
          <w:color w:val="auto"/>
          <w:sz w:val="24"/>
          <w:szCs w:val="24"/>
          <w:highlight w:val="none"/>
        </w:rPr>
        <w:t>.8.4.7应急救援培训计划</w:t>
      </w:r>
    </w:p>
    <w:p w14:paraId="1A928209">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（1）应急救援人员培训</w:t>
      </w:r>
    </w:p>
    <w:p w14:paraId="3B9F91CD">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建设单位应定期对应急救援人员进行应急事故处理及紧急救援培训，应急救援人员的培训由领导小组统一安排</w:t>
      </w:r>
      <w:r>
        <w:rPr>
          <w:rFonts w:hint="eastAsia" w:cs="Times New Roman"/>
          <w:bCs/>
          <w:color w:val="auto"/>
          <w:sz w:val="24"/>
          <w:szCs w:val="24"/>
          <w:highlight w:val="none"/>
          <w:lang w:eastAsia="zh-CN"/>
        </w:rPr>
        <w:t>指定专人</w:t>
      </w:r>
      <w:r>
        <w:rPr>
          <w:rFonts w:hint="default" w:ascii="Times New Roman" w:hAnsi="Times New Roman" w:cs="Times New Roman"/>
          <w:bCs/>
          <w:color w:val="auto"/>
          <w:sz w:val="24"/>
          <w:szCs w:val="24"/>
          <w:highlight w:val="none"/>
        </w:rPr>
        <w:t>进行。</w:t>
      </w:r>
    </w:p>
    <w:p w14:paraId="36E1E79F">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（2）员工应急响应的培训</w:t>
      </w:r>
    </w:p>
    <w:p w14:paraId="454B53D6">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由公司组织应急救援人员定期对员工进行应急事故处理及紧急救援培训，</w:t>
      </w:r>
      <w:r>
        <w:rPr>
          <w:rFonts w:hint="eastAsia" w:cs="Times New Roman"/>
          <w:bCs/>
          <w:color w:val="auto"/>
          <w:sz w:val="24"/>
          <w:szCs w:val="24"/>
          <w:highlight w:val="none"/>
          <w:lang w:eastAsia="zh-CN"/>
        </w:rPr>
        <w:t>增强</w:t>
      </w:r>
      <w:r>
        <w:rPr>
          <w:rFonts w:hint="default" w:ascii="Times New Roman" w:hAnsi="Times New Roman" w:cs="Times New Roman"/>
          <w:bCs/>
          <w:color w:val="auto"/>
          <w:sz w:val="24"/>
          <w:szCs w:val="24"/>
          <w:highlight w:val="none"/>
        </w:rPr>
        <w:t>员工风险防范意识及自救能力。</w:t>
      </w:r>
    </w:p>
    <w:p w14:paraId="705A33EB">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（3）演练计划</w:t>
      </w:r>
    </w:p>
    <w:p w14:paraId="487FFE26">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rPr>
        <w:t>建设单位须定期进行突发事件紧急响应演习，演习至少每年组织一次，由公司应急救援领导小组组织。</w:t>
      </w:r>
    </w:p>
    <w:p w14:paraId="28439B72">
      <w:pPr>
        <w:pStyle w:val="3"/>
        <w:pageBreakBefore w:val="0"/>
        <w:widowControl w:val="0"/>
        <w:kinsoku/>
        <w:wordWrap/>
        <w:overflowPunct/>
        <w:topLinePunct w:val="0"/>
        <w:bidi w:val="0"/>
        <w:snapToGrid w:val="0"/>
        <w:spacing w:before="0" w:after="0" w:line="360" w:lineRule="auto"/>
        <w:ind w:left="0" w:leftChars="0" w:firstLine="482" w:firstLineChars="200"/>
        <w:textAlignment w:val="auto"/>
        <w:rPr>
          <w:rFonts w:hint="default" w:ascii="Times New Roman" w:hAnsi="Times New Roman" w:cs="Times New Roman"/>
          <w:color w:val="auto"/>
          <w:sz w:val="24"/>
          <w:szCs w:val="24"/>
          <w:highlight w:val="none"/>
        </w:rPr>
      </w:pPr>
      <w:bookmarkStart w:id="16" w:name="_Toc9386"/>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.9环境风险评价小结</w:t>
      </w:r>
      <w:bookmarkEnd w:id="16"/>
    </w:p>
    <w:p w14:paraId="7568B0DA">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 xml:space="preserve">1、项目危险因素 </w:t>
      </w:r>
    </w:p>
    <w:p w14:paraId="6ABBC3ED">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本项目涉及的主要危险物质包括</w:t>
      </w:r>
      <w:r>
        <w:rPr>
          <w:rFonts w:hint="eastAsia" w:cs="Times New Roman"/>
          <w:color w:val="auto"/>
          <w:kern w:val="0"/>
          <w:sz w:val="24"/>
          <w:szCs w:val="24"/>
          <w:highlight w:val="none"/>
          <w:lang w:eastAsia="zh-CN"/>
        </w:rPr>
        <w:t>发烟硫酸、硫酸</w:t>
      </w:r>
      <w:r>
        <w:rPr>
          <w:rFonts w:hint="default" w:ascii="Times New Roman" w:hAnsi="Times New Roman" w:cs="Times New Roman"/>
          <w:color w:val="auto"/>
          <w:kern w:val="0"/>
          <w:sz w:val="24"/>
          <w:szCs w:val="24"/>
          <w:highlight w:val="none"/>
        </w:rPr>
        <w:t>等，主要涉及危险单元包括罐区及输送管线等。项目潜在危险因素主要是</w:t>
      </w:r>
      <w:r>
        <w:rPr>
          <w:rFonts w:hint="eastAsia" w:cs="Times New Roman"/>
          <w:color w:val="auto"/>
          <w:kern w:val="0"/>
          <w:sz w:val="24"/>
          <w:szCs w:val="24"/>
          <w:highlight w:val="none"/>
          <w:lang w:eastAsia="zh-CN"/>
        </w:rPr>
        <w:t>泄漏</w:t>
      </w:r>
      <w:r>
        <w:rPr>
          <w:rFonts w:hint="default" w:ascii="Times New Roman" w:hAnsi="Times New Roman" w:cs="Times New Roman"/>
          <w:color w:val="auto"/>
          <w:kern w:val="0"/>
          <w:sz w:val="24"/>
          <w:szCs w:val="24"/>
          <w:highlight w:val="none"/>
        </w:rPr>
        <w:t>、火灾或爆炸事故，项目</w:t>
      </w:r>
      <w:r>
        <w:rPr>
          <w:rFonts w:hint="eastAsia" w:cs="Times New Roman"/>
          <w:color w:val="auto"/>
          <w:kern w:val="0"/>
          <w:sz w:val="24"/>
          <w:szCs w:val="24"/>
          <w:highlight w:val="none"/>
          <w:lang w:eastAsia="zh-CN"/>
        </w:rPr>
        <w:t>新建厂房进行生产</w:t>
      </w:r>
      <w:r>
        <w:rPr>
          <w:rFonts w:hint="default" w:ascii="Times New Roman" w:hAnsi="Times New Roman" w:cs="Times New Roman"/>
          <w:color w:val="auto"/>
          <w:kern w:val="0"/>
          <w:sz w:val="24"/>
          <w:szCs w:val="24"/>
          <w:highlight w:val="none"/>
        </w:rPr>
        <w:t>，</w:t>
      </w:r>
      <w:r>
        <w:rPr>
          <w:rFonts w:hint="eastAsia" w:cs="Times New Roman"/>
          <w:color w:val="auto"/>
          <w:kern w:val="0"/>
          <w:sz w:val="24"/>
          <w:szCs w:val="24"/>
          <w:highlight w:val="none"/>
          <w:lang w:eastAsia="zh-CN"/>
        </w:rPr>
        <w:t>总平面布置图</w:t>
      </w:r>
      <w:r>
        <w:rPr>
          <w:rFonts w:hint="default" w:ascii="Times New Roman" w:hAnsi="Times New Roman" w:cs="Times New Roman"/>
          <w:color w:val="auto"/>
          <w:kern w:val="0"/>
          <w:sz w:val="24"/>
          <w:szCs w:val="24"/>
          <w:highlight w:val="none"/>
        </w:rPr>
        <w:t>设计已充分考虑环境风险，符合环境风险的要求。</w:t>
      </w:r>
    </w:p>
    <w:p w14:paraId="497C2CA1">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项目施工建设中应严格执行国家有关部门现行的设计规范、规定及标准。根据车间（工序）生产过程中火灾、爆炸危险等级及毒物危害程度分级进行分类、分区布置。合理划分管理区、生产区、辅助生产区及储运设施区，各区按其危害程度采取相应的安全防范措施进行管理。</w:t>
      </w:r>
    </w:p>
    <w:p w14:paraId="67D8D21A">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2、环境敏感性及事故环境影响</w:t>
      </w:r>
    </w:p>
    <w:p w14:paraId="4D879035">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项目位于</w:t>
      </w:r>
      <w:r>
        <w:rPr>
          <w:rFonts w:hint="eastAsia" w:cs="Times New Roman"/>
          <w:color w:val="auto"/>
          <w:kern w:val="0"/>
          <w:sz w:val="24"/>
          <w:szCs w:val="24"/>
          <w:highlight w:val="none"/>
          <w:lang w:eastAsia="zh-CN"/>
        </w:rPr>
        <w:t>淄博市淄川区</w:t>
      </w:r>
      <w:r>
        <w:rPr>
          <w:rFonts w:hint="eastAsia" w:cs="Times New Roman"/>
          <w:color w:val="auto"/>
          <w:kern w:val="0"/>
          <w:sz w:val="24"/>
          <w:szCs w:val="24"/>
          <w:highlight w:val="none"/>
          <w:lang w:val="en-US" w:eastAsia="zh-CN"/>
        </w:rPr>
        <w:t>罗村镇</w:t>
      </w:r>
      <w:r>
        <w:rPr>
          <w:rFonts w:hint="default" w:ascii="Times New Roman" w:hAnsi="Times New Roman" w:cs="Times New Roman"/>
          <w:color w:val="auto"/>
          <w:kern w:val="0"/>
          <w:sz w:val="24"/>
          <w:szCs w:val="24"/>
          <w:highlight w:val="none"/>
        </w:rPr>
        <w:t>，最近的保护目标为项目</w:t>
      </w:r>
      <w:r>
        <w:rPr>
          <w:rFonts w:hint="eastAsia" w:cs="Times New Roman"/>
          <w:color w:val="auto"/>
          <w:kern w:val="0"/>
          <w:sz w:val="24"/>
          <w:szCs w:val="24"/>
          <w:highlight w:val="none"/>
          <w:lang w:val="en-US" w:eastAsia="zh-CN"/>
        </w:rPr>
        <w:t>WSW方位40</w:t>
      </w:r>
      <w:r>
        <w:rPr>
          <w:rFonts w:hint="default" w:ascii="Times New Roman" w:hAnsi="Times New Roman" w:cs="Times New Roman"/>
          <w:color w:val="auto"/>
          <w:kern w:val="0"/>
          <w:sz w:val="24"/>
          <w:szCs w:val="24"/>
          <w:highlight w:val="none"/>
          <w:lang w:val="en-US" w:eastAsia="zh-CN"/>
        </w:rPr>
        <w:t>0</w:t>
      </w:r>
      <w:r>
        <w:rPr>
          <w:rFonts w:hint="default" w:ascii="Times New Roman" w:hAnsi="Times New Roman" w:cs="Times New Roman"/>
          <w:color w:val="auto"/>
          <w:kern w:val="0"/>
          <w:sz w:val="24"/>
          <w:szCs w:val="24"/>
          <w:highlight w:val="none"/>
        </w:rPr>
        <w:t>m处的南韩村，人群主要为本村</w:t>
      </w:r>
      <w:r>
        <w:rPr>
          <w:rFonts w:hint="default" w:ascii="Times New Roman" w:hAnsi="Times New Roman" w:cs="Times New Roman"/>
          <w:color w:val="auto"/>
          <w:kern w:val="0"/>
          <w:sz w:val="24"/>
          <w:szCs w:val="24"/>
          <w:highlight w:val="none"/>
          <w:lang w:eastAsia="zh-CN"/>
        </w:rPr>
        <w:t>及周边村庄儿童</w:t>
      </w:r>
      <w:r>
        <w:rPr>
          <w:rFonts w:hint="default" w:ascii="Times New Roman" w:hAnsi="Times New Roman" w:cs="Times New Roman"/>
          <w:color w:val="auto"/>
          <w:kern w:val="0"/>
          <w:sz w:val="24"/>
          <w:szCs w:val="24"/>
          <w:highlight w:val="none"/>
        </w:rPr>
        <w:t>；项目周边无地表水和地下水环境敏感目标。</w:t>
      </w:r>
    </w:p>
    <w:p w14:paraId="79A8690D">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根据本项目环境风险影响评价，项目发生突发环境事故情况下可能受影响的区域主要为事故源下风向敏感点、厂区</w:t>
      </w:r>
      <w:r>
        <w:rPr>
          <w:rFonts w:hint="default" w:ascii="Times New Roman" w:hAnsi="Times New Roman" w:cs="Times New Roman"/>
          <w:color w:val="auto"/>
          <w:kern w:val="0"/>
          <w:sz w:val="24"/>
          <w:szCs w:val="24"/>
          <w:highlight w:val="none"/>
          <w:lang w:eastAsia="zh-CN"/>
        </w:rPr>
        <w:t>下游</w:t>
      </w:r>
      <w:r>
        <w:rPr>
          <w:rFonts w:hint="eastAsia" w:cs="Times New Roman"/>
          <w:color w:val="auto"/>
          <w:kern w:val="0"/>
          <w:sz w:val="24"/>
          <w:szCs w:val="24"/>
          <w:highlight w:val="none"/>
          <w:lang w:val="en-US" w:eastAsia="zh-CN"/>
        </w:rPr>
        <w:t>地表水</w:t>
      </w:r>
      <w:r>
        <w:rPr>
          <w:rFonts w:hint="default" w:ascii="Times New Roman" w:hAnsi="Times New Roman" w:cs="Times New Roman"/>
          <w:color w:val="auto"/>
          <w:kern w:val="0"/>
          <w:sz w:val="24"/>
          <w:szCs w:val="24"/>
          <w:highlight w:val="none"/>
        </w:rPr>
        <w:t>及下游地下水环境。发生事故情况下，企业应及时组织下风向敏感保护目标群众进行有序疏散，并对周边交通实施交通管制，确保事故下风向群众安全。</w:t>
      </w:r>
    </w:p>
    <w:p w14:paraId="09C708CF">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3、环境风险防范措施和应急预案</w:t>
      </w:r>
    </w:p>
    <w:p w14:paraId="1E703669">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本项目针对危险单元建立有效的监控和预警机制，能够确保及时发现事故，并快速做出应急救援措施，厂区建立完善的三级防控体系</w:t>
      </w:r>
      <w:r>
        <w:rPr>
          <w:rFonts w:hint="eastAsia" w:cs="Times New Roman"/>
          <w:color w:val="auto"/>
          <w:kern w:val="0"/>
          <w:sz w:val="24"/>
          <w:szCs w:val="24"/>
          <w:highlight w:val="none"/>
          <w:lang w:eastAsia="zh-CN"/>
        </w:rPr>
        <w:t>，</w:t>
      </w:r>
      <w:r>
        <w:rPr>
          <w:rFonts w:hint="eastAsia" w:cs="Times New Roman"/>
          <w:color w:val="auto"/>
          <w:kern w:val="0"/>
          <w:sz w:val="24"/>
          <w:szCs w:val="24"/>
          <w:highlight w:val="none"/>
          <w:lang w:val="en-US" w:eastAsia="zh-CN"/>
        </w:rPr>
        <w:t>利用现有240</w:t>
      </w:r>
      <w:r>
        <w:rPr>
          <w:rFonts w:hint="default" w:ascii="Times New Roman" w:hAnsi="Times New Roman" w:cs="Times New Roman"/>
          <w:color w:val="auto"/>
          <w:kern w:val="0"/>
          <w:sz w:val="24"/>
          <w:szCs w:val="24"/>
          <w:highlight w:val="none"/>
        </w:rPr>
        <w:t>m</w:t>
      </w:r>
      <w:r>
        <w:rPr>
          <w:rFonts w:hint="default" w:ascii="Times New Roman" w:hAnsi="Times New Roman" w:cs="Times New Roman"/>
          <w:color w:val="auto"/>
          <w:kern w:val="0"/>
          <w:sz w:val="24"/>
          <w:szCs w:val="24"/>
          <w:highlight w:val="none"/>
          <w:vertAlign w:val="superscript"/>
        </w:rPr>
        <w:t>3</w:t>
      </w:r>
      <w:r>
        <w:rPr>
          <w:rFonts w:hint="default" w:ascii="Times New Roman" w:hAnsi="Times New Roman" w:cs="Times New Roman"/>
          <w:color w:val="auto"/>
          <w:kern w:val="0"/>
          <w:sz w:val="24"/>
          <w:szCs w:val="24"/>
          <w:highlight w:val="none"/>
        </w:rPr>
        <w:t>的事故水池，</w:t>
      </w:r>
      <w:r>
        <w:rPr>
          <w:rFonts w:hint="eastAsia" w:cs="Times New Roman"/>
          <w:color w:val="auto"/>
          <w:kern w:val="0"/>
          <w:sz w:val="24"/>
          <w:szCs w:val="24"/>
          <w:highlight w:val="none"/>
          <w:lang w:eastAsia="zh-CN"/>
        </w:rPr>
        <w:t>用于</w:t>
      </w:r>
      <w:r>
        <w:rPr>
          <w:rFonts w:hint="default" w:ascii="Times New Roman" w:hAnsi="Times New Roman" w:cs="Times New Roman"/>
          <w:color w:val="auto"/>
          <w:kern w:val="0"/>
          <w:sz w:val="24"/>
          <w:szCs w:val="24"/>
          <w:highlight w:val="none"/>
        </w:rPr>
        <w:t>事故状态下全厂消防、事故废水收集，确保事故水不直接排入附近地表水体。</w:t>
      </w:r>
    </w:p>
    <w:p w14:paraId="18BC7516">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企业</w:t>
      </w:r>
      <w:r>
        <w:rPr>
          <w:rFonts w:hint="eastAsia" w:cs="Times New Roman"/>
          <w:color w:val="auto"/>
          <w:kern w:val="0"/>
          <w:sz w:val="24"/>
          <w:szCs w:val="24"/>
          <w:highlight w:val="none"/>
          <w:lang w:eastAsia="zh-CN"/>
        </w:rPr>
        <w:t>应</w:t>
      </w:r>
      <w:r>
        <w:rPr>
          <w:rFonts w:hint="default" w:ascii="Times New Roman" w:hAnsi="Times New Roman" w:cs="Times New Roman"/>
          <w:color w:val="auto"/>
          <w:kern w:val="0"/>
          <w:sz w:val="24"/>
          <w:szCs w:val="24"/>
          <w:highlight w:val="none"/>
        </w:rPr>
        <w:t>制定应急预案并进行备案，企业还应按照本次评价提出的整改措施完善厂区现有防控措施和应急预案内容。</w:t>
      </w:r>
    </w:p>
    <w:p w14:paraId="79DF38E3">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生产装置具有潜在的事故风险，尽管最大可信事故概率较小，但还应从建设、生产、贮运、消防等各方面积极采取措施，杜绝环境风险事故发生。当出现事故时，要采取紧急的工程应对措施，如有必要，要采取社会应急措施，并根据实时情况和事故种类确定人群疏散范围，以控制事故和减少对环境造成的危害。</w:t>
      </w:r>
    </w:p>
    <w:p w14:paraId="7A481979">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 xml:space="preserve">事故发生后要积极开展灾后危险化学品及消防废水的处理，防止二次污染发生。 </w:t>
      </w:r>
    </w:p>
    <w:p w14:paraId="0A5AA6E6">
      <w:pPr>
        <w:pageBreakBefore w:val="0"/>
        <w:widowControl w:val="0"/>
        <w:kinsoku/>
        <w:wordWrap/>
        <w:overflowPunct/>
        <w:topLinePunct w:val="0"/>
        <w:autoSpaceDE w:val="0"/>
        <w:autoSpaceDN w:val="0"/>
        <w:bidi w:val="0"/>
        <w:adjustRightInd w:val="0"/>
        <w:snapToGrid w:val="0"/>
        <w:spacing w:line="360" w:lineRule="auto"/>
        <w:ind w:left="0" w:leftChars="0"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4、环境风险评价结论与建议</w:t>
      </w:r>
    </w:p>
    <w:p w14:paraId="64A0A147">
      <w:pPr>
        <w:pageBreakBefore w:val="0"/>
        <w:widowControl w:val="0"/>
        <w:kinsoku/>
        <w:wordWrap/>
        <w:overflowPunct/>
        <w:topLinePunct w:val="0"/>
        <w:bidi w:val="0"/>
        <w:snapToGrid w:val="0"/>
        <w:spacing w:line="360" w:lineRule="auto"/>
        <w:ind w:left="0" w:leftChars="0" w:firstLine="48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kern w:val="0"/>
          <w:sz w:val="24"/>
          <w:szCs w:val="24"/>
          <w:highlight w:val="none"/>
        </w:rPr>
        <w:t>综上所述，企业在严格落实本次评价提出的各项环境风险防控措施的情况下，发生风险事故概率较小，项目环境风险可防可控。本次评价建议项目运营过程应根据生产运行工况以及各类危险物质的实际消耗量，尽可能减少危险物质在厂区内存在量，减轻环境风险隐患；针对厂区存在的环境风险防控问题，尽快进行整改，同时应加强日常风险管理，加强员工安全培训，杜绝人为造成的环境风险隐患。</w:t>
      </w:r>
    </w:p>
    <w:bookmarkEnd w:id="13"/>
    <w:p w14:paraId="02E399CD">
      <w:pPr>
        <w:pStyle w:val="34"/>
        <w:rPr>
          <w:rFonts w:hint="default" w:ascii="Times New Roman" w:hAnsi="Times New Roman" w:cs="Times New Roman"/>
          <w:b/>
          <w:color w:val="auto"/>
          <w:highlight w:val="none"/>
        </w:rPr>
      </w:pPr>
    </w:p>
    <w:p w14:paraId="3674064D">
      <w:pPr>
        <w:pStyle w:val="34"/>
        <w:rPr>
          <w:rFonts w:hint="default" w:ascii="Times New Roman" w:hAnsi="Times New Roman" w:cs="Times New Roman"/>
          <w:b/>
          <w:color w:val="auto"/>
          <w:highlight w:val="none"/>
        </w:rPr>
      </w:pPr>
    </w:p>
    <w:p w14:paraId="572D15B6">
      <w:pPr>
        <w:pStyle w:val="34"/>
        <w:rPr>
          <w:rFonts w:hint="default" w:ascii="Times New Roman" w:hAnsi="Times New Roman" w:cs="Times New Roman"/>
          <w:b/>
          <w:color w:val="auto"/>
          <w:highlight w:val="none"/>
        </w:rPr>
      </w:pPr>
    </w:p>
    <w:p w14:paraId="50D285E2">
      <w:pPr>
        <w:pStyle w:val="34"/>
        <w:rPr>
          <w:rFonts w:hint="default" w:ascii="Times New Roman" w:hAnsi="Times New Roman" w:cs="Times New Roman"/>
          <w:b/>
          <w:color w:val="auto"/>
          <w:highlight w:val="none"/>
        </w:rPr>
      </w:pPr>
    </w:p>
    <w:p w14:paraId="45303A50">
      <w:pPr>
        <w:pStyle w:val="34"/>
        <w:rPr>
          <w:rFonts w:hint="default" w:ascii="Times New Roman" w:hAnsi="Times New Roman" w:cs="Times New Roman"/>
          <w:b/>
          <w:color w:val="auto"/>
          <w:highlight w:val="none"/>
        </w:rPr>
      </w:pPr>
      <w:r>
        <w:rPr>
          <w:rFonts w:hint="default" w:ascii="Times New Roman" w:hAnsi="Times New Roman" w:cs="Times New Roman"/>
          <w:b/>
          <w:color w:val="auto"/>
          <w:highlight w:val="none"/>
        </w:rPr>
        <w:t>表</w:t>
      </w:r>
      <w:r>
        <w:rPr>
          <w:rFonts w:hint="eastAsia" w:cs="Times New Roman"/>
          <w:b/>
          <w:color w:val="auto"/>
          <w:highlight w:val="none"/>
          <w:lang w:val="en-US" w:eastAsia="zh-CN"/>
        </w:rPr>
        <w:t>1</w:t>
      </w:r>
      <w:r>
        <w:rPr>
          <w:rFonts w:hint="default" w:ascii="Times New Roman" w:hAnsi="Times New Roman" w:cs="Times New Roman"/>
          <w:b/>
          <w:color w:val="auto"/>
          <w:highlight w:val="none"/>
        </w:rPr>
        <w:t>.9-1 环境风险评价自查表</w:t>
      </w:r>
    </w:p>
    <w:tbl>
      <w:tblPr>
        <w:tblStyle w:val="21"/>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560"/>
        <w:gridCol w:w="1112"/>
        <w:gridCol w:w="1350"/>
        <w:gridCol w:w="1420"/>
        <w:gridCol w:w="305"/>
        <w:gridCol w:w="1087"/>
        <w:gridCol w:w="1261"/>
      </w:tblGrid>
      <w:tr w14:paraId="7E601A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noWrap w:val="0"/>
            <w:vAlign w:val="center"/>
          </w:tcPr>
          <w:p w14:paraId="397A0FB9">
            <w:pPr>
              <w:pStyle w:val="35"/>
              <w:keepNext w:val="0"/>
              <w:keepLines w:val="0"/>
              <w:suppressLineNumbers w:val="0"/>
              <w:spacing w:before="0" w:beforeAutospacing="0" w:after="0" w:afterAutospacing="0" w:line="240" w:lineRule="auto"/>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工作内容</w:t>
            </w:r>
          </w:p>
        </w:tc>
        <w:tc>
          <w:tcPr>
            <w:tcW w:w="3834" w:type="pct"/>
            <w:gridSpan w:val="6"/>
            <w:noWrap w:val="0"/>
            <w:vAlign w:val="center"/>
          </w:tcPr>
          <w:p w14:paraId="4878F98A">
            <w:pPr>
              <w:pStyle w:val="35"/>
              <w:keepNext w:val="0"/>
              <w:keepLines w:val="0"/>
              <w:suppressLineNumbers w:val="0"/>
              <w:spacing w:before="0" w:beforeAutospacing="0" w:after="0" w:afterAutospacing="0" w:line="240" w:lineRule="auto"/>
              <w:ind w:left="0" w:right="0"/>
              <w:rPr>
                <w:rFonts w:hint="default" w:ascii="Times New Roman" w:hAnsi="Times New Roman" w:cs="Times New Roman"/>
                <w:b/>
                <w:color w:val="auto"/>
                <w:highlight w:val="none"/>
              </w:rPr>
            </w:pPr>
            <w:r>
              <w:rPr>
                <w:rFonts w:hint="default" w:ascii="Times New Roman" w:hAnsi="Times New Roman" w:cs="Times New Roman"/>
                <w:b/>
                <w:color w:val="auto"/>
                <w:highlight w:val="none"/>
              </w:rPr>
              <w:t>完成情况</w:t>
            </w:r>
          </w:p>
        </w:tc>
      </w:tr>
      <w:tr w14:paraId="29A35F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restart"/>
            <w:noWrap w:val="0"/>
            <w:vAlign w:val="center"/>
          </w:tcPr>
          <w:p w14:paraId="01A76532">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风险调查</w:t>
            </w:r>
          </w:p>
        </w:tc>
        <w:tc>
          <w:tcPr>
            <w:tcW w:w="915" w:type="pct"/>
            <w:vMerge w:val="restart"/>
            <w:noWrap w:val="0"/>
            <w:vAlign w:val="center"/>
          </w:tcPr>
          <w:p w14:paraId="1614170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危险物质</w:t>
            </w:r>
          </w:p>
        </w:tc>
        <w:tc>
          <w:tcPr>
            <w:tcW w:w="653" w:type="pct"/>
            <w:noWrap w:val="0"/>
            <w:vAlign w:val="center"/>
          </w:tcPr>
          <w:p w14:paraId="1E3608F3">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名称</w:t>
            </w:r>
          </w:p>
        </w:tc>
        <w:tc>
          <w:tcPr>
            <w:tcW w:w="1625" w:type="pct"/>
            <w:gridSpan w:val="2"/>
            <w:noWrap w:val="0"/>
            <w:vAlign w:val="center"/>
          </w:tcPr>
          <w:p w14:paraId="405B7FDF">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发烟硫酸</w:t>
            </w:r>
          </w:p>
        </w:tc>
        <w:tc>
          <w:tcPr>
            <w:tcW w:w="1555" w:type="pct"/>
            <w:gridSpan w:val="3"/>
            <w:noWrap w:val="0"/>
            <w:vAlign w:val="center"/>
          </w:tcPr>
          <w:p w14:paraId="17CAC00B">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硫酸</w:t>
            </w:r>
          </w:p>
        </w:tc>
      </w:tr>
      <w:tr w14:paraId="67F820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34DA8BDD">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1FDE3A2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noWrap w:val="0"/>
            <w:vAlign w:val="center"/>
          </w:tcPr>
          <w:p w14:paraId="3415E29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存在总量/t</w:t>
            </w:r>
          </w:p>
        </w:tc>
        <w:tc>
          <w:tcPr>
            <w:tcW w:w="1625" w:type="pct"/>
            <w:gridSpan w:val="2"/>
            <w:noWrap w:val="0"/>
            <w:vAlign w:val="center"/>
          </w:tcPr>
          <w:p w14:paraId="504C5DB9">
            <w:pPr>
              <w:pStyle w:val="35"/>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796</w:t>
            </w:r>
          </w:p>
        </w:tc>
        <w:tc>
          <w:tcPr>
            <w:tcW w:w="1555" w:type="pct"/>
            <w:gridSpan w:val="3"/>
            <w:noWrap w:val="0"/>
            <w:vAlign w:val="center"/>
          </w:tcPr>
          <w:p w14:paraId="260FA850">
            <w:pPr>
              <w:pStyle w:val="35"/>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22180</w:t>
            </w:r>
          </w:p>
        </w:tc>
      </w:tr>
      <w:tr w14:paraId="49DFE1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0E2413F2">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restart"/>
            <w:noWrap w:val="0"/>
            <w:vAlign w:val="center"/>
          </w:tcPr>
          <w:p w14:paraId="2651ABBF">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环境敏感性</w:t>
            </w:r>
          </w:p>
        </w:tc>
        <w:tc>
          <w:tcPr>
            <w:tcW w:w="653" w:type="pct"/>
            <w:vMerge w:val="restart"/>
            <w:noWrap w:val="0"/>
            <w:vAlign w:val="center"/>
          </w:tcPr>
          <w:p w14:paraId="64D5101E">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大气</w:t>
            </w:r>
          </w:p>
        </w:tc>
        <w:tc>
          <w:tcPr>
            <w:tcW w:w="1625" w:type="pct"/>
            <w:gridSpan w:val="2"/>
            <w:noWrap w:val="0"/>
            <w:vAlign w:val="center"/>
          </w:tcPr>
          <w:p w14:paraId="6415930C">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500m范围内人口数</w:t>
            </w:r>
          </w:p>
        </w:tc>
        <w:tc>
          <w:tcPr>
            <w:tcW w:w="1555" w:type="pct"/>
            <w:gridSpan w:val="3"/>
            <w:noWrap w:val="0"/>
            <w:vAlign w:val="center"/>
          </w:tcPr>
          <w:p w14:paraId="6F7A9DC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eastAsia" w:cs="Times New Roman"/>
                <w:color w:val="auto"/>
                <w:highlight w:val="none"/>
                <w:lang w:val="en-US" w:eastAsia="zh-CN"/>
              </w:rPr>
              <w:t>49521</w:t>
            </w:r>
            <w:r>
              <w:rPr>
                <w:rFonts w:hint="default" w:ascii="Times New Roman" w:hAnsi="Times New Roman" w:cs="Times New Roman"/>
                <w:color w:val="auto"/>
                <w:highlight w:val="none"/>
              </w:rPr>
              <w:t>人</w:t>
            </w:r>
          </w:p>
        </w:tc>
      </w:tr>
      <w:tr w14:paraId="4F313E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5EBC8B4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25FBDA81">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vMerge w:val="continue"/>
            <w:noWrap w:val="0"/>
            <w:vAlign w:val="center"/>
          </w:tcPr>
          <w:p w14:paraId="0FEB697C">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2442" w:type="pct"/>
            <w:gridSpan w:val="4"/>
            <w:noWrap w:val="0"/>
            <w:vAlign w:val="center"/>
          </w:tcPr>
          <w:p w14:paraId="4C1EF855">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每公里管段周边 200 m 范围内人口数（最大）</w:t>
            </w:r>
          </w:p>
        </w:tc>
        <w:tc>
          <w:tcPr>
            <w:tcW w:w="738" w:type="pct"/>
            <w:noWrap w:val="0"/>
            <w:vAlign w:val="center"/>
          </w:tcPr>
          <w:p w14:paraId="607A7CF8">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r>
              <w:rPr>
                <w:rFonts w:hint="eastAsia" w:cs="Times New Roman"/>
                <w:color w:val="auto"/>
                <w:highlight w:val="none"/>
                <w:lang w:val="en-US" w:eastAsia="zh-CN"/>
              </w:rPr>
              <w:t>/</w:t>
            </w:r>
            <w:r>
              <w:rPr>
                <w:rFonts w:hint="default" w:ascii="Times New Roman" w:hAnsi="Times New Roman" w:cs="Times New Roman"/>
                <w:color w:val="auto"/>
                <w:highlight w:val="none"/>
              </w:rPr>
              <w:t xml:space="preserve"> 人</w:t>
            </w:r>
          </w:p>
        </w:tc>
      </w:tr>
      <w:tr w14:paraId="5E444B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7CACD71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3D4FD94F">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vMerge w:val="restart"/>
            <w:noWrap w:val="0"/>
            <w:vAlign w:val="center"/>
          </w:tcPr>
          <w:p w14:paraId="7501DB3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w:t>
            </w:r>
          </w:p>
        </w:tc>
        <w:tc>
          <w:tcPr>
            <w:tcW w:w="792" w:type="pct"/>
            <w:noWrap w:val="0"/>
            <w:vAlign w:val="center"/>
          </w:tcPr>
          <w:p w14:paraId="4B8CBE8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地表水功能敏感性</w:t>
            </w:r>
          </w:p>
        </w:tc>
        <w:tc>
          <w:tcPr>
            <w:tcW w:w="833" w:type="pct"/>
            <w:noWrap w:val="0"/>
            <w:vAlign w:val="center"/>
          </w:tcPr>
          <w:p w14:paraId="6FD35CE0">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F1</w:t>
            </w:r>
            <w:r>
              <w:rPr>
                <w:rFonts w:hint="eastAsia" w:cs="Times New Roman"/>
                <w:color w:val="auto"/>
                <w:highlight w:val="none"/>
                <w:lang w:val="en-US" w:eastAsia="zh-CN"/>
              </w:rPr>
              <w:t>□</w:t>
            </w:r>
          </w:p>
        </w:tc>
        <w:tc>
          <w:tcPr>
            <w:tcW w:w="816" w:type="pct"/>
            <w:gridSpan w:val="2"/>
            <w:noWrap w:val="0"/>
            <w:vAlign w:val="center"/>
          </w:tcPr>
          <w:p w14:paraId="10BC2C0D">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F2</w:t>
            </w:r>
            <w:r>
              <w:rPr>
                <w:rFonts w:hint="eastAsia" w:cs="Times New Roman"/>
                <w:color w:val="auto"/>
                <w:highlight w:val="none"/>
                <w:lang w:eastAsia="zh-CN"/>
              </w:rPr>
              <w:t>□</w:t>
            </w:r>
          </w:p>
        </w:tc>
        <w:tc>
          <w:tcPr>
            <w:tcW w:w="738" w:type="pct"/>
            <w:noWrap w:val="0"/>
            <w:vAlign w:val="center"/>
          </w:tcPr>
          <w:p w14:paraId="505D7047">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F3</w:t>
            </w:r>
            <w:r>
              <w:rPr>
                <w:rFonts w:hint="eastAsia" w:cs="Times New Roman"/>
                <w:color w:val="auto"/>
                <w:highlight w:val="none"/>
                <w:lang w:eastAsia="zh-CN"/>
              </w:rPr>
              <w:t>☑</w:t>
            </w:r>
          </w:p>
        </w:tc>
      </w:tr>
      <w:tr w14:paraId="614FFD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188387D5">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53D4CD6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vMerge w:val="continue"/>
            <w:noWrap w:val="0"/>
            <w:vAlign w:val="center"/>
          </w:tcPr>
          <w:p w14:paraId="2FFEFF6C">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792" w:type="pct"/>
            <w:noWrap w:val="0"/>
            <w:vAlign w:val="center"/>
          </w:tcPr>
          <w:p w14:paraId="70C8109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环境敏感目标分级</w:t>
            </w:r>
          </w:p>
        </w:tc>
        <w:tc>
          <w:tcPr>
            <w:tcW w:w="833" w:type="pct"/>
            <w:noWrap w:val="0"/>
            <w:vAlign w:val="center"/>
          </w:tcPr>
          <w:p w14:paraId="1B4E6095">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S1</w:t>
            </w:r>
            <w:r>
              <w:rPr>
                <w:rFonts w:hint="eastAsia" w:cs="Times New Roman"/>
                <w:color w:val="auto"/>
                <w:highlight w:val="none"/>
                <w:lang w:eastAsia="zh-CN"/>
              </w:rPr>
              <w:t>□</w:t>
            </w:r>
          </w:p>
        </w:tc>
        <w:tc>
          <w:tcPr>
            <w:tcW w:w="816" w:type="pct"/>
            <w:gridSpan w:val="2"/>
            <w:noWrap w:val="0"/>
            <w:vAlign w:val="center"/>
          </w:tcPr>
          <w:p w14:paraId="0F5F80EF">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S2</w:t>
            </w:r>
            <w:r>
              <w:rPr>
                <w:rFonts w:hint="eastAsia" w:cs="Times New Roman"/>
                <w:color w:val="auto"/>
                <w:highlight w:val="none"/>
                <w:lang w:eastAsia="zh-CN"/>
              </w:rPr>
              <w:t>□</w:t>
            </w:r>
          </w:p>
        </w:tc>
        <w:tc>
          <w:tcPr>
            <w:tcW w:w="738" w:type="pct"/>
            <w:noWrap w:val="0"/>
            <w:vAlign w:val="center"/>
          </w:tcPr>
          <w:p w14:paraId="777C4DA7">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S3</w:t>
            </w:r>
            <w:r>
              <w:rPr>
                <w:rFonts w:hint="eastAsia" w:cs="Times New Roman"/>
                <w:color w:val="auto"/>
                <w:highlight w:val="none"/>
                <w:lang w:eastAsia="zh-CN"/>
              </w:rPr>
              <w:t>☑</w:t>
            </w:r>
          </w:p>
        </w:tc>
      </w:tr>
      <w:tr w14:paraId="03DCA4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3D938228">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0511209C">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vMerge w:val="restart"/>
            <w:noWrap w:val="0"/>
            <w:vAlign w:val="center"/>
          </w:tcPr>
          <w:p w14:paraId="054469C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w:t>
            </w:r>
          </w:p>
        </w:tc>
        <w:tc>
          <w:tcPr>
            <w:tcW w:w="792" w:type="pct"/>
            <w:noWrap w:val="0"/>
            <w:vAlign w:val="center"/>
          </w:tcPr>
          <w:p w14:paraId="5DCCC91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地下水功能敏感性</w:t>
            </w:r>
          </w:p>
        </w:tc>
        <w:tc>
          <w:tcPr>
            <w:tcW w:w="833" w:type="pct"/>
            <w:noWrap w:val="0"/>
            <w:vAlign w:val="center"/>
          </w:tcPr>
          <w:p w14:paraId="18B91B9A">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G1</w:t>
            </w:r>
            <w:r>
              <w:rPr>
                <w:rFonts w:hint="eastAsia" w:cs="Times New Roman"/>
                <w:color w:val="auto"/>
                <w:highlight w:val="none"/>
                <w:lang w:eastAsia="zh-CN"/>
              </w:rPr>
              <w:t>□</w:t>
            </w:r>
          </w:p>
        </w:tc>
        <w:tc>
          <w:tcPr>
            <w:tcW w:w="816" w:type="pct"/>
            <w:gridSpan w:val="2"/>
            <w:noWrap w:val="0"/>
            <w:vAlign w:val="center"/>
          </w:tcPr>
          <w:p w14:paraId="721EF621">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G2</w:t>
            </w:r>
            <w:r>
              <w:rPr>
                <w:rFonts w:hint="eastAsia" w:cs="Times New Roman"/>
                <w:color w:val="auto"/>
                <w:highlight w:val="none"/>
                <w:lang w:eastAsia="zh-CN"/>
              </w:rPr>
              <w:t>□</w:t>
            </w:r>
          </w:p>
        </w:tc>
        <w:tc>
          <w:tcPr>
            <w:tcW w:w="738" w:type="pct"/>
            <w:noWrap w:val="0"/>
            <w:vAlign w:val="center"/>
          </w:tcPr>
          <w:p w14:paraId="6436B9E3">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G3</w:t>
            </w:r>
            <w:r>
              <w:rPr>
                <w:rFonts w:hint="eastAsia" w:cs="Times New Roman"/>
                <w:color w:val="auto"/>
                <w:highlight w:val="none"/>
                <w:lang w:eastAsia="zh-CN"/>
              </w:rPr>
              <w:t>☑</w:t>
            </w:r>
          </w:p>
        </w:tc>
      </w:tr>
      <w:tr w14:paraId="1F78044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78B62BC1">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73130F9B">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vMerge w:val="continue"/>
            <w:noWrap w:val="0"/>
            <w:vAlign w:val="center"/>
          </w:tcPr>
          <w:p w14:paraId="27C4709F">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792" w:type="pct"/>
            <w:noWrap w:val="0"/>
            <w:vAlign w:val="center"/>
          </w:tcPr>
          <w:p w14:paraId="1C1FA3B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包气带防污性能</w:t>
            </w:r>
          </w:p>
        </w:tc>
        <w:tc>
          <w:tcPr>
            <w:tcW w:w="833" w:type="pct"/>
            <w:noWrap w:val="0"/>
            <w:vAlign w:val="center"/>
          </w:tcPr>
          <w:p w14:paraId="4599029A">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D1</w:t>
            </w:r>
            <w:r>
              <w:rPr>
                <w:rFonts w:hint="eastAsia" w:cs="Times New Roman"/>
                <w:color w:val="auto"/>
                <w:highlight w:val="none"/>
                <w:lang w:eastAsia="zh-CN"/>
              </w:rPr>
              <w:t>□</w:t>
            </w:r>
          </w:p>
        </w:tc>
        <w:tc>
          <w:tcPr>
            <w:tcW w:w="816" w:type="pct"/>
            <w:gridSpan w:val="2"/>
            <w:noWrap w:val="0"/>
            <w:vAlign w:val="center"/>
          </w:tcPr>
          <w:p w14:paraId="2260142E">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D2</w:t>
            </w:r>
            <w:r>
              <w:rPr>
                <w:rFonts w:hint="eastAsia" w:cs="Times New Roman"/>
                <w:color w:val="auto"/>
                <w:highlight w:val="none"/>
                <w:lang w:eastAsia="zh-CN"/>
              </w:rPr>
              <w:t>☑</w:t>
            </w:r>
          </w:p>
        </w:tc>
        <w:tc>
          <w:tcPr>
            <w:tcW w:w="738" w:type="pct"/>
            <w:noWrap w:val="0"/>
            <w:vAlign w:val="center"/>
          </w:tcPr>
          <w:p w14:paraId="4F4EA553">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D3</w:t>
            </w:r>
            <w:r>
              <w:rPr>
                <w:rFonts w:hint="eastAsia" w:cs="Times New Roman"/>
                <w:color w:val="auto"/>
                <w:highlight w:val="none"/>
                <w:lang w:eastAsia="zh-CN"/>
              </w:rPr>
              <w:t>□</w:t>
            </w:r>
          </w:p>
        </w:tc>
      </w:tr>
      <w:tr w14:paraId="3C6C08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vMerge w:val="restart"/>
            <w:noWrap w:val="0"/>
            <w:vAlign w:val="center"/>
          </w:tcPr>
          <w:p w14:paraId="0E8EEE5C">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物质及工艺系统危险性</w:t>
            </w:r>
          </w:p>
        </w:tc>
        <w:tc>
          <w:tcPr>
            <w:tcW w:w="653" w:type="pct"/>
            <w:noWrap w:val="0"/>
            <w:vAlign w:val="center"/>
          </w:tcPr>
          <w:p w14:paraId="37FF8AA4">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Q值</w:t>
            </w:r>
          </w:p>
        </w:tc>
        <w:tc>
          <w:tcPr>
            <w:tcW w:w="792" w:type="pct"/>
            <w:noWrap w:val="0"/>
            <w:vAlign w:val="center"/>
          </w:tcPr>
          <w:p w14:paraId="1B69C0A6">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Q＜1</w:t>
            </w:r>
            <w:r>
              <w:rPr>
                <w:rFonts w:hint="eastAsia" w:cs="Times New Roman"/>
                <w:color w:val="auto"/>
                <w:highlight w:val="none"/>
                <w:lang w:eastAsia="zh-CN"/>
              </w:rPr>
              <w:t>□</w:t>
            </w:r>
          </w:p>
        </w:tc>
        <w:tc>
          <w:tcPr>
            <w:tcW w:w="833" w:type="pct"/>
            <w:noWrap w:val="0"/>
            <w:vAlign w:val="center"/>
          </w:tcPr>
          <w:p w14:paraId="52D0A087">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1≤Q＜10</w:t>
            </w:r>
            <w:r>
              <w:rPr>
                <w:rFonts w:hint="eastAsia" w:cs="Times New Roman"/>
                <w:color w:val="auto"/>
                <w:highlight w:val="none"/>
                <w:lang w:eastAsia="zh-CN"/>
              </w:rPr>
              <w:t>□</w:t>
            </w:r>
          </w:p>
        </w:tc>
        <w:tc>
          <w:tcPr>
            <w:tcW w:w="816" w:type="pct"/>
            <w:gridSpan w:val="2"/>
            <w:noWrap w:val="0"/>
            <w:vAlign w:val="center"/>
          </w:tcPr>
          <w:p w14:paraId="6EB69BA2">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10≤Q＜100</w:t>
            </w:r>
            <w:r>
              <w:rPr>
                <w:rFonts w:hint="eastAsia" w:cs="Times New Roman"/>
                <w:color w:val="auto"/>
                <w:highlight w:val="none"/>
                <w:lang w:eastAsia="zh-CN"/>
              </w:rPr>
              <w:t>□</w:t>
            </w:r>
          </w:p>
        </w:tc>
        <w:tc>
          <w:tcPr>
            <w:tcW w:w="738" w:type="pct"/>
            <w:noWrap w:val="0"/>
            <w:vAlign w:val="center"/>
          </w:tcPr>
          <w:p w14:paraId="6F129CCC">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Q＞100</w:t>
            </w:r>
            <w:r>
              <w:rPr>
                <w:rFonts w:hint="eastAsia" w:cs="Times New Roman"/>
                <w:color w:val="auto"/>
                <w:highlight w:val="none"/>
                <w:lang w:eastAsia="zh-CN"/>
              </w:rPr>
              <w:t>☑</w:t>
            </w:r>
          </w:p>
        </w:tc>
      </w:tr>
      <w:tr w14:paraId="797F658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vMerge w:val="continue"/>
            <w:noWrap w:val="0"/>
            <w:vAlign w:val="center"/>
          </w:tcPr>
          <w:p w14:paraId="5107ADC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noWrap w:val="0"/>
            <w:vAlign w:val="center"/>
          </w:tcPr>
          <w:p w14:paraId="19125A31">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M值</w:t>
            </w:r>
          </w:p>
        </w:tc>
        <w:tc>
          <w:tcPr>
            <w:tcW w:w="792" w:type="pct"/>
            <w:noWrap w:val="0"/>
            <w:vAlign w:val="center"/>
          </w:tcPr>
          <w:p w14:paraId="5226BDC7">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 xml:space="preserve">M1 </w:t>
            </w:r>
            <w:r>
              <w:rPr>
                <w:rFonts w:hint="eastAsia" w:cs="Times New Roman"/>
                <w:color w:val="auto"/>
                <w:highlight w:val="none"/>
                <w:lang w:eastAsia="zh-CN"/>
              </w:rPr>
              <w:t>□</w:t>
            </w:r>
          </w:p>
        </w:tc>
        <w:tc>
          <w:tcPr>
            <w:tcW w:w="833" w:type="pct"/>
            <w:noWrap w:val="0"/>
            <w:vAlign w:val="center"/>
          </w:tcPr>
          <w:p w14:paraId="54004E60">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 xml:space="preserve">M2 </w:t>
            </w:r>
            <w:r>
              <w:rPr>
                <w:rFonts w:hint="eastAsia" w:cs="Times New Roman"/>
                <w:color w:val="auto"/>
                <w:highlight w:val="none"/>
                <w:lang w:eastAsia="zh-CN"/>
              </w:rPr>
              <w:t>□</w:t>
            </w:r>
          </w:p>
        </w:tc>
        <w:tc>
          <w:tcPr>
            <w:tcW w:w="816" w:type="pct"/>
            <w:gridSpan w:val="2"/>
            <w:noWrap w:val="0"/>
            <w:vAlign w:val="center"/>
          </w:tcPr>
          <w:p w14:paraId="5AF93BC7">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 xml:space="preserve">M3 </w:t>
            </w:r>
            <w:r>
              <w:rPr>
                <w:rFonts w:hint="eastAsia" w:cs="Times New Roman"/>
                <w:color w:val="auto"/>
                <w:highlight w:val="none"/>
                <w:lang w:eastAsia="zh-CN"/>
              </w:rPr>
              <w:t>☑</w:t>
            </w:r>
          </w:p>
        </w:tc>
        <w:tc>
          <w:tcPr>
            <w:tcW w:w="738" w:type="pct"/>
            <w:noWrap w:val="0"/>
            <w:vAlign w:val="center"/>
          </w:tcPr>
          <w:p w14:paraId="0AC30B32">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 xml:space="preserve">M4 </w:t>
            </w:r>
            <w:r>
              <w:rPr>
                <w:rFonts w:hint="eastAsia" w:cs="Times New Roman"/>
                <w:color w:val="auto"/>
                <w:highlight w:val="none"/>
                <w:lang w:eastAsia="zh-CN"/>
              </w:rPr>
              <w:t>□</w:t>
            </w:r>
          </w:p>
        </w:tc>
      </w:tr>
      <w:tr w14:paraId="471AA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vMerge w:val="continue"/>
            <w:noWrap w:val="0"/>
            <w:vAlign w:val="center"/>
          </w:tcPr>
          <w:p w14:paraId="4A503FBB">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noWrap w:val="0"/>
            <w:vAlign w:val="center"/>
          </w:tcPr>
          <w:p w14:paraId="67D95F04">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P值</w:t>
            </w:r>
          </w:p>
        </w:tc>
        <w:tc>
          <w:tcPr>
            <w:tcW w:w="792" w:type="pct"/>
            <w:noWrap w:val="0"/>
            <w:vAlign w:val="center"/>
          </w:tcPr>
          <w:p w14:paraId="55051A10">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P1</w:t>
            </w:r>
            <w:r>
              <w:rPr>
                <w:rFonts w:hint="eastAsia" w:cs="Times New Roman"/>
                <w:color w:val="auto"/>
                <w:highlight w:val="none"/>
                <w:lang w:eastAsia="zh-CN"/>
              </w:rPr>
              <w:t>□</w:t>
            </w:r>
          </w:p>
        </w:tc>
        <w:tc>
          <w:tcPr>
            <w:tcW w:w="833" w:type="pct"/>
            <w:noWrap w:val="0"/>
            <w:vAlign w:val="center"/>
          </w:tcPr>
          <w:p w14:paraId="46DB416E">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P2</w:t>
            </w:r>
            <w:r>
              <w:rPr>
                <w:rFonts w:hint="eastAsia" w:cs="Times New Roman"/>
                <w:color w:val="auto"/>
                <w:highlight w:val="none"/>
                <w:lang w:eastAsia="zh-CN"/>
              </w:rPr>
              <w:t>☑</w:t>
            </w:r>
          </w:p>
        </w:tc>
        <w:tc>
          <w:tcPr>
            <w:tcW w:w="816" w:type="pct"/>
            <w:gridSpan w:val="2"/>
            <w:noWrap w:val="0"/>
            <w:vAlign w:val="center"/>
          </w:tcPr>
          <w:p w14:paraId="7A82E8C8">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P3</w:t>
            </w:r>
            <w:r>
              <w:rPr>
                <w:rFonts w:hint="eastAsia" w:cs="Times New Roman"/>
                <w:color w:val="auto"/>
                <w:highlight w:val="none"/>
                <w:lang w:eastAsia="zh-CN"/>
              </w:rPr>
              <w:t>□</w:t>
            </w:r>
          </w:p>
        </w:tc>
        <w:tc>
          <w:tcPr>
            <w:tcW w:w="738" w:type="pct"/>
            <w:noWrap w:val="0"/>
            <w:vAlign w:val="center"/>
          </w:tcPr>
          <w:p w14:paraId="4E5C6846">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P4</w:t>
            </w:r>
            <w:r>
              <w:rPr>
                <w:rFonts w:hint="eastAsia" w:cs="Times New Roman"/>
                <w:color w:val="auto"/>
                <w:highlight w:val="none"/>
                <w:lang w:eastAsia="zh-CN"/>
              </w:rPr>
              <w:t>□</w:t>
            </w:r>
          </w:p>
        </w:tc>
      </w:tr>
      <w:tr w14:paraId="7D7F94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vMerge w:val="restart"/>
            <w:noWrap w:val="0"/>
            <w:vAlign w:val="center"/>
          </w:tcPr>
          <w:p w14:paraId="747275A8">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环境敏感</w:t>
            </w:r>
          </w:p>
          <w:p w14:paraId="45B5A011">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程度</w:t>
            </w:r>
          </w:p>
        </w:tc>
        <w:tc>
          <w:tcPr>
            <w:tcW w:w="653" w:type="pct"/>
            <w:noWrap w:val="0"/>
            <w:vAlign w:val="center"/>
          </w:tcPr>
          <w:p w14:paraId="734DF4B3">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大气</w:t>
            </w:r>
          </w:p>
        </w:tc>
        <w:tc>
          <w:tcPr>
            <w:tcW w:w="792" w:type="pct"/>
            <w:noWrap w:val="0"/>
            <w:vAlign w:val="center"/>
          </w:tcPr>
          <w:p w14:paraId="73358224">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E1</w:t>
            </w:r>
            <w:r>
              <w:rPr>
                <w:rFonts w:hint="eastAsia" w:cs="Times New Roman"/>
                <w:color w:val="auto"/>
                <w:highlight w:val="none"/>
                <w:lang w:eastAsia="zh-CN"/>
              </w:rPr>
              <w:t>□</w:t>
            </w:r>
          </w:p>
        </w:tc>
        <w:tc>
          <w:tcPr>
            <w:tcW w:w="1012" w:type="pct"/>
            <w:gridSpan w:val="2"/>
            <w:noWrap w:val="0"/>
            <w:vAlign w:val="center"/>
          </w:tcPr>
          <w:p w14:paraId="25A38C4B">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E2</w:t>
            </w:r>
            <w:r>
              <w:rPr>
                <w:rFonts w:hint="eastAsia" w:cs="Times New Roman"/>
                <w:color w:val="auto"/>
                <w:highlight w:val="none"/>
                <w:lang w:eastAsia="zh-CN"/>
              </w:rPr>
              <w:t>☑</w:t>
            </w:r>
          </w:p>
        </w:tc>
        <w:tc>
          <w:tcPr>
            <w:tcW w:w="1376" w:type="pct"/>
            <w:gridSpan w:val="2"/>
            <w:noWrap w:val="0"/>
            <w:vAlign w:val="center"/>
          </w:tcPr>
          <w:p w14:paraId="0B658339">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E3</w:t>
            </w:r>
            <w:r>
              <w:rPr>
                <w:rFonts w:hint="eastAsia" w:cs="Times New Roman"/>
                <w:color w:val="auto"/>
                <w:highlight w:val="none"/>
                <w:lang w:eastAsia="zh-CN"/>
              </w:rPr>
              <w:t>□</w:t>
            </w:r>
          </w:p>
        </w:tc>
      </w:tr>
      <w:tr w14:paraId="168078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vMerge w:val="continue"/>
            <w:noWrap w:val="0"/>
            <w:vAlign w:val="center"/>
          </w:tcPr>
          <w:p w14:paraId="2D57BF1D">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noWrap w:val="0"/>
            <w:vAlign w:val="center"/>
          </w:tcPr>
          <w:p w14:paraId="3E7A3FA4">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w:t>
            </w:r>
          </w:p>
        </w:tc>
        <w:tc>
          <w:tcPr>
            <w:tcW w:w="792" w:type="pct"/>
            <w:noWrap w:val="0"/>
            <w:vAlign w:val="center"/>
          </w:tcPr>
          <w:p w14:paraId="6B79C804">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E1</w:t>
            </w:r>
            <w:r>
              <w:rPr>
                <w:rFonts w:hint="eastAsia" w:cs="Times New Roman"/>
                <w:color w:val="auto"/>
                <w:highlight w:val="none"/>
                <w:lang w:eastAsia="zh-CN"/>
              </w:rPr>
              <w:t>□</w:t>
            </w:r>
          </w:p>
        </w:tc>
        <w:tc>
          <w:tcPr>
            <w:tcW w:w="1012" w:type="pct"/>
            <w:gridSpan w:val="2"/>
            <w:noWrap w:val="0"/>
            <w:vAlign w:val="center"/>
          </w:tcPr>
          <w:p w14:paraId="0A84D010">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E2</w:t>
            </w:r>
            <w:r>
              <w:rPr>
                <w:rFonts w:hint="eastAsia" w:cs="Times New Roman"/>
                <w:color w:val="auto"/>
                <w:highlight w:val="none"/>
                <w:lang w:eastAsia="zh-CN"/>
              </w:rPr>
              <w:t>□</w:t>
            </w:r>
          </w:p>
        </w:tc>
        <w:tc>
          <w:tcPr>
            <w:tcW w:w="1376" w:type="pct"/>
            <w:gridSpan w:val="2"/>
            <w:noWrap w:val="0"/>
            <w:vAlign w:val="center"/>
          </w:tcPr>
          <w:p w14:paraId="6E7B18A7">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E3</w:t>
            </w:r>
            <w:r>
              <w:rPr>
                <w:rFonts w:hint="eastAsia" w:cs="Times New Roman"/>
                <w:color w:val="auto"/>
                <w:highlight w:val="none"/>
                <w:lang w:eastAsia="zh-CN"/>
              </w:rPr>
              <w:t>☑</w:t>
            </w:r>
          </w:p>
        </w:tc>
      </w:tr>
      <w:tr w14:paraId="1EE31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vMerge w:val="continue"/>
            <w:noWrap w:val="0"/>
            <w:vAlign w:val="center"/>
          </w:tcPr>
          <w:p w14:paraId="54F51F9D">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noWrap w:val="0"/>
            <w:vAlign w:val="center"/>
          </w:tcPr>
          <w:p w14:paraId="07D3FB5B">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w:t>
            </w:r>
          </w:p>
        </w:tc>
        <w:tc>
          <w:tcPr>
            <w:tcW w:w="792" w:type="pct"/>
            <w:noWrap w:val="0"/>
            <w:vAlign w:val="center"/>
          </w:tcPr>
          <w:p w14:paraId="5CFDEC0B">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E1</w:t>
            </w:r>
            <w:r>
              <w:rPr>
                <w:rFonts w:hint="eastAsia" w:cs="Times New Roman"/>
                <w:color w:val="auto"/>
                <w:highlight w:val="none"/>
                <w:lang w:eastAsia="zh-CN"/>
              </w:rPr>
              <w:t>□</w:t>
            </w:r>
          </w:p>
        </w:tc>
        <w:tc>
          <w:tcPr>
            <w:tcW w:w="1012" w:type="pct"/>
            <w:gridSpan w:val="2"/>
            <w:noWrap w:val="0"/>
            <w:vAlign w:val="center"/>
          </w:tcPr>
          <w:p w14:paraId="03E90F6F">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E2</w:t>
            </w:r>
            <w:r>
              <w:rPr>
                <w:rFonts w:hint="eastAsia" w:cs="Times New Roman"/>
                <w:color w:val="auto"/>
                <w:highlight w:val="none"/>
                <w:lang w:eastAsia="zh-CN"/>
              </w:rPr>
              <w:t>□</w:t>
            </w:r>
          </w:p>
        </w:tc>
        <w:tc>
          <w:tcPr>
            <w:tcW w:w="1376" w:type="pct"/>
            <w:gridSpan w:val="2"/>
            <w:noWrap w:val="0"/>
            <w:vAlign w:val="center"/>
          </w:tcPr>
          <w:p w14:paraId="5C835365">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E3</w:t>
            </w:r>
            <w:r>
              <w:rPr>
                <w:rFonts w:hint="eastAsia" w:cs="Times New Roman"/>
                <w:color w:val="auto"/>
                <w:highlight w:val="none"/>
                <w:lang w:eastAsia="zh-CN"/>
              </w:rPr>
              <w:t>☑</w:t>
            </w:r>
          </w:p>
        </w:tc>
      </w:tr>
      <w:tr w14:paraId="67A965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noWrap w:val="0"/>
            <w:vAlign w:val="center"/>
          </w:tcPr>
          <w:p w14:paraId="6E54E57D">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w:t>
            </w:r>
          </w:p>
          <w:p w14:paraId="4CDF98A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潜势</w:t>
            </w:r>
          </w:p>
        </w:tc>
        <w:tc>
          <w:tcPr>
            <w:tcW w:w="653" w:type="pct"/>
            <w:noWrap w:val="0"/>
            <w:vAlign w:val="center"/>
          </w:tcPr>
          <w:p w14:paraId="51397AF9">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4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IV</w:t>
            </w:r>
            <w:r>
              <w:rPr>
                <w:rFonts w:hint="default" w:ascii="Times New Roman" w:hAnsi="Times New Roman" w:cs="Times New Roman"/>
                <w:color w:val="auto"/>
                <w:highlight w:val="none"/>
              </w:rPr>
              <w:fldChar w:fldCharType="end"/>
            </w:r>
            <w:r>
              <w:rPr>
                <w:rFonts w:hint="eastAsia" w:cs="Times New Roman"/>
                <w:color w:val="auto"/>
                <w:highlight w:val="none"/>
                <w:lang w:eastAsia="zh-CN"/>
              </w:rPr>
              <w:t>□</w:t>
            </w:r>
          </w:p>
        </w:tc>
        <w:tc>
          <w:tcPr>
            <w:tcW w:w="792" w:type="pct"/>
            <w:noWrap w:val="0"/>
            <w:vAlign w:val="center"/>
          </w:tcPr>
          <w:p w14:paraId="1A9742D2">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4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IV</w:t>
            </w:r>
            <w:r>
              <w:rPr>
                <w:rFonts w:hint="default" w:ascii="Times New Roman" w:hAnsi="Times New Roman" w:cs="Times New Roman"/>
                <w:color w:val="auto"/>
                <w:highlight w:val="none"/>
              </w:rPr>
              <w:fldChar w:fldCharType="end"/>
            </w:r>
            <w:r>
              <w:rPr>
                <w:rFonts w:hint="eastAsia" w:cs="Times New Roman"/>
                <w:color w:val="auto"/>
                <w:highlight w:val="none"/>
                <w:lang w:eastAsia="zh-CN"/>
              </w:rPr>
              <w:t>□</w:t>
            </w:r>
          </w:p>
        </w:tc>
        <w:tc>
          <w:tcPr>
            <w:tcW w:w="833" w:type="pct"/>
            <w:noWrap w:val="0"/>
            <w:vAlign w:val="center"/>
          </w:tcPr>
          <w:p w14:paraId="61DA05FC">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3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III</w:t>
            </w:r>
            <w:r>
              <w:rPr>
                <w:rFonts w:hint="default" w:ascii="Times New Roman" w:hAnsi="Times New Roman" w:cs="Times New Roman"/>
                <w:color w:val="auto"/>
                <w:highlight w:val="none"/>
              </w:rPr>
              <w:fldChar w:fldCharType="end"/>
            </w:r>
            <w:r>
              <w:rPr>
                <w:rFonts w:hint="eastAsia" w:cs="Times New Roman"/>
                <w:color w:val="auto"/>
                <w:highlight w:val="none"/>
                <w:lang w:eastAsia="zh-CN"/>
              </w:rPr>
              <w:t>☑</w:t>
            </w:r>
          </w:p>
        </w:tc>
        <w:tc>
          <w:tcPr>
            <w:tcW w:w="816" w:type="pct"/>
            <w:gridSpan w:val="2"/>
            <w:noWrap w:val="0"/>
            <w:vAlign w:val="center"/>
          </w:tcPr>
          <w:p w14:paraId="233C15E2">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2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II</w:t>
            </w:r>
            <w:r>
              <w:rPr>
                <w:rFonts w:hint="default" w:ascii="Times New Roman" w:hAnsi="Times New Roman" w:cs="Times New Roman"/>
                <w:color w:val="auto"/>
                <w:highlight w:val="none"/>
              </w:rPr>
              <w:fldChar w:fldCharType="end"/>
            </w:r>
            <w:r>
              <w:rPr>
                <w:rFonts w:hint="eastAsia" w:cs="Times New Roman"/>
                <w:color w:val="auto"/>
                <w:highlight w:val="none"/>
                <w:lang w:eastAsia="zh-CN"/>
              </w:rPr>
              <w:t>☑</w:t>
            </w:r>
          </w:p>
        </w:tc>
        <w:tc>
          <w:tcPr>
            <w:tcW w:w="738" w:type="pct"/>
            <w:noWrap w:val="0"/>
            <w:vAlign w:val="center"/>
          </w:tcPr>
          <w:p w14:paraId="00B7866F">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 1 \* ROMAN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t>I</w:t>
            </w:r>
            <w:r>
              <w:rPr>
                <w:rFonts w:hint="default" w:ascii="Times New Roman" w:hAnsi="Times New Roman" w:cs="Times New Roman"/>
                <w:color w:val="auto"/>
                <w:highlight w:val="none"/>
              </w:rPr>
              <w:fldChar w:fldCharType="end"/>
            </w:r>
            <w:r>
              <w:rPr>
                <w:rFonts w:hint="eastAsia" w:cs="Times New Roman"/>
                <w:color w:val="auto"/>
                <w:highlight w:val="none"/>
                <w:lang w:eastAsia="zh-CN"/>
              </w:rPr>
              <w:t>□</w:t>
            </w:r>
          </w:p>
        </w:tc>
      </w:tr>
      <w:tr w14:paraId="55D714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noWrap w:val="0"/>
            <w:vAlign w:val="center"/>
          </w:tcPr>
          <w:p w14:paraId="4A9DD7FF">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评价等级</w:t>
            </w:r>
          </w:p>
        </w:tc>
        <w:tc>
          <w:tcPr>
            <w:tcW w:w="1445" w:type="pct"/>
            <w:gridSpan w:val="2"/>
            <w:noWrap w:val="0"/>
            <w:vAlign w:val="center"/>
          </w:tcPr>
          <w:p w14:paraId="6CE091CC">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一级</w:t>
            </w:r>
            <w:r>
              <w:rPr>
                <w:rFonts w:hint="eastAsia" w:cs="Times New Roman"/>
                <w:color w:val="auto"/>
                <w:highlight w:val="none"/>
                <w:lang w:eastAsia="zh-CN"/>
              </w:rPr>
              <w:t>□</w:t>
            </w:r>
          </w:p>
        </w:tc>
        <w:tc>
          <w:tcPr>
            <w:tcW w:w="833" w:type="pct"/>
            <w:noWrap w:val="0"/>
            <w:vAlign w:val="center"/>
          </w:tcPr>
          <w:p w14:paraId="4490AF73">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二级</w:t>
            </w:r>
            <w:r>
              <w:rPr>
                <w:rFonts w:hint="eastAsia" w:cs="Times New Roman"/>
                <w:color w:val="auto"/>
                <w:highlight w:val="none"/>
                <w:lang w:eastAsia="zh-CN"/>
              </w:rPr>
              <w:t>☑</w:t>
            </w:r>
          </w:p>
        </w:tc>
        <w:tc>
          <w:tcPr>
            <w:tcW w:w="816" w:type="pct"/>
            <w:gridSpan w:val="2"/>
            <w:noWrap w:val="0"/>
            <w:vAlign w:val="center"/>
          </w:tcPr>
          <w:p w14:paraId="2D76CF96">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三级</w:t>
            </w:r>
            <w:r>
              <w:rPr>
                <w:rFonts w:hint="eastAsia" w:cs="Times New Roman"/>
                <w:color w:val="auto"/>
                <w:highlight w:val="none"/>
                <w:lang w:eastAsia="zh-CN"/>
              </w:rPr>
              <w:t>□</w:t>
            </w:r>
          </w:p>
        </w:tc>
        <w:tc>
          <w:tcPr>
            <w:tcW w:w="738" w:type="pct"/>
            <w:noWrap w:val="0"/>
            <w:vAlign w:val="center"/>
          </w:tcPr>
          <w:p w14:paraId="21F05F41">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简单分析</w:t>
            </w:r>
            <w:r>
              <w:rPr>
                <w:rFonts w:hint="eastAsia" w:cs="Times New Roman"/>
                <w:color w:val="auto"/>
                <w:highlight w:val="none"/>
                <w:lang w:eastAsia="zh-CN"/>
              </w:rPr>
              <w:t>□</w:t>
            </w:r>
          </w:p>
        </w:tc>
      </w:tr>
      <w:tr w14:paraId="7EDD23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restart"/>
            <w:noWrap w:val="0"/>
            <w:vAlign w:val="center"/>
          </w:tcPr>
          <w:p w14:paraId="53CB2F7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风险识别</w:t>
            </w:r>
          </w:p>
        </w:tc>
        <w:tc>
          <w:tcPr>
            <w:tcW w:w="915" w:type="pct"/>
            <w:noWrap w:val="0"/>
            <w:vAlign w:val="center"/>
          </w:tcPr>
          <w:p w14:paraId="0171EDA2">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物质危险性</w:t>
            </w:r>
          </w:p>
        </w:tc>
        <w:tc>
          <w:tcPr>
            <w:tcW w:w="1445" w:type="pct"/>
            <w:gridSpan w:val="2"/>
            <w:noWrap w:val="0"/>
            <w:vAlign w:val="center"/>
          </w:tcPr>
          <w:p w14:paraId="27DFBF8D">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有毒有害</w:t>
            </w:r>
            <w:r>
              <w:rPr>
                <w:rFonts w:hint="eastAsia" w:cs="Times New Roman"/>
                <w:color w:val="auto"/>
                <w:highlight w:val="none"/>
                <w:lang w:eastAsia="zh-CN"/>
              </w:rPr>
              <w:t>☑</w:t>
            </w:r>
          </w:p>
        </w:tc>
        <w:tc>
          <w:tcPr>
            <w:tcW w:w="2388" w:type="pct"/>
            <w:gridSpan w:val="4"/>
            <w:noWrap w:val="0"/>
            <w:vAlign w:val="center"/>
          </w:tcPr>
          <w:p w14:paraId="6B7994F5">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易燃易爆</w:t>
            </w:r>
            <w:r>
              <w:rPr>
                <w:rFonts w:hint="eastAsia" w:cs="Times New Roman"/>
                <w:color w:val="auto"/>
                <w:highlight w:val="none"/>
                <w:lang w:eastAsia="zh-CN"/>
              </w:rPr>
              <w:t>□</w:t>
            </w:r>
          </w:p>
        </w:tc>
      </w:tr>
      <w:tr w14:paraId="36EEB7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383EF8C1">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noWrap w:val="0"/>
            <w:vAlign w:val="center"/>
          </w:tcPr>
          <w:p w14:paraId="6D9A7ED9">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环境风险类型</w:t>
            </w:r>
          </w:p>
        </w:tc>
        <w:tc>
          <w:tcPr>
            <w:tcW w:w="1445" w:type="pct"/>
            <w:gridSpan w:val="2"/>
            <w:noWrap w:val="0"/>
            <w:vAlign w:val="center"/>
          </w:tcPr>
          <w:p w14:paraId="4EF72793">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eastAsia" w:cs="Times New Roman"/>
                <w:color w:val="auto"/>
                <w:highlight w:val="none"/>
                <w:lang w:eastAsia="zh-CN"/>
              </w:rPr>
              <w:t>泄漏☑</w:t>
            </w:r>
          </w:p>
        </w:tc>
        <w:tc>
          <w:tcPr>
            <w:tcW w:w="2388" w:type="pct"/>
            <w:gridSpan w:val="4"/>
            <w:noWrap w:val="0"/>
            <w:vAlign w:val="center"/>
          </w:tcPr>
          <w:p w14:paraId="026198EB">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火灾、爆炸引发伴生/次生污染物排放</w:t>
            </w:r>
            <w:r>
              <w:rPr>
                <w:rFonts w:hint="eastAsia" w:cs="Times New Roman"/>
                <w:color w:val="auto"/>
                <w:highlight w:val="none"/>
                <w:lang w:eastAsia="zh-CN"/>
              </w:rPr>
              <w:t>□</w:t>
            </w:r>
          </w:p>
        </w:tc>
      </w:tr>
      <w:tr w14:paraId="66629F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6626F42B">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noWrap w:val="0"/>
            <w:vAlign w:val="center"/>
          </w:tcPr>
          <w:p w14:paraId="2303C962">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影响途径</w:t>
            </w:r>
          </w:p>
        </w:tc>
        <w:tc>
          <w:tcPr>
            <w:tcW w:w="1445" w:type="pct"/>
            <w:gridSpan w:val="2"/>
            <w:noWrap w:val="0"/>
            <w:vAlign w:val="center"/>
          </w:tcPr>
          <w:p w14:paraId="797CEF64">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大气</w:t>
            </w:r>
            <w:r>
              <w:rPr>
                <w:rFonts w:hint="eastAsia" w:cs="Times New Roman"/>
                <w:color w:val="auto"/>
                <w:highlight w:val="none"/>
                <w:lang w:eastAsia="zh-CN"/>
              </w:rPr>
              <w:t>☑</w:t>
            </w:r>
          </w:p>
        </w:tc>
        <w:tc>
          <w:tcPr>
            <w:tcW w:w="1650" w:type="pct"/>
            <w:gridSpan w:val="3"/>
            <w:noWrap w:val="0"/>
            <w:vAlign w:val="center"/>
          </w:tcPr>
          <w:p w14:paraId="0F6B3CB2">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地表水</w:t>
            </w:r>
            <w:r>
              <w:rPr>
                <w:rFonts w:hint="eastAsia" w:cs="Times New Roman"/>
                <w:color w:val="auto"/>
                <w:highlight w:val="none"/>
                <w:lang w:eastAsia="zh-CN"/>
              </w:rPr>
              <w:t>☑</w:t>
            </w:r>
          </w:p>
        </w:tc>
        <w:tc>
          <w:tcPr>
            <w:tcW w:w="738" w:type="pct"/>
            <w:noWrap w:val="0"/>
            <w:vAlign w:val="center"/>
          </w:tcPr>
          <w:p w14:paraId="5D836395">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地下水</w:t>
            </w:r>
            <w:r>
              <w:rPr>
                <w:rFonts w:hint="eastAsia" w:cs="Times New Roman"/>
                <w:color w:val="auto"/>
                <w:highlight w:val="none"/>
                <w:lang w:eastAsia="zh-CN"/>
              </w:rPr>
              <w:t>☑</w:t>
            </w:r>
          </w:p>
        </w:tc>
      </w:tr>
      <w:tr w14:paraId="7BAD56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noWrap w:val="0"/>
            <w:vAlign w:val="center"/>
          </w:tcPr>
          <w:p w14:paraId="3D058523">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事故情景分析</w:t>
            </w:r>
          </w:p>
        </w:tc>
        <w:tc>
          <w:tcPr>
            <w:tcW w:w="653" w:type="pct"/>
            <w:noWrap w:val="0"/>
            <w:vAlign w:val="center"/>
          </w:tcPr>
          <w:p w14:paraId="27F8982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源强设定方法</w:t>
            </w:r>
          </w:p>
        </w:tc>
        <w:tc>
          <w:tcPr>
            <w:tcW w:w="792" w:type="pct"/>
            <w:noWrap w:val="0"/>
            <w:vAlign w:val="center"/>
          </w:tcPr>
          <w:p w14:paraId="6BBF2DC1">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计算法</w:t>
            </w:r>
            <w:r>
              <w:rPr>
                <w:rFonts w:hint="eastAsia" w:cs="Times New Roman"/>
                <w:color w:val="auto"/>
                <w:highlight w:val="none"/>
                <w:lang w:eastAsia="zh-CN"/>
              </w:rPr>
              <w:t>☑</w:t>
            </w:r>
          </w:p>
        </w:tc>
        <w:tc>
          <w:tcPr>
            <w:tcW w:w="1650" w:type="pct"/>
            <w:gridSpan w:val="3"/>
            <w:noWrap w:val="0"/>
            <w:vAlign w:val="center"/>
          </w:tcPr>
          <w:p w14:paraId="764A59C5">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经验估算法</w:t>
            </w:r>
            <w:r>
              <w:rPr>
                <w:rFonts w:hint="eastAsia" w:cs="Times New Roman"/>
                <w:color w:val="auto"/>
                <w:highlight w:val="none"/>
                <w:lang w:eastAsia="zh-CN"/>
              </w:rPr>
              <w:t>□</w:t>
            </w:r>
          </w:p>
        </w:tc>
        <w:tc>
          <w:tcPr>
            <w:tcW w:w="738" w:type="pct"/>
            <w:noWrap w:val="0"/>
            <w:vAlign w:val="center"/>
          </w:tcPr>
          <w:p w14:paraId="4F82B382">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其他估算法</w:t>
            </w:r>
            <w:r>
              <w:rPr>
                <w:rFonts w:hint="eastAsia" w:cs="Times New Roman"/>
                <w:color w:val="auto"/>
                <w:highlight w:val="none"/>
                <w:lang w:eastAsia="zh-CN"/>
              </w:rPr>
              <w:t>□</w:t>
            </w:r>
          </w:p>
        </w:tc>
      </w:tr>
      <w:tr w14:paraId="66B3A1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restart"/>
            <w:noWrap w:val="0"/>
            <w:vAlign w:val="center"/>
          </w:tcPr>
          <w:p w14:paraId="1800239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风</w:t>
            </w:r>
          </w:p>
          <w:p w14:paraId="7904115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险</w:t>
            </w:r>
          </w:p>
          <w:p w14:paraId="6460120B">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预</w:t>
            </w:r>
          </w:p>
          <w:p w14:paraId="2BDABAE3">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测</w:t>
            </w:r>
          </w:p>
          <w:p w14:paraId="1677D1E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与</w:t>
            </w:r>
          </w:p>
          <w:p w14:paraId="14A0EB49">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评</w:t>
            </w:r>
          </w:p>
          <w:p w14:paraId="0B8FC378">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价</w:t>
            </w:r>
          </w:p>
        </w:tc>
        <w:tc>
          <w:tcPr>
            <w:tcW w:w="915" w:type="pct"/>
            <w:vMerge w:val="restart"/>
            <w:noWrap w:val="0"/>
            <w:vAlign w:val="center"/>
          </w:tcPr>
          <w:p w14:paraId="29024785">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大气</w:t>
            </w:r>
          </w:p>
        </w:tc>
        <w:tc>
          <w:tcPr>
            <w:tcW w:w="653" w:type="pct"/>
            <w:noWrap w:val="0"/>
            <w:vAlign w:val="center"/>
          </w:tcPr>
          <w:p w14:paraId="28E576BC">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预测模型</w:t>
            </w:r>
          </w:p>
        </w:tc>
        <w:tc>
          <w:tcPr>
            <w:tcW w:w="792" w:type="pct"/>
            <w:noWrap w:val="0"/>
            <w:vAlign w:val="center"/>
          </w:tcPr>
          <w:p w14:paraId="47944AEE">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SLAB</w:t>
            </w:r>
            <w:r>
              <w:rPr>
                <w:rFonts w:hint="eastAsia" w:cs="Times New Roman"/>
                <w:color w:val="auto"/>
                <w:highlight w:val="none"/>
                <w:lang w:eastAsia="zh-CN"/>
              </w:rPr>
              <w:t>☑</w:t>
            </w:r>
          </w:p>
        </w:tc>
        <w:tc>
          <w:tcPr>
            <w:tcW w:w="1650" w:type="pct"/>
            <w:gridSpan w:val="3"/>
            <w:noWrap w:val="0"/>
            <w:vAlign w:val="center"/>
          </w:tcPr>
          <w:p w14:paraId="7808EF4F">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AFTOX</w:t>
            </w:r>
            <w:r>
              <w:rPr>
                <w:rFonts w:hint="eastAsia" w:cs="Times New Roman"/>
                <w:color w:val="auto"/>
                <w:highlight w:val="none"/>
                <w:lang w:eastAsia="zh-CN"/>
              </w:rPr>
              <w:t>□</w:t>
            </w:r>
          </w:p>
        </w:tc>
        <w:tc>
          <w:tcPr>
            <w:tcW w:w="738" w:type="pct"/>
            <w:noWrap w:val="0"/>
            <w:vAlign w:val="center"/>
          </w:tcPr>
          <w:p w14:paraId="50FC5798">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其他</w:t>
            </w:r>
            <w:r>
              <w:rPr>
                <w:rFonts w:hint="eastAsia" w:cs="Times New Roman"/>
                <w:color w:val="auto"/>
                <w:highlight w:val="none"/>
                <w:lang w:eastAsia="zh-CN"/>
              </w:rPr>
              <w:t>□</w:t>
            </w:r>
          </w:p>
        </w:tc>
      </w:tr>
      <w:tr w14:paraId="70E89C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524DC74D">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483FB54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vMerge w:val="restart"/>
            <w:noWrap w:val="0"/>
            <w:vAlign w:val="center"/>
          </w:tcPr>
          <w:p w14:paraId="08CCB802">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预测结果</w:t>
            </w:r>
          </w:p>
        </w:tc>
        <w:tc>
          <w:tcPr>
            <w:tcW w:w="3180" w:type="pct"/>
            <w:gridSpan w:val="5"/>
            <w:noWrap w:val="0"/>
            <w:vAlign w:val="center"/>
          </w:tcPr>
          <w:p w14:paraId="6EA751B3">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eastAsia" w:cs="Times New Roman"/>
                <w:color w:val="auto"/>
                <w:highlight w:val="none"/>
                <w:lang w:val="en-US" w:eastAsia="zh-CN"/>
              </w:rPr>
              <w:t>三氧化硫</w:t>
            </w:r>
            <w:r>
              <w:rPr>
                <w:rFonts w:hint="default" w:ascii="Times New Roman" w:hAnsi="Times New Roman" w:cs="Times New Roman"/>
                <w:color w:val="auto"/>
                <w:highlight w:val="none"/>
              </w:rPr>
              <w:t>大气毒性终点浓度-1 最大影响范围</w:t>
            </w:r>
            <w:r>
              <w:rPr>
                <w:rFonts w:hint="eastAsia" w:cs="Times New Roman"/>
                <w:color w:val="auto"/>
                <w:highlight w:val="none"/>
                <w:lang w:val="en-US" w:eastAsia="zh-CN"/>
              </w:rPr>
              <w:t>70</w:t>
            </w:r>
            <w:r>
              <w:rPr>
                <w:rFonts w:hint="default" w:ascii="Times New Roman" w:hAnsi="Times New Roman" w:cs="Times New Roman"/>
                <w:color w:val="auto"/>
                <w:highlight w:val="none"/>
              </w:rPr>
              <w:t>m</w:t>
            </w:r>
          </w:p>
        </w:tc>
      </w:tr>
      <w:tr w14:paraId="2E388B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1D95F4A1">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27D07B6D">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653" w:type="pct"/>
            <w:vMerge w:val="continue"/>
            <w:noWrap w:val="0"/>
            <w:vAlign w:val="center"/>
          </w:tcPr>
          <w:p w14:paraId="63B4DA0E">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3180" w:type="pct"/>
            <w:gridSpan w:val="5"/>
            <w:noWrap w:val="0"/>
            <w:vAlign w:val="center"/>
          </w:tcPr>
          <w:p w14:paraId="332F0F9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eastAsia" w:cs="Times New Roman"/>
                <w:color w:val="auto"/>
                <w:highlight w:val="none"/>
                <w:lang w:val="en-US" w:eastAsia="zh-CN"/>
              </w:rPr>
              <w:t>三氧化硫</w:t>
            </w:r>
            <w:r>
              <w:rPr>
                <w:rFonts w:hint="default" w:ascii="Times New Roman" w:hAnsi="Times New Roman" w:cs="Times New Roman"/>
                <w:color w:val="auto"/>
                <w:highlight w:val="none"/>
              </w:rPr>
              <w:t>大气毒性终点浓度-2 最大影响范围</w:t>
            </w:r>
            <w:r>
              <w:rPr>
                <w:rFonts w:hint="eastAsia" w:cs="Times New Roman"/>
                <w:color w:val="auto"/>
                <w:highlight w:val="none"/>
                <w:lang w:val="en-US" w:eastAsia="zh-CN"/>
              </w:rPr>
              <w:t>160</w:t>
            </w:r>
            <w:r>
              <w:rPr>
                <w:rFonts w:hint="default" w:ascii="Times New Roman" w:hAnsi="Times New Roman" w:cs="Times New Roman"/>
                <w:color w:val="auto"/>
                <w:highlight w:val="none"/>
              </w:rPr>
              <w:t>m</w:t>
            </w:r>
          </w:p>
        </w:tc>
      </w:tr>
      <w:tr w14:paraId="4FBC50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151014C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noWrap w:val="0"/>
            <w:vAlign w:val="center"/>
          </w:tcPr>
          <w:p w14:paraId="7F7D2E87">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地表水</w:t>
            </w:r>
          </w:p>
        </w:tc>
        <w:tc>
          <w:tcPr>
            <w:tcW w:w="3834" w:type="pct"/>
            <w:gridSpan w:val="6"/>
            <w:noWrap w:val="0"/>
            <w:vAlign w:val="center"/>
          </w:tcPr>
          <w:p w14:paraId="5A05671F">
            <w:pPr>
              <w:pStyle w:val="35"/>
              <w:keepNext w:val="0"/>
              <w:keepLines w:val="0"/>
              <w:suppressLineNumbers w:val="0"/>
              <w:spacing w:before="0" w:beforeAutospacing="0" w:after="0" w:afterAutospacing="0" w:line="240" w:lineRule="auto"/>
              <w:ind w:left="0" w:right="0"/>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本项目事故废水可以做到控制在厂界内</w:t>
            </w:r>
            <w:r>
              <w:rPr>
                <w:rFonts w:hint="default" w:ascii="Times New Roman" w:hAnsi="Times New Roman" w:cs="Times New Roman"/>
                <w:color w:val="auto"/>
                <w:highlight w:val="none"/>
                <w:lang w:eastAsia="zh-CN"/>
              </w:rPr>
              <w:t>，确保事故废水不出厂。</w:t>
            </w:r>
          </w:p>
        </w:tc>
      </w:tr>
      <w:tr w14:paraId="3762EA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02E9A2A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restart"/>
            <w:noWrap w:val="0"/>
            <w:vAlign w:val="center"/>
          </w:tcPr>
          <w:p w14:paraId="41DE20FE">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地下水</w:t>
            </w:r>
          </w:p>
        </w:tc>
        <w:tc>
          <w:tcPr>
            <w:tcW w:w="3834" w:type="pct"/>
            <w:gridSpan w:val="6"/>
            <w:noWrap w:val="0"/>
            <w:vAlign w:val="center"/>
          </w:tcPr>
          <w:p w14:paraId="0531F4E9">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下游厂区边界到达时间</w:t>
            </w:r>
            <w:r>
              <w:rPr>
                <w:rFonts w:hint="eastAsia" w:cs="Times New Roman"/>
                <w:color w:val="auto"/>
                <w:highlight w:val="none"/>
                <w:lang w:val="en-US" w:eastAsia="zh-CN"/>
              </w:rPr>
              <w:t>/</w:t>
            </w:r>
          </w:p>
        </w:tc>
      </w:tr>
      <w:tr w14:paraId="4C156D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49" w:type="pct"/>
            <w:vMerge w:val="continue"/>
            <w:noWrap w:val="0"/>
            <w:vAlign w:val="center"/>
          </w:tcPr>
          <w:p w14:paraId="41CF6EC0">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915" w:type="pct"/>
            <w:vMerge w:val="continue"/>
            <w:noWrap w:val="0"/>
            <w:vAlign w:val="center"/>
          </w:tcPr>
          <w:p w14:paraId="6D781DC6">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p>
        </w:tc>
        <w:tc>
          <w:tcPr>
            <w:tcW w:w="3834" w:type="pct"/>
            <w:gridSpan w:val="6"/>
            <w:noWrap w:val="0"/>
            <w:vAlign w:val="center"/>
          </w:tcPr>
          <w:p w14:paraId="3D09A88B">
            <w:pPr>
              <w:pStyle w:val="35"/>
              <w:keepNext w:val="0"/>
              <w:keepLines w:val="0"/>
              <w:suppressLineNumbers w:val="0"/>
              <w:spacing w:before="0" w:beforeAutospacing="0" w:after="0" w:afterAutospacing="0" w:line="240" w:lineRule="auto"/>
              <w:ind w:left="0" w:right="0"/>
              <w:rPr>
                <w:rFonts w:hint="eastAsia"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rPr>
              <w:t>最近环境敏感目标</w:t>
            </w:r>
            <w:r>
              <w:rPr>
                <w:rFonts w:hint="eastAsia" w:cs="Times New Roman"/>
                <w:color w:val="auto"/>
                <w:highlight w:val="none"/>
                <w:lang w:val="en-US" w:eastAsia="zh-CN"/>
              </w:rPr>
              <w:t>/</w:t>
            </w:r>
          </w:p>
        </w:tc>
      </w:tr>
      <w:tr w14:paraId="62CC22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noWrap w:val="0"/>
            <w:vAlign w:val="center"/>
          </w:tcPr>
          <w:p w14:paraId="4D3FE5F3">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重点风险防范措施</w:t>
            </w:r>
          </w:p>
        </w:tc>
        <w:tc>
          <w:tcPr>
            <w:tcW w:w="3834" w:type="pct"/>
            <w:gridSpan w:val="6"/>
            <w:noWrap w:val="0"/>
            <w:vAlign w:val="center"/>
          </w:tcPr>
          <w:p w14:paraId="483B0EC2">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严格按照相关的法规、规范进行设计、施工；建立三级防控体系，建设</w:t>
            </w:r>
            <w:r>
              <w:rPr>
                <w:rFonts w:hint="eastAsia" w:cs="Times New Roman"/>
                <w:color w:val="auto"/>
                <w:highlight w:val="none"/>
                <w:lang w:val="en-US" w:eastAsia="zh-CN"/>
              </w:rPr>
              <w:t>240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事故水池</w:t>
            </w:r>
            <w:r>
              <w:rPr>
                <w:rFonts w:hint="eastAsia" w:cs="Times New Roman"/>
                <w:color w:val="auto"/>
                <w:highlight w:val="none"/>
                <w:lang w:val="en-US" w:eastAsia="zh-CN"/>
              </w:rPr>
              <w:t>及罐区围堰</w:t>
            </w:r>
            <w:r>
              <w:rPr>
                <w:rFonts w:hint="default" w:ascii="Times New Roman" w:hAnsi="Times New Roman" w:cs="Times New Roman"/>
                <w:color w:val="auto"/>
                <w:highlight w:val="none"/>
              </w:rPr>
              <w:t>，做好重点区域防渗，编制环境风险应急预案。</w:t>
            </w:r>
          </w:p>
        </w:tc>
      </w:tr>
      <w:tr w14:paraId="3DC18A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65" w:type="pct"/>
            <w:gridSpan w:val="2"/>
            <w:noWrap w:val="0"/>
            <w:vAlign w:val="center"/>
          </w:tcPr>
          <w:p w14:paraId="74ADF138">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评价结论与建议</w:t>
            </w:r>
          </w:p>
        </w:tc>
        <w:tc>
          <w:tcPr>
            <w:tcW w:w="3834" w:type="pct"/>
            <w:gridSpan w:val="6"/>
            <w:noWrap w:val="0"/>
            <w:vAlign w:val="center"/>
          </w:tcPr>
          <w:p w14:paraId="1BBED214">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可接受</w:t>
            </w:r>
          </w:p>
        </w:tc>
      </w:tr>
      <w:tr w14:paraId="77F7514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00" w:type="pct"/>
            <w:gridSpan w:val="8"/>
            <w:noWrap w:val="0"/>
            <w:vAlign w:val="center"/>
          </w:tcPr>
          <w:p w14:paraId="31781E88">
            <w:pPr>
              <w:pStyle w:val="35"/>
              <w:keepNext w:val="0"/>
              <w:keepLines w:val="0"/>
              <w:suppressLineNumbers w:val="0"/>
              <w:spacing w:before="0" w:beforeAutospacing="0" w:after="0" w:afterAutospacing="0" w:line="240" w:lineRule="auto"/>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注：“□”为勾选项，“ ”为填写项。</w:t>
            </w:r>
          </w:p>
        </w:tc>
      </w:tr>
    </w:tbl>
    <w:p w14:paraId="7B85C7C7">
      <w:pPr>
        <w:pageBreakBefore w:val="0"/>
        <w:widowControl w:val="0"/>
        <w:kinsoku/>
        <w:wordWrap/>
        <w:overflowPunct/>
        <w:topLinePunct w:val="0"/>
        <w:bidi w:val="0"/>
        <w:snapToGrid w:val="0"/>
        <w:spacing w:line="360" w:lineRule="auto"/>
        <w:ind w:left="0" w:leftChars="0" w:firstLine="562" w:firstLineChars="200"/>
        <w:textAlignment w:val="auto"/>
        <w:rPr>
          <w:rFonts w:hint="eastAsia" w:ascii="黑体" w:hAnsi="黑体" w:eastAsia="黑体" w:cs="黑体"/>
          <w:b/>
          <w:bCs/>
          <w:color w:val="auto"/>
          <w:sz w:val="28"/>
          <w:szCs w:val="24"/>
          <w:lang w:val="en-US" w:eastAsia="zh-CN"/>
        </w:rPr>
      </w:pPr>
    </w:p>
    <w:sectPr>
      <w:headerReference r:id="rId9" w:type="default"/>
      <w:footerReference r:id="rId10" w:type="default"/>
      <w:pgSz w:w="11905" w:h="16838"/>
      <w:pgMar w:top="1440" w:right="1800" w:bottom="1440" w:left="1800" w:header="851" w:footer="1077" w:gutter="0"/>
      <w:pgBorders>
        <w:top w:val="none" w:sz="0" w:space="0"/>
        <w:left w:val="none" w:sz="0" w:space="0"/>
        <w:bottom w:val="none" w:sz="0" w:space="0"/>
        <w:right w:val="none" w:sz="0" w:space="0"/>
      </w:pgBorders>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0"/>
    <w:family w:val="auto"/>
    <w:pitch w:val="default"/>
    <w:sig w:usb0="00000000" w:usb1="00000000" w:usb2="0000001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2E3F5">
    <w:pPr>
      <w:widowControl w:val="0"/>
      <w:autoSpaceDE w:val="0"/>
      <w:autoSpaceDN w:val="0"/>
      <w:spacing w:before="0" w:after="0" w:line="14" w:lineRule="auto"/>
      <w:ind w:left="0" w:right="0"/>
      <w:jc w:val="left"/>
      <w:rPr>
        <w:rFonts w:ascii="宋体" w:hAnsi="宋体" w:eastAsia="宋体" w:cs="宋体"/>
        <w:sz w:val="20"/>
        <w:szCs w:val="24"/>
        <w:lang w:val="en-US" w:eastAsia="zh-CN" w:bidi="ar-SA"/>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-139065</wp:posOffset>
              </wp:positionV>
              <wp:extent cx="1828800" cy="1828800"/>
              <wp:effectExtent l="0" t="0" r="0" b="0"/>
              <wp:wrapNone/>
              <wp:docPr id="188" name="文本框 1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831999">
                          <w:pPr>
                            <w:pStyle w:val="13"/>
                            <w:spacing w:line="240" w:lineRule="auto"/>
                            <w:jc w:val="both"/>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0.95pt;height:144pt;width:144pt;mso-position-horizontal:center;mso-position-horizontal-relative:margin;mso-wrap-style:none;z-index:251660288;mso-width-relative:page;mso-height-relative:page;" filled="f" stroked="f" coordsize="21600,21600" o:gfxdata="UEsDBAoAAAAAAIdO4kAAAAAAAAAAAAAAAAAEAAAAZHJzL1BLAwQUAAAACACHTuJAoJ1AntUAAAAI&#10;AQAADwAAAGRycy9kb3ducmV2LnhtbE2PQU+EMBCF7yb+h2ZMvO0W0BBEyiZuxKOJyx48dukIKJ2S&#10;tsviv3c86W1m3sub71W71U5iQR9GRwrSbQICqXNmpF7BsW02BYgQNRk9OUIF3xhgV19fVbo07kJv&#10;uBxiLziEQqkVDDHOpZShG9DqsHUzEmsfzlsdefW9NF5fONxOMkuSXFo9En8Y9Iz7Abuvw9kq2Ddt&#10;6xcMfnrHl+bu8/XpHp9XpW5v0uQRRMQ1/pnhF5/RoWamkzuTCWJSwEWigk2WPoBgOSsKvpx4yPMU&#10;ZF3J/wXqH1BLAwQUAAAACACHTuJAfSZ9+TkCAABz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AUmYYbGa6bQ&#10;8sv3b5cfvy4/v5J4CYka6+eI3FnEhvataRE+3HtcRuZt6VT8BScCPwQ+XwUWbSA8PppNZ7MxXBy+&#10;4QD87PG5dT68E0aRaOTUoYNJWHba+tCFDiExmzabWsrURalJk9Ob12/G6cHVA3CpY6xI89DDREpd&#10;6dEK7b7tee5NcQZNZ7pZ8ZZvapSyZT48MIfhQPlYn3CPTykNUpreoqQy7su/7mM8egYvJQ2GLaca&#10;u0WJfK/RSwCGwXCDsR8MfVR3BtM7wVpankw8cEEOZumM+oydWsUccDHNkSmnYTDvQjfw2EkuVqsU&#10;dLSuPlTdA0yiZWGrd5bHNFEqb1fHAGmT4lGgThV0Kh4wi6ln/d7EYf/znKIe/yu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gnUCe1QAAAAgBAAAPAAAAAAAAAAEAIAAAACIAAABkcnMvZG93bnJl&#10;di54bWxQSwECFAAUAAAACACHTuJAfSZ9+TkCAABzBAAADgAAAAAAAAABACAAAAAkAQAAZHJzL2Uy&#10;b0RvYy54bWxQSwUGAAAAAAYABgBZAQAAzwUAAAAA&#10;">
              <v:fill on="f" focussize="0,0"/>
              <v:stroke on="f" weight="0.5pt"/>
              <v:imagedata o:title=""/>
              <o:lock v:ext="edit" aspectratio="f"/>
              <v:textbox inset="0mm,0mm,0mm,0mm" style="mso-fit-shape-to-text:t;">
                <w:txbxContent>
                  <w:p w14:paraId="21831999">
                    <w:pPr>
                      <w:pStyle w:val="13"/>
                      <w:spacing w:line="240" w:lineRule="auto"/>
                      <w:jc w:val="both"/>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893E">
    <w:pPr>
      <w:pStyle w:val="13"/>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991F7">
                          <w:pPr>
                            <w:pStyle w:val="1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09991F7">
                    <w:pPr>
                      <w:pStyle w:val="13"/>
                    </w:pPr>
                    <w:r>
                      <w:fldChar w:fldCharType="begin"/>
                    </w:r>
                    <w:r>
                      <w:instrText xml:space="preserve"> PAGE  \* MERGEFORMAT </w:instrText>
                    </w:r>
                    <w:r>
                      <w:fldChar w:fldCharType="separate"/>
                    </w:r>
                    <w:r>
                      <w:t>31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6CA24">
    <w:pPr>
      <w:pStyle w:val="14"/>
      <w:pBdr>
        <w:bottom w:val="thinThickSmallGap" w:color="auto" w:sz="12" w:space="1"/>
      </w:pBdr>
      <w:jc w:val="both"/>
      <w:rPr>
        <w:rFonts w:hint="eastAsia" w:eastAsia="宋体"/>
        <w:lang w:eastAsia="zh-CN"/>
      </w:rPr>
    </w:pPr>
    <w:r>
      <w:rPr>
        <w:rFonts w:hint="eastAsia" w:cs="Times New Roman"/>
        <w:kern w:val="2"/>
        <w:sz w:val="18"/>
        <w:szCs w:val="18"/>
        <w:lang w:val="en-US" w:eastAsia="zh-CN" w:bidi="ar-SA"/>
      </w:rPr>
      <w:t xml:space="preserve">淄博南韩化工有限公司新建优化标准硫酸罐区项目环境影响报告表    </w:t>
    </w:r>
    <w:r>
      <w:rPr>
        <w:rFonts w:hint="eastAsia"/>
        <w:lang w:val="en-US" w:eastAsia="zh-CN"/>
      </w:rPr>
      <w:t xml:space="preserve">          </w:t>
    </w:r>
    <w:r>
      <w:rPr>
        <w:rFonts w:hint="eastAsia"/>
        <w:lang w:eastAsia="zh-CN"/>
      </w:rPr>
      <w:t>环境风险评价专项报告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0AC5D">
    <w:pPr>
      <w:pStyle w:val="14"/>
      <w:pBdr>
        <w:bottom w:val="thinThickSmallGap" w:color="auto" w:sz="12" w:space="1"/>
      </w:pBdr>
      <w:jc w:val="both"/>
      <w:rPr>
        <w:rFonts w:hint="eastAsia" w:eastAsia="宋体"/>
        <w:lang w:eastAsia="zh-CN"/>
      </w:rPr>
    </w:pPr>
    <w:r>
      <w:rPr>
        <w:rFonts w:hint="eastAsia" w:cs="Times New Roman"/>
        <w:kern w:val="2"/>
        <w:sz w:val="18"/>
        <w:szCs w:val="18"/>
        <w:lang w:val="en-US" w:eastAsia="zh-CN" w:bidi="ar-SA"/>
      </w:rPr>
      <w:t xml:space="preserve">淄博南韩化工有限公司新建优化标准硫酸罐区项目环境影响报告表    </w:t>
    </w:r>
    <w:r>
      <w:rPr>
        <w:rFonts w:hint="eastAsia"/>
        <w:lang w:val="en-US" w:eastAsia="zh-CN"/>
      </w:rPr>
      <w:t xml:space="preserve">                                                                                         </w:t>
    </w:r>
    <w:r>
      <w:rPr>
        <w:rFonts w:hint="eastAsia"/>
        <w:lang w:eastAsia="zh-CN"/>
      </w:rPr>
      <w:t>环境风险评价专项报告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8BB74">
    <w:pPr>
      <w:pStyle w:val="14"/>
      <w:pBdr>
        <w:bottom w:val="thinThickSmallGap" w:color="auto" w:sz="12" w:space="1"/>
      </w:pBdr>
      <w:jc w:val="both"/>
      <w:rPr>
        <w:rFonts w:hint="eastAsia" w:eastAsia="宋体"/>
        <w:lang w:eastAsia="zh-CN"/>
      </w:rPr>
    </w:pPr>
    <w:r>
      <w:rPr>
        <w:rFonts w:hint="eastAsia" w:cs="Times New Roman"/>
        <w:kern w:val="2"/>
        <w:sz w:val="18"/>
        <w:szCs w:val="18"/>
        <w:lang w:val="en-US" w:eastAsia="zh-CN" w:bidi="ar-SA"/>
      </w:rPr>
      <w:t xml:space="preserve">淄博南韩化工有限公司新建优化标准硫酸罐区项目环境影响报告表    </w:t>
    </w:r>
    <w:r>
      <w:rPr>
        <w:rFonts w:hint="eastAsia"/>
        <w:lang w:val="en-US" w:eastAsia="zh-CN"/>
      </w:rPr>
      <w:t xml:space="preserve">          </w:t>
    </w:r>
    <w:r>
      <w:rPr>
        <w:rFonts w:hint="eastAsia"/>
        <w:lang w:eastAsia="zh-CN"/>
      </w:rPr>
      <w:t>环境风险评价专项报告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A4F49">
    <w:pPr>
      <w:pStyle w:val="14"/>
      <w:pBdr>
        <w:bottom w:val="thinThickSmallGap" w:color="auto" w:sz="12" w:space="1"/>
      </w:pBdr>
      <w:jc w:val="both"/>
      <w:rPr>
        <w:rFonts w:hint="eastAsia" w:eastAsia="宋体"/>
        <w:lang w:eastAsia="zh-CN"/>
      </w:rPr>
    </w:pPr>
    <w:r>
      <w:rPr>
        <w:rFonts w:hint="eastAsia" w:cs="Times New Roman"/>
        <w:kern w:val="2"/>
        <w:sz w:val="18"/>
        <w:szCs w:val="18"/>
        <w:lang w:val="en-US" w:eastAsia="zh-CN" w:bidi="ar-SA"/>
      </w:rPr>
      <w:t>淄博南韩化工有限公司新建优化标准硫酸罐区项目环境影响报告表</w:t>
    </w:r>
    <w:r>
      <w:rPr>
        <w:rFonts w:hint="eastAsia"/>
      </w:rPr>
      <w:t xml:space="preserve">   </w:t>
    </w:r>
    <w:r>
      <w:rPr>
        <w:rFonts w:hint="eastAsia"/>
        <w:lang w:val="en-US" w:eastAsia="zh-CN"/>
      </w:rPr>
      <w:t xml:space="preserve">           </w:t>
    </w:r>
    <w:r>
      <w:rPr>
        <w:rFonts w:hint="eastAsia"/>
        <w:lang w:eastAsia="zh-CN"/>
      </w:rPr>
      <w:t>环境风险评价专项报告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16BC3">
    <w:pPr>
      <w:pStyle w:val="14"/>
      <w:pBdr>
        <w:bottom w:val="thinThickSmallGap" w:color="auto" w:sz="12" w:space="1"/>
      </w:pBdr>
      <w:jc w:val="both"/>
      <w:rPr>
        <w:rFonts w:hint="eastAsia" w:eastAsia="宋体"/>
        <w:lang w:eastAsia="zh-CN"/>
      </w:rPr>
    </w:pPr>
    <w:r>
      <w:rPr>
        <w:rFonts w:hint="eastAsia" w:cs="Times New Roman"/>
        <w:kern w:val="2"/>
        <w:sz w:val="18"/>
        <w:szCs w:val="18"/>
        <w:lang w:val="en-US" w:eastAsia="zh-CN" w:bidi="ar-SA"/>
      </w:rPr>
      <w:t>淄博南韩化工有限公司新建优化标准硫酸罐区项目环境影响报告表</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lang w:eastAsia="zh-CN"/>
      </w:rPr>
      <w:t>环境风险评价专项报告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A5BB1">
    <w:pPr>
      <w:pStyle w:val="14"/>
      <w:pBdr>
        <w:bottom w:val="thinThickSmallGap" w:color="auto" w:sz="12" w:space="1"/>
      </w:pBdr>
      <w:jc w:val="both"/>
      <w:rPr>
        <w:rFonts w:hint="eastAsia" w:eastAsia="宋体"/>
        <w:lang w:eastAsia="zh-CN"/>
      </w:rPr>
    </w:pPr>
    <w:r>
      <w:rPr>
        <w:rFonts w:hint="eastAsia" w:cs="Times New Roman"/>
        <w:kern w:val="2"/>
        <w:sz w:val="18"/>
        <w:szCs w:val="18"/>
        <w:lang w:val="en-US" w:eastAsia="zh-CN" w:bidi="ar-SA"/>
      </w:rPr>
      <w:t>淄博南韩化工有限公司新建优化标准硫酸罐区项目环境影响报告表</w:t>
    </w:r>
    <w:r>
      <w:rPr>
        <w:rFonts w:hint="eastAsia"/>
      </w:rPr>
      <w:t xml:space="preserve">   </w:t>
    </w:r>
    <w:r>
      <w:rPr>
        <w:rFonts w:hint="eastAsia"/>
        <w:lang w:val="en-US" w:eastAsia="zh-CN"/>
      </w:rPr>
      <w:t xml:space="preserve">           </w:t>
    </w:r>
    <w:r>
      <w:rPr>
        <w:rFonts w:hint="eastAsia"/>
        <w:lang w:eastAsia="zh-CN"/>
      </w:rPr>
      <w:t>环境风险评价专项报告</w:t>
    </w:r>
  </w:p>
  <w:p w14:paraId="32346079">
    <w:pPr>
      <w:pStyle w:val="14"/>
      <w:pBdr>
        <w:bottom w:val="none" w:color="auto" w:sz="0" w:space="1"/>
      </w:pBdr>
      <w:tabs>
        <w:tab w:val="left" w:pos="1295"/>
        <w:tab w:val="clear" w:pos="4153"/>
      </w:tabs>
      <w:jc w:val="both"/>
      <w:rPr>
        <w:rFonts w:hint="eastAsia" w:eastAsia="宋体"/>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1EC68"/>
    <w:multiLevelType w:val="singleLevel"/>
    <w:tmpl w:val="86F1EC68"/>
    <w:lvl w:ilvl="0" w:tentative="0">
      <w:start w:val="1"/>
      <w:numFmt w:val="decimal"/>
      <w:suff w:val="nothing"/>
      <w:lvlText w:val="%1、"/>
      <w:lvlJc w:val="left"/>
    </w:lvl>
  </w:abstractNum>
  <w:abstractNum w:abstractNumId="1">
    <w:nsid w:val="CA283A10"/>
    <w:multiLevelType w:val="singleLevel"/>
    <w:tmpl w:val="CA283A10"/>
    <w:lvl w:ilvl="0" w:tentative="0">
      <w:start w:val="1"/>
      <w:numFmt w:val="decimal"/>
      <w:suff w:val="nothing"/>
      <w:lvlText w:val="%1、"/>
      <w:lvlJc w:val="left"/>
    </w:lvl>
  </w:abstractNum>
  <w:abstractNum w:abstractNumId="2">
    <w:nsid w:val="70572AD9"/>
    <w:multiLevelType w:val="singleLevel"/>
    <w:tmpl w:val="70572AD9"/>
    <w:lvl w:ilvl="0" w:tentative="0">
      <w:start w:val="1"/>
      <w:numFmt w:val="decimal"/>
      <w:suff w:val="nothing"/>
      <w:lvlText w:val="%1、"/>
      <w:lvlJc w:val="left"/>
    </w:lvl>
  </w:abstractNum>
  <w:abstractNum w:abstractNumId="3">
    <w:nsid w:val="7F2A0187"/>
    <w:multiLevelType w:val="singleLevel"/>
    <w:tmpl w:val="7F2A0187"/>
    <w:lvl w:ilvl="0" w:tentative="0">
      <w:start w:val="1"/>
      <w:numFmt w:val="decimal"/>
      <w:pStyle w:val="37"/>
      <w:suff w:val="space"/>
      <w:lvlText w:val="表%1"/>
      <w:lvlJc w:val="left"/>
      <w:pPr>
        <w:tabs>
          <w:tab w:val="left" w:pos="0"/>
        </w:tabs>
        <w:ind w:left="0" w:firstLine="0"/>
      </w:pPr>
      <w:rPr>
        <w:rFonts w:hint="default" w:ascii="Times New Roman" w:hAnsi="Times New Roman" w:eastAsia="黑体" w:cs="宋体"/>
        <w:sz w:val="21"/>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210"/>
  <w:drawingGridVerticalSpacing w:val="99999990"/>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zY2QxMzY2MGI2Y2E3M2UxN2YwZDE0ZDI3MGI1ZDYifQ=="/>
  </w:docVars>
  <w:rsids>
    <w:rsidRoot w:val="00172A27"/>
    <w:rsid w:val="002E7D40"/>
    <w:rsid w:val="00500138"/>
    <w:rsid w:val="00CB3FAF"/>
    <w:rsid w:val="00D40FA0"/>
    <w:rsid w:val="00F618B9"/>
    <w:rsid w:val="0103164E"/>
    <w:rsid w:val="013B335E"/>
    <w:rsid w:val="01A32CD4"/>
    <w:rsid w:val="01E0684B"/>
    <w:rsid w:val="024F09B8"/>
    <w:rsid w:val="02A2505E"/>
    <w:rsid w:val="02C952FE"/>
    <w:rsid w:val="02D84414"/>
    <w:rsid w:val="031433BA"/>
    <w:rsid w:val="034A128B"/>
    <w:rsid w:val="035261E0"/>
    <w:rsid w:val="038C76D9"/>
    <w:rsid w:val="03EE3EEF"/>
    <w:rsid w:val="044D6C3A"/>
    <w:rsid w:val="048567C3"/>
    <w:rsid w:val="052D7C5E"/>
    <w:rsid w:val="067508F8"/>
    <w:rsid w:val="0718062C"/>
    <w:rsid w:val="075648EC"/>
    <w:rsid w:val="07D116BE"/>
    <w:rsid w:val="07DD395B"/>
    <w:rsid w:val="081B54CF"/>
    <w:rsid w:val="082E4C47"/>
    <w:rsid w:val="08580EBD"/>
    <w:rsid w:val="097736D5"/>
    <w:rsid w:val="0A764C8F"/>
    <w:rsid w:val="0A7E70F2"/>
    <w:rsid w:val="0B0B16BC"/>
    <w:rsid w:val="0BDF3142"/>
    <w:rsid w:val="0C382767"/>
    <w:rsid w:val="0C3B5775"/>
    <w:rsid w:val="0CB93A46"/>
    <w:rsid w:val="0CFB4756"/>
    <w:rsid w:val="0D455C36"/>
    <w:rsid w:val="0D9D7623"/>
    <w:rsid w:val="0E411344"/>
    <w:rsid w:val="0E670CBB"/>
    <w:rsid w:val="0EC52C45"/>
    <w:rsid w:val="0F4E7F38"/>
    <w:rsid w:val="102008D7"/>
    <w:rsid w:val="103B507B"/>
    <w:rsid w:val="11CB1D14"/>
    <w:rsid w:val="11E337BC"/>
    <w:rsid w:val="1211524D"/>
    <w:rsid w:val="121E4B04"/>
    <w:rsid w:val="128C2B13"/>
    <w:rsid w:val="12C3215A"/>
    <w:rsid w:val="14317915"/>
    <w:rsid w:val="1433601C"/>
    <w:rsid w:val="144C45A0"/>
    <w:rsid w:val="150A2B53"/>
    <w:rsid w:val="15347BD0"/>
    <w:rsid w:val="15787EBF"/>
    <w:rsid w:val="158F6D5F"/>
    <w:rsid w:val="15E74C42"/>
    <w:rsid w:val="161377E5"/>
    <w:rsid w:val="16E77AFE"/>
    <w:rsid w:val="17840269"/>
    <w:rsid w:val="17E66F63"/>
    <w:rsid w:val="18982354"/>
    <w:rsid w:val="18B34914"/>
    <w:rsid w:val="19971CFA"/>
    <w:rsid w:val="19FD4B90"/>
    <w:rsid w:val="1A7D7923"/>
    <w:rsid w:val="1B160B1B"/>
    <w:rsid w:val="1B5D0D61"/>
    <w:rsid w:val="1B5D5DC5"/>
    <w:rsid w:val="1C67577B"/>
    <w:rsid w:val="1CA436B3"/>
    <w:rsid w:val="1CAA0540"/>
    <w:rsid w:val="1CCC4582"/>
    <w:rsid w:val="1D0324C7"/>
    <w:rsid w:val="1D293178"/>
    <w:rsid w:val="1D372324"/>
    <w:rsid w:val="1D773EC9"/>
    <w:rsid w:val="1D796AC8"/>
    <w:rsid w:val="1E1413C0"/>
    <w:rsid w:val="1E2A6643"/>
    <w:rsid w:val="1E3970BA"/>
    <w:rsid w:val="1E5C4A93"/>
    <w:rsid w:val="1E9265F6"/>
    <w:rsid w:val="1EA04DC7"/>
    <w:rsid w:val="1EAC2CCC"/>
    <w:rsid w:val="1ED065AA"/>
    <w:rsid w:val="1F4C5228"/>
    <w:rsid w:val="1F4D295C"/>
    <w:rsid w:val="1FA61EE2"/>
    <w:rsid w:val="1FF156B7"/>
    <w:rsid w:val="20462A59"/>
    <w:rsid w:val="20481D5A"/>
    <w:rsid w:val="20550566"/>
    <w:rsid w:val="217429A0"/>
    <w:rsid w:val="21AB6769"/>
    <w:rsid w:val="21E45C73"/>
    <w:rsid w:val="22A1783B"/>
    <w:rsid w:val="22B9521D"/>
    <w:rsid w:val="22D604C8"/>
    <w:rsid w:val="22FB28EB"/>
    <w:rsid w:val="2342170A"/>
    <w:rsid w:val="237B58CD"/>
    <w:rsid w:val="23AA76F5"/>
    <w:rsid w:val="23D25CF9"/>
    <w:rsid w:val="247626D7"/>
    <w:rsid w:val="24F553C3"/>
    <w:rsid w:val="25296D2C"/>
    <w:rsid w:val="25C6189B"/>
    <w:rsid w:val="25EF3DCB"/>
    <w:rsid w:val="25FF78CC"/>
    <w:rsid w:val="26020A04"/>
    <w:rsid w:val="268B529E"/>
    <w:rsid w:val="27444241"/>
    <w:rsid w:val="274F43F6"/>
    <w:rsid w:val="27D42C2A"/>
    <w:rsid w:val="27D467B9"/>
    <w:rsid w:val="27DE7716"/>
    <w:rsid w:val="28B0226E"/>
    <w:rsid w:val="291E22D1"/>
    <w:rsid w:val="292945FB"/>
    <w:rsid w:val="298E0755"/>
    <w:rsid w:val="2A1854E2"/>
    <w:rsid w:val="2A1D356C"/>
    <w:rsid w:val="2A652C34"/>
    <w:rsid w:val="2BC76D1E"/>
    <w:rsid w:val="2BEB277E"/>
    <w:rsid w:val="2C0559CB"/>
    <w:rsid w:val="2C2B3B86"/>
    <w:rsid w:val="2C576915"/>
    <w:rsid w:val="2C8B4421"/>
    <w:rsid w:val="2CAE56E3"/>
    <w:rsid w:val="2D4D17E7"/>
    <w:rsid w:val="2D7053A6"/>
    <w:rsid w:val="2E1436A7"/>
    <w:rsid w:val="2E2A34C6"/>
    <w:rsid w:val="2E380D5B"/>
    <w:rsid w:val="2E4D1AE9"/>
    <w:rsid w:val="2EB34ED3"/>
    <w:rsid w:val="2ECD27D0"/>
    <w:rsid w:val="2F4B7677"/>
    <w:rsid w:val="2F623670"/>
    <w:rsid w:val="2FCB4E53"/>
    <w:rsid w:val="30640F12"/>
    <w:rsid w:val="30DA15B0"/>
    <w:rsid w:val="30F509C5"/>
    <w:rsid w:val="312A215B"/>
    <w:rsid w:val="31471DC1"/>
    <w:rsid w:val="314B3E80"/>
    <w:rsid w:val="31D648F8"/>
    <w:rsid w:val="324B29F8"/>
    <w:rsid w:val="324B3B42"/>
    <w:rsid w:val="324D24F2"/>
    <w:rsid w:val="32AD2C45"/>
    <w:rsid w:val="32AE46C6"/>
    <w:rsid w:val="32F321D9"/>
    <w:rsid w:val="330657D1"/>
    <w:rsid w:val="34446E89"/>
    <w:rsid w:val="345E734B"/>
    <w:rsid w:val="3473071C"/>
    <w:rsid w:val="35084646"/>
    <w:rsid w:val="35301E2B"/>
    <w:rsid w:val="35C87BED"/>
    <w:rsid w:val="36214582"/>
    <w:rsid w:val="36343134"/>
    <w:rsid w:val="364E1A2B"/>
    <w:rsid w:val="369352F7"/>
    <w:rsid w:val="36EA7C97"/>
    <w:rsid w:val="371B08CE"/>
    <w:rsid w:val="373103A6"/>
    <w:rsid w:val="37532E4A"/>
    <w:rsid w:val="37613434"/>
    <w:rsid w:val="38523D46"/>
    <w:rsid w:val="38C20ECB"/>
    <w:rsid w:val="391C06A2"/>
    <w:rsid w:val="3A1C13D8"/>
    <w:rsid w:val="3A3D20E1"/>
    <w:rsid w:val="3AA36ADA"/>
    <w:rsid w:val="3B0E1B4C"/>
    <w:rsid w:val="3B577187"/>
    <w:rsid w:val="3BAB20EB"/>
    <w:rsid w:val="3BCC3E0F"/>
    <w:rsid w:val="3C1A7F84"/>
    <w:rsid w:val="3C3A6B6B"/>
    <w:rsid w:val="3C530C75"/>
    <w:rsid w:val="3C776CD3"/>
    <w:rsid w:val="3C9B492A"/>
    <w:rsid w:val="3CF37109"/>
    <w:rsid w:val="3E1B206F"/>
    <w:rsid w:val="3E2F57B9"/>
    <w:rsid w:val="3E337CBE"/>
    <w:rsid w:val="3E6D2EB0"/>
    <w:rsid w:val="3EAF588F"/>
    <w:rsid w:val="3EBF064B"/>
    <w:rsid w:val="3EE85404"/>
    <w:rsid w:val="3F08251C"/>
    <w:rsid w:val="3F567233"/>
    <w:rsid w:val="3F653ECE"/>
    <w:rsid w:val="3F6D6BA0"/>
    <w:rsid w:val="40531DA9"/>
    <w:rsid w:val="407B6AF9"/>
    <w:rsid w:val="40983E44"/>
    <w:rsid w:val="41112CBB"/>
    <w:rsid w:val="416B50E8"/>
    <w:rsid w:val="417C08E0"/>
    <w:rsid w:val="41976B85"/>
    <w:rsid w:val="419B76F0"/>
    <w:rsid w:val="41AF5E48"/>
    <w:rsid w:val="41C20534"/>
    <w:rsid w:val="41E76E9C"/>
    <w:rsid w:val="42004437"/>
    <w:rsid w:val="423A5F76"/>
    <w:rsid w:val="43515CE6"/>
    <w:rsid w:val="43B76C8B"/>
    <w:rsid w:val="43C755E8"/>
    <w:rsid w:val="43D32A29"/>
    <w:rsid w:val="43D91510"/>
    <w:rsid w:val="43EA3905"/>
    <w:rsid w:val="449A4672"/>
    <w:rsid w:val="449C4C92"/>
    <w:rsid w:val="44A83E43"/>
    <w:rsid w:val="44BC4CC2"/>
    <w:rsid w:val="44BC7E72"/>
    <w:rsid w:val="44C85ABB"/>
    <w:rsid w:val="45637E92"/>
    <w:rsid w:val="45F4468E"/>
    <w:rsid w:val="46494ED6"/>
    <w:rsid w:val="46AF5635"/>
    <w:rsid w:val="47152B0E"/>
    <w:rsid w:val="4742791B"/>
    <w:rsid w:val="475F022D"/>
    <w:rsid w:val="4762117A"/>
    <w:rsid w:val="48384640"/>
    <w:rsid w:val="487E4D6C"/>
    <w:rsid w:val="48AE59D5"/>
    <w:rsid w:val="48D02CE6"/>
    <w:rsid w:val="49380D36"/>
    <w:rsid w:val="49C61596"/>
    <w:rsid w:val="4A1D60B6"/>
    <w:rsid w:val="4A3968FB"/>
    <w:rsid w:val="4A735B6F"/>
    <w:rsid w:val="4AAD305D"/>
    <w:rsid w:val="4ACF6FD6"/>
    <w:rsid w:val="4B3347F3"/>
    <w:rsid w:val="4B483197"/>
    <w:rsid w:val="4B74123D"/>
    <w:rsid w:val="4C1C66ED"/>
    <w:rsid w:val="4C61313D"/>
    <w:rsid w:val="4D113D78"/>
    <w:rsid w:val="4DA116F3"/>
    <w:rsid w:val="4DBF3269"/>
    <w:rsid w:val="4E257ADB"/>
    <w:rsid w:val="4E2C115B"/>
    <w:rsid w:val="4E5034BA"/>
    <w:rsid w:val="4E850579"/>
    <w:rsid w:val="4F5148FF"/>
    <w:rsid w:val="4F641378"/>
    <w:rsid w:val="4F8E389F"/>
    <w:rsid w:val="50047479"/>
    <w:rsid w:val="50447485"/>
    <w:rsid w:val="50EA605B"/>
    <w:rsid w:val="514813EE"/>
    <w:rsid w:val="52226A00"/>
    <w:rsid w:val="52B37C3E"/>
    <w:rsid w:val="52D715BF"/>
    <w:rsid w:val="52EA2EA2"/>
    <w:rsid w:val="537236D7"/>
    <w:rsid w:val="53DC50DF"/>
    <w:rsid w:val="5419755B"/>
    <w:rsid w:val="548C70A1"/>
    <w:rsid w:val="54AC51AF"/>
    <w:rsid w:val="54DE316E"/>
    <w:rsid w:val="54FA010B"/>
    <w:rsid w:val="555D2250"/>
    <w:rsid w:val="559317CE"/>
    <w:rsid w:val="56247648"/>
    <w:rsid w:val="56535059"/>
    <w:rsid w:val="56587865"/>
    <w:rsid w:val="569C4AA6"/>
    <w:rsid w:val="5729329F"/>
    <w:rsid w:val="579E0252"/>
    <w:rsid w:val="58305D13"/>
    <w:rsid w:val="58A60998"/>
    <w:rsid w:val="58B57CAD"/>
    <w:rsid w:val="59B61F2F"/>
    <w:rsid w:val="59EA6DB2"/>
    <w:rsid w:val="5A160C1F"/>
    <w:rsid w:val="5A753522"/>
    <w:rsid w:val="5A834F92"/>
    <w:rsid w:val="5A8B3E6A"/>
    <w:rsid w:val="5B445446"/>
    <w:rsid w:val="5BB910F7"/>
    <w:rsid w:val="5C2233A1"/>
    <w:rsid w:val="5C480E38"/>
    <w:rsid w:val="5D1D5860"/>
    <w:rsid w:val="5D2606D0"/>
    <w:rsid w:val="5D417414"/>
    <w:rsid w:val="5D565903"/>
    <w:rsid w:val="5DDE04EC"/>
    <w:rsid w:val="60A04429"/>
    <w:rsid w:val="6121701F"/>
    <w:rsid w:val="6183303E"/>
    <w:rsid w:val="618D22CE"/>
    <w:rsid w:val="61A777A7"/>
    <w:rsid w:val="61D91694"/>
    <w:rsid w:val="62306010"/>
    <w:rsid w:val="627530B1"/>
    <w:rsid w:val="631747A8"/>
    <w:rsid w:val="631E097D"/>
    <w:rsid w:val="63734DBB"/>
    <w:rsid w:val="63F50FC1"/>
    <w:rsid w:val="64A406E3"/>
    <w:rsid w:val="64DF5020"/>
    <w:rsid w:val="651F1EED"/>
    <w:rsid w:val="658161C6"/>
    <w:rsid w:val="65A11E6F"/>
    <w:rsid w:val="660D737A"/>
    <w:rsid w:val="660E1944"/>
    <w:rsid w:val="669D57F1"/>
    <w:rsid w:val="67D6060B"/>
    <w:rsid w:val="685B1DF9"/>
    <w:rsid w:val="690833DF"/>
    <w:rsid w:val="6A63734B"/>
    <w:rsid w:val="6AFE7CBB"/>
    <w:rsid w:val="6C2A1E7F"/>
    <w:rsid w:val="6C616221"/>
    <w:rsid w:val="6C653883"/>
    <w:rsid w:val="6D6F26C8"/>
    <w:rsid w:val="6DD10C8D"/>
    <w:rsid w:val="6DF2551F"/>
    <w:rsid w:val="6E4753F3"/>
    <w:rsid w:val="6EBC65A0"/>
    <w:rsid w:val="6EDB4222"/>
    <w:rsid w:val="6F712070"/>
    <w:rsid w:val="6F9C5276"/>
    <w:rsid w:val="706E4EB9"/>
    <w:rsid w:val="707C5764"/>
    <w:rsid w:val="70FC4273"/>
    <w:rsid w:val="71107184"/>
    <w:rsid w:val="721E646B"/>
    <w:rsid w:val="72B503C7"/>
    <w:rsid w:val="72C60FDD"/>
    <w:rsid w:val="73161888"/>
    <w:rsid w:val="7337799B"/>
    <w:rsid w:val="733965F0"/>
    <w:rsid w:val="73673A16"/>
    <w:rsid w:val="73863D19"/>
    <w:rsid w:val="75D63CEC"/>
    <w:rsid w:val="767427EE"/>
    <w:rsid w:val="769C488A"/>
    <w:rsid w:val="7717129B"/>
    <w:rsid w:val="77A00B2F"/>
    <w:rsid w:val="7841029C"/>
    <w:rsid w:val="78745037"/>
    <w:rsid w:val="78853415"/>
    <w:rsid w:val="789451C3"/>
    <w:rsid w:val="78D87F49"/>
    <w:rsid w:val="78E33503"/>
    <w:rsid w:val="7A122E31"/>
    <w:rsid w:val="7AC13851"/>
    <w:rsid w:val="7AE76BF8"/>
    <w:rsid w:val="7BC62DB7"/>
    <w:rsid w:val="7BF34660"/>
    <w:rsid w:val="7C1A2FB8"/>
    <w:rsid w:val="7CC72903"/>
    <w:rsid w:val="7D87580C"/>
    <w:rsid w:val="7E3F67E4"/>
    <w:rsid w:val="7ECE5DB1"/>
    <w:rsid w:val="7F434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Lines="0" w:beforeAutospacing="0" w:afterLines="0" w:afterAutospacing="0" w:line="440" w:lineRule="exact"/>
      <w:ind w:firstLine="0" w:firstLineChars="0"/>
      <w:jc w:val="left"/>
      <w:outlineLvl w:val="3"/>
    </w:pPr>
    <w:rPr>
      <w:rFonts w:ascii="Times New Roman" w:hAnsi="Times New Roman"/>
      <w:b/>
    </w:rPr>
  </w:style>
  <w:style w:type="paragraph" w:styleId="6">
    <w:name w:val="heading 5"/>
    <w:basedOn w:val="1"/>
    <w:next w:val="1"/>
    <w:autoRedefine/>
    <w:qFormat/>
    <w:uiPriority w:val="1"/>
    <w:pPr>
      <w:ind w:left="0" w:hanging="640"/>
      <w:jc w:val="left"/>
      <w:outlineLvl w:val="4"/>
    </w:pPr>
    <w:rPr>
      <w:rFonts w:ascii="Times New Roman" w:hAnsi="Times New Roman" w:eastAsia="宋体" w:cs="宋体"/>
      <w:b/>
      <w:szCs w:val="28"/>
    </w:rPr>
  </w:style>
  <w:style w:type="character" w:default="1" w:styleId="23">
    <w:name w:val="Default Paragraph Font"/>
    <w:autoRedefine/>
    <w:semiHidden/>
    <w:qFormat/>
    <w:uiPriority w:val="0"/>
  </w:style>
  <w:style w:type="table" w:default="1" w:styleId="21">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Document Map"/>
    <w:basedOn w:val="1"/>
    <w:autoRedefine/>
    <w:semiHidden/>
    <w:qFormat/>
    <w:uiPriority w:val="99"/>
    <w:pPr>
      <w:shd w:val="clear" w:color="auto" w:fill="000080"/>
    </w:pPr>
  </w:style>
  <w:style w:type="paragraph" w:styleId="7">
    <w:name w:val="Normal Indent"/>
    <w:basedOn w:val="1"/>
    <w:autoRedefine/>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4"/>
      <w:szCs w:val="24"/>
      <w:lang w:val="en-US" w:eastAsia="zh-CN" w:bidi="ar"/>
    </w:rPr>
  </w:style>
  <w:style w:type="paragraph" w:styleId="8">
    <w:name w:val="caption"/>
    <w:basedOn w:val="1"/>
    <w:next w:val="1"/>
    <w:autoRedefine/>
    <w:semiHidden/>
    <w:unhideWhenUsed/>
    <w:qFormat/>
    <w:uiPriority w:val="0"/>
    <w:pPr>
      <w:keepNext w:val="0"/>
      <w:keepLines w:val="0"/>
      <w:widowControl/>
      <w:suppressLineNumbers w:val="0"/>
      <w:snapToGrid w:val="0"/>
      <w:spacing w:before="50" w:beforeLines="50" w:beforeAutospacing="0" w:after="0" w:afterAutospacing="0" w:line="360" w:lineRule="auto"/>
      <w:ind w:left="0" w:right="0"/>
      <w:jc w:val="center"/>
    </w:pPr>
    <w:rPr>
      <w:rFonts w:hint="eastAsia" w:ascii="黑体" w:hAnsi="宋体" w:eastAsia="黑体" w:cs="Arial"/>
      <w:kern w:val="2"/>
      <w:sz w:val="21"/>
      <w:szCs w:val="24"/>
      <w:lang w:val="en-US" w:eastAsia="zh-CN" w:bidi="ar"/>
    </w:rPr>
  </w:style>
  <w:style w:type="paragraph" w:styleId="9">
    <w:name w:val="annotation text"/>
    <w:basedOn w:val="1"/>
    <w:autoRedefine/>
    <w:qFormat/>
    <w:uiPriority w:val="0"/>
    <w:pPr>
      <w:jc w:val="left"/>
    </w:pPr>
  </w:style>
  <w:style w:type="paragraph" w:styleId="10">
    <w:name w:val="Salutation"/>
    <w:basedOn w:val="1"/>
    <w:next w:val="1"/>
    <w:autoRedefine/>
    <w:qFormat/>
    <w:uiPriority w:val="0"/>
    <w:rPr>
      <w:sz w:val="24"/>
    </w:rPr>
  </w:style>
  <w:style w:type="paragraph" w:styleId="11">
    <w:name w:val="Body Text Indent"/>
    <w:basedOn w:val="1"/>
    <w:next w:val="1"/>
    <w:autoRedefine/>
    <w:qFormat/>
    <w:uiPriority w:val="0"/>
    <w:pPr>
      <w:spacing w:after="120"/>
      <w:ind w:left="420" w:leftChars="200"/>
    </w:pPr>
    <w:rPr>
      <w:kern w:val="0"/>
      <w:sz w:val="24"/>
      <w:szCs w:val="20"/>
    </w:rPr>
  </w:style>
  <w:style w:type="paragraph" w:styleId="12">
    <w:name w:val="Plain Text"/>
    <w:basedOn w:val="1"/>
    <w:next w:val="10"/>
    <w:autoRedefine/>
    <w:qFormat/>
    <w:uiPriority w:val="0"/>
    <w:rPr>
      <w:rFonts w:ascii="宋体" w:hAnsi="Courier New" w:cs="Courier New"/>
      <w:szCs w:val="21"/>
    </w:rPr>
  </w:style>
  <w:style w:type="paragraph" w:styleId="13">
    <w:name w:val="footer"/>
    <w:basedOn w:val="1"/>
    <w:autoRedefine/>
    <w:qFormat/>
    <w:uiPriority w:val="99"/>
    <w:pPr>
      <w:tabs>
        <w:tab w:val="center" w:pos="4153"/>
        <w:tab w:val="right" w:pos="8306"/>
      </w:tabs>
      <w:snapToGrid w:val="0"/>
      <w:jc w:val="left"/>
    </w:pPr>
    <w:rPr>
      <w:kern w:val="0"/>
      <w:sz w:val="18"/>
      <w:szCs w:val="20"/>
    </w:rPr>
  </w:style>
  <w:style w:type="paragraph" w:styleId="14">
    <w:name w:val="header"/>
    <w:basedOn w:val="1"/>
    <w:next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5">
    <w:name w:val="样式5"/>
    <w:basedOn w:val="16"/>
    <w:autoRedefine/>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16">
    <w:name w:val="正文1"/>
    <w:basedOn w:val="1"/>
    <w:next w:val="1"/>
    <w:autoRedefine/>
    <w:qFormat/>
    <w:uiPriority w:val="0"/>
    <w:pPr>
      <w:adjustRightInd w:val="0"/>
      <w:snapToGrid w:val="0"/>
      <w:spacing w:line="500" w:lineRule="atLeast"/>
      <w:ind w:firstLine="567"/>
    </w:pPr>
    <w:rPr>
      <w:sz w:val="28"/>
    </w:rPr>
  </w:style>
  <w:style w:type="paragraph" w:styleId="17">
    <w:name w:val="Body Text Indent 3"/>
    <w:basedOn w:val="1"/>
    <w:autoRedefine/>
    <w:qFormat/>
    <w:uiPriority w:val="0"/>
    <w:pPr>
      <w:ind w:firstLine="480"/>
    </w:pPr>
    <w:rPr>
      <w:sz w:val="24"/>
      <w:szCs w:val="20"/>
    </w:rPr>
  </w:style>
  <w:style w:type="paragraph" w:styleId="18">
    <w:name w:val="Normal (Web)"/>
    <w:basedOn w:val="1"/>
    <w:autoRedefine/>
    <w:qFormat/>
    <w:uiPriority w:val="99"/>
    <w:pPr>
      <w:widowControl/>
      <w:spacing w:before="100" w:beforeAutospacing="1" w:after="100" w:afterAutospacing="1"/>
      <w:jc w:val="left"/>
    </w:pPr>
    <w:rPr>
      <w:rFonts w:ascii="宋体" w:hAnsi="宋体"/>
      <w:kern w:val="0"/>
      <w:sz w:val="24"/>
      <w:szCs w:val="20"/>
    </w:rPr>
  </w:style>
  <w:style w:type="paragraph" w:styleId="19">
    <w:name w:val="Title"/>
    <w:basedOn w:val="1"/>
    <w:next w:val="1"/>
    <w:autoRedefine/>
    <w:qFormat/>
    <w:uiPriority w:val="10"/>
    <w:pPr>
      <w:spacing w:before="240" w:after="60"/>
      <w:jc w:val="center"/>
      <w:outlineLvl w:val="0"/>
    </w:pPr>
    <w:rPr>
      <w:rFonts w:ascii="Cambria" w:hAnsi="Cambria"/>
      <w:b/>
      <w:bCs/>
      <w:sz w:val="32"/>
      <w:szCs w:val="32"/>
    </w:rPr>
  </w:style>
  <w:style w:type="paragraph" w:styleId="20">
    <w:name w:val="Body Text First Indent 2"/>
    <w:basedOn w:val="11"/>
    <w:next w:val="1"/>
    <w:autoRedefine/>
    <w:qFormat/>
    <w:uiPriority w:val="0"/>
    <w:pPr>
      <w:spacing w:after="120" w:line="240" w:lineRule="auto"/>
      <w:ind w:left="420" w:leftChars="200" w:firstLine="420" w:firstLineChars="200"/>
    </w:pPr>
    <w:rPr>
      <w:rFonts w:ascii="Times New Roman" w:hAnsi="Times New Roman"/>
      <w:sz w:val="21"/>
      <w:lang w:val="en-US" w:eastAsia="zh-CN"/>
    </w:rPr>
  </w:style>
  <w:style w:type="table" w:styleId="22">
    <w:name w:val="Table Grid"/>
    <w:basedOn w:val="21"/>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autoRedefine/>
    <w:qFormat/>
    <w:uiPriority w:val="0"/>
  </w:style>
  <w:style w:type="paragraph" w:customStyle="1" w:styleId="25">
    <w:name w:val="样式 正文文本缩进 + 行距: 1.5 倍行距"/>
    <w:basedOn w:val="26"/>
    <w:next w:val="1"/>
    <w:autoRedefine/>
    <w:qFormat/>
    <w:uiPriority w:val="0"/>
    <w:pPr>
      <w:spacing w:after="120" w:line="360" w:lineRule="auto"/>
      <w:ind w:left="90" w:leftChars="32" w:firstLine="560" w:firstLineChars="200"/>
    </w:pPr>
    <w:rPr>
      <w:rFonts w:cs="宋体"/>
      <w:sz w:val="24"/>
    </w:rPr>
  </w:style>
  <w:style w:type="paragraph" w:customStyle="1" w:styleId="26">
    <w:name w:val="正文文本缩进1"/>
    <w:basedOn w:val="1"/>
    <w:next w:val="25"/>
    <w:qFormat/>
    <w:uiPriority w:val="0"/>
    <w:pPr>
      <w:spacing w:after="120" w:line="360" w:lineRule="auto"/>
      <w:ind w:left="420" w:leftChars="200" w:firstLine="200" w:firstLineChars="200"/>
    </w:pPr>
    <w:rPr>
      <w:rFonts w:ascii="Times New Roman" w:hAnsi="Times New Roman"/>
      <w:sz w:val="24"/>
      <w:szCs w:val="24"/>
    </w:rPr>
  </w:style>
  <w:style w:type="paragraph" w:customStyle="1" w:styleId="27">
    <w:name w:val="Body Text Indent"/>
    <w:basedOn w:val="1"/>
    <w:next w:val="25"/>
    <w:autoRedefine/>
    <w:qFormat/>
    <w:uiPriority w:val="0"/>
    <w:pPr>
      <w:spacing w:after="120" w:afterLines="0"/>
      <w:ind w:left="420" w:leftChars="200"/>
    </w:pPr>
    <w:rPr>
      <w:rFonts w:ascii="Times New Roman" w:hAnsi="Times New Roman" w:eastAsia="宋体"/>
      <w:sz w:val="24"/>
    </w:rPr>
  </w:style>
  <w:style w:type="paragraph" w:customStyle="1" w:styleId="28">
    <w:name w:val="表头111"/>
    <w:basedOn w:val="1"/>
    <w:autoRedefine/>
    <w:qFormat/>
    <w:uiPriority w:val="0"/>
    <w:pPr>
      <w:snapToGrid w:val="0"/>
      <w:spacing w:line="440" w:lineRule="exact"/>
      <w:jc w:val="center"/>
    </w:pPr>
    <w:rPr>
      <w:rFonts w:eastAsia="黑体"/>
      <w:snapToGrid w:val="0"/>
      <w:kern w:val="0"/>
    </w:rPr>
  </w:style>
  <w:style w:type="paragraph" w:customStyle="1" w:styleId="29">
    <w:name w:val="Default"/>
    <w:basedOn w:val="30"/>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0">
    <w:name w:val="表格标题"/>
    <w:basedOn w:val="8"/>
    <w:next w:val="1"/>
    <w:autoRedefine/>
    <w:qFormat/>
    <w:uiPriority w:val="0"/>
    <w:pPr>
      <w:ind w:firstLine="480"/>
      <w:jc w:val="center"/>
    </w:pPr>
    <w:rPr>
      <w:rFonts w:ascii="黑体" w:eastAsia="黑体"/>
    </w:rPr>
  </w:style>
  <w:style w:type="character" w:customStyle="1" w:styleId="31">
    <w:name w:val="apple-style-span"/>
    <w:basedOn w:val="23"/>
    <w:autoRedefine/>
    <w:qFormat/>
    <w:uiPriority w:val="0"/>
  </w:style>
  <w:style w:type="character" w:customStyle="1" w:styleId="32">
    <w:name w:val="font11"/>
    <w:basedOn w:val="23"/>
    <w:autoRedefine/>
    <w:qFormat/>
    <w:uiPriority w:val="0"/>
    <w:rPr>
      <w:rFonts w:hint="eastAsia" w:ascii="宋体" w:hAnsi="宋体" w:eastAsia="宋体" w:cs="宋体"/>
      <w:b/>
      <w:bCs/>
      <w:color w:val="000000"/>
      <w:sz w:val="21"/>
      <w:szCs w:val="21"/>
      <w:u w:val="none"/>
    </w:rPr>
  </w:style>
  <w:style w:type="character" w:customStyle="1" w:styleId="33">
    <w:name w:val="font31"/>
    <w:basedOn w:val="23"/>
    <w:autoRedefine/>
    <w:qFormat/>
    <w:uiPriority w:val="0"/>
    <w:rPr>
      <w:rFonts w:hint="default" w:ascii="Times New Roman" w:hAnsi="Times New Roman" w:cs="Times New Roman"/>
      <w:color w:val="000000"/>
      <w:sz w:val="21"/>
      <w:szCs w:val="21"/>
      <w:u w:val="none"/>
    </w:rPr>
  </w:style>
  <w:style w:type="paragraph" w:customStyle="1" w:styleId="34">
    <w:name w:val="表名"/>
    <w:basedOn w:val="1"/>
    <w:autoRedefine/>
    <w:qFormat/>
    <w:uiPriority w:val="0"/>
    <w:pPr>
      <w:tabs>
        <w:tab w:val="left" w:pos="377"/>
      </w:tabs>
      <w:spacing w:line="440" w:lineRule="exact"/>
      <w:jc w:val="center"/>
    </w:pPr>
    <w:rPr>
      <w:rFonts w:eastAsia="黑体"/>
      <w:snapToGrid w:val="0"/>
      <w:spacing w:val="10"/>
      <w:kern w:val="0"/>
    </w:rPr>
  </w:style>
  <w:style w:type="paragraph" w:customStyle="1" w:styleId="35">
    <w:name w:val="表内容"/>
    <w:basedOn w:val="1"/>
    <w:next w:val="1"/>
    <w:autoRedefine/>
    <w:qFormat/>
    <w:uiPriority w:val="0"/>
    <w:pPr>
      <w:adjustRightInd w:val="0"/>
      <w:snapToGrid w:val="0"/>
      <w:jc w:val="center"/>
    </w:pPr>
    <w:rPr>
      <w:szCs w:val="21"/>
    </w:rPr>
  </w:style>
  <w:style w:type="paragraph" w:customStyle="1" w:styleId="36">
    <w:name w:val="表格文字"/>
    <w:basedOn w:val="7"/>
    <w:autoRedefine/>
    <w:qFormat/>
    <w:uiPriority w:val="0"/>
    <w:pPr>
      <w:snapToGrid w:val="0"/>
      <w:ind w:firstLine="0" w:firstLineChars="0"/>
      <w:jc w:val="center"/>
    </w:pPr>
    <w:rPr>
      <w:rFonts w:ascii="宋体" w:hAnsi="Arial"/>
      <w:szCs w:val="20"/>
    </w:rPr>
  </w:style>
  <w:style w:type="paragraph" w:customStyle="1" w:styleId="37">
    <w:name w:val="报告表表头"/>
    <w:basedOn w:val="1"/>
    <w:autoRedefine/>
    <w:qFormat/>
    <w:uiPriority w:val="0"/>
    <w:pPr>
      <w:numPr>
        <w:ilvl w:val="0"/>
        <w:numId w:val="1"/>
      </w:numPr>
      <w:spacing w:line="440" w:lineRule="exact"/>
      <w:jc w:val="center"/>
    </w:pPr>
    <w:rPr>
      <w:rFonts w:eastAsia="黑体"/>
      <w:b/>
    </w:rPr>
  </w:style>
  <w:style w:type="paragraph" w:customStyle="1" w:styleId="38">
    <w:name w:val="表格"/>
    <w:basedOn w:val="1"/>
    <w:next w:val="1"/>
    <w:autoRedefine/>
    <w:qFormat/>
    <w:uiPriority w:val="0"/>
    <w:pPr>
      <w:adjustRightInd w:val="0"/>
      <w:snapToGrid w:val="0"/>
      <w:spacing w:beforeLines="10" w:afterLines="10" w:line="259" w:lineRule="auto"/>
      <w:jc w:val="center"/>
    </w:pPr>
    <w:rPr>
      <w:rFonts w:ascii="宋体"/>
      <w:kern w:val="0"/>
      <w:szCs w:val="20"/>
    </w:rPr>
  </w:style>
  <w:style w:type="paragraph" w:customStyle="1" w:styleId="39">
    <w:name w:val="正文 首行缩进:  2 字符"/>
    <w:basedOn w:val="1"/>
    <w:autoRedefine/>
    <w:qFormat/>
    <w:uiPriority w:val="0"/>
    <w:pPr>
      <w:adjustRightInd w:val="0"/>
      <w:snapToGrid w:val="0"/>
      <w:spacing w:line="500" w:lineRule="exact"/>
      <w:ind w:firstLine="200" w:firstLineChars="200"/>
      <w:jc w:val="left"/>
    </w:pPr>
    <w:rPr>
      <w:sz w:val="24"/>
      <w:szCs w:val="20"/>
    </w:rPr>
  </w:style>
  <w:style w:type="paragraph" w:customStyle="1" w:styleId="40">
    <w:name w:val="正文（用）"/>
    <w:basedOn w:val="1"/>
    <w:next w:val="1"/>
    <w:autoRedefine/>
    <w:qFormat/>
    <w:uiPriority w:val="0"/>
    <w:pPr>
      <w:spacing w:line="360" w:lineRule="auto"/>
      <w:ind w:firstLine="200" w:firstLineChars="200"/>
    </w:pPr>
    <w:rPr>
      <w:sz w:val="24"/>
    </w:rPr>
  </w:style>
  <w:style w:type="paragraph" w:customStyle="1" w:styleId="41">
    <w:name w:val="表头"/>
    <w:basedOn w:val="1"/>
    <w:next w:val="1"/>
    <w:autoRedefine/>
    <w:qFormat/>
    <w:uiPriority w:val="0"/>
    <w:pPr>
      <w:adjustRightInd w:val="0"/>
      <w:snapToGrid w:val="0"/>
      <w:spacing w:line="500" w:lineRule="exact"/>
      <w:jc w:val="center"/>
    </w:pPr>
    <w:rPr>
      <w:rFonts w:ascii="Times New Roman" w:hAnsi="Times New Roman" w:eastAsia="黑体"/>
      <w:bCs/>
      <w:sz w:val="21"/>
      <w:szCs w:val="21"/>
    </w:rPr>
  </w:style>
  <w:style w:type="paragraph" w:customStyle="1" w:styleId="42">
    <w:name w:val="表格内容2"/>
    <w:basedOn w:val="43"/>
    <w:autoRedefine/>
    <w:qFormat/>
    <w:uiPriority w:val="0"/>
    <w:pPr>
      <w:spacing w:line="312" w:lineRule="exact"/>
      <w:jc w:val="center"/>
    </w:pPr>
    <w:rPr>
      <w:rFonts w:ascii="Times New Roman" w:hAnsi="Times New Roman" w:eastAsia="宋体"/>
    </w:rPr>
  </w:style>
  <w:style w:type="paragraph" w:customStyle="1" w:styleId="43">
    <w:name w:val="表格内容"/>
    <w:basedOn w:val="1"/>
    <w:autoRedefine/>
    <w:qFormat/>
    <w:uiPriority w:val="0"/>
    <w:pPr>
      <w:spacing w:line="330" w:lineRule="exact"/>
      <w:ind w:firstLine="0" w:firstLineChars="0"/>
    </w:pPr>
    <w:rPr>
      <w:rFonts w:ascii="Times New Roman" w:hAnsi="Times New Roman" w:eastAsia="宋体" w:cs="Times New Roman"/>
      <w:sz w:val="21"/>
      <w:szCs w:val="24"/>
    </w:rPr>
  </w:style>
  <w:style w:type="paragraph" w:customStyle="1" w:styleId="44">
    <w:name w:val="Table Paragraph"/>
    <w:basedOn w:val="1"/>
    <w:autoRedefine/>
    <w:qFormat/>
    <w:uiPriority w:val="1"/>
    <w:pPr>
      <w:spacing w:before="10"/>
      <w:jc w:val="center"/>
    </w:pPr>
    <w:rPr>
      <w:rFonts w:eastAsia="Times New Roman"/>
      <w:lang w:val="zh-CN" w:bidi="zh-CN"/>
    </w:rPr>
  </w:style>
  <w:style w:type="paragraph" w:customStyle="1" w:styleId="45">
    <w:name w:val="Table Text"/>
    <w:basedOn w:val="1"/>
    <w:semiHidden/>
    <w:qFormat/>
    <w:uiPriority w:val="0"/>
    <w:rPr>
      <w:rFonts w:ascii="仿宋" w:hAnsi="仿宋" w:eastAsia="仿宋" w:cs="仿宋"/>
      <w:sz w:val="20"/>
      <w:szCs w:val="20"/>
      <w:lang w:val="en-US" w:eastAsia="en-US" w:bidi="ar-SA"/>
    </w:rPr>
  </w:style>
  <w:style w:type="table" w:customStyle="1" w:styleId="4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media/image16.emf"/><Relationship Id="rId34" Type="http://schemas.openxmlformats.org/officeDocument/2006/relationships/oleObject" Target="embeddings/oleObject8.bin"/><Relationship Id="rId33" Type="http://schemas.openxmlformats.org/officeDocument/2006/relationships/image" Target="media/image15.emf"/><Relationship Id="rId32" Type="http://schemas.openxmlformats.org/officeDocument/2006/relationships/oleObject" Target="embeddings/oleObject7.bin"/><Relationship Id="rId31" Type="http://schemas.openxmlformats.org/officeDocument/2006/relationships/image" Target="media/image14.png"/><Relationship Id="rId30" Type="http://schemas.openxmlformats.org/officeDocument/2006/relationships/image" Target="media/image13.e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12.emf"/><Relationship Id="rId27" Type="http://schemas.openxmlformats.org/officeDocument/2006/relationships/oleObject" Target="embeddings/oleObject5.bin"/><Relationship Id="rId26" Type="http://schemas.openxmlformats.org/officeDocument/2006/relationships/image" Target="media/image11.emf"/><Relationship Id="rId25" Type="http://schemas.openxmlformats.org/officeDocument/2006/relationships/oleObject" Target="embeddings/oleObject4.bin"/><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5.emf"/><Relationship Id="rId17" Type="http://schemas.openxmlformats.org/officeDocument/2006/relationships/oleObject" Target="embeddings/oleObject2.bin"/><Relationship Id="rId16" Type="http://schemas.openxmlformats.org/officeDocument/2006/relationships/image" Target="media/image4.emf"/><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1185</Words>
  <Characters>1205</Characters>
  <Lines>1</Lines>
  <Paragraphs>1</Paragraphs>
  <TotalTime>2</TotalTime>
  <ScaleCrop>false</ScaleCrop>
  <LinksUpToDate>false</LinksUpToDate>
  <CharactersWithSpaces>1206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2022-01-20T08:15:00Z</dcterms:created>
  <dc:creator>Administrator</dc:creator>
  <cp:lastModifiedBy>韩奇</cp:lastModifiedBy>
  <cp:lastPrinted>2022-08-01T07:10:00Z</cp:lastPrinted>
  <dcterms:modified xsi:type="dcterms:W3CDTF">2026-02-27T03:24:06Z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E126E10E58D74E3480610E9301995535</vt:lpwstr>
  </property>
  <property fmtid="{D5CDD505-2E9C-101B-9397-08002B2CF9AE}" pid="4" name="KSOTemplateDocerSaveRecord">
    <vt:lpwstr>eyJoZGlkIjoiZjgzY2QxMzY2MGI2Y2E3M2UxN2YwZDE0ZDI3MGI1ZDYiLCJ1c2VySWQiOiIxMDU2OTQwNzA3In0=</vt:lpwstr>
  </property>
</Properties>
</file>