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C0B8BB8">
      <w:pPr>
        <w:pStyle w:val="77"/>
        <w:spacing w:before="0" w:beforeAutospacing="0" w:after="0" w:afterAutospacing="0" w:line="240" w:lineRule="auto"/>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drawing>
          <wp:inline distT="0" distB="0" distL="114300" distR="114300">
            <wp:extent cx="5608320" cy="7654290"/>
            <wp:effectExtent l="0" t="0" r="11430" b="3810"/>
            <wp:docPr id="1" name="图片 1" descr="dfdc0e5d59ac544f3ef58ed86bfcbc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fdc0e5d59ac544f3ef58ed86bfcbc96"/>
                    <pic:cNvPicPr>
                      <a:picLocks noChangeAspect="1"/>
                    </pic:cNvPicPr>
                  </pic:nvPicPr>
                  <pic:blipFill>
                    <a:blip r:embed="rId8"/>
                    <a:stretch>
                      <a:fillRect/>
                    </a:stretch>
                  </pic:blipFill>
                  <pic:spPr>
                    <a:xfrm>
                      <a:off x="0" y="0"/>
                      <a:ext cx="5608320" cy="7654290"/>
                    </a:xfrm>
                    <a:prstGeom prst="rect">
                      <a:avLst/>
                    </a:prstGeom>
                  </pic:spPr>
                </pic:pic>
              </a:graphicData>
            </a:graphic>
          </wp:inline>
        </w:drawing>
      </w:r>
      <w:r>
        <w:rPr>
          <w:rFonts w:ascii="Times New Roman" w:hAnsi="Times New Roman" w:eastAsia="黑体"/>
          <w:snapToGrid w:val="0"/>
          <w:color w:val="auto"/>
          <w:sz w:val="30"/>
          <w:szCs w:val="30"/>
        </w:rPr>
        <w:drawing>
          <wp:inline distT="0" distB="0" distL="114300" distR="114300">
            <wp:extent cx="5603875" cy="7781290"/>
            <wp:effectExtent l="0" t="0" r="15875" b="10160"/>
            <wp:docPr id="2" name="图片 2" descr="c7ad1237187936faa07a7c7bca067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7ad1237187936faa07a7c7bca067f40"/>
                    <pic:cNvPicPr>
                      <a:picLocks noChangeAspect="1"/>
                    </pic:cNvPicPr>
                  </pic:nvPicPr>
                  <pic:blipFill>
                    <a:blip r:embed="rId9"/>
                    <a:stretch>
                      <a:fillRect/>
                    </a:stretch>
                  </pic:blipFill>
                  <pic:spPr>
                    <a:xfrm>
                      <a:off x="0" y="0"/>
                      <a:ext cx="5603875" cy="7781290"/>
                    </a:xfrm>
                    <a:prstGeom prst="rect">
                      <a:avLst/>
                    </a:prstGeom>
                  </pic:spPr>
                </pic:pic>
              </a:graphicData>
            </a:graphic>
          </wp:inline>
        </w:drawing>
      </w:r>
    </w:p>
    <w:p w14:paraId="5188107E">
      <w:pPr>
        <w:pStyle w:val="77"/>
        <w:spacing w:before="0" w:beforeAutospacing="0" w:after="0" w:afterAutospacing="0" w:line="240" w:lineRule="auto"/>
        <w:jc w:val="center"/>
        <w:outlineLvl w:val="0"/>
        <w:rPr>
          <w:rFonts w:ascii="Times New Roman" w:hAnsi="Times New Roman" w:eastAsia="黑体"/>
          <w:snapToGrid w:val="0"/>
          <w:color w:val="auto"/>
          <w:sz w:val="30"/>
          <w:szCs w:val="30"/>
        </w:rPr>
      </w:pPr>
    </w:p>
    <w:p w14:paraId="347302CC">
      <w:pPr>
        <w:pStyle w:val="77"/>
        <w:spacing w:before="0" w:beforeAutospacing="0" w:after="0" w:afterAutospacing="0" w:line="240" w:lineRule="auto"/>
        <w:jc w:val="center"/>
        <w:outlineLvl w:val="0"/>
        <w:rPr>
          <w:rFonts w:ascii="Times New Roman" w:hAnsi="Times New Roman" w:eastAsia="黑体"/>
          <w:snapToGrid w:val="0"/>
          <w:color w:val="auto"/>
          <w:sz w:val="30"/>
          <w:szCs w:val="30"/>
        </w:rPr>
      </w:pPr>
    </w:p>
    <w:p w14:paraId="023C0281">
      <w:pPr>
        <w:pStyle w:val="77"/>
        <w:spacing w:before="0" w:beforeAutospacing="0" w:after="0" w:afterAutospacing="0" w:line="240" w:lineRule="auto"/>
        <w:jc w:val="center"/>
        <w:outlineLvl w:val="0"/>
        <w:rPr>
          <w:rFonts w:ascii="Times New Roman" w:hAnsi="Times New Roman" w:eastAsia="黑体"/>
          <w:snapToGrid w:val="0"/>
          <w:color w:val="auto"/>
          <w:sz w:val="30"/>
          <w:szCs w:val="30"/>
        </w:rPr>
      </w:pPr>
    </w:p>
    <w:p w14:paraId="5D710BEE">
      <w:pPr>
        <w:pStyle w:val="77"/>
        <w:spacing w:before="0" w:beforeAutospacing="0" w:after="0" w:afterAutospacing="0" w:line="240" w:lineRule="auto"/>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一、建设项目基本情况</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492"/>
        <w:gridCol w:w="1472"/>
        <w:gridCol w:w="2275"/>
        <w:gridCol w:w="2041"/>
        <w:gridCol w:w="2590"/>
      </w:tblGrid>
      <w:tr w14:paraId="08D77C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36A4758F">
            <w:pPr>
              <w:adjustRightInd w:val="0"/>
              <w:snapToGrid w:val="0"/>
              <w:spacing w:line="420" w:lineRule="exact"/>
              <w:jc w:val="center"/>
              <w:rPr>
                <w:color w:val="auto"/>
              </w:rPr>
            </w:pPr>
            <w:r>
              <w:rPr>
                <w:color w:val="auto"/>
              </w:rPr>
              <w:t>建设项目名称</w:t>
            </w:r>
          </w:p>
        </w:tc>
        <w:tc>
          <w:tcPr>
            <w:tcW w:w="6906" w:type="dxa"/>
            <w:gridSpan w:val="3"/>
            <w:vAlign w:val="center"/>
          </w:tcPr>
          <w:p w14:paraId="2D029AA0">
            <w:pPr>
              <w:adjustRightInd w:val="0"/>
              <w:snapToGrid w:val="0"/>
              <w:spacing w:line="420" w:lineRule="exact"/>
              <w:jc w:val="center"/>
              <w:rPr>
                <w:rFonts w:hint="eastAsia" w:eastAsia="宋体"/>
                <w:color w:val="auto"/>
                <w:lang w:eastAsia="zh-CN"/>
              </w:rPr>
            </w:pPr>
            <w:r>
              <w:rPr>
                <w:rFonts w:hint="eastAsia"/>
                <w:color w:val="auto"/>
                <w:lang w:eastAsia="zh-CN"/>
              </w:rPr>
              <w:t>山东广吉新材料有限公司氧氯化锆提纯项目</w:t>
            </w:r>
          </w:p>
        </w:tc>
      </w:tr>
      <w:tr w14:paraId="21BC9A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4FE11218">
            <w:pPr>
              <w:adjustRightInd w:val="0"/>
              <w:snapToGrid w:val="0"/>
              <w:spacing w:line="420" w:lineRule="exact"/>
              <w:jc w:val="center"/>
              <w:rPr>
                <w:color w:val="auto"/>
              </w:rPr>
            </w:pPr>
            <w:r>
              <w:rPr>
                <w:color w:val="auto"/>
              </w:rPr>
              <w:t>项目代码</w:t>
            </w:r>
          </w:p>
        </w:tc>
        <w:tc>
          <w:tcPr>
            <w:tcW w:w="6906" w:type="dxa"/>
            <w:gridSpan w:val="3"/>
            <w:vAlign w:val="center"/>
          </w:tcPr>
          <w:p w14:paraId="49CCEA58">
            <w:pPr>
              <w:adjustRightInd w:val="0"/>
              <w:snapToGrid w:val="0"/>
              <w:spacing w:line="420" w:lineRule="exact"/>
              <w:jc w:val="center"/>
              <w:rPr>
                <w:rFonts w:hint="eastAsia" w:eastAsia="宋体"/>
                <w:color w:val="auto"/>
                <w:lang w:eastAsia="zh-CN"/>
              </w:rPr>
            </w:pPr>
            <w:r>
              <w:rPr>
                <w:rFonts w:hint="eastAsia"/>
                <w:color w:val="auto"/>
                <w:lang w:eastAsia="zh-CN"/>
              </w:rPr>
              <w:t>2604-370302-89-01-972775</w:t>
            </w:r>
          </w:p>
        </w:tc>
      </w:tr>
      <w:tr w14:paraId="43C32F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6A953C3A">
            <w:pPr>
              <w:adjustRightInd w:val="0"/>
              <w:snapToGrid w:val="0"/>
              <w:spacing w:line="420" w:lineRule="exact"/>
              <w:jc w:val="center"/>
              <w:rPr>
                <w:color w:val="auto"/>
              </w:rPr>
            </w:pPr>
            <w:r>
              <w:rPr>
                <w:color w:val="auto"/>
              </w:rPr>
              <w:t>建设单位联系人</w:t>
            </w:r>
          </w:p>
        </w:tc>
        <w:tc>
          <w:tcPr>
            <w:tcW w:w="2275" w:type="dxa"/>
            <w:vAlign w:val="center"/>
          </w:tcPr>
          <w:p w14:paraId="0201576D">
            <w:pPr>
              <w:adjustRightInd w:val="0"/>
              <w:snapToGrid w:val="0"/>
              <w:spacing w:line="420" w:lineRule="exact"/>
              <w:jc w:val="center"/>
              <w:rPr>
                <w:rFonts w:hint="eastAsia" w:eastAsia="宋体"/>
                <w:color w:val="auto"/>
                <w:lang w:eastAsia="zh-CN"/>
              </w:rPr>
            </w:pPr>
          </w:p>
        </w:tc>
        <w:tc>
          <w:tcPr>
            <w:tcW w:w="2041" w:type="dxa"/>
            <w:vAlign w:val="center"/>
          </w:tcPr>
          <w:p w14:paraId="1D7067B9">
            <w:pPr>
              <w:adjustRightInd w:val="0"/>
              <w:snapToGrid w:val="0"/>
              <w:spacing w:line="420" w:lineRule="exact"/>
              <w:jc w:val="center"/>
              <w:rPr>
                <w:color w:val="auto"/>
              </w:rPr>
            </w:pPr>
            <w:r>
              <w:rPr>
                <w:color w:val="auto"/>
              </w:rPr>
              <w:t>联系方式</w:t>
            </w:r>
          </w:p>
        </w:tc>
        <w:tc>
          <w:tcPr>
            <w:tcW w:w="2590" w:type="dxa"/>
            <w:vAlign w:val="center"/>
          </w:tcPr>
          <w:p w14:paraId="73EBB3CE">
            <w:pPr>
              <w:adjustRightInd w:val="0"/>
              <w:snapToGrid w:val="0"/>
              <w:spacing w:line="420" w:lineRule="exact"/>
              <w:jc w:val="center"/>
              <w:rPr>
                <w:rFonts w:hint="default" w:eastAsia="宋体"/>
                <w:color w:val="auto"/>
                <w:lang w:val="en-US" w:eastAsia="zh-CN"/>
              </w:rPr>
            </w:pPr>
            <w:bookmarkStart w:id="6" w:name="_GoBack"/>
            <w:bookmarkEnd w:id="6"/>
          </w:p>
        </w:tc>
      </w:tr>
      <w:tr w14:paraId="65A6B7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08C8B992">
            <w:pPr>
              <w:adjustRightInd w:val="0"/>
              <w:snapToGrid w:val="0"/>
              <w:spacing w:line="420" w:lineRule="exact"/>
              <w:jc w:val="center"/>
              <w:rPr>
                <w:color w:val="auto"/>
              </w:rPr>
            </w:pPr>
            <w:r>
              <w:rPr>
                <w:color w:val="auto"/>
              </w:rPr>
              <w:t>建设地点</w:t>
            </w:r>
          </w:p>
        </w:tc>
        <w:tc>
          <w:tcPr>
            <w:tcW w:w="6906" w:type="dxa"/>
            <w:gridSpan w:val="3"/>
            <w:vAlign w:val="center"/>
          </w:tcPr>
          <w:p w14:paraId="16663AC5">
            <w:pPr>
              <w:adjustRightInd w:val="0"/>
              <w:snapToGrid w:val="0"/>
              <w:spacing w:line="420" w:lineRule="exact"/>
              <w:jc w:val="center"/>
              <w:rPr>
                <w:rFonts w:hint="eastAsia" w:eastAsia="宋体"/>
                <w:color w:val="auto"/>
                <w:lang w:eastAsia="zh-CN"/>
              </w:rPr>
            </w:pPr>
            <w:r>
              <w:rPr>
                <w:rFonts w:hint="eastAsia"/>
                <w:color w:val="auto"/>
                <w:lang w:eastAsia="zh-CN"/>
              </w:rPr>
              <w:t>淄博市淄川区龙泉镇尚庄村西北200米</w:t>
            </w:r>
          </w:p>
        </w:tc>
      </w:tr>
      <w:tr w14:paraId="0FF649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29A021CA">
            <w:pPr>
              <w:adjustRightInd w:val="0"/>
              <w:snapToGrid w:val="0"/>
              <w:spacing w:line="420" w:lineRule="exact"/>
              <w:jc w:val="center"/>
              <w:rPr>
                <w:color w:val="auto"/>
              </w:rPr>
            </w:pPr>
            <w:r>
              <w:rPr>
                <w:color w:val="auto"/>
              </w:rPr>
              <w:t>地理坐标</w:t>
            </w:r>
          </w:p>
        </w:tc>
        <w:tc>
          <w:tcPr>
            <w:tcW w:w="6906" w:type="dxa"/>
            <w:gridSpan w:val="3"/>
            <w:vAlign w:val="center"/>
          </w:tcPr>
          <w:p w14:paraId="6FDF742F">
            <w:pPr>
              <w:spacing w:line="420" w:lineRule="exact"/>
              <w:jc w:val="center"/>
              <w:rPr>
                <w:color w:val="auto"/>
              </w:rPr>
            </w:pPr>
            <w:r>
              <w:rPr>
                <w:color w:val="auto"/>
              </w:rPr>
              <w:t>（</w:t>
            </w:r>
            <w:bookmarkStart w:id="0" w:name="_Hlk71440774"/>
            <w:r>
              <w:rPr>
                <w:rFonts w:hint="eastAsia"/>
                <w:color w:val="auto"/>
                <w:lang w:val="en-US" w:eastAsia="zh-CN"/>
              </w:rPr>
              <w:t>北纬</w:t>
            </w:r>
            <w:r>
              <w:rPr>
                <w:color w:val="auto"/>
                <w:u w:val="single"/>
              </w:rPr>
              <w:t>36</w:t>
            </w:r>
            <w:r>
              <w:rPr>
                <w:color w:val="auto"/>
              </w:rPr>
              <w:t>度</w:t>
            </w:r>
            <w:r>
              <w:rPr>
                <w:color w:val="auto"/>
                <w:u w:val="single"/>
              </w:rPr>
              <w:t>3</w:t>
            </w:r>
            <w:r>
              <w:rPr>
                <w:rFonts w:hint="eastAsia"/>
                <w:color w:val="auto"/>
                <w:u w:val="single"/>
                <w:lang w:val="en-US" w:eastAsia="zh-CN"/>
              </w:rPr>
              <w:t>6</w:t>
            </w:r>
            <w:r>
              <w:rPr>
                <w:color w:val="auto"/>
              </w:rPr>
              <w:t>分</w:t>
            </w:r>
            <w:r>
              <w:rPr>
                <w:rFonts w:hint="eastAsia"/>
                <w:color w:val="auto"/>
                <w:u w:val="single"/>
                <w:lang w:val="en-US" w:eastAsia="zh-CN"/>
              </w:rPr>
              <w:t>13.101</w:t>
            </w:r>
            <w:r>
              <w:rPr>
                <w:color w:val="auto"/>
              </w:rPr>
              <w:t>秒，</w:t>
            </w:r>
            <w:r>
              <w:rPr>
                <w:rFonts w:hint="eastAsia"/>
                <w:color w:val="auto"/>
                <w:lang w:val="en-US" w:eastAsia="zh-CN"/>
              </w:rPr>
              <w:t>东经</w:t>
            </w:r>
            <w:r>
              <w:rPr>
                <w:color w:val="auto"/>
                <w:u w:val="single"/>
              </w:rPr>
              <w:t>117</w:t>
            </w:r>
            <w:r>
              <w:rPr>
                <w:color w:val="auto"/>
              </w:rPr>
              <w:t>度</w:t>
            </w:r>
            <w:r>
              <w:rPr>
                <w:color w:val="auto"/>
                <w:u w:val="single"/>
              </w:rPr>
              <w:t>5</w:t>
            </w:r>
            <w:r>
              <w:rPr>
                <w:rFonts w:hint="eastAsia"/>
                <w:color w:val="auto"/>
                <w:u w:val="single"/>
                <w:lang w:val="en-US" w:eastAsia="zh-CN"/>
              </w:rPr>
              <w:t>8</w:t>
            </w:r>
            <w:r>
              <w:rPr>
                <w:color w:val="auto"/>
              </w:rPr>
              <w:t>分</w:t>
            </w:r>
            <w:r>
              <w:rPr>
                <w:rFonts w:hint="eastAsia"/>
                <w:color w:val="auto"/>
                <w:u w:val="single"/>
                <w:lang w:val="en-US" w:eastAsia="zh-CN"/>
              </w:rPr>
              <w:t>33.480</w:t>
            </w:r>
            <w:r>
              <w:rPr>
                <w:color w:val="auto"/>
              </w:rPr>
              <w:t>秒</w:t>
            </w:r>
            <w:bookmarkEnd w:id="0"/>
            <w:r>
              <w:rPr>
                <w:color w:val="auto"/>
              </w:rPr>
              <w:t>）</w:t>
            </w:r>
          </w:p>
        </w:tc>
      </w:tr>
      <w:tr w14:paraId="04BE4B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964" w:type="dxa"/>
            <w:gridSpan w:val="2"/>
            <w:tcMar>
              <w:top w:w="16" w:type="dxa"/>
              <w:left w:w="16" w:type="dxa"/>
              <w:right w:w="16" w:type="dxa"/>
            </w:tcMar>
            <w:vAlign w:val="center"/>
          </w:tcPr>
          <w:p w14:paraId="7DF9219E">
            <w:pPr>
              <w:adjustRightInd w:val="0"/>
              <w:snapToGrid w:val="0"/>
              <w:spacing w:line="420" w:lineRule="exact"/>
              <w:jc w:val="center"/>
              <w:rPr>
                <w:color w:val="auto"/>
              </w:rPr>
            </w:pPr>
            <w:r>
              <w:rPr>
                <w:color w:val="auto"/>
              </w:rPr>
              <w:t>国民经济</w:t>
            </w:r>
          </w:p>
          <w:p w14:paraId="02975427">
            <w:pPr>
              <w:adjustRightInd w:val="0"/>
              <w:snapToGrid w:val="0"/>
              <w:spacing w:line="420" w:lineRule="exact"/>
              <w:jc w:val="center"/>
              <w:rPr>
                <w:color w:val="auto"/>
              </w:rPr>
            </w:pPr>
            <w:r>
              <w:rPr>
                <w:color w:val="auto"/>
              </w:rPr>
              <w:t>行业类别</w:t>
            </w:r>
          </w:p>
        </w:tc>
        <w:tc>
          <w:tcPr>
            <w:tcW w:w="2275" w:type="dxa"/>
            <w:vAlign w:val="center"/>
          </w:tcPr>
          <w:p w14:paraId="147B1A6A">
            <w:pPr>
              <w:adjustRightInd w:val="0"/>
              <w:snapToGrid w:val="0"/>
              <w:jc w:val="center"/>
              <w:rPr>
                <w:rFonts w:hint="eastAsia" w:eastAsia="宋体"/>
                <w:color w:val="auto"/>
                <w:lang w:eastAsia="zh-CN"/>
              </w:rPr>
            </w:pPr>
            <w:r>
              <w:rPr>
                <w:rFonts w:hint="eastAsia"/>
                <w:color w:val="auto"/>
                <w:lang w:eastAsia="zh-CN"/>
              </w:rPr>
              <w:t>C2613无机盐制造</w:t>
            </w:r>
          </w:p>
        </w:tc>
        <w:tc>
          <w:tcPr>
            <w:tcW w:w="2041" w:type="dxa"/>
            <w:vAlign w:val="center"/>
          </w:tcPr>
          <w:p w14:paraId="4501B374">
            <w:pPr>
              <w:adjustRightInd w:val="0"/>
              <w:snapToGrid w:val="0"/>
              <w:spacing w:line="420" w:lineRule="exact"/>
              <w:jc w:val="center"/>
              <w:rPr>
                <w:color w:val="auto"/>
              </w:rPr>
            </w:pPr>
            <w:bookmarkStart w:id="1" w:name="_Hlk49843745"/>
            <w:r>
              <w:rPr>
                <w:color w:val="auto"/>
              </w:rPr>
              <w:t>建设项目</w:t>
            </w:r>
          </w:p>
          <w:p w14:paraId="640EF16E">
            <w:pPr>
              <w:adjustRightInd w:val="0"/>
              <w:snapToGrid w:val="0"/>
              <w:spacing w:line="420" w:lineRule="exact"/>
              <w:jc w:val="center"/>
              <w:rPr>
                <w:color w:val="auto"/>
              </w:rPr>
            </w:pPr>
            <w:r>
              <w:rPr>
                <w:color w:val="auto"/>
              </w:rPr>
              <w:t>行业类别</w:t>
            </w:r>
            <w:bookmarkEnd w:id="1"/>
          </w:p>
        </w:tc>
        <w:tc>
          <w:tcPr>
            <w:tcW w:w="2590" w:type="dxa"/>
            <w:vAlign w:val="center"/>
          </w:tcPr>
          <w:p w14:paraId="6B7F1D0C">
            <w:pPr>
              <w:adjustRightInd w:val="0"/>
              <w:snapToGrid w:val="0"/>
              <w:jc w:val="center"/>
              <w:rPr>
                <w:rFonts w:hint="default" w:eastAsia="宋体"/>
                <w:color w:val="auto"/>
                <w:lang w:val="en-US" w:eastAsia="zh-CN"/>
              </w:rPr>
            </w:pPr>
            <w:r>
              <w:rPr>
                <w:rFonts w:hint="eastAsia" w:ascii="Times New Roman" w:hAnsi="Times New Roman" w:eastAsia="宋体"/>
                <w:bCs/>
                <w:color w:val="auto"/>
                <w:sz w:val="21"/>
                <w:szCs w:val="21"/>
              </w:rPr>
              <w:t>二十三、化学原料和化学制品制造业26；</w:t>
            </w:r>
            <w:r>
              <w:rPr>
                <w:rFonts w:hint="eastAsia"/>
                <w:bCs/>
                <w:color w:val="auto"/>
                <w:sz w:val="21"/>
                <w:szCs w:val="21"/>
                <w:lang w:val="en-US" w:eastAsia="zh-CN"/>
              </w:rPr>
              <w:t>44</w:t>
            </w:r>
            <w:r>
              <w:rPr>
                <w:rFonts w:hint="eastAsia" w:ascii="Times New Roman" w:hAnsi="Times New Roman" w:eastAsia="宋体"/>
                <w:bCs/>
                <w:color w:val="auto"/>
                <w:sz w:val="21"/>
                <w:szCs w:val="21"/>
              </w:rPr>
              <w:t>、基础化学原料制造261；单纯物理分离、物理提纯、混合、分装的（不产生废水或挥发性有机物的除外）</w:t>
            </w:r>
          </w:p>
        </w:tc>
      </w:tr>
      <w:tr w14:paraId="679ED7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64" w:type="dxa"/>
            <w:gridSpan w:val="2"/>
            <w:tcMar>
              <w:top w:w="16" w:type="dxa"/>
              <w:left w:w="16" w:type="dxa"/>
              <w:right w:w="16" w:type="dxa"/>
            </w:tcMar>
            <w:vAlign w:val="center"/>
          </w:tcPr>
          <w:p w14:paraId="178317EF">
            <w:pPr>
              <w:adjustRightInd w:val="0"/>
              <w:snapToGrid w:val="0"/>
              <w:spacing w:line="420" w:lineRule="exact"/>
              <w:jc w:val="center"/>
              <w:rPr>
                <w:color w:val="auto"/>
              </w:rPr>
            </w:pPr>
            <w:r>
              <w:rPr>
                <w:color w:val="auto"/>
              </w:rPr>
              <w:t>建设性质</w:t>
            </w:r>
          </w:p>
        </w:tc>
        <w:tc>
          <w:tcPr>
            <w:tcW w:w="2275" w:type="dxa"/>
            <w:vAlign w:val="center"/>
          </w:tcPr>
          <w:p w14:paraId="28244191">
            <w:pPr>
              <w:spacing w:line="420" w:lineRule="exact"/>
              <w:jc w:val="left"/>
              <w:rPr>
                <w:rFonts w:hint="eastAsia" w:eastAsia="宋体"/>
                <w:color w:val="auto"/>
                <w:lang w:eastAsia="zh-CN"/>
              </w:rPr>
            </w:pPr>
            <w:r>
              <w:rPr>
                <w:rFonts w:hint="eastAsia"/>
                <w:color w:val="auto"/>
              </w:rPr>
              <w:t>√新建（迁建</w:t>
            </w:r>
            <w:r>
              <w:rPr>
                <w:rFonts w:hint="eastAsia"/>
                <w:color w:val="auto"/>
                <w:lang w:eastAsia="zh-CN"/>
              </w:rPr>
              <w:t>）</w:t>
            </w:r>
          </w:p>
          <w:p w14:paraId="66925D23">
            <w:pPr>
              <w:spacing w:line="420" w:lineRule="exact"/>
              <w:jc w:val="left"/>
              <w:rPr>
                <w:color w:val="auto"/>
              </w:rPr>
            </w:pPr>
            <w:r>
              <w:rPr>
                <w:rFonts w:hint="eastAsia"/>
                <w:color w:val="auto"/>
                <w:lang w:val="en-US" w:eastAsia="zh-CN"/>
              </w:rPr>
              <w:t>□</w:t>
            </w:r>
            <w:r>
              <w:rPr>
                <w:color w:val="auto"/>
              </w:rPr>
              <w:t>改建</w:t>
            </w:r>
          </w:p>
          <w:p w14:paraId="7380458D">
            <w:pPr>
              <w:spacing w:line="420" w:lineRule="exact"/>
              <w:jc w:val="left"/>
              <w:rPr>
                <w:color w:val="auto"/>
              </w:rPr>
            </w:pPr>
            <w:r>
              <w:rPr>
                <w:rFonts w:hint="eastAsia"/>
                <w:color w:val="auto"/>
                <w:lang w:val="en-US" w:eastAsia="zh-CN"/>
              </w:rPr>
              <w:t>□</w:t>
            </w:r>
            <w:r>
              <w:rPr>
                <w:color w:val="auto"/>
              </w:rPr>
              <w:t>扩建</w:t>
            </w:r>
          </w:p>
          <w:p w14:paraId="285FED25">
            <w:pPr>
              <w:spacing w:line="420" w:lineRule="exact"/>
              <w:jc w:val="left"/>
              <w:rPr>
                <w:color w:val="auto"/>
              </w:rPr>
            </w:pPr>
            <w:r>
              <w:rPr>
                <w:rFonts w:hint="eastAsia"/>
                <w:color w:val="auto"/>
                <w:lang w:val="en-US" w:eastAsia="zh-CN"/>
              </w:rPr>
              <w:t>□</w:t>
            </w:r>
            <w:r>
              <w:rPr>
                <w:color w:val="auto"/>
              </w:rPr>
              <w:t>技术改造</w:t>
            </w:r>
          </w:p>
        </w:tc>
        <w:tc>
          <w:tcPr>
            <w:tcW w:w="2041" w:type="dxa"/>
            <w:vAlign w:val="center"/>
          </w:tcPr>
          <w:p w14:paraId="038A2E84">
            <w:pPr>
              <w:adjustRightInd w:val="0"/>
              <w:snapToGrid w:val="0"/>
              <w:spacing w:line="420" w:lineRule="exact"/>
              <w:jc w:val="center"/>
              <w:rPr>
                <w:color w:val="auto"/>
              </w:rPr>
            </w:pPr>
            <w:r>
              <w:rPr>
                <w:color w:val="auto"/>
              </w:rPr>
              <w:t>建设项目</w:t>
            </w:r>
          </w:p>
          <w:p w14:paraId="4EFF4928">
            <w:pPr>
              <w:adjustRightInd w:val="0"/>
              <w:snapToGrid w:val="0"/>
              <w:spacing w:line="420" w:lineRule="exact"/>
              <w:jc w:val="center"/>
              <w:rPr>
                <w:color w:val="auto"/>
              </w:rPr>
            </w:pPr>
            <w:r>
              <w:rPr>
                <w:color w:val="auto"/>
              </w:rPr>
              <w:t>申报情形</w:t>
            </w:r>
          </w:p>
        </w:tc>
        <w:tc>
          <w:tcPr>
            <w:tcW w:w="2590" w:type="dxa"/>
            <w:vAlign w:val="center"/>
          </w:tcPr>
          <w:p w14:paraId="464B9F03">
            <w:pPr>
              <w:spacing w:line="420" w:lineRule="exact"/>
              <w:jc w:val="left"/>
              <w:rPr>
                <w:color w:val="auto"/>
              </w:rPr>
            </w:pPr>
            <w:r>
              <w:rPr>
                <w:rFonts w:hint="eastAsia"/>
                <w:color w:val="auto"/>
              </w:rPr>
              <w:t>√</w:t>
            </w:r>
            <w:r>
              <w:rPr>
                <w:color w:val="auto"/>
              </w:rPr>
              <w:t xml:space="preserve">首次申报项目             </w:t>
            </w:r>
          </w:p>
          <w:p w14:paraId="081CF596">
            <w:pPr>
              <w:spacing w:line="420" w:lineRule="exact"/>
              <w:jc w:val="left"/>
              <w:rPr>
                <w:color w:val="auto"/>
              </w:rPr>
            </w:pPr>
            <w:r>
              <w:rPr>
                <w:rFonts w:hint="eastAsia"/>
                <w:color w:val="auto"/>
                <w:lang w:val="en-US" w:eastAsia="zh-CN"/>
              </w:rPr>
              <w:t>□</w:t>
            </w:r>
            <w:r>
              <w:rPr>
                <w:color w:val="auto"/>
              </w:rPr>
              <w:t>不予批准后再次申报项目</w:t>
            </w:r>
          </w:p>
          <w:p w14:paraId="151CC5AA">
            <w:pPr>
              <w:spacing w:line="420" w:lineRule="exact"/>
              <w:jc w:val="left"/>
              <w:rPr>
                <w:color w:val="auto"/>
              </w:rPr>
            </w:pPr>
            <w:r>
              <w:rPr>
                <w:rFonts w:hint="eastAsia"/>
                <w:color w:val="auto"/>
                <w:lang w:val="en-US" w:eastAsia="zh-CN"/>
              </w:rPr>
              <w:t>□</w:t>
            </w:r>
            <w:r>
              <w:rPr>
                <w:color w:val="auto"/>
              </w:rPr>
              <w:t xml:space="preserve">超五年重新审核项目     </w:t>
            </w:r>
          </w:p>
          <w:p w14:paraId="3C5EF745">
            <w:pPr>
              <w:spacing w:line="420" w:lineRule="exact"/>
              <w:jc w:val="left"/>
              <w:rPr>
                <w:color w:val="auto"/>
              </w:rPr>
            </w:pPr>
            <w:r>
              <w:rPr>
                <w:rFonts w:hint="eastAsia"/>
                <w:color w:val="auto"/>
                <w:lang w:val="en-US" w:eastAsia="zh-CN"/>
              </w:rPr>
              <w:t>□</w:t>
            </w:r>
            <w:r>
              <w:rPr>
                <w:rFonts w:hint="eastAsia" w:ascii="宋体" w:hAnsi="宋体" w:cs="宋体"/>
                <w:color w:val="auto"/>
                <w:szCs w:val="21"/>
              </w:rPr>
              <w:t>重大变动重新报批项目</w:t>
            </w:r>
          </w:p>
        </w:tc>
      </w:tr>
      <w:tr w14:paraId="6115E7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964" w:type="dxa"/>
            <w:gridSpan w:val="2"/>
            <w:tcMar>
              <w:top w:w="16" w:type="dxa"/>
              <w:left w:w="16" w:type="dxa"/>
              <w:right w:w="16" w:type="dxa"/>
            </w:tcMar>
            <w:vAlign w:val="center"/>
          </w:tcPr>
          <w:p w14:paraId="2183A83E">
            <w:pPr>
              <w:adjustRightInd w:val="0"/>
              <w:snapToGrid w:val="0"/>
              <w:spacing w:line="420" w:lineRule="exact"/>
              <w:jc w:val="center"/>
              <w:rPr>
                <w:color w:val="auto"/>
              </w:rPr>
            </w:pPr>
            <w:r>
              <w:rPr>
                <w:color w:val="auto"/>
              </w:rPr>
              <w:t>项目备案部门</w:t>
            </w:r>
          </w:p>
        </w:tc>
        <w:tc>
          <w:tcPr>
            <w:tcW w:w="2275" w:type="dxa"/>
            <w:vAlign w:val="center"/>
          </w:tcPr>
          <w:p w14:paraId="014F37BE">
            <w:pPr>
              <w:adjustRightInd w:val="0"/>
              <w:snapToGrid w:val="0"/>
              <w:spacing w:line="420" w:lineRule="exact"/>
              <w:jc w:val="center"/>
              <w:rPr>
                <w:color w:val="auto"/>
              </w:rPr>
            </w:pPr>
            <w:r>
              <w:rPr>
                <w:color w:val="auto"/>
              </w:rPr>
              <w:t>淄川区行政审批服务局</w:t>
            </w:r>
          </w:p>
        </w:tc>
        <w:tc>
          <w:tcPr>
            <w:tcW w:w="2041" w:type="dxa"/>
            <w:vAlign w:val="center"/>
          </w:tcPr>
          <w:p w14:paraId="1C3DFC17">
            <w:pPr>
              <w:adjustRightInd w:val="0"/>
              <w:snapToGrid w:val="0"/>
              <w:spacing w:line="420" w:lineRule="exact"/>
              <w:jc w:val="center"/>
              <w:rPr>
                <w:color w:val="auto"/>
              </w:rPr>
            </w:pPr>
            <w:r>
              <w:rPr>
                <w:color w:val="auto"/>
              </w:rPr>
              <w:t>项目备案文号</w:t>
            </w:r>
          </w:p>
        </w:tc>
        <w:tc>
          <w:tcPr>
            <w:tcW w:w="2590" w:type="dxa"/>
            <w:vAlign w:val="center"/>
          </w:tcPr>
          <w:p w14:paraId="736DCFF9">
            <w:pPr>
              <w:adjustRightInd w:val="0"/>
              <w:snapToGrid w:val="0"/>
              <w:spacing w:line="420" w:lineRule="exact"/>
              <w:jc w:val="center"/>
              <w:rPr>
                <w:rFonts w:hint="default" w:eastAsia="宋体"/>
                <w:color w:val="auto"/>
                <w:lang w:val="en-US" w:eastAsia="zh-CN"/>
              </w:rPr>
            </w:pPr>
            <w:r>
              <w:rPr>
                <w:rFonts w:hint="eastAsia"/>
                <w:color w:val="auto"/>
                <w:lang w:val="en-US" w:eastAsia="zh-CN"/>
              </w:rPr>
              <w:t>--</w:t>
            </w:r>
          </w:p>
        </w:tc>
      </w:tr>
      <w:tr w14:paraId="5A0001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3C8851A0">
            <w:pPr>
              <w:adjustRightInd w:val="0"/>
              <w:snapToGrid w:val="0"/>
              <w:spacing w:line="420" w:lineRule="exact"/>
              <w:jc w:val="center"/>
              <w:rPr>
                <w:color w:val="auto"/>
              </w:rPr>
            </w:pPr>
            <w:r>
              <w:rPr>
                <w:color w:val="auto"/>
              </w:rPr>
              <w:t>总投资（万元）</w:t>
            </w:r>
          </w:p>
        </w:tc>
        <w:tc>
          <w:tcPr>
            <w:tcW w:w="2275" w:type="dxa"/>
            <w:vAlign w:val="center"/>
          </w:tcPr>
          <w:p w14:paraId="7B084722">
            <w:pPr>
              <w:adjustRightInd w:val="0"/>
              <w:snapToGrid w:val="0"/>
              <w:spacing w:line="420" w:lineRule="exact"/>
              <w:jc w:val="center"/>
              <w:rPr>
                <w:rFonts w:hint="default"/>
                <w:color w:val="auto"/>
                <w:lang w:val="en-US"/>
              </w:rPr>
            </w:pPr>
            <w:r>
              <w:rPr>
                <w:rFonts w:hint="eastAsia"/>
                <w:color w:val="auto"/>
                <w:lang w:val="en-US" w:eastAsia="zh-CN"/>
              </w:rPr>
              <w:t>2600</w:t>
            </w:r>
          </w:p>
        </w:tc>
        <w:tc>
          <w:tcPr>
            <w:tcW w:w="2041" w:type="dxa"/>
            <w:tcMar>
              <w:top w:w="16" w:type="dxa"/>
              <w:left w:w="16" w:type="dxa"/>
              <w:right w:w="16" w:type="dxa"/>
            </w:tcMar>
            <w:vAlign w:val="center"/>
          </w:tcPr>
          <w:p w14:paraId="2D1B3F83">
            <w:pPr>
              <w:adjustRightInd w:val="0"/>
              <w:snapToGrid w:val="0"/>
              <w:spacing w:line="420" w:lineRule="exact"/>
              <w:jc w:val="center"/>
              <w:rPr>
                <w:color w:val="auto"/>
              </w:rPr>
            </w:pPr>
            <w:r>
              <w:rPr>
                <w:color w:val="auto"/>
              </w:rPr>
              <w:t>环保投资（万元）</w:t>
            </w:r>
          </w:p>
        </w:tc>
        <w:tc>
          <w:tcPr>
            <w:tcW w:w="2590" w:type="dxa"/>
            <w:vAlign w:val="center"/>
          </w:tcPr>
          <w:p w14:paraId="6C4ACB5A">
            <w:pPr>
              <w:adjustRightInd w:val="0"/>
              <w:snapToGrid w:val="0"/>
              <w:spacing w:line="420" w:lineRule="exact"/>
              <w:jc w:val="center"/>
              <w:rPr>
                <w:rFonts w:hint="default" w:eastAsia="宋体"/>
                <w:color w:val="auto"/>
                <w:lang w:val="en-US" w:eastAsia="zh-CN"/>
              </w:rPr>
            </w:pPr>
            <w:r>
              <w:rPr>
                <w:rFonts w:hint="eastAsia"/>
                <w:color w:val="auto"/>
                <w:lang w:val="en-US" w:eastAsia="zh-CN"/>
              </w:rPr>
              <w:t>100</w:t>
            </w:r>
          </w:p>
        </w:tc>
      </w:tr>
      <w:tr w14:paraId="52FCDF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4A889D82">
            <w:pPr>
              <w:adjustRightInd w:val="0"/>
              <w:snapToGrid w:val="0"/>
              <w:spacing w:line="420" w:lineRule="exact"/>
              <w:jc w:val="center"/>
              <w:rPr>
                <w:color w:val="auto"/>
              </w:rPr>
            </w:pPr>
            <w:r>
              <w:rPr>
                <w:color w:val="auto"/>
              </w:rPr>
              <w:t>环保投资占比（%）</w:t>
            </w:r>
          </w:p>
        </w:tc>
        <w:tc>
          <w:tcPr>
            <w:tcW w:w="2275" w:type="dxa"/>
            <w:vAlign w:val="center"/>
          </w:tcPr>
          <w:p w14:paraId="38324ED7">
            <w:pPr>
              <w:adjustRightInd w:val="0"/>
              <w:snapToGrid w:val="0"/>
              <w:spacing w:line="420" w:lineRule="exact"/>
              <w:jc w:val="center"/>
              <w:rPr>
                <w:rFonts w:hint="default" w:eastAsia="宋体"/>
                <w:color w:val="auto"/>
                <w:lang w:val="en-US" w:eastAsia="zh-CN"/>
              </w:rPr>
            </w:pPr>
            <w:r>
              <w:rPr>
                <w:rFonts w:hint="eastAsia"/>
                <w:color w:val="auto"/>
                <w:lang w:val="en-US" w:eastAsia="zh-CN"/>
              </w:rPr>
              <w:t>3.8</w:t>
            </w:r>
          </w:p>
        </w:tc>
        <w:tc>
          <w:tcPr>
            <w:tcW w:w="2041" w:type="dxa"/>
            <w:tcMar>
              <w:top w:w="16" w:type="dxa"/>
              <w:left w:w="16" w:type="dxa"/>
              <w:right w:w="16" w:type="dxa"/>
            </w:tcMar>
            <w:vAlign w:val="center"/>
          </w:tcPr>
          <w:p w14:paraId="2D74CF76">
            <w:pPr>
              <w:adjustRightInd w:val="0"/>
              <w:snapToGrid w:val="0"/>
              <w:spacing w:line="420" w:lineRule="exact"/>
              <w:jc w:val="center"/>
              <w:rPr>
                <w:color w:val="auto"/>
              </w:rPr>
            </w:pPr>
            <w:r>
              <w:rPr>
                <w:color w:val="auto"/>
              </w:rPr>
              <w:t>施工工期</w:t>
            </w:r>
          </w:p>
        </w:tc>
        <w:tc>
          <w:tcPr>
            <w:tcW w:w="2590" w:type="dxa"/>
            <w:vAlign w:val="center"/>
          </w:tcPr>
          <w:p w14:paraId="3C484C59">
            <w:pPr>
              <w:adjustRightInd w:val="0"/>
              <w:snapToGrid w:val="0"/>
              <w:spacing w:line="420" w:lineRule="exact"/>
              <w:jc w:val="center"/>
              <w:rPr>
                <w:color w:val="auto"/>
              </w:rPr>
            </w:pPr>
            <w:r>
              <w:rPr>
                <w:rFonts w:hint="eastAsia"/>
                <w:color w:val="auto"/>
                <w:lang w:val="en-US" w:eastAsia="zh-CN"/>
              </w:rPr>
              <w:t>6</w:t>
            </w:r>
            <w:r>
              <w:rPr>
                <w:color w:val="auto"/>
              </w:rPr>
              <w:t>个月</w:t>
            </w:r>
          </w:p>
        </w:tc>
      </w:tr>
      <w:tr w14:paraId="2F0DA4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3E26A3DF">
            <w:pPr>
              <w:adjustRightInd w:val="0"/>
              <w:snapToGrid w:val="0"/>
              <w:spacing w:line="420" w:lineRule="exact"/>
              <w:jc w:val="center"/>
              <w:rPr>
                <w:color w:val="auto"/>
              </w:rPr>
            </w:pPr>
            <w:r>
              <w:rPr>
                <w:color w:val="auto"/>
              </w:rPr>
              <w:t>是否开工建设</w:t>
            </w:r>
          </w:p>
        </w:tc>
        <w:tc>
          <w:tcPr>
            <w:tcW w:w="2275" w:type="dxa"/>
            <w:vAlign w:val="center"/>
          </w:tcPr>
          <w:p w14:paraId="0CCAFC49">
            <w:pPr>
              <w:adjustRightInd w:val="0"/>
              <w:snapToGrid w:val="0"/>
              <w:spacing w:line="420" w:lineRule="exact"/>
              <w:rPr>
                <w:color w:val="auto"/>
              </w:rPr>
            </w:pPr>
            <w:r>
              <w:rPr>
                <w:color w:val="auto"/>
              </w:rPr>
              <w:t>√否</w:t>
            </w:r>
          </w:p>
          <w:p w14:paraId="5A9FC22E">
            <w:pPr>
              <w:adjustRightInd w:val="0"/>
              <w:snapToGrid w:val="0"/>
              <w:spacing w:line="420" w:lineRule="exact"/>
              <w:rPr>
                <w:color w:val="auto"/>
              </w:rPr>
            </w:pPr>
            <w:r>
              <w:rPr>
                <w:rFonts w:hint="eastAsia"/>
                <w:color w:val="auto"/>
                <w:lang w:val="en-US" w:eastAsia="zh-CN"/>
              </w:rPr>
              <w:t>□</w:t>
            </w:r>
            <w:r>
              <w:rPr>
                <w:color w:val="auto"/>
              </w:rPr>
              <w:t>是：</w:t>
            </w:r>
            <w:r>
              <w:rPr>
                <w:color w:val="auto"/>
                <w:u w:val="single"/>
              </w:rPr>
              <w:t xml:space="preserve">             </w:t>
            </w:r>
          </w:p>
        </w:tc>
        <w:tc>
          <w:tcPr>
            <w:tcW w:w="2041" w:type="dxa"/>
            <w:tcMar>
              <w:top w:w="16" w:type="dxa"/>
              <w:left w:w="16" w:type="dxa"/>
              <w:right w:w="16" w:type="dxa"/>
            </w:tcMar>
            <w:vAlign w:val="center"/>
          </w:tcPr>
          <w:p w14:paraId="7B6DB780">
            <w:pPr>
              <w:adjustRightInd w:val="0"/>
              <w:snapToGrid w:val="0"/>
              <w:spacing w:line="420" w:lineRule="exact"/>
              <w:jc w:val="center"/>
              <w:rPr>
                <w:color w:val="auto"/>
              </w:rPr>
            </w:pPr>
            <w:r>
              <w:rPr>
                <w:color w:val="auto"/>
                <w:spacing w:val="-6"/>
              </w:rPr>
              <w:t>用地面积（m</w:t>
            </w:r>
            <w:r>
              <w:rPr>
                <w:color w:val="auto"/>
                <w:spacing w:val="-6"/>
                <w:vertAlign w:val="superscript"/>
              </w:rPr>
              <w:t>2</w:t>
            </w:r>
            <w:r>
              <w:rPr>
                <w:color w:val="auto"/>
                <w:spacing w:val="-6"/>
              </w:rPr>
              <w:t>）</w:t>
            </w:r>
          </w:p>
        </w:tc>
        <w:tc>
          <w:tcPr>
            <w:tcW w:w="2590" w:type="dxa"/>
            <w:vAlign w:val="center"/>
          </w:tcPr>
          <w:p w14:paraId="5CBA0773">
            <w:pPr>
              <w:adjustRightInd w:val="0"/>
              <w:snapToGrid w:val="0"/>
              <w:spacing w:line="420" w:lineRule="exact"/>
              <w:jc w:val="center"/>
              <w:rPr>
                <w:rFonts w:hint="default" w:eastAsia="宋体"/>
                <w:color w:val="auto"/>
                <w:lang w:val="en-US" w:eastAsia="zh-CN"/>
              </w:rPr>
            </w:pPr>
            <w:r>
              <w:rPr>
                <w:rFonts w:hint="eastAsia"/>
                <w:color w:val="auto"/>
                <w:highlight w:val="none"/>
                <w:lang w:val="en-US" w:eastAsia="zh-CN"/>
              </w:rPr>
              <w:t>18000</w:t>
            </w:r>
          </w:p>
        </w:tc>
      </w:tr>
      <w:tr w14:paraId="660E8F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1964" w:type="dxa"/>
            <w:gridSpan w:val="2"/>
            <w:vAlign w:val="center"/>
          </w:tcPr>
          <w:p w14:paraId="78CAD809">
            <w:pPr>
              <w:autoSpaceDE w:val="0"/>
              <w:autoSpaceDN w:val="0"/>
              <w:adjustRightInd w:val="0"/>
              <w:snapToGrid w:val="0"/>
              <w:spacing w:line="420" w:lineRule="exact"/>
              <w:jc w:val="center"/>
              <w:rPr>
                <w:color w:val="auto"/>
                <w:kern w:val="0"/>
              </w:rPr>
            </w:pPr>
            <w:r>
              <w:rPr>
                <w:color w:val="auto"/>
                <w:kern w:val="0"/>
              </w:rPr>
              <w:t>专项评价设置情况</w:t>
            </w:r>
          </w:p>
        </w:tc>
        <w:tc>
          <w:tcPr>
            <w:tcW w:w="6906" w:type="dxa"/>
            <w:gridSpan w:val="3"/>
            <w:vAlign w:val="center"/>
          </w:tcPr>
          <w:p w14:paraId="2D09032D">
            <w:pPr>
              <w:spacing w:before="120" w:beforeLines="50"/>
              <w:jc w:val="center"/>
              <w:textAlignment w:val="baseline"/>
              <w:rPr>
                <w:b/>
                <w:color w:val="auto"/>
              </w:rPr>
            </w:pPr>
            <w:r>
              <w:rPr>
                <w:b/>
                <w:color w:val="auto"/>
              </w:rPr>
              <w:t>表1-1  专项评价设置情况判定表</w:t>
            </w:r>
          </w:p>
          <w:tbl>
            <w:tblPr>
              <w:tblStyle w:val="8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3007"/>
              <w:gridCol w:w="1794"/>
              <w:gridCol w:w="745"/>
            </w:tblGrid>
            <w:tr w14:paraId="08A5CD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9" w:type="dxa"/>
                  <w:vAlign w:val="center"/>
                </w:tcPr>
                <w:p w14:paraId="21270FC2">
                  <w:pPr>
                    <w:jc w:val="center"/>
                    <w:textAlignment w:val="baseline"/>
                    <w:rPr>
                      <w:b/>
                      <w:color w:val="auto"/>
                    </w:rPr>
                  </w:pPr>
                  <w:r>
                    <w:rPr>
                      <w:b/>
                      <w:color w:val="auto"/>
                    </w:rPr>
                    <w:t>专项评价的类别</w:t>
                  </w:r>
                </w:p>
              </w:tc>
              <w:tc>
                <w:tcPr>
                  <w:tcW w:w="3150" w:type="dxa"/>
                  <w:vAlign w:val="center"/>
                </w:tcPr>
                <w:p w14:paraId="793C560D">
                  <w:pPr>
                    <w:jc w:val="center"/>
                    <w:textAlignment w:val="baseline"/>
                    <w:rPr>
                      <w:b/>
                      <w:color w:val="auto"/>
                    </w:rPr>
                  </w:pPr>
                  <w:r>
                    <w:rPr>
                      <w:b/>
                      <w:color w:val="auto"/>
                    </w:rPr>
                    <w:t>设置原则</w:t>
                  </w:r>
                </w:p>
              </w:tc>
              <w:tc>
                <w:tcPr>
                  <w:tcW w:w="1854" w:type="dxa"/>
                  <w:vAlign w:val="center"/>
                </w:tcPr>
                <w:p w14:paraId="7290788B">
                  <w:pPr>
                    <w:jc w:val="center"/>
                    <w:textAlignment w:val="baseline"/>
                    <w:rPr>
                      <w:b/>
                      <w:color w:val="auto"/>
                    </w:rPr>
                  </w:pPr>
                  <w:r>
                    <w:rPr>
                      <w:b/>
                      <w:color w:val="auto"/>
                    </w:rPr>
                    <w:t>项目情况</w:t>
                  </w:r>
                </w:p>
              </w:tc>
              <w:tc>
                <w:tcPr>
                  <w:tcW w:w="765" w:type="dxa"/>
                  <w:vAlign w:val="center"/>
                </w:tcPr>
                <w:p w14:paraId="7A373A5F">
                  <w:pPr>
                    <w:jc w:val="center"/>
                    <w:textAlignment w:val="baseline"/>
                    <w:rPr>
                      <w:b/>
                      <w:color w:val="auto"/>
                    </w:rPr>
                  </w:pPr>
                  <w:r>
                    <w:rPr>
                      <w:b/>
                      <w:color w:val="auto"/>
                    </w:rPr>
                    <w:t>是否设置</w:t>
                  </w:r>
                </w:p>
              </w:tc>
            </w:tr>
            <w:tr w14:paraId="2D399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9" w:type="dxa"/>
                  <w:vAlign w:val="center"/>
                </w:tcPr>
                <w:p w14:paraId="017EC32A">
                  <w:pPr>
                    <w:jc w:val="center"/>
                    <w:textAlignment w:val="baseline"/>
                    <w:rPr>
                      <w:bCs/>
                      <w:color w:val="auto"/>
                      <w:sz w:val="18"/>
                      <w:szCs w:val="18"/>
                    </w:rPr>
                  </w:pPr>
                  <w:r>
                    <w:rPr>
                      <w:bCs/>
                      <w:color w:val="auto"/>
                      <w:sz w:val="18"/>
                      <w:szCs w:val="18"/>
                    </w:rPr>
                    <w:t>大气</w:t>
                  </w:r>
                </w:p>
              </w:tc>
              <w:tc>
                <w:tcPr>
                  <w:tcW w:w="3150" w:type="dxa"/>
                  <w:vAlign w:val="center"/>
                </w:tcPr>
                <w:p w14:paraId="18869747">
                  <w:pPr>
                    <w:jc w:val="center"/>
                    <w:textAlignment w:val="baseline"/>
                    <w:rPr>
                      <w:bCs/>
                      <w:color w:val="auto"/>
                      <w:sz w:val="18"/>
                      <w:szCs w:val="18"/>
                    </w:rPr>
                  </w:pPr>
                  <w:r>
                    <w:rPr>
                      <w:bCs/>
                      <w:color w:val="auto"/>
                      <w:sz w:val="18"/>
                      <w:szCs w:val="18"/>
                    </w:rPr>
                    <w:t>排放废气含有毒有害污染物、二噁英、苯并[a]芘、氰化物、</w:t>
                  </w:r>
                  <w:r>
                    <w:rPr>
                      <w:rFonts w:hint="eastAsia"/>
                      <w:bCs/>
                      <w:color w:val="auto"/>
                      <w:sz w:val="18"/>
                      <w:szCs w:val="18"/>
                      <w:lang w:val="en-US" w:eastAsia="zh-CN"/>
                    </w:rPr>
                    <w:t>氯气</w:t>
                  </w:r>
                  <w:r>
                    <w:rPr>
                      <w:bCs/>
                      <w:color w:val="auto"/>
                      <w:sz w:val="18"/>
                      <w:szCs w:val="18"/>
                    </w:rPr>
                    <w:t>且厂界外500米范围内有环境空气保护目标的建设项目</w:t>
                  </w:r>
                </w:p>
              </w:tc>
              <w:tc>
                <w:tcPr>
                  <w:tcW w:w="1854" w:type="dxa"/>
                  <w:vAlign w:val="center"/>
                </w:tcPr>
                <w:p w14:paraId="617E6AA5">
                  <w:pPr>
                    <w:autoSpaceDE w:val="0"/>
                    <w:autoSpaceDN w:val="0"/>
                    <w:adjustRightInd w:val="0"/>
                    <w:snapToGrid w:val="0"/>
                    <w:jc w:val="center"/>
                    <w:rPr>
                      <w:rFonts w:hint="default"/>
                      <w:bCs/>
                      <w:color w:val="auto"/>
                      <w:sz w:val="18"/>
                      <w:szCs w:val="18"/>
                      <w:lang w:val="en-US"/>
                    </w:rPr>
                  </w:pPr>
                  <w:r>
                    <w:rPr>
                      <w:rFonts w:hint="default" w:ascii="Times New Roman" w:hAnsi="Times New Roman" w:cs="Times New Roman"/>
                      <w:color w:val="auto"/>
                      <w:kern w:val="0"/>
                      <w:sz w:val="18"/>
                      <w:szCs w:val="18"/>
                    </w:rPr>
                    <w:t>本项目废气主要污染物为</w:t>
                  </w:r>
                  <w:r>
                    <w:rPr>
                      <w:rFonts w:hint="eastAsia" w:cs="Times New Roman"/>
                      <w:color w:val="auto"/>
                      <w:kern w:val="0"/>
                      <w:sz w:val="18"/>
                      <w:szCs w:val="18"/>
                      <w:lang w:val="en-US" w:eastAsia="zh-CN"/>
                    </w:rPr>
                    <w:t>氯化氢、VOCs，不涉及以上污染物</w:t>
                  </w:r>
                </w:p>
              </w:tc>
              <w:tc>
                <w:tcPr>
                  <w:tcW w:w="765" w:type="dxa"/>
                  <w:vAlign w:val="center"/>
                </w:tcPr>
                <w:p w14:paraId="6675A0C4">
                  <w:pPr>
                    <w:autoSpaceDE w:val="0"/>
                    <w:autoSpaceDN w:val="0"/>
                    <w:adjustRightInd w:val="0"/>
                    <w:snapToGrid w:val="0"/>
                    <w:jc w:val="center"/>
                    <w:rPr>
                      <w:bCs/>
                      <w:color w:val="auto"/>
                      <w:sz w:val="18"/>
                      <w:szCs w:val="18"/>
                    </w:rPr>
                  </w:pPr>
                  <w:r>
                    <w:rPr>
                      <w:bCs/>
                      <w:color w:val="auto"/>
                      <w:sz w:val="18"/>
                      <w:szCs w:val="18"/>
                    </w:rPr>
                    <w:t>否</w:t>
                  </w:r>
                </w:p>
              </w:tc>
            </w:tr>
            <w:tr w14:paraId="01989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9" w:type="dxa"/>
                  <w:vAlign w:val="center"/>
                </w:tcPr>
                <w:p w14:paraId="08759432">
                  <w:pPr>
                    <w:jc w:val="center"/>
                    <w:textAlignment w:val="baseline"/>
                    <w:rPr>
                      <w:bCs/>
                      <w:color w:val="auto"/>
                      <w:sz w:val="18"/>
                      <w:szCs w:val="18"/>
                    </w:rPr>
                  </w:pPr>
                  <w:r>
                    <w:rPr>
                      <w:bCs/>
                      <w:color w:val="auto"/>
                      <w:sz w:val="18"/>
                      <w:szCs w:val="18"/>
                    </w:rPr>
                    <w:t>地表水</w:t>
                  </w:r>
                </w:p>
              </w:tc>
              <w:tc>
                <w:tcPr>
                  <w:tcW w:w="3150" w:type="dxa"/>
                  <w:vAlign w:val="center"/>
                </w:tcPr>
                <w:p w14:paraId="41452958">
                  <w:pPr>
                    <w:jc w:val="center"/>
                    <w:textAlignment w:val="baseline"/>
                    <w:rPr>
                      <w:bCs/>
                      <w:color w:val="auto"/>
                      <w:sz w:val="18"/>
                      <w:szCs w:val="18"/>
                      <w:highlight w:val="none"/>
                    </w:rPr>
                  </w:pPr>
                  <w:r>
                    <w:rPr>
                      <w:bCs/>
                      <w:color w:val="auto"/>
                      <w:sz w:val="18"/>
                      <w:szCs w:val="18"/>
                      <w:highlight w:val="none"/>
                    </w:rPr>
                    <w:t>新增工业废水直排建设项目（槽罐车外送污水处理厂的除外）；新增废水直排的污水集中处理厂</w:t>
                  </w:r>
                </w:p>
              </w:tc>
              <w:tc>
                <w:tcPr>
                  <w:tcW w:w="1854" w:type="dxa"/>
                  <w:vAlign w:val="center"/>
                </w:tcPr>
                <w:p w14:paraId="2AE4D1EF">
                  <w:pPr>
                    <w:jc w:val="center"/>
                    <w:textAlignment w:val="baseline"/>
                    <w:rPr>
                      <w:rFonts w:hint="eastAsia" w:eastAsia="宋体"/>
                      <w:bCs/>
                      <w:color w:val="auto"/>
                      <w:sz w:val="18"/>
                      <w:szCs w:val="18"/>
                      <w:highlight w:val="none"/>
                      <w:lang w:eastAsia="zh-CN"/>
                    </w:rPr>
                  </w:pPr>
                  <w:r>
                    <w:rPr>
                      <w:rFonts w:hint="default" w:ascii="Times New Roman" w:hAnsi="Times New Roman" w:cs="Times New Roman" w:eastAsiaTheme="minorEastAsia"/>
                      <w:color w:val="auto"/>
                      <w:kern w:val="0"/>
                      <w:sz w:val="18"/>
                      <w:szCs w:val="18"/>
                      <w:highlight w:val="none"/>
                    </w:rPr>
                    <w:t>本项目</w:t>
                  </w:r>
                  <w:r>
                    <w:rPr>
                      <w:rFonts w:hint="eastAsia" w:cs="Times New Roman" w:eastAsiaTheme="minorEastAsia"/>
                      <w:color w:val="auto"/>
                      <w:kern w:val="0"/>
                      <w:sz w:val="18"/>
                      <w:szCs w:val="18"/>
                      <w:highlight w:val="none"/>
                      <w:lang w:val="en-US" w:eastAsia="zh-CN"/>
                    </w:rPr>
                    <w:t>生活污水经化粪池暂存后由环卫部门定期清运，</w:t>
                  </w:r>
                  <w:r>
                    <w:rPr>
                      <w:rFonts w:hint="default" w:ascii="Times New Roman" w:hAnsi="Times New Roman" w:eastAsia="宋体" w:cs="Times New Roman"/>
                      <w:color w:val="auto"/>
                      <w:sz w:val="18"/>
                      <w:szCs w:val="18"/>
                      <w:highlight w:val="none"/>
                      <w:lang w:eastAsia="zh-CN"/>
                    </w:rPr>
                    <w:t>蒸汽冷凝水、</w:t>
                  </w:r>
                  <w:r>
                    <w:rPr>
                      <w:rFonts w:hint="eastAsia" w:cs="Times New Roman"/>
                      <w:color w:val="auto"/>
                      <w:sz w:val="18"/>
                      <w:szCs w:val="18"/>
                      <w:highlight w:val="none"/>
                      <w:lang w:eastAsia="zh-CN"/>
                    </w:rPr>
                    <w:t>蒸发冷凝水</w:t>
                  </w:r>
                  <w:r>
                    <w:rPr>
                      <w:rFonts w:hint="default" w:ascii="Times New Roman" w:hAnsi="Times New Roman" w:eastAsia="宋体" w:cs="Times New Roman"/>
                      <w:color w:val="auto"/>
                      <w:sz w:val="18"/>
                      <w:szCs w:val="18"/>
                      <w:highlight w:val="none"/>
                      <w:lang w:eastAsia="zh-CN"/>
                    </w:rPr>
                    <w:t>回用于原料溶解用水、酸雾吸收塔用水</w:t>
                  </w:r>
                  <w:r>
                    <w:rPr>
                      <w:rFonts w:hint="eastAsia" w:ascii="Times New Roman" w:hAnsi="Times New Roman" w:eastAsia="宋体" w:cs="Times New Roman"/>
                      <w:color w:val="auto"/>
                      <w:sz w:val="18"/>
                      <w:szCs w:val="18"/>
                      <w:highlight w:val="none"/>
                      <w:lang w:eastAsia="zh-CN"/>
                    </w:rPr>
                    <w:t>。</w:t>
                  </w:r>
                  <w:r>
                    <w:rPr>
                      <w:rFonts w:hint="default" w:ascii="Times New Roman" w:hAnsi="Times New Roman" w:eastAsia="宋体" w:cs="Times New Roman"/>
                      <w:color w:val="auto"/>
                      <w:sz w:val="18"/>
                      <w:szCs w:val="18"/>
                      <w:highlight w:val="none"/>
                      <w:lang w:eastAsia="zh-CN"/>
                    </w:rPr>
                    <w:t>离心废水、</w:t>
                  </w:r>
                  <w:r>
                    <w:rPr>
                      <w:rFonts w:hint="eastAsia" w:cs="Times New Roman"/>
                      <w:color w:val="auto"/>
                      <w:sz w:val="18"/>
                      <w:szCs w:val="18"/>
                      <w:highlight w:val="none"/>
                      <w:lang w:eastAsia="zh-CN"/>
                    </w:rPr>
                    <w:t>酸雾吸收废水</w:t>
                  </w:r>
                  <w:r>
                    <w:rPr>
                      <w:rFonts w:hint="default" w:ascii="Times New Roman" w:hAnsi="Times New Roman" w:eastAsia="宋体" w:cs="Times New Roman"/>
                      <w:color w:val="auto"/>
                      <w:sz w:val="18"/>
                      <w:szCs w:val="18"/>
                      <w:highlight w:val="none"/>
                      <w:lang w:eastAsia="zh-CN"/>
                    </w:rPr>
                    <w:t>经厂内</w:t>
                  </w:r>
                  <w:r>
                    <w:rPr>
                      <w:rFonts w:hint="eastAsia" w:cs="Times New Roman"/>
                      <w:color w:val="auto"/>
                      <w:sz w:val="18"/>
                      <w:szCs w:val="18"/>
                      <w:highlight w:val="none"/>
                      <w:lang w:val="en-US" w:eastAsia="zh-CN"/>
                    </w:rPr>
                    <w:t>污水处理站中和、多效蒸发器</w:t>
                  </w:r>
                  <w:r>
                    <w:rPr>
                      <w:rFonts w:hint="eastAsia"/>
                      <w:color w:val="auto"/>
                      <w:sz w:val="18"/>
                      <w:szCs w:val="18"/>
                      <w:highlight w:val="none"/>
                      <w:lang w:val="en-US" w:eastAsia="zh-CN"/>
                    </w:rPr>
                    <w:t>蒸发出来的蒸汽经冷凝后回用于预热分离用水和地面清扫用水，不外排</w:t>
                  </w:r>
                </w:p>
              </w:tc>
              <w:tc>
                <w:tcPr>
                  <w:tcW w:w="765" w:type="dxa"/>
                  <w:vAlign w:val="center"/>
                </w:tcPr>
                <w:p w14:paraId="3B4F116F">
                  <w:pPr>
                    <w:jc w:val="center"/>
                    <w:textAlignment w:val="baseline"/>
                    <w:rPr>
                      <w:bCs/>
                      <w:color w:val="auto"/>
                      <w:sz w:val="18"/>
                      <w:szCs w:val="18"/>
                    </w:rPr>
                  </w:pPr>
                  <w:r>
                    <w:rPr>
                      <w:bCs/>
                      <w:color w:val="auto"/>
                      <w:sz w:val="18"/>
                      <w:szCs w:val="18"/>
                    </w:rPr>
                    <w:t>否</w:t>
                  </w:r>
                </w:p>
              </w:tc>
            </w:tr>
            <w:tr w14:paraId="6A6AF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9" w:type="dxa"/>
                  <w:vAlign w:val="center"/>
                </w:tcPr>
                <w:p w14:paraId="673C0622">
                  <w:pPr>
                    <w:jc w:val="center"/>
                    <w:textAlignment w:val="baseline"/>
                    <w:rPr>
                      <w:bCs/>
                      <w:color w:val="auto"/>
                      <w:sz w:val="18"/>
                      <w:szCs w:val="18"/>
                    </w:rPr>
                  </w:pPr>
                  <w:r>
                    <w:rPr>
                      <w:bCs/>
                      <w:color w:val="auto"/>
                      <w:sz w:val="18"/>
                      <w:szCs w:val="18"/>
                    </w:rPr>
                    <w:t>环境风险</w:t>
                  </w:r>
                </w:p>
              </w:tc>
              <w:tc>
                <w:tcPr>
                  <w:tcW w:w="3150" w:type="dxa"/>
                  <w:vAlign w:val="center"/>
                </w:tcPr>
                <w:p w14:paraId="48B3B84C">
                  <w:pPr>
                    <w:jc w:val="center"/>
                    <w:textAlignment w:val="baseline"/>
                    <w:rPr>
                      <w:bCs/>
                      <w:color w:val="auto"/>
                      <w:sz w:val="18"/>
                      <w:szCs w:val="18"/>
                    </w:rPr>
                  </w:pPr>
                  <w:r>
                    <w:rPr>
                      <w:bCs/>
                      <w:color w:val="auto"/>
                      <w:sz w:val="18"/>
                      <w:szCs w:val="18"/>
                    </w:rPr>
                    <w:t>有毒有害和易燃易爆危险物质存储量超过临界量的建设项目</w:t>
                  </w:r>
                </w:p>
              </w:tc>
              <w:tc>
                <w:tcPr>
                  <w:tcW w:w="1854" w:type="dxa"/>
                  <w:vAlign w:val="center"/>
                </w:tcPr>
                <w:p w14:paraId="2B5308C9">
                  <w:pPr>
                    <w:jc w:val="center"/>
                    <w:textAlignment w:val="baseline"/>
                    <w:rPr>
                      <w:bCs/>
                      <w:color w:val="auto"/>
                      <w:sz w:val="18"/>
                      <w:szCs w:val="18"/>
                    </w:rPr>
                  </w:pPr>
                  <w:r>
                    <w:rPr>
                      <w:bCs/>
                      <w:color w:val="auto"/>
                      <w:sz w:val="18"/>
                      <w:szCs w:val="18"/>
                    </w:rPr>
                    <w:t>本项目涉及</w:t>
                  </w:r>
                  <w:r>
                    <w:rPr>
                      <w:rFonts w:hint="eastAsia"/>
                      <w:bCs/>
                      <w:color w:val="auto"/>
                      <w:sz w:val="18"/>
                      <w:szCs w:val="18"/>
                      <w:lang w:eastAsia="zh-CN"/>
                    </w:rPr>
                    <w:t>危险物质</w:t>
                  </w:r>
                  <w:r>
                    <w:rPr>
                      <w:bCs/>
                      <w:color w:val="auto"/>
                      <w:sz w:val="18"/>
                      <w:szCs w:val="18"/>
                    </w:rPr>
                    <w:t>储存量未超过临界量</w:t>
                  </w:r>
                </w:p>
              </w:tc>
              <w:tc>
                <w:tcPr>
                  <w:tcW w:w="765" w:type="dxa"/>
                  <w:vAlign w:val="center"/>
                </w:tcPr>
                <w:p w14:paraId="3DA8D66B">
                  <w:pPr>
                    <w:jc w:val="center"/>
                    <w:textAlignment w:val="baseline"/>
                    <w:rPr>
                      <w:bCs/>
                      <w:color w:val="auto"/>
                      <w:sz w:val="18"/>
                      <w:szCs w:val="18"/>
                    </w:rPr>
                  </w:pPr>
                  <w:r>
                    <w:rPr>
                      <w:bCs/>
                      <w:color w:val="auto"/>
                      <w:sz w:val="18"/>
                      <w:szCs w:val="18"/>
                    </w:rPr>
                    <w:t>否</w:t>
                  </w:r>
                </w:p>
              </w:tc>
            </w:tr>
            <w:tr w14:paraId="7A9E1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9" w:type="dxa"/>
                  <w:vAlign w:val="center"/>
                </w:tcPr>
                <w:p w14:paraId="7407FAF5">
                  <w:pPr>
                    <w:jc w:val="center"/>
                    <w:textAlignment w:val="baseline"/>
                    <w:rPr>
                      <w:bCs/>
                      <w:color w:val="auto"/>
                      <w:sz w:val="18"/>
                      <w:szCs w:val="18"/>
                    </w:rPr>
                  </w:pPr>
                  <w:r>
                    <w:rPr>
                      <w:bCs/>
                      <w:color w:val="auto"/>
                      <w:sz w:val="18"/>
                      <w:szCs w:val="18"/>
                    </w:rPr>
                    <w:t>生态</w:t>
                  </w:r>
                </w:p>
              </w:tc>
              <w:tc>
                <w:tcPr>
                  <w:tcW w:w="3150" w:type="dxa"/>
                  <w:vAlign w:val="center"/>
                </w:tcPr>
                <w:p w14:paraId="24D3ED5A">
                  <w:pPr>
                    <w:jc w:val="center"/>
                    <w:textAlignment w:val="baseline"/>
                    <w:rPr>
                      <w:bCs/>
                      <w:color w:val="auto"/>
                      <w:sz w:val="18"/>
                      <w:szCs w:val="18"/>
                    </w:rPr>
                  </w:pPr>
                  <w:r>
                    <w:rPr>
                      <w:bCs/>
                      <w:color w:val="auto"/>
                      <w:sz w:val="18"/>
                      <w:szCs w:val="18"/>
                    </w:rPr>
                    <w:t>取水口下游500米范围内有重要水生生物的自然产卵场、索饵场、越冬场和洄游通道的新增河道取水的污染类建设项目</w:t>
                  </w:r>
                </w:p>
              </w:tc>
              <w:tc>
                <w:tcPr>
                  <w:tcW w:w="1854" w:type="dxa"/>
                  <w:vAlign w:val="center"/>
                </w:tcPr>
                <w:p w14:paraId="70B379A3">
                  <w:pPr>
                    <w:jc w:val="center"/>
                    <w:textAlignment w:val="baseline"/>
                    <w:rPr>
                      <w:bCs/>
                      <w:color w:val="auto"/>
                      <w:sz w:val="18"/>
                      <w:szCs w:val="18"/>
                    </w:rPr>
                  </w:pPr>
                  <w:r>
                    <w:rPr>
                      <w:rFonts w:hint="eastAsia"/>
                      <w:bCs/>
                      <w:color w:val="auto"/>
                      <w:sz w:val="18"/>
                      <w:szCs w:val="18"/>
                      <w:lang w:val="en-US" w:eastAsia="zh-CN"/>
                    </w:rPr>
                    <w:t>项目用水由淄川区龙泉镇供水管网提供，不单独设置取水口</w:t>
                  </w:r>
                </w:p>
              </w:tc>
              <w:tc>
                <w:tcPr>
                  <w:tcW w:w="765" w:type="dxa"/>
                  <w:vAlign w:val="center"/>
                </w:tcPr>
                <w:p w14:paraId="04AF7821">
                  <w:pPr>
                    <w:jc w:val="center"/>
                    <w:textAlignment w:val="baseline"/>
                    <w:rPr>
                      <w:bCs/>
                      <w:color w:val="auto"/>
                      <w:sz w:val="18"/>
                      <w:szCs w:val="18"/>
                    </w:rPr>
                  </w:pPr>
                  <w:r>
                    <w:rPr>
                      <w:bCs/>
                      <w:color w:val="auto"/>
                      <w:sz w:val="18"/>
                      <w:szCs w:val="18"/>
                    </w:rPr>
                    <w:t>否</w:t>
                  </w:r>
                </w:p>
              </w:tc>
            </w:tr>
            <w:tr w14:paraId="02EB0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9" w:type="dxa"/>
                  <w:vAlign w:val="center"/>
                </w:tcPr>
                <w:p w14:paraId="75C0C26C">
                  <w:pPr>
                    <w:jc w:val="center"/>
                    <w:textAlignment w:val="baseline"/>
                    <w:rPr>
                      <w:bCs/>
                      <w:color w:val="auto"/>
                      <w:sz w:val="18"/>
                      <w:szCs w:val="18"/>
                    </w:rPr>
                  </w:pPr>
                  <w:r>
                    <w:rPr>
                      <w:bCs/>
                      <w:color w:val="auto"/>
                      <w:sz w:val="18"/>
                      <w:szCs w:val="18"/>
                    </w:rPr>
                    <w:t>海洋</w:t>
                  </w:r>
                </w:p>
              </w:tc>
              <w:tc>
                <w:tcPr>
                  <w:tcW w:w="3150" w:type="dxa"/>
                  <w:vAlign w:val="center"/>
                </w:tcPr>
                <w:p w14:paraId="4BBBB738">
                  <w:pPr>
                    <w:jc w:val="center"/>
                    <w:textAlignment w:val="baseline"/>
                    <w:rPr>
                      <w:bCs/>
                      <w:color w:val="auto"/>
                      <w:sz w:val="18"/>
                      <w:szCs w:val="18"/>
                    </w:rPr>
                  </w:pPr>
                  <w:r>
                    <w:rPr>
                      <w:bCs/>
                      <w:color w:val="auto"/>
                      <w:sz w:val="18"/>
                      <w:szCs w:val="18"/>
                    </w:rPr>
                    <w:t>直接向海排放污染物的海洋工程建设项目</w:t>
                  </w:r>
                </w:p>
              </w:tc>
              <w:tc>
                <w:tcPr>
                  <w:tcW w:w="1854" w:type="dxa"/>
                  <w:vAlign w:val="center"/>
                </w:tcPr>
                <w:p w14:paraId="5A4549B3">
                  <w:pPr>
                    <w:jc w:val="center"/>
                    <w:textAlignment w:val="baseline"/>
                    <w:rPr>
                      <w:rFonts w:hint="eastAsia"/>
                      <w:bCs/>
                      <w:color w:val="auto"/>
                      <w:sz w:val="18"/>
                      <w:szCs w:val="18"/>
                    </w:rPr>
                  </w:pPr>
                  <w:r>
                    <w:rPr>
                      <w:rFonts w:hint="eastAsia"/>
                      <w:bCs/>
                      <w:color w:val="auto"/>
                      <w:sz w:val="18"/>
                      <w:szCs w:val="18"/>
                    </w:rPr>
                    <w:t>本项目不属于海洋工程，不涉</w:t>
                  </w:r>
                </w:p>
                <w:p w14:paraId="718B79FB">
                  <w:pPr>
                    <w:jc w:val="center"/>
                    <w:textAlignment w:val="baseline"/>
                    <w:rPr>
                      <w:bCs/>
                      <w:color w:val="auto"/>
                      <w:sz w:val="18"/>
                      <w:szCs w:val="18"/>
                    </w:rPr>
                  </w:pPr>
                  <w:r>
                    <w:rPr>
                      <w:rFonts w:hint="eastAsia"/>
                      <w:bCs/>
                      <w:color w:val="auto"/>
                      <w:sz w:val="18"/>
                      <w:szCs w:val="18"/>
                    </w:rPr>
                    <w:t>及海洋影响</w:t>
                  </w:r>
                </w:p>
              </w:tc>
              <w:tc>
                <w:tcPr>
                  <w:tcW w:w="765" w:type="dxa"/>
                  <w:vAlign w:val="center"/>
                </w:tcPr>
                <w:p w14:paraId="6D0F0F74">
                  <w:pPr>
                    <w:jc w:val="center"/>
                    <w:textAlignment w:val="baseline"/>
                    <w:rPr>
                      <w:bCs/>
                      <w:color w:val="auto"/>
                      <w:sz w:val="18"/>
                      <w:szCs w:val="18"/>
                    </w:rPr>
                  </w:pPr>
                  <w:r>
                    <w:rPr>
                      <w:bCs/>
                      <w:color w:val="auto"/>
                      <w:sz w:val="18"/>
                      <w:szCs w:val="18"/>
                    </w:rPr>
                    <w:t>否</w:t>
                  </w:r>
                </w:p>
              </w:tc>
            </w:tr>
          </w:tbl>
          <w:p w14:paraId="6FDD03B3">
            <w:pPr>
              <w:autoSpaceDE w:val="0"/>
              <w:autoSpaceDN w:val="0"/>
              <w:adjustRightInd w:val="0"/>
              <w:snapToGrid w:val="0"/>
              <w:ind w:firstLine="420" w:firstLineChars="200"/>
              <w:jc w:val="both"/>
              <w:rPr>
                <w:rFonts w:hint="eastAsia" w:eastAsia="宋体"/>
                <w:color w:val="auto"/>
                <w:kern w:val="0"/>
                <w:lang w:eastAsia="zh-CN"/>
              </w:rPr>
            </w:pPr>
            <w:r>
              <w:rPr>
                <w:rFonts w:hint="eastAsia"/>
                <w:color w:val="auto"/>
                <w:kern w:val="0"/>
                <w:lang w:eastAsia="zh-CN"/>
              </w:rPr>
              <w:t>由上表可知，本项目无需设置专项评价。</w:t>
            </w:r>
          </w:p>
        </w:tc>
      </w:tr>
      <w:tr w14:paraId="1A67FB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2" w:hRule="atLeast"/>
          <w:jc w:val="center"/>
        </w:trPr>
        <w:tc>
          <w:tcPr>
            <w:tcW w:w="1964" w:type="dxa"/>
            <w:gridSpan w:val="2"/>
            <w:vAlign w:val="center"/>
          </w:tcPr>
          <w:p w14:paraId="72C0B59F">
            <w:pPr>
              <w:autoSpaceDE w:val="0"/>
              <w:autoSpaceDN w:val="0"/>
              <w:adjustRightInd w:val="0"/>
              <w:snapToGrid w:val="0"/>
              <w:spacing w:line="420" w:lineRule="exact"/>
              <w:jc w:val="center"/>
              <w:rPr>
                <w:color w:val="auto"/>
                <w:kern w:val="0"/>
              </w:rPr>
            </w:pPr>
            <w:r>
              <w:rPr>
                <w:color w:val="auto"/>
              </w:rPr>
              <w:t>规划情况</w:t>
            </w:r>
          </w:p>
        </w:tc>
        <w:tc>
          <w:tcPr>
            <w:tcW w:w="6906" w:type="dxa"/>
            <w:gridSpan w:val="3"/>
            <w:vAlign w:val="center"/>
          </w:tcPr>
          <w:p w14:paraId="01FA6802">
            <w:pPr>
              <w:autoSpaceDE w:val="0"/>
              <w:autoSpaceDN w:val="0"/>
              <w:adjustRightInd w:val="0"/>
              <w:snapToGrid w:val="0"/>
              <w:jc w:val="center"/>
              <w:rPr>
                <w:color w:val="auto"/>
                <w:kern w:val="0"/>
              </w:rPr>
            </w:pPr>
            <w:r>
              <w:rPr>
                <w:rFonts w:hint="eastAsia"/>
                <w:color w:val="auto"/>
                <w:kern w:val="0"/>
                <w:lang w:val="en-US" w:eastAsia="zh-CN"/>
              </w:rPr>
              <w:t>根据2022年2月21日淄川区工业和信息化局出具的《关于认定龙泉镇工业集中区为工业集聚区的批复》川公信发[2022]11号可知，龙泉镇南部工业片区和北部工业片区为工业集聚区，南区范围为东至淄博渭河瓷业有限公司、西至矾场村原方地煤矿，北至圈子村淄博鲁威耐火材料厂，南至原高思仲陶管厂，面积3450亩；北区范围为东至原彩龙建陶厂，西至尚庄村龙泉点场，北至淄博鹏宇祥包装印务有限公司，南至龙一村北（包含龙二村原陶管厂区域），面积1290亩，重点发展日用陶瓷、装备制造、建材产业。</w:t>
            </w:r>
            <w:r>
              <w:rPr>
                <w:rFonts w:hint="eastAsia"/>
                <w:color w:val="auto"/>
                <w:lang w:eastAsia="zh-CN"/>
              </w:rPr>
              <w:t>山东广吉新材料有限公司</w:t>
            </w:r>
            <w:r>
              <w:rPr>
                <w:rFonts w:hint="eastAsia"/>
                <w:color w:val="auto"/>
                <w:lang w:val="en-US" w:eastAsia="zh-CN"/>
              </w:rPr>
              <w:t>位于</w:t>
            </w:r>
            <w:r>
              <w:rPr>
                <w:rFonts w:hint="eastAsia"/>
                <w:color w:val="auto"/>
              </w:rPr>
              <w:t>龙泉镇尚庄村西北200m</w:t>
            </w:r>
            <w:r>
              <w:rPr>
                <w:rFonts w:hint="eastAsia"/>
                <w:color w:val="auto"/>
                <w:lang w:eastAsia="zh-CN"/>
              </w:rPr>
              <w:t>，</w:t>
            </w:r>
            <w:r>
              <w:rPr>
                <w:rFonts w:hint="eastAsia"/>
                <w:color w:val="auto"/>
                <w:lang w:val="en-US" w:eastAsia="zh-CN"/>
              </w:rPr>
              <w:t>属于</w:t>
            </w:r>
            <w:r>
              <w:rPr>
                <w:rFonts w:hint="eastAsia"/>
                <w:color w:val="auto"/>
                <w:kern w:val="0"/>
                <w:lang w:val="en-US" w:eastAsia="zh-CN"/>
              </w:rPr>
              <w:t>北部工业集聚区</w:t>
            </w:r>
          </w:p>
        </w:tc>
      </w:tr>
      <w:tr w14:paraId="016D30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1964" w:type="dxa"/>
            <w:gridSpan w:val="2"/>
            <w:vAlign w:val="center"/>
          </w:tcPr>
          <w:p w14:paraId="664BB4D5">
            <w:pPr>
              <w:adjustRightInd w:val="0"/>
              <w:snapToGrid w:val="0"/>
              <w:spacing w:line="420" w:lineRule="exact"/>
              <w:jc w:val="center"/>
              <w:rPr>
                <w:color w:val="auto"/>
              </w:rPr>
            </w:pPr>
            <w:r>
              <w:rPr>
                <w:color w:val="auto"/>
              </w:rPr>
              <w:t>规划环境影响</w:t>
            </w:r>
          </w:p>
          <w:p w14:paraId="2202A9E3">
            <w:pPr>
              <w:adjustRightInd w:val="0"/>
              <w:snapToGrid w:val="0"/>
              <w:spacing w:line="420" w:lineRule="exact"/>
              <w:jc w:val="center"/>
              <w:rPr>
                <w:color w:val="auto"/>
                <w:kern w:val="0"/>
              </w:rPr>
            </w:pPr>
            <w:r>
              <w:rPr>
                <w:color w:val="auto"/>
              </w:rPr>
              <w:t>评价情况</w:t>
            </w:r>
          </w:p>
        </w:tc>
        <w:tc>
          <w:tcPr>
            <w:tcW w:w="6906" w:type="dxa"/>
            <w:gridSpan w:val="3"/>
            <w:vAlign w:val="center"/>
          </w:tcPr>
          <w:p w14:paraId="46242A97">
            <w:pPr>
              <w:autoSpaceDE w:val="0"/>
              <w:autoSpaceDN w:val="0"/>
              <w:adjustRightInd w:val="0"/>
              <w:snapToGrid w:val="0"/>
              <w:jc w:val="center"/>
              <w:rPr>
                <w:color w:val="auto"/>
                <w:kern w:val="0"/>
              </w:rPr>
            </w:pPr>
            <w:r>
              <w:rPr>
                <w:color w:val="auto"/>
                <w:kern w:val="0"/>
              </w:rPr>
              <w:t>无</w:t>
            </w:r>
          </w:p>
        </w:tc>
      </w:tr>
      <w:tr w14:paraId="65CFA3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9" w:hRule="atLeast"/>
          <w:jc w:val="center"/>
        </w:trPr>
        <w:tc>
          <w:tcPr>
            <w:tcW w:w="1964" w:type="dxa"/>
            <w:gridSpan w:val="2"/>
            <w:vAlign w:val="center"/>
          </w:tcPr>
          <w:p w14:paraId="6B17198E">
            <w:pPr>
              <w:adjustRightInd w:val="0"/>
              <w:snapToGrid w:val="0"/>
              <w:spacing w:line="420" w:lineRule="exact"/>
              <w:jc w:val="center"/>
              <w:rPr>
                <w:color w:val="auto"/>
                <w:kern w:val="0"/>
              </w:rPr>
            </w:pPr>
            <w:r>
              <w:rPr>
                <w:color w:val="auto"/>
                <w:kern w:val="0"/>
              </w:rPr>
              <w:t>规划及规划</w:t>
            </w:r>
            <w:r>
              <w:rPr>
                <w:color w:val="auto"/>
              </w:rPr>
              <w:t>环境</w:t>
            </w:r>
          </w:p>
          <w:p w14:paraId="313C3C5F">
            <w:pPr>
              <w:autoSpaceDE w:val="0"/>
              <w:autoSpaceDN w:val="0"/>
              <w:adjustRightInd w:val="0"/>
              <w:snapToGrid w:val="0"/>
              <w:spacing w:line="420" w:lineRule="exact"/>
              <w:ind w:left="-34" w:leftChars="-16" w:right="-109" w:rightChars="-52"/>
              <w:jc w:val="center"/>
              <w:rPr>
                <w:color w:val="auto"/>
                <w:kern w:val="0"/>
              </w:rPr>
            </w:pPr>
            <w:r>
              <w:rPr>
                <w:color w:val="auto"/>
                <w:kern w:val="0"/>
              </w:rPr>
              <w:t>影响评价符合性分析</w:t>
            </w:r>
          </w:p>
        </w:tc>
        <w:tc>
          <w:tcPr>
            <w:tcW w:w="6906" w:type="dxa"/>
            <w:gridSpan w:val="3"/>
            <w:vAlign w:val="center"/>
          </w:tcPr>
          <w:p w14:paraId="538232C8">
            <w:pPr>
              <w:autoSpaceDE w:val="0"/>
              <w:autoSpaceDN w:val="0"/>
              <w:adjustRightInd w:val="0"/>
              <w:snapToGrid w:val="0"/>
              <w:jc w:val="center"/>
              <w:rPr>
                <w:color w:val="auto"/>
              </w:rPr>
            </w:pPr>
            <w:r>
              <w:rPr>
                <w:color w:val="auto"/>
                <w:kern w:val="0"/>
              </w:rPr>
              <w:t>无</w:t>
            </w:r>
          </w:p>
        </w:tc>
      </w:tr>
      <w:tr w14:paraId="61C836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492" w:type="dxa"/>
            <w:vAlign w:val="center"/>
          </w:tcPr>
          <w:p w14:paraId="4B35AAB2">
            <w:pPr>
              <w:autoSpaceDE w:val="0"/>
              <w:autoSpaceDN w:val="0"/>
              <w:adjustRightInd w:val="0"/>
              <w:snapToGrid w:val="0"/>
              <w:spacing w:line="420" w:lineRule="exact"/>
              <w:jc w:val="center"/>
              <w:rPr>
                <w:color w:val="auto"/>
                <w:kern w:val="0"/>
              </w:rPr>
            </w:pPr>
            <w:r>
              <w:rPr>
                <w:color w:val="auto"/>
                <w:kern w:val="0"/>
              </w:rPr>
              <w:t>其他符合性分析</w:t>
            </w:r>
          </w:p>
        </w:tc>
        <w:tc>
          <w:tcPr>
            <w:tcW w:w="8378" w:type="dxa"/>
            <w:gridSpan w:val="4"/>
            <w:vAlign w:val="center"/>
          </w:tcPr>
          <w:p w14:paraId="73A30059">
            <w:pPr>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eastAsia" w:eastAsia="宋体"/>
                <w:b/>
                <w:color w:val="auto"/>
                <w:highlight w:val="none"/>
                <w:lang w:val="en-US" w:eastAsia="zh-CN"/>
              </w:rPr>
            </w:pPr>
            <w:r>
              <w:rPr>
                <w:rFonts w:hint="eastAsia"/>
                <w:b/>
                <w:color w:val="auto"/>
                <w:highlight w:val="none"/>
                <w:lang w:val="en-US" w:eastAsia="zh-CN"/>
              </w:rPr>
              <w:t>一、产业政策符合性</w:t>
            </w:r>
          </w:p>
          <w:p w14:paraId="6348D4B1">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eastAsia"/>
                <w:bCs/>
                <w:color w:val="auto"/>
                <w:highlight w:val="none"/>
                <w:lang w:val="en-US" w:eastAsia="zh-CN"/>
              </w:rPr>
            </w:pPr>
            <w:r>
              <w:rPr>
                <w:rFonts w:hint="eastAsia"/>
                <w:bCs/>
                <w:color w:val="auto"/>
                <w:highlight w:val="none"/>
                <w:lang w:val="en-US" w:eastAsia="zh-CN"/>
              </w:rPr>
              <w:t>本项目为</w:t>
            </w:r>
            <w:r>
              <w:rPr>
                <w:rFonts w:hint="eastAsia"/>
                <w:bCs/>
                <w:color w:val="auto"/>
                <w:highlight w:val="none"/>
                <w:lang w:eastAsia="zh-CN"/>
              </w:rPr>
              <w:t>山东广吉新材料有限公司氧氯化锆提纯项目</w:t>
            </w:r>
            <w:r>
              <w:rPr>
                <w:rFonts w:hint="eastAsia"/>
                <w:bCs/>
                <w:color w:val="auto"/>
                <w:highlight w:val="none"/>
                <w:lang w:val="en-US" w:eastAsia="zh-CN"/>
              </w:rPr>
              <w:t>，属于</w:t>
            </w:r>
            <w:r>
              <w:rPr>
                <w:rFonts w:hint="eastAsia"/>
                <w:bCs/>
                <w:color w:val="auto"/>
                <w:highlight w:val="none"/>
                <w:lang w:eastAsia="zh-CN"/>
              </w:rPr>
              <w:t>C2613无机盐制造</w:t>
            </w:r>
            <w:r>
              <w:rPr>
                <w:rFonts w:hint="eastAsia"/>
                <w:bCs/>
                <w:color w:val="auto"/>
                <w:highlight w:val="none"/>
                <w:lang w:val="en-US" w:eastAsia="zh-CN"/>
              </w:rPr>
              <w:t>，</w:t>
            </w:r>
            <w:r>
              <w:rPr>
                <w:rFonts w:hint="default"/>
                <w:bCs/>
                <w:color w:val="auto"/>
                <w:highlight w:val="none"/>
              </w:rPr>
              <w:t>项目的规模、</w:t>
            </w:r>
            <w:r>
              <w:rPr>
                <w:rFonts w:hint="default"/>
                <w:bCs/>
                <w:color w:val="auto"/>
                <w:highlight w:val="none"/>
                <w:lang w:val="en-US" w:eastAsia="zh-CN"/>
              </w:rPr>
              <w:t>产品、工艺以及采用的生产设备均不属于《产业结构调整指导目录（2024年本）》中的限制类和淘汰类项目</w:t>
            </w:r>
            <w:r>
              <w:rPr>
                <w:rFonts w:hint="eastAsia"/>
                <w:bCs/>
                <w:color w:val="auto"/>
                <w:highlight w:val="none"/>
                <w:lang w:val="en-US" w:eastAsia="zh-CN"/>
              </w:rPr>
              <w:t xml:space="preserve">，属于允许类项目，项目已完成备案，项目代码：2604-370302-89-01-972775，项目建设符合国家产业政策。 </w:t>
            </w:r>
          </w:p>
          <w:p w14:paraId="4CF3A8CF">
            <w:pPr>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eastAsia"/>
                <w:b/>
                <w:color w:val="auto"/>
                <w:highlight w:val="none"/>
                <w:lang w:val="en-US" w:eastAsia="zh-CN"/>
              </w:rPr>
            </w:pPr>
            <w:r>
              <w:rPr>
                <w:rFonts w:hint="eastAsia"/>
                <w:b/>
                <w:color w:val="auto"/>
                <w:highlight w:val="none"/>
                <w:lang w:val="en-US" w:eastAsia="zh-CN"/>
              </w:rPr>
              <w:t xml:space="preserve">二、规划及土地政策符合性 </w:t>
            </w:r>
          </w:p>
          <w:p w14:paraId="44A04B83">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eastAsia"/>
                <w:bCs/>
                <w:color w:val="auto"/>
                <w:highlight w:val="none"/>
                <w:lang w:val="en-US" w:eastAsia="zh-CN"/>
              </w:rPr>
            </w:pPr>
            <w:r>
              <w:rPr>
                <w:rFonts w:hint="eastAsia"/>
                <w:bCs/>
                <w:color w:val="auto"/>
                <w:highlight w:val="none"/>
                <w:lang w:val="en-US" w:eastAsia="zh-CN"/>
              </w:rPr>
              <w:t>本项目位于淄博市淄川区龙泉镇尚庄村西北200米，根据附图6淄博市国土空间总体规划（2021-2035年）-市域国土空间控制线规划图可知，本项目位于城镇开发边界之内，根据附图7《龙泉镇国土空间控制总体规划图（2021-2035）》，本项目现状用地属于工业用地，符合乡镇规划要求，如因后期相关规划调整，项目需无条件按最新规划调整内容执行。</w:t>
            </w:r>
          </w:p>
          <w:p w14:paraId="65B756AA">
            <w:pPr>
              <w:adjustRightInd w:val="0"/>
              <w:snapToGrid w:val="0"/>
              <w:spacing w:line="360" w:lineRule="auto"/>
              <w:ind w:firstLine="420" w:firstLineChars="200"/>
              <w:rPr>
                <w:color w:val="auto"/>
              </w:rPr>
            </w:pPr>
            <w:r>
              <w:rPr>
                <w:rFonts w:hint="default" w:ascii="Times New Roman" w:hAnsi="Times New Roman" w:cs="Times New Roman"/>
                <w:color w:val="auto"/>
                <w:highlight w:val="none"/>
              </w:rPr>
              <w:t>本项目用地不属于</w:t>
            </w:r>
            <w:r>
              <w:rPr>
                <w:rFonts w:hint="eastAsia" w:cs="Times New Roman"/>
                <w:color w:val="auto"/>
                <w:highlight w:val="none"/>
                <w:lang w:eastAsia="zh-CN"/>
              </w:rPr>
              <w:t>《自然资源要素支撑产业高质量发展指导目录（2024年本）》</w:t>
            </w:r>
            <w:r>
              <w:rPr>
                <w:rFonts w:hint="default" w:ascii="Times New Roman" w:hAnsi="Times New Roman" w:cs="Times New Roman"/>
                <w:color w:val="auto"/>
                <w:highlight w:val="none"/>
              </w:rPr>
              <w:t>（自然资发〔2024〕273号）中相应用地，不属于《</w:t>
            </w:r>
            <w:r>
              <w:rPr>
                <w:rFonts w:hint="default" w:ascii="Times New Roman" w:hAnsi="Times New Roman" w:eastAsia="宋体" w:cs="Times New Roman"/>
                <w:color w:val="auto"/>
              </w:rPr>
              <w:t>山东省禁止限制供地项目目录及建设用地集约利用控制标准》中山东省禁止、限制供地项目用地</w:t>
            </w:r>
            <w:r>
              <w:rPr>
                <w:rFonts w:hint="eastAsia" w:ascii="Times New Roman" w:hAnsi="Times New Roman" w:eastAsia="宋体" w:cs="Times New Roman"/>
                <w:color w:val="auto"/>
                <w:lang w:eastAsia="zh-CN"/>
              </w:rPr>
              <w:t>，</w:t>
            </w:r>
            <w:r>
              <w:rPr>
                <w:rFonts w:hint="eastAsia" w:ascii="Times New Roman" w:hAnsi="Times New Roman" w:eastAsia="宋体" w:cs="Times New Roman"/>
                <w:color w:val="auto"/>
                <w:lang w:val="en-US" w:eastAsia="zh-CN"/>
              </w:rPr>
              <w:t>选址符合要求</w:t>
            </w:r>
            <w:r>
              <w:rPr>
                <w:color w:val="auto"/>
                <w:kern w:val="0"/>
              </w:rPr>
              <w:t>。</w:t>
            </w:r>
          </w:p>
          <w:p w14:paraId="6FB75EA7">
            <w:pPr>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b/>
                <w:color w:val="auto"/>
                <w:highlight w:val="none"/>
              </w:rPr>
            </w:pPr>
            <w:r>
              <w:rPr>
                <w:rFonts w:hint="eastAsia"/>
                <w:b/>
                <w:color w:val="auto"/>
                <w:highlight w:val="none"/>
                <w:lang w:val="en-US" w:eastAsia="zh-CN"/>
              </w:rPr>
              <w:t>三</w:t>
            </w:r>
            <w:r>
              <w:rPr>
                <w:b/>
                <w:color w:val="auto"/>
                <w:highlight w:val="none"/>
              </w:rPr>
              <w:t>、</w:t>
            </w:r>
            <w:r>
              <w:rPr>
                <w:rFonts w:hint="eastAsia"/>
                <w:b/>
                <w:color w:val="auto"/>
                <w:highlight w:val="none"/>
              </w:rPr>
              <w:t>“生态环境分区管控”</w:t>
            </w:r>
            <w:r>
              <w:rPr>
                <w:rFonts w:hint="default"/>
                <w:b/>
                <w:color w:val="auto"/>
                <w:highlight w:val="none"/>
              </w:rPr>
              <w:t>符合性分析</w:t>
            </w:r>
          </w:p>
          <w:p w14:paraId="063A29A7">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bCs/>
                <w:color w:val="auto"/>
                <w:highlight w:val="none"/>
              </w:rPr>
            </w:pPr>
            <w:r>
              <w:rPr>
                <w:rFonts w:hint="eastAsia" w:ascii="Times New Roman" w:hAnsi="Times New Roman" w:cs="Times New Roman"/>
                <w:color w:val="auto"/>
                <w:highlight w:val="none"/>
                <w:lang w:eastAsia="zh-CN"/>
              </w:rPr>
              <w:t>根据</w:t>
            </w:r>
            <w:r>
              <w:rPr>
                <w:rFonts w:hint="eastAsia"/>
                <w:bCs/>
                <w:color w:val="auto"/>
                <w:highlight w:val="none"/>
              </w:rPr>
              <w:t>淄博市生态环境委员会</w:t>
            </w:r>
            <w:r>
              <w:rPr>
                <w:rFonts w:hint="eastAsia"/>
                <w:bCs/>
                <w:color w:val="auto"/>
                <w:highlight w:val="none"/>
                <w:lang w:eastAsia="zh-CN"/>
              </w:rPr>
              <w:t>办公室</w:t>
            </w:r>
            <w:r>
              <w:rPr>
                <w:rFonts w:hint="eastAsia"/>
                <w:bCs/>
                <w:color w:val="auto"/>
                <w:highlight w:val="none"/>
              </w:rPr>
              <w:t>于2024年4月18日发布的《关于印发&lt;淄博市2023年生态环境分区管控成果动态更新项目生态环境准入清单&gt;的通知》</w:t>
            </w:r>
            <w:r>
              <w:rPr>
                <w:rFonts w:hint="default" w:ascii="Times New Roman" w:hAnsi="Times New Roman" w:cs="Times New Roman"/>
                <w:color w:val="auto"/>
                <w:kern w:val="0"/>
                <w:szCs w:val="21"/>
                <w:highlight w:val="none"/>
                <w:lang w:val="zh-CN"/>
              </w:rPr>
              <w:t>，本项目位于</w:t>
            </w:r>
            <w:r>
              <w:rPr>
                <w:rFonts w:hint="default" w:ascii="Times New Roman" w:hAnsi="Times New Roman" w:cs="Times New Roman"/>
                <w:color w:val="auto"/>
                <w:kern w:val="0"/>
                <w:szCs w:val="21"/>
                <w:highlight w:val="none"/>
                <w:lang w:val="en-US" w:eastAsia="zh-CN"/>
              </w:rPr>
              <w:t>淄川区</w:t>
            </w:r>
            <w:r>
              <w:rPr>
                <w:rFonts w:hint="eastAsia" w:cs="Times New Roman"/>
                <w:color w:val="auto"/>
                <w:kern w:val="0"/>
                <w:szCs w:val="21"/>
                <w:highlight w:val="none"/>
                <w:lang w:val="en-US" w:eastAsia="zh-CN"/>
              </w:rPr>
              <w:t>龙泉镇</w:t>
            </w:r>
            <w:r>
              <w:rPr>
                <w:rFonts w:hint="default" w:ascii="Times New Roman" w:hAnsi="Times New Roman" w:cs="Times New Roman"/>
                <w:color w:val="auto"/>
                <w:kern w:val="0"/>
                <w:szCs w:val="21"/>
                <w:highlight w:val="none"/>
                <w:lang w:val="zh-CN"/>
              </w:rPr>
              <w:t>，管控单元名称</w:t>
            </w:r>
            <w:r>
              <w:rPr>
                <w:rFonts w:hint="default" w:ascii="Times New Roman" w:hAnsi="Times New Roman" w:cs="Times New Roman"/>
                <w:color w:val="auto"/>
                <w:kern w:val="0"/>
                <w:szCs w:val="21"/>
                <w:highlight w:val="none"/>
              </w:rPr>
              <w:t>为</w:t>
            </w:r>
            <w:r>
              <w:rPr>
                <w:rFonts w:hint="eastAsia" w:cs="Times New Roman"/>
                <w:color w:val="auto"/>
                <w:kern w:val="0"/>
                <w:szCs w:val="21"/>
                <w:highlight w:val="none"/>
                <w:lang w:val="en-US" w:eastAsia="zh-CN"/>
              </w:rPr>
              <w:t>龙泉镇</w:t>
            </w:r>
            <w:r>
              <w:rPr>
                <w:rFonts w:hint="default" w:ascii="Times New Roman" w:hAnsi="Times New Roman" w:cs="Times New Roman"/>
                <w:color w:val="auto"/>
                <w:kern w:val="0"/>
                <w:szCs w:val="21"/>
                <w:highlight w:val="none"/>
                <w:lang w:val="zh-CN"/>
              </w:rPr>
              <w:t>，管控单元编码ZH37030230005，为</w:t>
            </w:r>
            <w:r>
              <w:rPr>
                <w:rFonts w:hint="default" w:ascii="Times New Roman" w:hAnsi="Times New Roman" w:cs="Times New Roman"/>
                <w:color w:val="auto"/>
                <w:kern w:val="0"/>
                <w:szCs w:val="21"/>
                <w:highlight w:val="none"/>
                <w:lang w:val="zh-CN" w:eastAsia="zh-CN"/>
              </w:rPr>
              <w:t>一般管控单元</w:t>
            </w:r>
            <w:r>
              <w:rPr>
                <w:rFonts w:hint="default" w:ascii="Times New Roman" w:hAnsi="Times New Roman" w:cs="Times New Roman"/>
                <w:color w:val="auto"/>
                <w:kern w:val="0"/>
                <w:szCs w:val="21"/>
                <w:highlight w:val="none"/>
                <w:lang w:val="zh-CN"/>
              </w:rPr>
              <w:t>，</w:t>
            </w:r>
            <w:r>
              <w:rPr>
                <w:rFonts w:hint="default" w:ascii="Times New Roman" w:hAnsi="Times New Roman" w:cs="Times New Roman"/>
                <w:color w:val="auto"/>
                <w:highlight w:val="none"/>
              </w:rPr>
              <w:t>与淄博市环境管控单元位置关系见附图</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kern w:val="0"/>
                <w:szCs w:val="21"/>
                <w:highlight w:val="none"/>
              </w:rPr>
              <w:t>。本项目与该</w:t>
            </w:r>
            <w:r>
              <w:rPr>
                <w:rFonts w:hint="default" w:ascii="Times New Roman" w:hAnsi="Times New Roman" w:cs="Times New Roman"/>
                <w:color w:val="auto"/>
                <w:kern w:val="0"/>
                <w:szCs w:val="21"/>
                <w:highlight w:val="none"/>
                <w:lang w:val="zh-CN"/>
              </w:rPr>
              <w:t>管控区生态环境准入要求的符合性分析结果见表</w:t>
            </w:r>
            <w:r>
              <w:rPr>
                <w:rFonts w:hint="default" w:ascii="Times New Roman" w:hAnsi="Times New Roman" w:cs="Times New Roman"/>
                <w:color w:val="auto"/>
                <w:highlight w:val="none"/>
              </w:rPr>
              <w:t>1-</w:t>
            </w:r>
            <w:r>
              <w:rPr>
                <w:rFonts w:hint="eastAsia" w:cs="Times New Roman"/>
                <w:color w:val="auto"/>
                <w:highlight w:val="none"/>
                <w:lang w:val="en-US" w:eastAsia="zh-CN"/>
              </w:rPr>
              <w:t>2</w:t>
            </w:r>
            <w:r>
              <w:rPr>
                <w:bCs/>
                <w:color w:val="auto"/>
                <w:highlight w:val="none"/>
              </w:rPr>
              <w:t>：</w:t>
            </w:r>
          </w:p>
          <w:p w14:paraId="3A851268">
            <w:pPr>
              <w:keepNext w:val="0"/>
              <w:keepLines w:val="0"/>
              <w:pageBreakBefore w:val="0"/>
              <w:widowControl w:val="0"/>
              <w:kinsoku/>
              <w:wordWrap/>
              <w:overflowPunct/>
              <w:topLinePunct w:val="0"/>
              <w:bidi w:val="0"/>
              <w:adjustRightInd w:val="0"/>
              <w:snapToGrid w:val="0"/>
              <w:spacing w:line="360" w:lineRule="auto"/>
              <w:jc w:val="center"/>
              <w:textAlignment w:val="auto"/>
              <w:rPr>
                <w:b/>
                <w:bCs/>
                <w:color w:val="auto"/>
                <w:szCs w:val="24"/>
                <w:highlight w:val="none"/>
              </w:rPr>
            </w:pPr>
            <w:r>
              <w:rPr>
                <w:b/>
                <w:bCs/>
                <w:color w:val="auto"/>
                <w:szCs w:val="24"/>
                <w:highlight w:val="none"/>
              </w:rPr>
              <w:t>表1-</w:t>
            </w:r>
            <w:r>
              <w:rPr>
                <w:rFonts w:hint="eastAsia"/>
                <w:b/>
                <w:bCs/>
                <w:color w:val="auto"/>
                <w:szCs w:val="24"/>
                <w:highlight w:val="none"/>
                <w:lang w:val="en-US" w:eastAsia="zh-CN"/>
              </w:rPr>
              <w:t>2</w:t>
            </w:r>
            <w:r>
              <w:rPr>
                <w:b/>
                <w:bCs/>
                <w:color w:val="auto"/>
                <w:szCs w:val="24"/>
                <w:highlight w:val="none"/>
              </w:rPr>
              <w:t xml:space="preserve"> 生态环境准入清单要求</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6"/>
              <w:gridCol w:w="4471"/>
              <w:gridCol w:w="2995"/>
            </w:tblGrid>
            <w:tr w14:paraId="3B27E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6" w:type="dxa"/>
                  <w:vAlign w:val="center"/>
                </w:tcPr>
                <w:p w14:paraId="3903ADC9">
                  <w:pPr>
                    <w:pStyle w:val="82"/>
                    <w:keepNext w:val="0"/>
                    <w:keepLines w:val="0"/>
                    <w:pageBreakBefore w:val="0"/>
                    <w:widowControl w:val="0"/>
                    <w:wordWrap/>
                    <w:topLinePunct w:val="0"/>
                    <w:bidi w:val="0"/>
                    <w:adjustRightInd w:val="0"/>
                    <w:snapToGrid w:val="0"/>
                    <w:spacing w:after="0"/>
                    <w:ind w:left="0" w:leftChars="0" w:firstLine="0" w:firstLineChars="0"/>
                    <w:jc w:val="center"/>
                    <w:textAlignment w:val="auto"/>
                    <w:rPr>
                      <w:b/>
                      <w:bCs/>
                      <w:color w:val="auto"/>
                      <w:sz w:val="18"/>
                      <w:szCs w:val="21"/>
                      <w:highlight w:val="none"/>
                    </w:rPr>
                  </w:pPr>
                  <w:r>
                    <w:rPr>
                      <w:b/>
                      <w:bCs/>
                      <w:color w:val="auto"/>
                      <w:sz w:val="18"/>
                      <w:szCs w:val="21"/>
                      <w:highlight w:val="none"/>
                    </w:rPr>
                    <w:t>分类</w:t>
                  </w:r>
                </w:p>
              </w:tc>
              <w:tc>
                <w:tcPr>
                  <w:tcW w:w="4471" w:type="dxa"/>
                  <w:vAlign w:val="center"/>
                </w:tcPr>
                <w:p w14:paraId="052C1E67">
                  <w:pPr>
                    <w:pStyle w:val="82"/>
                    <w:keepNext w:val="0"/>
                    <w:keepLines w:val="0"/>
                    <w:pageBreakBefore w:val="0"/>
                    <w:widowControl w:val="0"/>
                    <w:wordWrap/>
                    <w:topLinePunct w:val="0"/>
                    <w:bidi w:val="0"/>
                    <w:adjustRightInd w:val="0"/>
                    <w:snapToGrid w:val="0"/>
                    <w:spacing w:after="0"/>
                    <w:ind w:left="0" w:leftChars="0" w:firstLine="0" w:firstLineChars="0"/>
                    <w:jc w:val="center"/>
                    <w:textAlignment w:val="auto"/>
                    <w:rPr>
                      <w:b/>
                      <w:bCs/>
                      <w:color w:val="auto"/>
                      <w:sz w:val="18"/>
                      <w:szCs w:val="21"/>
                      <w:highlight w:val="none"/>
                    </w:rPr>
                  </w:pPr>
                  <w:r>
                    <w:rPr>
                      <w:b/>
                      <w:bCs/>
                      <w:color w:val="auto"/>
                      <w:sz w:val="18"/>
                      <w:szCs w:val="21"/>
                      <w:highlight w:val="none"/>
                    </w:rPr>
                    <w:t>要求</w:t>
                  </w:r>
                </w:p>
              </w:tc>
              <w:tc>
                <w:tcPr>
                  <w:tcW w:w="2995" w:type="dxa"/>
                  <w:vAlign w:val="center"/>
                </w:tcPr>
                <w:p w14:paraId="3D0B0AA6">
                  <w:pPr>
                    <w:pStyle w:val="82"/>
                    <w:keepNext w:val="0"/>
                    <w:keepLines w:val="0"/>
                    <w:pageBreakBefore w:val="0"/>
                    <w:widowControl w:val="0"/>
                    <w:wordWrap/>
                    <w:topLinePunct w:val="0"/>
                    <w:bidi w:val="0"/>
                    <w:adjustRightInd w:val="0"/>
                    <w:snapToGrid w:val="0"/>
                    <w:spacing w:after="0"/>
                    <w:ind w:left="0" w:leftChars="0" w:firstLine="0" w:firstLineChars="0"/>
                    <w:jc w:val="center"/>
                    <w:textAlignment w:val="auto"/>
                    <w:rPr>
                      <w:b/>
                      <w:bCs/>
                      <w:color w:val="auto"/>
                      <w:sz w:val="18"/>
                      <w:szCs w:val="21"/>
                      <w:highlight w:val="none"/>
                    </w:rPr>
                  </w:pPr>
                  <w:r>
                    <w:rPr>
                      <w:b/>
                      <w:bCs/>
                      <w:color w:val="auto"/>
                      <w:sz w:val="18"/>
                      <w:szCs w:val="21"/>
                      <w:highlight w:val="none"/>
                    </w:rPr>
                    <w:t>符合性分析</w:t>
                  </w:r>
                </w:p>
              </w:tc>
            </w:tr>
            <w:tr w14:paraId="27439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6" w:type="dxa"/>
                  <w:vAlign w:val="center"/>
                </w:tcPr>
                <w:p w14:paraId="236EAC18">
                  <w:pPr>
                    <w:pStyle w:val="82"/>
                    <w:keepNext w:val="0"/>
                    <w:keepLines w:val="0"/>
                    <w:pageBreakBefore w:val="0"/>
                    <w:widowControl w:val="0"/>
                    <w:wordWrap/>
                    <w:topLinePunct w:val="0"/>
                    <w:bidi w:val="0"/>
                    <w:spacing w:after="0"/>
                    <w:ind w:left="0" w:leftChars="0" w:firstLine="0" w:firstLineChars="0"/>
                    <w:jc w:val="center"/>
                    <w:textAlignment w:val="auto"/>
                    <w:rPr>
                      <w:color w:val="auto"/>
                      <w:sz w:val="18"/>
                      <w:szCs w:val="18"/>
                      <w:highlight w:val="none"/>
                    </w:rPr>
                  </w:pPr>
                  <w:r>
                    <w:rPr>
                      <w:color w:val="auto"/>
                      <w:sz w:val="18"/>
                      <w:szCs w:val="18"/>
                      <w:highlight w:val="none"/>
                    </w:rPr>
                    <w:t>空间布局约束</w:t>
                  </w:r>
                </w:p>
              </w:tc>
              <w:tc>
                <w:tcPr>
                  <w:tcW w:w="4471" w:type="dxa"/>
                  <w:shd w:val="clear" w:color="auto" w:fill="auto"/>
                  <w:vAlign w:val="center"/>
                </w:tcPr>
                <w:p w14:paraId="1C83F2CB">
                  <w:pPr>
                    <w:pStyle w:val="82"/>
                    <w:adjustRightInd w:val="0"/>
                    <w:snapToGrid w:val="0"/>
                    <w:spacing w:after="0"/>
                    <w:ind w:left="0" w:leftChars="0" w:firstLine="0" w:firstLineChars="0"/>
                    <w:rPr>
                      <w:color w:val="auto"/>
                      <w:sz w:val="18"/>
                      <w:szCs w:val="21"/>
                      <w:highlight w:val="none"/>
                    </w:rPr>
                  </w:pPr>
                  <w:r>
                    <w:rPr>
                      <w:color w:val="auto"/>
                      <w:sz w:val="18"/>
                      <w:szCs w:val="21"/>
                      <w:highlight w:val="none"/>
                    </w:rPr>
                    <w:t>1.禁止新建、扩建《产业结构调整指导目录》（现行）明确的淘汰类项目和引入《市场准入负面清单》（现行）禁止准入类事项；鼓励对列入《产业结构调整指导目录》的限制类、淘汰类工业项目进行淘汰和提升改造。</w:t>
                  </w:r>
                  <w:r>
                    <w:rPr>
                      <w:color w:val="auto"/>
                      <w:sz w:val="18"/>
                      <w:szCs w:val="21"/>
                      <w:highlight w:val="none"/>
                    </w:rPr>
                    <w:br w:type="textWrapping"/>
                  </w:r>
                  <w:r>
                    <w:rPr>
                      <w:color w:val="auto"/>
                      <w:sz w:val="18"/>
                      <w:szCs w:val="21"/>
                      <w:highlight w:val="none"/>
                    </w:rPr>
                    <w:t>2.按照省市要求，严格控制“两高”项目，新建“两高”项目实行“五个减量替代”。</w:t>
                  </w:r>
                </w:p>
                <w:p w14:paraId="0D2E8A56">
                  <w:pPr>
                    <w:pStyle w:val="82"/>
                    <w:adjustRightInd w:val="0"/>
                    <w:snapToGrid w:val="0"/>
                    <w:spacing w:after="0"/>
                    <w:ind w:left="0" w:leftChars="0" w:firstLine="0" w:firstLineChars="0"/>
                    <w:rPr>
                      <w:rFonts w:ascii="Times New Roman" w:hAnsi="Times New Roman" w:eastAsia="宋体" w:cs="Times New Roman"/>
                      <w:color w:val="auto"/>
                      <w:kern w:val="0"/>
                      <w:sz w:val="18"/>
                      <w:szCs w:val="21"/>
                      <w:highlight w:val="none"/>
                      <w:lang w:val="en-US" w:eastAsia="zh-CN" w:bidi="ar-SA"/>
                    </w:rPr>
                  </w:pPr>
                  <w:r>
                    <w:rPr>
                      <w:color w:val="auto"/>
                      <w:sz w:val="18"/>
                      <w:szCs w:val="21"/>
                      <w:highlight w:val="none"/>
                    </w:rPr>
                    <w:t>3.生态保护红线外的生态空间，依法依规以保护为主，严格限制大规模、高强度的区域开发，并根据其主导生态功能进行分类管控。</w:t>
                  </w:r>
                  <w:r>
                    <w:rPr>
                      <w:color w:val="auto"/>
                      <w:sz w:val="18"/>
                      <w:szCs w:val="21"/>
                      <w:highlight w:val="none"/>
                    </w:rPr>
                    <w:br w:type="textWrapping"/>
                  </w:r>
                  <w:r>
                    <w:rPr>
                      <w:color w:val="auto"/>
                      <w:sz w:val="18"/>
                      <w:szCs w:val="21"/>
                      <w:highlight w:val="none"/>
                    </w:rPr>
                    <w:t>4.按《土壤污染防治行动计划》的要求管理：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r>
                    <w:rPr>
                      <w:color w:val="auto"/>
                      <w:sz w:val="18"/>
                      <w:szCs w:val="21"/>
                      <w:highlight w:val="none"/>
                    </w:rPr>
                    <w:br w:type="textWrapping"/>
                  </w:r>
                  <w:r>
                    <w:rPr>
                      <w:color w:val="auto"/>
                      <w:sz w:val="18"/>
                      <w:szCs w:val="21"/>
                      <w:highlight w:val="none"/>
                    </w:rPr>
                    <w:t>5.污水处理设施不健全、未正常运行或污水管网未覆盖的地区，未配套污水处理设施的项目不得建设。</w:t>
                  </w:r>
                  <w:r>
                    <w:rPr>
                      <w:color w:val="auto"/>
                      <w:sz w:val="18"/>
                      <w:szCs w:val="21"/>
                      <w:highlight w:val="none"/>
                    </w:rPr>
                    <w:br w:type="textWrapping"/>
                  </w:r>
                  <w:r>
                    <w:rPr>
                      <w:color w:val="auto"/>
                      <w:sz w:val="18"/>
                      <w:szCs w:val="21"/>
                      <w:highlight w:val="none"/>
                    </w:rPr>
                    <w:t>6.新建有污染物排放的工业项目，除在安全生产等方面有特殊要求的以外，应当进入工业园区或工业聚集区。</w:t>
                  </w:r>
                </w:p>
              </w:tc>
              <w:tc>
                <w:tcPr>
                  <w:tcW w:w="2995" w:type="dxa"/>
                  <w:vAlign w:val="center"/>
                </w:tcPr>
                <w:p w14:paraId="03103072">
                  <w:pPr>
                    <w:pStyle w:val="82"/>
                    <w:keepNext w:val="0"/>
                    <w:keepLines w:val="0"/>
                    <w:pageBreakBefore w:val="0"/>
                    <w:widowControl w:val="0"/>
                    <w:wordWrap/>
                    <w:topLinePunct w:val="0"/>
                    <w:bidi w:val="0"/>
                    <w:spacing w:after="0"/>
                    <w:ind w:left="0" w:leftChars="0" w:firstLine="0" w:firstLineChars="0"/>
                    <w:textAlignment w:val="auto"/>
                    <w:rPr>
                      <w:rFonts w:hint="eastAsia"/>
                      <w:color w:val="auto"/>
                      <w:sz w:val="18"/>
                      <w:szCs w:val="18"/>
                      <w:highlight w:val="none"/>
                      <w:lang w:eastAsia="zh-CN"/>
                    </w:rPr>
                  </w:pPr>
                  <w:r>
                    <w:rPr>
                      <w:color w:val="auto"/>
                      <w:sz w:val="18"/>
                      <w:szCs w:val="18"/>
                      <w:highlight w:val="none"/>
                    </w:rPr>
                    <w:t>1.</w:t>
                  </w:r>
                  <w:r>
                    <w:rPr>
                      <w:rFonts w:hint="default" w:ascii="Times New Roman" w:hAnsi="Times New Roman" w:cs="Times New Roman" w:eastAsiaTheme="minorEastAsia"/>
                      <w:color w:val="auto"/>
                      <w:sz w:val="18"/>
                      <w:szCs w:val="18"/>
                      <w:highlight w:val="none"/>
                      <w:lang w:val="zh-CN"/>
                    </w:rPr>
                    <w:t>本项目不属于《产业结构调整指导目录（2024年本）》中的限制类和淘汰类项目，符合国家产业政策，</w:t>
                  </w:r>
                  <w:r>
                    <w:rPr>
                      <w:rFonts w:hint="default" w:ascii="Times New Roman" w:hAnsi="Times New Roman" w:cs="Times New Roman" w:eastAsiaTheme="minorEastAsia"/>
                      <w:color w:val="auto"/>
                      <w:sz w:val="18"/>
                      <w:szCs w:val="18"/>
                      <w:highlight w:val="none"/>
                    </w:rPr>
                    <w:t>为允许类项目</w:t>
                  </w:r>
                  <w:r>
                    <w:rPr>
                      <w:rFonts w:hint="eastAsia"/>
                      <w:color w:val="auto"/>
                      <w:sz w:val="18"/>
                      <w:szCs w:val="18"/>
                      <w:highlight w:val="none"/>
                      <w:lang w:eastAsia="zh-CN"/>
                    </w:rPr>
                    <w:t>。</w:t>
                  </w:r>
                </w:p>
                <w:p w14:paraId="1E95D4CA">
                  <w:pPr>
                    <w:keepNext w:val="0"/>
                    <w:keepLines w:val="0"/>
                    <w:pageBreakBefore w:val="0"/>
                    <w:widowControl w:val="0"/>
                    <w:wordWrap/>
                    <w:topLinePunct w:val="0"/>
                    <w:bidi w:val="0"/>
                    <w:ind w:left="0" w:leftChars="0"/>
                    <w:textAlignment w:val="auto"/>
                    <w:rPr>
                      <w:color w:val="auto"/>
                      <w:sz w:val="18"/>
                      <w:szCs w:val="18"/>
                      <w:highlight w:val="none"/>
                    </w:rPr>
                  </w:pPr>
                  <w:r>
                    <w:rPr>
                      <w:color w:val="auto"/>
                      <w:sz w:val="18"/>
                      <w:szCs w:val="18"/>
                      <w:highlight w:val="none"/>
                    </w:rPr>
                    <w:t>2.本项目属于</w:t>
                  </w:r>
                  <w:r>
                    <w:rPr>
                      <w:rFonts w:hint="eastAsia"/>
                      <w:color w:val="auto"/>
                      <w:sz w:val="18"/>
                      <w:szCs w:val="18"/>
                      <w:highlight w:val="none"/>
                      <w:lang w:eastAsia="zh-CN"/>
                    </w:rPr>
                    <w:t>C2613无机盐制造</w:t>
                  </w:r>
                  <w:r>
                    <w:rPr>
                      <w:color w:val="auto"/>
                      <w:sz w:val="18"/>
                      <w:szCs w:val="18"/>
                      <w:highlight w:val="none"/>
                    </w:rPr>
                    <w:t>，不属于</w:t>
                  </w:r>
                  <w:r>
                    <w:rPr>
                      <w:rFonts w:hint="eastAsia"/>
                      <w:color w:val="auto"/>
                      <w:sz w:val="18"/>
                      <w:szCs w:val="18"/>
                      <w:highlight w:val="none"/>
                      <w:lang w:eastAsia="zh-CN"/>
                    </w:rPr>
                    <w:t>两高</w:t>
                  </w:r>
                  <w:r>
                    <w:rPr>
                      <w:color w:val="auto"/>
                      <w:sz w:val="18"/>
                      <w:szCs w:val="18"/>
                      <w:highlight w:val="none"/>
                    </w:rPr>
                    <w:t>行业。</w:t>
                  </w:r>
                </w:p>
                <w:p w14:paraId="0001FB14">
                  <w:pPr>
                    <w:keepNext w:val="0"/>
                    <w:keepLines w:val="0"/>
                    <w:pageBreakBefore w:val="0"/>
                    <w:widowControl w:val="0"/>
                    <w:wordWrap/>
                    <w:topLinePunct w:val="0"/>
                    <w:bidi w:val="0"/>
                    <w:adjustRightInd w:val="0"/>
                    <w:snapToGrid w:val="0"/>
                    <w:ind w:left="0" w:leftChars="0"/>
                    <w:textAlignment w:val="auto"/>
                    <w:rPr>
                      <w:color w:val="auto"/>
                      <w:sz w:val="18"/>
                      <w:szCs w:val="18"/>
                      <w:highlight w:val="none"/>
                    </w:rPr>
                  </w:pPr>
                  <w:r>
                    <w:rPr>
                      <w:color w:val="auto"/>
                      <w:sz w:val="18"/>
                      <w:szCs w:val="18"/>
                      <w:highlight w:val="none"/>
                    </w:rPr>
                    <w:t>3.本项目不新征用地，租赁</w:t>
                  </w:r>
                  <w:r>
                    <w:rPr>
                      <w:rFonts w:hint="eastAsia"/>
                      <w:color w:val="auto"/>
                      <w:sz w:val="18"/>
                      <w:szCs w:val="18"/>
                      <w:highlight w:val="none"/>
                      <w:lang w:eastAsia="zh-CN"/>
                    </w:rPr>
                    <w:t>现有厂房</w:t>
                  </w:r>
                  <w:r>
                    <w:rPr>
                      <w:color w:val="auto"/>
                      <w:sz w:val="18"/>
                      <w:szCs w:val="18"/>
                      <w:highlight w:val="none"/>
                    </w:rPr>
                    <w:t>进行生产；</w:t>
                  </w:r>
                  <w:r>
                    <w:rPr>
                      <w:rFonts w:hint="eastAsia"/>
                      <w:color w:val="auto"/>
                      <w:sz w:val="18"/>
                      <w:szCs w:val="18"/>
                      <w:highlight w:val="none"/>
                      <w:lang w:eastAsia="zh-CN"/>
                    </w:rPr>
                    <w:t>建</w:t>
                  </w:r>
                  <w:r>
                    <w:rPr>
                      <w:color w:val="auto"/>
                      <w:sz w:val="18"/>
                      <w:szCs w:val="18"/>
                      <w:highlight w:val="none"/>
                    </w:rPr>
                    <w:t>设环保措施对污染物进行处理，废气排放量小；资源消耗量相对区域资源利用总量较少，对生态环境影响不大。</w:t>
                  </w:r>
                </w:p>
                <w:p w14:paraId="4555FE77">
                  <w:pPr>
                    <w:pStyle w:val="82"/>
                    <w:keepNext w:val="0"/>
                    <w:keepLines w:val="0"/>
                    <w:pageBreakBefore w:val="0"/>
                    <w:widowControl w:val="0"/>
                    <w:wordWrap/>
                    <w:topLinePunct w:val="0"/>
                    <w:bidi w:val="0"/>
                    <w:adjustRightInd w:val="0"/>
                    <w:snapToGrid w:val="0"/>
                    <w:spacing w:after="0"/>
                    <w:ind w:left="0" w:leftChars="0" w:firstLine="0" w:firstLineChars="0"/>
                    <w:textAlignment w:val="auto"/>
                    <w:rPr>
                      <w:color w:val="auto"/>
                      <w:sz w:val="18"/>
                      <w:szCs w:val="18"/>
                      <w:highlight w:val="none"/>
                    </w:rPr>
                  </w:pPr>
                  <w:r>
                    <w:rPr>
                      <w:color w:val="auto"/>
                      <w:sz w:val="18"/>
                      <w:szCs w:val="18"/>
                      <w:highlight w:val="none"/>
                    </w:rPr>
                    <w:t>4.</w:t>
                  </w:r>
                  <w:r>
                    <w:rPr>
                      <w:rFonts w:hint="default" w:ascii="Times New Roman" w:hAnsi="Times New Roman" w:cs="Times New Roman" w:eastAsiaTheme="minorEastAsia"/>
                      <w:color w:val="auto"/>
                      <w:sz w:val="18"/>
                      <w:szCs w:val="18"/>
                      <w:lang w:val="zh-CN"/>
                    </w:rPr>
                    <w:t>根据</w:t>
                  </w:r>
                  <w:r>
                    <w:rPr>
                      <w:rFonts w:hint="eastAsia" w:cs="Times New Roman" w:eastAsiaTheme="minorEastAsia"/>
                      <w:color w:val="auto"/>
                      <w:sz w:val="18"/>
                      <w:szCs w:val="18"/>
                      <w:lang w:val="zh-CN"/>
                    </w:rPr>
                    <w:t>淄博市国土空间总体规划（2021-2035年）</w:t>
                  </w:r>
                  <w:r>
                    <w:rPr>
                      <w:rFonts w:hint="default" w:ascii="Times New Roman" w:hAnsi="Times New Roman" w:cs="Times New Roman" w:eastAsiaTheme="minorEastAsia"/>
                      <w:color w:val="auto"/>
                      <w:sz w:val="18"/>
                      <w:szCs w:val="18"/>
                      <w:lang w:val="zh-CN"/>
                    </w:rPr>
                    <w:t>，</w:t>
                  </w:r>
                  <w:r>
                    <w:rPr>
                      <w:rFonts w:hint="eastAsia" w:cs="Times New Roman" w:eastAsiaTheme="minorEastAsia"/>
                      <w:color w:val="auto"/>
                      <w:sz w:val="18"/>
                      <w:szCs w:val="18"/>
                      <w:lang w:val="zh-CN"/>
                    </w:rPr>
                    <w:t>本项目</w:t>
                  </w:r>
                  <w:r>
                    <w:rPr>
                      <w:rFonts w:hint="default" w:ascii="Times New Roman" w:hAnsi="Times New Roman" w:cs="Times New Roman" w:eastAsiaTheme="minorEastAsia"/>
                      <w:color w:val="auto"/>
                      <w:sz w:val="18"/>
                      <w:szCs w:val="18"/>
                      <w:lang w:val="zh-CN"/>
                    </w:rPr>
                    <w:t>不位于基本农田范围内。</w:t>
                  </w:r>
                  <w:r>
                    <w:rPr>
                      <w:rFonts w:hint="eastAsia" w:cs="Times New Roman" w:eastAsiaTheme="minorEastAsia"/>
                      <w:color w:val="auto"/>
                      <w:sz w:val="18"/>
                      <w:szCs w:val="18"/>
                      <w:lang w:val="zh-CN"/>
                    </w:rPr>
                    <w:t>本项目属于</w:t>
                  </w:r>
                  <w:r>
                    <w:rPr>
                      <w:rFonts w:hint="eastAsia"/>
                      <w:color w:val="auto"/>
                      <w:sz w:val="18"/>
                      <w:szCs w:val="18"/>
                      <w:highlight w:val="none"/>
                      <w:lang w:eastAsia="zh-CN"/>
                    </w:rPr>
                    <w:t>C2613无机盐制造</w:t>
                  </w:r>
                  <w:r>
                    <w:rPr>
                      <w:rFonts w:hint="eastAsia" w:cs="Times New Roman" w:eastAsiaTheme="minorEastAsia"/>
                      <w:color w:val="auto"/>
                      <w:sz w:val="18"/>
                      <w:szCs w:val="18"/>
                      <w:lang w:val="zh-CN"/>
                    </w:rPr>
                    <w:t>，</w:t>
                  </w:r>
                  <w:r>
                    <w:rPr>
                      <w:rFonts w:hint="eastAsia" w:cs="Times New Roman" w:eastAsiaTheme="minorEastAsia"/>
                      <w:color w:val="auto"/>
                      <w:sz w:val="18"/>
                      <w:szCs w:val="18"/>
                      <w:lang w:val="en-US" w:eastAsia="zh-CN"/>
                    </w:rPr>
                    <w:t>为化工</w:t>
                  </w:r>
                  <w:r>
                    <w:rPr>
                      <w:rFonts w:hint="default" w:ascii="Times New Roman" w:hAnsi="Times New Roman" w:cs="Times New Roman" w:eastAsiaTheme="minorEastAsia"/>
                      <w:color w:val="auto"/>
                      <w:sz w:val="18"/>
                      <w:szCs w:val="18"/>
                      <w:lang w:val="zh-CN"/>
                    </w:rPr>
                    <w:t>行业</w:t>
                  </w:r>
                  <w:r>
                    <w:rPr>
                      <w:rFonts w:hint="eastAsia" w:ascii="Times New Roman" w:hAnsi="Times New Roman" w:cs="Times New Roman" w:eastAsiaTheme="minorEastAsia"/>
                      <w:color w:val="auto"/>
                      <w:sz w:val="18"/>
                      <w:szCs w:val="18"/>
                      <w:lang w:val="zh-CN"/>
                    </w:rPr>
                    <w:t>，</w:t>
                  </w:r>
                  <w:r>
                    <w:rPr>
                      <w:color w:val="auto"/>
                      <w:sz w:val="18"/>
                      <w:szCs w:val="18"/>
                      <w:highlight w:val="none"/>
                    </w:rPr>
                    <w:t>不新征用地，租赁</w:t>
                  </w:r>
                  <w:r>
                    <w:rPr>
                      <w:rFonts w:hint="eastAsia"/>
                      <w:color w:val="auto"/>
                      <w:sz w:val="18"/>
                      <w:szCs w:val="18"/>
                      <w:highlight w:val="none"/>
                      <w:lang w:eastAsia="zh-CN"/>
                    </w:rPr>
                    <w:t>现有厂房</w:t>
                  </w:r>
                  <w:r>
                    <w:rPr>
                      <w:color w:val="auto"/>
                      <w:sz w:val="18"/>
                      <w:szCs w:val="18"/>
                      <w:highlight w:val="none"/>
                    </w:rPr>
                    <w:t>进行生产。</w:t>
                  </w:r>
                </w:p>
                <w:p w14:paraId="6B2F15D6">
                  <w:pPr>
                    <w:pStyle w:val="82"/>
                    <w:keepNext w:val="0"/>
                    <w:keepLines w:val="0"/>
                    <w:pageBreakBefore w:val="0"/>
                    <w:widowControl w:val="0"/>
                    <w:wordWrap/>
                    <w:topLinePunct w:val="0"/>
                    <w:bidi w:val="0"/>
                    <w:adjustRightInd w:val="0"/>
                    <w:snapToGrid w:val="0"/>
                    <w:spacing w:after="0"/>
                    <w:ind w:left="0" w:leftChars="0" w:firstLine="0" w:firstLineChars="0"/>
                    <w:textAlignment w:val="auto"/>
                    <w:rPr>
                      <w:color w:val="auto"/>
                      <w:sz w:val="18"/>
                      <w:szCs w:val="18"/>
                      <w:highlight w:val="none"/>
                    </w:rPr>
                  </w:pPr>
                  <w:r>
                    <w:rPr>
                      <w:color w:val="auto"/>
                      <w:sz w:val="18"/>
                      <w:szCs w:val="18"/>
                      <w:highlight w:val="none"/>
                    </w:rPr>
                    <w:t>5.</w:t>
                  </w:r>
                  <w:r>
                    <w:rPr>
                      <w:rFonts w:hint="default" w:ascii="Times New Roman" w:hAnsi="Times New Roman" w:eastAsia="宋体" w:cs="Times New Roman"/>
                      <w:color w:val="auto"/>
                      <w:sz w:val="18"/>
                      <w:szCs w:val="18"/>
                      <w:lang w:eastAsia="zh-CN"/>
                    </w:rPr>
                    <w:t>本</w:t>
                  </w:r>
                  <w:r>
                    <w:rPr>
                      <w:rFonts w:hint="default" w:ascii="Times New Roman" w:hAnsi="Times New Roman" w:eastAsia="宋体" w:cs="Times New Roman"/>
                      <w:color w:val="auto"/>
                      <w:sz w:val="18"/>
                      <w:szCs w:val="18"/>
                    </w:rPr>
                    <w:t>项目</w:t>
                  </w:r>
                  <w:r>
                    <w:rPr>
                      <w:rFonts w:hint="default" w:ascii="Times New Roman" w:hAnsi="Times New Roman" w:eastAsia="宋体" w:cs="Times New Roman"/>
                      <w:color w:val="auto"/>
                      <w:sz w:val="18"/>
                      <w:szCs w:val="18"/>
                      <w:lang w:eastAsia="zh-CN"/>
                    </w:rPr>
                    <w:t>污水处理设施完善，离心废水、酸雾吸收废水经厂内</w:t>
                  </w:r>
                  <w:r>
                    <w:rPr>
                      <w:rFonts w:hint="default" w:ascii="Times New Roman" w:hAnsi="Times New Roman" w:eastAsia="宋体" w:cs="Times New Roman"/>
                      <w:color w:val="auto"/>
                      <w:sz w:val="18"/>
                      <w:szCs w:val="18"/>
                      <w:lang w:val="en-US" w:eastAsia="zh-CN"/>
                    </w:rPr>
                    <w:t>污水处理站中和、多效蒸发器蒸发出来的蒸汽经冷凝后回用于预热分离用水和地面清扫用水，不外排</w:t>
                  </w:r>
                  <w:r>
                    <w:rPr>
                      <w:color w:val="auto"/>
                      <w:sz w:val="18"/>
                      <w:szCs w:val="18"/>
                      <w:highlight w:val="none"/>
                    </w:rPr>
                    <w:t>。</w:t>
                  </w:r>
                </w:p>
                <w:p w14:paraId="7706E4B6">
                  <w:pPr>
                    <w:rPr>
                      <w:rFonts w:hint="eastAsia" w:eastAsia="宋体"/>
                      <w:color w:val="auto"/>
                      <w:highlight w:val="none"/>
                      <w:lang w:val="en-US" w:eastAsia="zh-CN"/>
                    </w:rPr>
                  </w:pPr>
                  <w:r>
                    <w:rPr>
                      <w:rFonts w:hint="eastAsia"/>
                      <w:color w:val="auto"/>
                      <w:sz w:val="18"/>
                      <w:szCs w:val="18"/>
                      <w:highlight w:val="none"/>
                      <w:lang w:val="en-US" w:eastAsia="zh-CN"/>
                    </w:rPr>
                    <w:t>6.本项目位于龙泉镇工业集中区</w:t>
                  </w:r>
                  <w:r>
                    <w:rPr>
                      <w:rFonts w:hint="eastAsia"/>
                      <w:color w:val="auto"/>
                      <w:kern w:val="0"/>
                      <w:sz w:val="18"/>
                      <w:szCs w:val="18"/>
                      <w:highlight w:val="none"/>
                      <w:lang w:eastAsia="zh-CN"/>
                    </w:rPr>
                    <w:t>内。</w:t>
                  </w:r>
                </w:p>
              </w:tc>
            </w:tr>
            <w:tr w14:paraId="36A38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6" w:type="dxa"/>
                  <w:vAlign w:val="center"/>
                </w:tcPr>
                <w:p w14:paraId="1209D282">
                  <w:pPr>
                    <w:pStyle w:val="82"/>
                    <w:keepNext w:val="0"/>
                    <w:keepLines w:val="0"/>
                    <w:pageBreakBefore w:val="0"/>
                    <w:widowControl w:val="0"/>
                    <w:wordWrap/>
                    <w:topLinePunct w:val="0"/>
                    <w:bidi w:val="0"/>
                    <w:spacing w:after="0"/>
                    <w:ind w:left="0" w:leftChars="0" w:firstLine="0" w:firstLineChars="0"/>
                    <w:jc w:val="center"/>
                    <w:textAlignment w:val="auto"/>
                    <w:rPr>
                      <w:color w:val="auto"/>
                      <w:sz w:val="18"/>
                      <w:szCs w:val="21"/>
                      <w:highlight w:val="none"/>
                    </w:rPr>
                  </w:pPr>
                  <w:r>
                    <w:rPr>
                      <w:color w:val="auto"/>
                      <w:sz w:val="18"/>
                      <w:szCs w:val="21"/>
                      <w:highlight w:val="none"/>
                    </w:rPr>
                    <w:t>污染物排放管控</w:t>
                  </w:r>
                </w:p>
              </w:tc>
              <w:tc>
                <w:tcPr>
                  <w:tcW w:w="4471" w:type="dxa"/>
                  <w:shd w:val="clear" w:color="auto" w:fill="auto"/>
                  <w:vAlign w:val="center"/>
                </w:tcPr>
                <w:p w14:paraId="1C3F3D87">
                  <w:pPr>
                    <w:pStyle w:val="82"/>
                    <w:adjustRightInd w:val="0"/>
                    <w:snapToGrid w:val="0"/>
                    <w:spacing w:after="0"/>
                    <w:ind w:left="0" w:leftChars="0" w:firstLine="0" w:firstLineChars="0"/>
                    <w:rPr>
                      <w:rFonts w:hint="eastAsia"/>
                      <w:color w:val="auto"/>
                      <w:sz w:val="18"/>
                      <w:szCs w:val="21"/>
                      <w:highlight w:val="none"/>
                    </w:rPr>
                  </w:pPr>
                  <w:r>
                    <w:rPr>
                      <w:rFonts w:hint="eastAsia"/>
                      <w:color w:val="auto"/>
                      <w:sz w:val="18"/>
                      <w:szCs w:val="21"/>
                      <w:highlight w:val="none"/>
                    </w:rPr>
                    <w:t>1.涉“两高”项目企业应当积极实施节能改造提升，提高能源使用效率，推进节能减排。</w:t>
                  </w:r>
                </w:p>
                <w:p w14:paraId="67E55913">
                  <w:pPr>
                    <w:pStyle w:val="82"/>
                    <w:adjustRightInd w:val="0"/>
                    <w:snapToGrid w:val="0"/>
                    <w:spacing w:after="0"/>
                    <w:ind w:left="0" w:leftChars="0" w:firstLine="0" w:firstLineChars="0"/>
                    <w:rPr>
                      <w:rFonts w:hint="eastAsia"/>
                      <w:color w:val="auto"/>
                      <w:sz w:val="18"/>
                      <w:szCs w:val="21"/>
                      <w:highlight w:val="none"/>
                    </w:rPr>
                  </w:pPr>
                  <w:r>
                    <w:rPr>
                      <w:rFonts w:hint="eastAsia"/>
                      <w:color w:val="auto"/>
                      <w:sz w:val="18"/>
                      <w:szCs w:val="21"/>
                      <w:highlight w:val="none"/>
                    </w:rPr>
                    <w:t>2.落实主要污染物总量替代要求，按照山东省生态环境厅《关于印发山东省建设项目主要大气污染物排放总量替代指标核算及管理办法的通知》，实施动态管控替代。</w:t>
                  </w:r>
                </w:p>
                <w:p w14:paraId="72D05465">
                  <w:pPr>
                    <w:pStyle w:val="82"/>
                    <w:adjustRightInd w:val="0"/>
                    <w:snapToGrid w:val="0"/>
                    <w:spacing w:after="0"/>
                    <w:ind w:left="0" w:leftChars="0" w:firstLine="0" w:firstLineChars="0"/>
                    <w:rPr>
                      <w:rFonts w:hint="eastAsia"/>
                      <w:color w:val="auto"/>
                      <w:sz w:val="18"/>
                      <w:szCs w:val="21"/>
                      <w:highlight w:val="none"/>
                    </w:rPr>
                  </w:pPr>
                  <w:r>
                    <w:rPr>
                      <w:rFonts w:hint="eastAsia"/>
                      <w:color w:val="auto"/>
                      <w:sz w:val="18"/>
                      <w:szCs w:val="21"/>
                      <w:highlight w:val="none"/>
                    </w:rPr>
                    <w:t>3.废水应当按照要求进行预处理，达到行业排放标准或是综合排放标准后方可排放。</w:t>
                  </w:r>
                </w:p>
                <w:p w14:paraId="47E88365">
                  <w:pPr>
                    <w:pStyle w:val="82"/>
                    <w:adjustRightInd w:val="0"/>
                    <w:snapToGrid w:val="0"/>
                    <w:spacing w:after="0"/>
                    <w:ind w:left="0" w:leftChars="0" w:firstLine="0" w:firstLineChars="0"/>
                    <w:rPr>
                      <w:rFonts w:hint="eastAsia"/>
                      <w:color w:val="auto"/>
                      <w:sz w:val="18"/>
                      <w:szCs w:val="21"/>
                      <w:highlight w:val="none"/>
                    </w:rPr>
                  </w:pPr>
                  <w:r>
                    <w:rPr>
                      <w:rFonts w:hint="eastAsia"/>
                      <w:color w:val="auto"/>
                      <w:sz w:val="18"/>
                      <w:szCs w:val="21"/>
                      <w:highlight w:val="none"/>
                    </w:rPr>
                    <w:t>4.禁止工业废水和生活污水未经处理直排环境；原则上除工业污水集中处理设施、城镇污水处理厂外不得新建入河排污口。</w:t>
                  </w:r>
                </w:p>
                <w:p w14:paraId="3CF47F1F">
                  <w:pPr>
                    <w:pStyle w:val="82"/>
                    <w:adjustRightInd w:val="0"/>
                    <w:snapToGrid w:val="0"/>
                    <w:spacing w:after="0"/>
                    <w:ind w:left="0" w:leftChars="0" w:firstLine="0" w:firstLineChars="0"/>
                    <w:rPr>
                      <w:rFonts w:hint="eastAsia"/>
                      <w:color w:val="auto"/>
                      <w:sz w:val="18"/>
                      <w:szCs w:val="21"/>
                      <w:highlight w:val="none"/>
                    </w:rPr>
                  </w:pPr>
                  <w:r>
                    <w:rPr>
                      <w:rFonts w:hint="eastAsia"/>
                      <w:color w:val="auto"/>
                      <w:sz w:val="18"/>
                      <w:szCs w:val="21"/>
                      <w:highlight w:val="none"/>
                    </w:rPr>
                    <w:t>5.化工、建材等严格按照淄博市行业环境管控要求，实施源头替代，建立健全治理设施，确保污染物稳定达标排放，做到持证排污。</w:t>
                  </w:r>
                </w:p>
                <w:p w14:paraId="72146236">
                  <w:pPr>
                    <w:pStyle w:val="82"/>
                    <w:adjustRightInd w:val="0"/>
                    <w:snapToGrid w:val="0"/>
                    <w:spacing w:after="0"/>
                    <w:ind w:left="0" w:leftChars="0" w:firstLine="0" w:firstLineChars="0"/>
                    <w:rPr>
                      <w:rFonts w:hint="eastAsia" w:ascii="Times New Roman" w:hAnsi="Times New Roman" w:eastAsia="宋体" w:cs="Times New Roman"/>
                      <w:color w:val="auto"/>
                      <w:kern w:val="0"/>
                      <w:sz w:val="18"/>
                      <w:szCs w:val="21"/>
                      <w:highlight w:val="none"/>
                      <w:lang w:val="en-US" w:eastAsia="zh-CN" w:bidi="ar-SA"/>
                    </w:rPr>
                  </w:pPr>
                  <w:r>
                    <w:rPr>
                      <w:rFonts w:hint="eastAsia"/>
                      <w:color w:val="auto"/>
                      <w:sz w:val="18"/>
                      <w:szCs w:val="21"/>
                      <w:highlight w:val="none"/>
                    </w:rPr>
                    <w:t>6.进一步加强对建设工程施工、建筑物拆除、交通运输、道路保洁、物料运输与堆存、采石取土、养护绿化等活动的扬尘管理。</w:t>
                  </w:r>
                </w:p>
              </w:tc>
              <w:tc>
                <w:tcPr>
                  <w:tcW w:w="2995" w:type="dxa"/>
                  <w:vAlign w:val="center"/>
                </w:tcPr>
                <w:p w14:paraId="0833956E">
                  <w:pPr>
                    <w:pStyle w:val="82"/>
                    <w:keepNext w:val="0"/>
                    <w:keepLines w:val="0"/>
                    <w:pageBreakBefore w:val="0"/>
                    <w:widowControl w:val="0"/>
                    <w:wordWrap/>
                    <w:topLinePunct w:val="0"/>
                    <w:bidi w:val="0"/>
                    <w:spacing w:after="0"/>
                    <w:ind w:left="0" w:leftChars="0" w:firstLine="0" w:firstLineChars="0"/>
                    <w:textAlignment w:val="auto"/>
                    <w:rPr>
                      <w:color w:val="auto"/>
                      <w:sz w:val="18"/>
                      <w:szCs w:val="21"/>
                      <w:highlight w:val="none"/>
                    </w:rPr>
                  </w:pPr>
                  <w:r>
                    <w:rPr>
                      <w:color w:val="auto"/>
                      <w:sz w:val="18"/>
                      <w:szCs w:val="21"/>
                      <w:highlight w:val="none"/>
                    </w:rPr>
                    <w:t>1.本项目不属于“两高”项目。</w:t>
                  </w:r>
                </w:p>
                <w:p w14:paraId="6EE5C9CA">
                  <w:pPr>
                    <w:keepNext w:val="0"/>
                    <w:keepLines w:val="0"/>
                    <w:pageBreakBefore w:val="0"/>
                    <w:widowControl w:val="0"/>
                    <w:kinsoku w:val="0"/>
                    <w:wordWrap/>
                    <w:overflowPunct w:val="0"/>
                    <w:topLinePunct w:val="0"/>
                    <w:autoSpaceDE w:val="0"/>
                    <w:autoSpaceDN w:val="0"/>
                    <w:bidi w:val="0"/>
                    <w:ind w:left="0" w:leftChars="0"/>
                    <w:textAlignment w:val="auto"/>
                    <w:rPr>
                      <w:color w:val="auto"/>
                      <w:sz w:val="18"/>
                      <w:highlight w:val="none"/>
                    </w:rPr>
                  </w:pPr>
                  <w:r>
                    <w:rPr>
                      <w:color w:val="auto"/>
                      <w:sz w:val="18"/>
                      <w:highlight w:val="none"/>
                    </w:rPr>
                    <w:t>2.</w:t>
                  </w:r>
                  <w:r>
                    <w:rPr>
                      <w:rFonts w:hint="eastAsia"/>
                      <w:color w:val="auto"/>
                      <w:sz w:val="18"/>
                      <w:highlight w:val="none"/>
                      <w:lang w:val="en-US" w:eastAsia="zh-CN"/>
                    </w:rPr>
                    <w:t>本项目属于新建项目，</w:t>
                  </w:r>
                  <w:r>
                    <w:rPr>
                      <w:rFonts w:hint="default" w:ascii="Times New Roman" w:hAnsi="Times New Roman" w:cs="Times New Roman"/>
                      <w:color w:val="auto"/>
                      <w:sz w:val="18"/>
                    </w:rPr>
                    <w:t>本项目建成后需申请</w:t>
                  </w:r>
                  <w:r>
                    <w:rPr>
                      <w:rFonts w:hint="default" w:ascii="Times New Roman" w:hAnsi="Times New Roman" w:cs="Times New Roman"/>
                      <w:color w:val="auto"/>
                      <w:sz w:val="18"/>
                      <w:lang w:val="en-US" w:eastAsia="zh-CN"/>
                    </w:rPr>
                    <w:t>VOCs</w:t>
                  </w:r>
                  <w:r>
                    <w:rPr>
                      <w:rFonts w:hint="default" w:ascii="Times New Roman" w:hAnsi="Times New Roman" w:cs="Times New Roman"/>
                      <w:color w:val="auto"/>
                      <w:sz w:val="18"/>
                    </w:rPr>
                    <w:t>总量，按1:2比例替代；本项目生产工艺较先进，污染物治理水平可达到国内同行业先进水平</w:t>
                  </w:r>
                  <w:r>
                    <w:rPr>
                      <w:color w:val="auto"/>
                      <w:sz w:val="18"/>
                      <w:highlight w:val="none"/>
                    </w:rPr>
                    <w:t>。</w:t>
                  </w:r>
                </w:p>
                <w:p w14:paraId="082DC8B1">
                  <w:pPr>
                    <w:pStyle w:val="82"/>
                    <w:keepNext w:val="0"/>
                    <w:keepLines w:val="0"/>
                    <w:pageBreakBefore w:val="0"/>
                    <w:widowControl w:val="0"/>
                    <w:wordWrap/>
                    <w:topLinePunct w:val="0"/>
                    <w:bidi w:val="0"/>
                    <w:spacing w:after="0"/>
                    <w:ind w:left="0" w:leftChars="0" w:firstLine="0" w:firstLineChars="0"/>
                    <w:textAlignment w:val="auto"/>
                    <w:rPr>
                      <w:color w:val="auto"/>
                      <w:sz w:val="18"/>
                      <w:szCs w:val="21"/>
                      <w:highlight w:val="none"/>
                    </w:rPr>
                  </w:pPr>
                  <w:r>
                    <w:rPr>
                      <w:color w:val="auto"/>
                      <w:sz w:val="18"/>
                      <w:szCs w:val="21"/>
                      <w:highlight w:val="none"/>
                    </w:rPr>
                    <w:t>3.本项目</w:t>
                  </w:r>
                  <w:r>
                    <w:rPr>
                      <w:rFonts w:hint="default" w:ascii="Times New Roman" w:hAnsi="Times New Roman" w:eastAsia="宋体" w:cs="Times New Roman"/>
                      <w:color w:val="auto"/>
                      <w:sz w:val="18"/>
                      <w:szCs w:val="18"/>
                      <w:highlight w:val="none"/>
                      <w:lang w:val="en-US" w:eastAsia="zh-CN"/>
                    </w:rPr>
                    <w:t>生活污水经化粪池暂存后由环卫部门定期清运，</w:t>
                  </w:r>
                  <w:r>
                    <w:rPr>
                      <w:rFonts w:hint="default" w:ascii="Times New Roman" w:hAnsi="Times New Roman" w:eastAsia="宋体" w:cs="Times New Roman"/>
                      <w:color w:val="auto"/>
                      <w:sz w:val="18"/>
                      <w:szCs w:val="18"/>
                      <w:highlight w:val="none"/>
                      <w:lang w:eastAsia="zh-CN"/>
                    </w:rPr>
                    <w:t>蒸汽冷凝水、蒸发冷凝水回用于原料溶解用水、酸雾吸收塔用水。离心废水、酸雾吸收废水经厂内</w:t>
                  </w:r>
                  <w:r>
                    <w:rPr>
                      <w:rFonts w:hint="default" w:ascii="Times New Roman" w:hAnsi="Times New Roman" w:eastAsia="宋体" w:cs="Times New Roman"/>
                      <w:color w:val="auto"/>
                      <w:sz w:val="18"/>
                      <w:szCs w:val="18"/>
                      <w:highlight w:val="none"/>
                      <w:lang w:val="en-US" w:eastAsia="zh-CN"/>
                    </w:rPr>
                    <w:t>污水处理站中和、多效蒸发器蒸发出来的蒸汽经冷凝后回用于预热分离用水和地面清扫用水，不外排</w:t>
                  </w:r>
                  <w:r>
                    <w:rPr>
                      <w:color w:val="auto"/>
                      <w:sz w:val="18"/>
                      <w:szCs w:val="21"/>
                      <w:highlight w:val="none"/>
                    </w:rPr>
                    <w:t>。</w:t>
                  </w:r>
                </w:p>
                <w:p w14:paraId="6EACBED1">
                  <w:pPr>
                    <w:keepNext w:val="0"/>
                    <w:keepLines w:val="0"/>
                    <w:pageBreakBefore w:val="0"/>
                    <w:widowControl w:val="0"/>
                    <w:wordWrap/>
                    <w:topLinePunct w:val="0"/>
                    <w:bidi w:val="0"/>
                    <w:ind w:left="0" w:leftChars="0"/>
                    <w:textAlignment w:val="auto"/>
                    <w:rPr>
                      <w:color w:val="auto"/>
                      <w:sz w:val="18"/>
                      <w:highlight w:val="none"/>
                    </w:rPr>
                  </w:pPr>
                  <w:r>
                    <w:rPr>
                      <w:color w:val="auto"/>
                      <w:sz w:val="18"/>
                      <w:highlight w:val="none"/>
                    </w:rPr>
                    <w:t>4、</w:t>
                  </w:r>
                  <w:r>
                    <w:rPr>
                      <w:color w:val="auto"/>
                      <w:sz w:val="18"/>
                      <w:szCs w:val="21"/>
                      <w:highlight w:val="none"/>
                    </w:rPr>
                    <w:t>本</w:t>
                  </w:r>
                  <w:r>
                    <w:rPr>
                      <w:rFonts w:hint="eastAsia"/>
                      <w:color w:val="auto"/>
                      <w:sz w:val="18"/>
                      <w:szCs w:val="21"/>
                      <w:highlight w:val="none"/>
                      <w:lang w:eastAsia="zh-CN"/>
                    </w:rPr>
                    <w:t>项目</w:t>
                  </w:r>
                  <w:r>
                    <w:rPr>
                      <w:rFonts w:hint="default" w:ascii="Times New Roman" w:hAnsi="Times New Roman" w:eastAsia="宋体" w:cs="Times New Roman"/>
                      <w:color w:val="auto"/>
                      <w:sz w:val="18"/>
                      <w:szCs w:val="18"/>
                      <w:highlight w:val="none"/>
                      <w:lang w:val="en-US" w:eastAsia="zh-CN"/>
                    </w:rPr>
                    <w:t>生活污水经化粪池暂存后由环卫部门定期清运，</w:t>
                  </w:r>
                  <w:r>
                    <w:rPr>
                      <w:rFonts w:hint="default" w:ascii="Times New Roman" w:hAnsi="Times New Roman" w:eastAsia="宋体" w:cs="Times New Roman"/>
                      <w:color w:val="auto"/>
                      <w:sz w:val="18"/>
                      <w:szCs w:val="18"/>
                      <w:highlight w:val="none"/>
                      <w:lang w:eastAsia="zh-CN"/>
                    </w:rPr>
                    <w:t>蒸汽冷凝水、蒸发冷凝水回用于原料溶解用水、酸雾吸收塔用水。离心废水、酸雾吸收废水经厂内</w:t>
                  </w:r>
                  <w:r>
                    <w:rPr>
                      <w:rFonts w:hint="default" w:ascii="Times New Roman" w:hAnsi="Times New Roman" w:eastAsia="宋体" w:cs="Times New Roman"/>
                      <w:color w:val="auto"/>
                      <w:sz w:val="18"/>
                      <w:szCs w:val="18"/>
                      <w:highlight w:val="none"/>
                      <w:lang w:val="en-US" w:eastAsia="zh-CN"/>
                    </w:rPr>
                    <w:t>污水处理站中和、多效蒸发器蒸发出来的蒸汽经冷凝后回用于预热分离用水和地面清扫用水，不外排</w:t>
                  </w:r>
                  <w:r>
                    <w:rPr>
                      <w:color w:val="auto"/>
                      <w:sz w:val="18"/>
                      <w:highlight w:val="none"/>
                    </w:rPr>
                    <w:t>。</w:t>
                  </w:r>
                </w:p>
                <w:p w14:paraId="56B6FD01">
                  <w:pPr>
                    <w:pStyle w:val="82"/>
                    <w:keepNext w:val="0"/>
                    <w:keepLines w:val="0"/>
                    <w:pageBreakBefore w:val="0"/>
                    <w:widowControl w:val="0"/>
                    <w:wordWrap/>
                    <w:topLinePunct w:val="0"/>
                    <w:bidi w:val="0"/>
                    <w:spacing w:after="0"/>
                    <w:ind w:left="0" w:leftChars="0" w:firstLine="0" w:firstLineChars="0"/>
                    <w:textAlignment w:val="auto"/>
                    <w:rPr>
                      <w:color w:val="auto"/>
                      <w:sz w:val="18"/>
                      <w:szCs w:val="21"/>
                      <w:highlight w:val="none"/>
                    </w:rPr>
                  </w:pPr>
                  <w:r>
                    <w:rPr>
                      <w:color w:val="auto"/>
                      <w:sz w:val="18"/>
                      <w:szCs w:val="21"/>
                      <w:highlight w:val="none"/>
                    </w:rPr>
                    <w:t>5.本项目</w:t>
                  </w:r>
                  <w:r>
                    <w:rPr>
                      <w:rFonts w:hint="eastAsia"/>
                      <w:color w:val="auto"/>
                      <w:sz w:val="18"/>
                      <w:szCs w:val="21"/>
                      <w:highlight w:val="none"/>
                      <w:lang w:val="en-US" w:eastAsia="zh-CN"/>
                    </w:rPr>
                    <w:t>属于化工行业，按照淄博市行业环境管控要求，建设酸雾吸收塔处理氯化氢气体，二级活性炭处理VOCs，可达标排放。本项目建成后进行排污许可简化管理</w:t>
                  </w:r>
                  <w:r>
                    <w:rPr>
                      <w:color w:val="auto"/>
                      <w:sz w:val="18"/>
                      <w:szCs w:val="21"/>
                      <w:highlight w:val="none"/>
                    </w:rPr>
                    <w:t>。</w:t>
                  </w:r>
                </w:p>
                <w:p w14:paraId="31A73E89">
                  <w:pPr>
                    <w:keepNext w:val="0"/>
                    <w:keepLines w:val="0"/>
                    <w:pageBreakBefore w:val="0"/>
                    <w:widowControl w:val="0"/>
                    <w:wordWrap/>
                    <w:topLinePunct w:val="0"/>
                    <w:bidi w:val="0"/>
                    <w:ind w:left="0" w:leftChars="0"/>
                    <w:textAlignment w:val="auto"/>
                    <w:rPr>
                      <w:color w:val="auto"/>
                      <w:sz w:val="18"/>
                      <w:highlight w:val="none"/>
                    </w:rPr>
                  </w:pPr>
                  <w:r>
                    <w:rPr>
                      <w:color w:val="auto"/>
                      <w:sz w:val="18"/>
                      <w:highlight w:val="none"/>
                    </w:rPr>
                    <w:t>6.本项目施工期</w:t>
                  </w:r>
                  <w:r>
                    <w:rPr>
                      <w:rFonts w:hint="eastAsia"/>
                      <w:color w:val="auto"/>
                      <w:sz w:val="18"/>
                      <w:highlight w:val="none"/>
                      <w:lang w:eastAsia="zh-CN"/>
                    </w:rPr>
                    <w:t>会加强施工过程中的扬尘管理</w:t>
                  </w:r>
                  <w:r>
                    <w:rPr>
                      <w:color w:val="auto"/>
                      <w:sz w:val="18"/>
                      <w:highlight w:val="none"/>
                    </w:rPr>
                    <w:t>，</w:t>
                  </w:r>
                  <w:r>
                    <w:rPr>
                      <w:rFonts w:hint="eastAsia"/>
                      <w:color w:val="auto"/>
                      <w:sz w:val="18"/>
                      <w:highlight w:val="none"/>
                      <w:lang w:eastAsia="zh-CN"/>
                    </w:rPr>
                    <w:t>施工时间较短，</w:t>
                  </w:r>
                  <w:r>
                    <w:rPr>
                      <w:color w:val="auto"/>
                      <w:sz w:val="18"/>
                      <w:highlight w:val="none"/>
                    </w:rPr>
                    <w:t>对周围环境影响较小。</w:t>
                  </w:r>
                </w:p>
              </w:tc>
            </w:tr>
            <w:tr w14:paraId="3B3FE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6" w:type="dxa"/>
                  <w:vAlign w:val="center"/>
                </w:tcPr>
                <w:p w14:paraId="3C9A22A9">
                  <w:pPr>
                    <w:pStyle w:val="82"/>
                    <w:keepNext w:val="0"/>
                    <w:keepLines w:val="0"/>
                    <w:pageBreakBefore w:val="0"/>
                    <w:widowControl w:val="0"/>
                    <w:wordWrap/>
                    <w:topLinePunct w:val="0"/>
                    <w:bidi w:val="0"/>
                    <w:spacing w:after="0"/>
                    <w:ind w:left="0" w:leftChars="0" w:firstLine="0" w:firstLineChars="0"/>
                    <w:jc w:val="center"/>
                    <w:textAlignment w:val="auto"/>
                    <w:rPr>
                      <w:color w:val="auto"/>
                      <w:sz w:val="18"/>
                      <w:szCs w:val="21"/>
                      <w:highlight w:val="none"/>
                    </w:rPr>
                  </w:pPr>
                  <w:r>
                    <w:rPr>
                      <w:color w:val="auto"/>
                      <w:sz w:val="18"/>
                      <w:szCs w:val="21"/>
                      <w:highlight w:val="none"/>
                    </w:rPr>
                    <w:t>环境风险防控</w:t>
                  </w:r>
                </w:p>
              </w:tc>
              <w:tc>
                <w:tcPr>
                  <w:tcW w:w="4471" w:type="dxa"/>
                  <w:shd w:val="clear" w:color="auto" w:fill="auto"/>
                  <w:vAlign w:val="center"/>
                </w:tcPr>
                <w:p w14:paraId="07AD09E2">
                  <w:pPr>
                    <w:pStyle w:val="82"/>
                    <w:adjustRightInd w:val="0"/>
                    <w:snapToGrid w:val="0"/>
                    <w:spacing w:after="0"/>
                    <w:ind w:left="0" w:leftChars="0" w:firstLine="0" w:firstLineChars="0"/>
                    <w:rPr>
                      <w:rFonts w:hint="eastAsia"/>
                      <w:color w:val="auto"/>
                      <w:sz w:val="18"/>
                      <w:szCs w:val="21"/>
                      <w:highlight w:val="none"/>
                    </w:rPr>
                  </w:pPr>
                  <w:r>
                    <w:rPr>
                      <w:rFonts w:hint="eastAsia"/>
                      <w:color w:val="auto"/>
                      <w:sz w:val="18"/>
                      <w:szCs w:val="21"/>
                      <w:highlight w:val="none"/>
                    </w:rPr>
                    <w:t>1.企业事业单位按照《企业事业单位突发环境事件应急预案备案管理办法（试行）》等要求，依法依规编制环境应急预案并定期开展演练。</w:t>
                  </w:r>
                </w:p>
                <w:p w14:paraId="15B3B4CB">
                  <w:pPr>
                    <w:pStyle w:val="82"/>
                    <w:adjustRightInd w:val="0"/>
                    <w:snapToGrid w:val="0"/>
                    <w:spacing w:after="0"/>
                    <w:ind w:left="0" w:leftChars="0" w:firstLine="0" w:firstLineChars="0"/>
                    <w:rPr>
                      <w:rFonts w:ascii="Times New Roman" w:hAnsi="Times New Roman" w:eastAsia="宋体" w:cs="Times New Roman"/>
                      <w:color w:val="auto"/>
                      <w:kern w:val="0"/>
                      <w:sz w:val="18"/>
                      <w:szCs w:val="21"/>
                      <w:highlight w:val="none"/>
                      <w:lang w:val="en-US" w:eastAsia="zh-CN" w:bidi="ar-SA"/>
                    </w:rPr>
                  </w:pPr>
                  <w:r>
                    <w:rPr>
                      <w:rFonts w:hint="eastAsia"/>
                      <w:color w:val="auto"/>
                      <w:sz w:val="18"/>
                      <w:szCs w:val="21"/>
                      <w:highlight w:val="none"/>
                      <w:lang w:val="en-US" w:eastAsia="zh-CN"/>
                    </w:rPr>
                    <w:t>2</w:t>
                  </w:r>
                  <w:r>
                    <w:rPr>
                      <w:rFonts w:hint="eastAsia"/>
                      <w:color w:val="auto"/>
                      <w:sz w:val="18"/>
                      <w:szCs w:val="21"/>
                      <w:highlight w:val="none"/>
                    </w:rPr>
                    <w:t>.建立各企业危险废物的贮存、申报、经营许可（无废城市建设豁免的除外）、转移及处置管理制度，并负责对危废相应活动的全程监管和环境安全保障。</w:t>
                  </w:r>
                </w:p>
              </w:tc>
              <w:tc>
                <w:tcPr>
                  <w:tcW w:w="2995" w:type="dxa"/>
                  <w:vAlign w:val="center"/>
                </w:tcPr>
                <w:p w14:paraId="615A09B2">
                  <w:pPr>
                    <w:pStyle w:val="82"/>
                    <w:keepNext w:val="0"/>
                    <w:keepLines w:val="0"/>
                    <w:pageBreakBefore w:val="0"/>
                    <w:widowControl w:val="0"/>
                    <w:wordWrap/>
                    <w:topLinePunct w:val="0"/>
                    <w:bidi w:val="0"/>
                    <w:spacing w:after="0"/>
                    <w:ind w:left="0" w:leftChars="0" w:firstLine="0" w:firstLineChars="0"/>
                    <w:textAlignment w:val="auto"/>
                    <w:rPr>
                      <w:color w:val="auto"/>
                      <w:sz w:val="18"/>
                      <w:szCs w:val="18"/>
                      <w:highlight w:val="none"/>
                    </w:rPr>
                  </w:pPr>
                  <w:r>
                    <w:rPr>
                      <w:rFonts w:hint="eastAsia"/>
                      <w:color w:val="auto"/>
                      <w:sz w:val="18"/>
                      <w:szCs w:val="18"/>
                      <w:highlight w:val="none"/>
                      <w:lang w:val="en-US" w:eastAsia="zh-CN"/>
                    </w:rPr>
                    <w:t>1.</w:t>
                  </w:r>
                  <w:r>
                    <w:rPr>
                      <w:color w:val="auto"/>
                      <w:sz w:val="18"/>
                      <w:szCs w:val="18"/>
                      <w:highlight w:val="none"/>
                    </w:rPr>
                    <w:t>现处于环评编制阶段，企业应按照要求编制环境风险应急预案并定期开展演练。</w:t>
                  </w:r>
                </w:p>
                <w:p w14:paraId="4FF1791B">
                  <w:pPr>
                    <w:pStyle w:val="82"/>
                    <w:keepNext w:val="0"/>
                    <w:keepLines w:val="0"/>
                    <w:pageBreakBefore w:val="0"/>
                    <w:widowControl w:val="0"/>
                    <w:wordWrap/>
                    <w:topLinePunct w:val="0"/>
                    <w:bidi w:val="0"/>
                    <w:spacing w:after="0"/>
                    <w:ind w:left="0" w:leftChars="0" w:firstLine="0" w:firstLineChars="0"/>
                    <w:textAlignment w:val="auto"/>
                    <w:rPr>
                      <w:rFonts w:hint="default" w:eastAsia="宋体"/>
                      <w:color w:val="auto"/>
                      <w:highlight w:val="none"/>
                      <w:lang w:val="en-US" w:eastAsia="zh-CN"/>
                    </w:rPr>
                  </w:pPr>
                  <w:r>
                    <w:rPr>
                      <w:rFonts w:hint="eastAsia"/>
                      <w:color w:val="auto"/>
                      <w:sz w:val="18"/>
                      <w:szCs w:val="18"/>
                      <w:highlight w:val="none"/>
                      <w:lang w:val="en-US" w:eastAsia="zh-CN"/>
                    </w:rPr>
                    <w:t>2</w:t>
                  </w:r>
                  <w:r>
                    <w:rPr>
                      <w:color w:val="auto"/>
                      <w:sz w:val="18"/>
                      <w:szCs w:val="18"/>
                      <w:highlight w:val="none"/>
                    </w:rPr>
                    <w:t>.本项目建成后应建立危险废物贮存、申报、经营许可、转移及处置管理制度，并负责对危废相应活动的全程监管和环境安全保障。</w:t>
                  </w:r>
                </w:p>
              </w:tc>
            </w:tr>
            <w:tr w14:paraId="64A504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6" w:type="dxa"/>
                  <w:vAlign w:val="center"/>
                </w:tcPr>
                <w:p w14:paraId="13E379D1">
                  <w:pPr>
                    <w:pStyle w:val="82"/>
                    <w:keepNext w:val="0"/>
                    <w:keepLines w:val="0"/>
                    <w:pageBreakBefore w:val="0"/>
                    <w:widowControl w:val="0"/>
                    <w:wordWrap/>
                    <w:topLinePunct w:val="0"/>
                    <w:bidi w:val="0"/>
                    <w:spacing w:after="0"/>
                    <w:ind w:left="0" w:leftChars="0" w:firstLine="0" w:firstLineChars="0"/>
                    <w:textAlignment w:val="auto"/>
                    <w:rPr>
                      <w:color w:val="auto"/>
                      <w:sz w:val="18"/>
                      <w:szCs w:val="21"/>
                      <w:highlight w:val="none"/>
                    </w:rPr>
                  </w:pPr>
                  <w:r>
                    <w:rPr>
                      <w:color w:val="auto"/>
                      <w:sz w:val="18"/>
                      <w:szCs w:val="21"/>
                      <w:highlight w:val="none"/>
                    </w:rPr>
                    <w:t>资源开发效率要求</w:t>
                  </w:r>
                </w:p>
              </w:tc>
              <w:tc>
                <w:tcPr>
                  <w:tcW w:w="4471" w:type="dxa"/>
                  <w:shd w:val="clear" w:color="auto" w:fill="auto"/>
                  <w:vAlign w:val="center"/>
                </w:tcPr>
                <w:p w14:paraId="419A82F9">
                  <w:pPr>
                    <w:pStyle w:val="82"/>
                    <w:adjustRightInd w:val="0"/>
                    <w:snapToGrid w:val="0"/>
                    <w:spacing w:after="0"/>
                    <w:ind w:left="0" w:leftChars="0" w:firstLine="0" w:firstLineChars="0"/>
                    <w:rPr>
                      <w:rFonts w:hint="eastAsia"/>
                      <w:color w:val="auto"/>
                      <w:sz w:val="18"/>
                      <w:szCs w:val="21"/>
                      <w:highlight w:val="none"/>
                    </w:rPr>
                  </w:pPr>
                  <w:r>
                    <w:rPr>
                      <w:rFonts w:hint="eastAsia"/>
                      <w:color w:val="auto"/>
                      <w:sz w:val="18"/>
                      <w:szCs w:val="21"/>
                      <w:highlight w:val="none"/>
                    </w:rPr>
                    <w:t>1.高污染燃料禁燃区内执行淄博市高污染燃料禁燃区划定文件的管控要求。</w:t>
                  </w:r>
                </w:p>
                <w:p w14:paraId="259B6B4F">
                  <w:pPr>
                    <w:pStyle w:val="82"/>
                    <w:adjustRightInd w:val="0"/>
                    <w:snapToGrid w:val="0"/>
                    <w:spacing w:after="0"/>
                    <w:ind w:left="0" w:leftChars="0" w:firstLine="0" w:firstLineChars="0"/>
                    <w:rPr>
                      <w:rFonts w:hint="eastAsia"/>
                      <w:color w:val="auto"/>
                      <w:sz w:val="18"/>
                      <w:szCs w:val="21"/>
                      <w:highlight w:val="none"/>
                    </w:rPr>
                  </w:pPr>
                  <w:r>
                    <w:rPr>
                      <w:rFonts w:hint="eastAsia"/>
                      <w:color w:val="auto"/>
                      <w:sz w:val="18"/>
                      <w:szCs w:val="21"/>
                      <w:highlight w:val="none"/>
                    </w:rPr>
                    <w:t>2.强化节水措施，提高水资源使用效率。</w:t>
                  </w:r>
                </w:p>
                <w:p w14:paraId="17073946">
                  <w:pPr>
                    <w:pStyle w:val="82"/>
                    <w:adjustRightInd w:val="0"/>
                    <w:snapToGrid w:val="0"/>
                    <w:spacing w:after="0"/>
                    <w:ind w:left="0" w:leftChars="0" w:firstLine="0" w:firstLineChars="0"/>
                    <w:rPr>
                      <w:rFonts w:hint="eastAsia"/>
                      <w:color w:val="auto"/>
                      <w:sz w:val="18"/>
                      <w:szCs w:val="21"/>
                      <w:highlight w:val="none"/>
                    </w:rPr>
                  </w:pPr>
                  <w:r>
                    <w:rPr>
                      <w:rFonts w:hint="eastAsia"/>
                      <w:color w:val="auto"/>
                      <w:sz w:val="18"/>
                      <w:szCs w:val="21"/>
                      <w:highlight w:val="none"/>
                    </w:rPr>
                    <w:t>3.提升土地集约化水平。</w:t>
                  </w:r>
                </w:p>
                <w:p w14:paraId="77F94292">
                  <w:pPr>
                    <w:pStyle w:val="82"/>
                    <w:adjustRightInd w:val="0"/>
                    <w:snapToGrid w:val="0"/>
                    <w:spacing w:after="0"/>
                    <w:ind w:left="0" w:leftChars="0" w:firstLine="0" w:firstLineChars="0"/>
                    <w:rPr>
                      <w:rFonts w:ascii="Times New Roman" w:hAnsi="Times New Roman" w:eastAsia="宋体" w:cs="Times New Roman"/>
                      <w:color w:val="auto"/>
                      <w:kern w:val="0"/>
                      <w:sz w:val="18"/>
                      <w:szCs w:val="21"/>
                      <w:highlight w:val="none"/>
                      <w:lang w:val="en-US" w:eastAsia="zh-CN" w:bidi="ar-SA"/>
                    </w:rPr>
                  </w:pPr>
                  <w:r>
                    <w:rPr>
                      <w:rFonts w:hint="eastAsia"/>
                      <w:color w:val="auto"/>
                      <w:sz w:val="18"/>
                      <w:szCs w:val="21"/>
                      <w:highlight w:val="none"/>
                    </w:rPr>
                    <w:t>4.优化调整能源利用结构，控制煤炭消费量，实现减量化，鼓励使用清洁能源、新能源和可再生能源</w:t>
                  </w:r>
                  <w:r>
                    <w:rPr>
                      <w:color w:val="auto"/>
                      <w:sz w:val="18"/>
                      <w:szCs w:val="21"/>
                      <w:highlight w:val="none"/>
                    </w:rPr>
                    <w:t>。</w:t>
                  </w:r>
                </w:p>
              </w:tc>
              <w:tc>
                <w:tcPr>
                  <w:tcW w:w="2995" w:type="dxa"/>
                  <w:vAlign w:val="center"/>
                </w:tcPr>
                <w:p w14:paraId="27EA806E">
                  <w:pPr>
                    <w:pStyle w:val="82"/>
                    <w:keepNext w:val="0"/>
                    <w:keepLines w:val="0"/>
                    <w:pageBreakBefore w:val="0"/>
                    <w:widowControl w:val="0"/>
                    <w:wordWrap/>
                    <w:topLinePunct w:val="0"/>
                    <w:bidi w:val="0"/>
                    <w:spacing w:after="0"/>
                    <w:ind w:left="0" w:leftChars="0" w:firstLine="0" w:firstLineChars="0"/>
                    <w:textAlignment w:val="auto"/>
                    <w:rPr>
                      <w:color w:val="auto"/>
                      <w:sz w:val="18"/>
                      <w:szCs w:val="21"/>
                      <w:highlight w:val="none"/>
                    </w:rPr>
                  </w:pPr>
                  <w:r>
                    <w:rPr>
                      <w:color w:val="auto"/>
                      <w:sz w:val="18"/>
                      <w:szCs w:val="21"/>
                      <w:highlight w:val="none"/>
                    </w:rPr>
                    <w:t>1.本项目不使用燃料，能源使用清洁能源电</w:t>
                  </w:r>
                  <w:r>
                    <w:rPr>
                      <w:rFonts w:hint="eastAsia"/>
                      <w:color w:val="auto"/>
                      <w:sz w:val="18"/>
                      <w:szCs w:val="21"/>
                      <w:highlight w:val="none"/>
                      <w:lang w:eastAsia="zh-CN"/>
                    </w:rPr>
                    <w:t>、</w:t>
                  </w:r>
                  <w:r>
                    <w:rPr>
                      <w:rFonts w:hint="eastAsia"/>
                      <w:color w:val="auto"/>
                      <w:sz w:val="18"/>
                      <w:szCs w:val="21"/>
                      <w:highlight w:val="none"/>
                      <w:lang w:val="en-US" w:eastAsia="zh-CN"/>
                    </w:rPr>
                    <w:t>蒸汽</w:t>
                  </w:r>
                  <w:r>
                    <w:rPr>
                      <w:color w:val="auto"/>
                      <w:sz w:val="18"/>
                      <w:szCs w:val="21"/>
                      <w:highlight w:val="none"/>
                    </w:rPr>
                    <w:t>。</w:t>
                  </w:r>
                </w:p>
                <w:p w14:paraId="27508D31">
                  <w:pPr>
                    <w:pStyle w:val="82"/>
                    <w:keepNext w:val="0"/>
                    <w:keepLines w:val="0"/>
                    <w:pageBreakBefore w:val="0"/>
                    <w:widowControl w:val="0"/>
                    <w:wordWrap/>
                    <w:topLinePunct w:val="0"/>
                    <w:bidi w:val="0"/>
                    <w:spacing w:after="0"/>
                    <w:ind w:left="0" w:leftChars="0" w:firstLine="0" w:firstLineChars="0"/>
                    <w:textAlignment w:val="auto"/>
                    <w:rPr>
                      <w:color w:val="auto"/>
                      <w:sz w:val="18"/>
                      <w:szCs w:val="21"/>
                      <w:highlight w:val="none"/>
                    </w:rPr>
                  </w:pPr>
                  <w:r>
                    <w:rPr>
                      <w:color w:val="auto"/>
                      <w:sz w:val="18"/>
                      <w:szCs w:val="21"/>
                      <w:highlight w:val="none"/>
                    </w:rPr>
                    <w:t>2.本项目运营过程中消耗水资源</w:t>
                  </w:r>
                  <w:r>
                    <w:rPr>
                      <w:rFonts w:hint="eastAsia"/>
                      <w:color w:val="auto"/>
                      <w:sz w:val="18"/>
                      <w:szCs w:val="21"/>
                      <w:highlight w:val="none"/>
                      <w:lang w:val="en-US" w:eastAsia="zh-CN"/>
                    </w:rPr>
                    <w:t>447.348</w:t>
                  </w:r>
                  <w:r>
                    <w:rPr>
                      <w:color w:val="auto"/>
                      <w:sz w:val="18"/>
                      <w:szCs w:val="21"/>
                      <w:highlight w:val="none"/>
                    </w:rPr>
                    <w:t>m</w:t>
                  </w:r>
                  <w:r>
                    <w:rPr>
                      <w:color w:val="auto"/>
                      <w:sz w:val="18"/>
                      <w:szCs w:val="21"/>
                      <w:highlight w:val="none"/>
                      <w:vertAlign w:val="superscript"/>
                    </w:rPr>
                    <w:t>3</w:t>
                  </w:r>
                  <w:r>
                    <w:rPr>
                      <w:color w:val="auto"/>
                      <w:sz w:val="18"/>
                      <w:szCs w:val="21"/>
                      <w:highlight w:val="none"/>
                    </w:rPr>
                    <w:t>/a，资源消耗量相对区域资源利用总量较少。</w:t>
                  </w:r>
                </w:p>
                <w:p w14:paraId="0B1B46B0">
                  <w:pPr>
                    <w:pStyle w:val="82"/>
                    <w:keepNext w:val="0"/>
                    <w:keepLines w:val="0"/>
                    <w:pageBreakBefore w:val="0"/>
                    <w:widowControl w:val="0"/>
                    <w:wordWrap/>
                    <w:topLinePunct w:val="0"/>
                    <w:bidi w:val="0"/>
                    <w:spacing w:after="0"/>
                    <w:ind w:left="0" w:leftChars="0" w:firstLine="0" w:firstLineChars="0"/>
                    <w:textAlignment w:val="auto"/>
                    <w:rPr>
                      <w:color w:val="auto"/>
                      <w:sz w:val="18"/>
                      <w:szCs w:val="21"/>
                      <w:highlight w:val="none"/>
                    </w:rPr>
                  </w:pPr>
                  <w:r>
                    <w:rPr>
                      <w:color w:val="auto"/>
                      <w:sz w:val="18"/>
                      <w:szCs w:val="21"/>
                      <w:highlight w:val="none"/>
                    </w:rPr>
                    <w:t>3.本项目不新征用地。</w:t>
                  </w:r>
                </w:p>
                <w:p w14:paraId="6795759E">
                  <w:pPr>
                    <w:pStyle w:val="82"/>
                    <w:keepNext w:val="0"/>
                    <w:keepLines w:val="0"/>
                    <w:pageBreakBefore w:val="0"/>
                    <w:widowControl w:val="0"/>
                    <w:wordWrap/>
                    <w:topLinePunct w:val="0"/>
                    <w:bidi w:val="0"/>
                    <w:spacing w:after="0"/>
                    <w:ind w:left="0" w:leftChars="0" w:firstLine="0" w:firstLineChars="0"/>
                    <w:textAlignment w:val="auto"/>
                    <w:rPr>
                      <w:color w:val="auto"/>
                      <w:sz w:val="18"/>
                      <w:szCs w:val="21"/>
                      <w:highlight w:val="none"/>
                    </w:rPr>
                  </w:pPr>
                  <w:r>
                    <w:rPr>
                      <w:color w:val="auto"/>
                      <w:sz w:val="18"/>
                      <w:szCs w:val="21"/>
                      <w:highlight w:val="none"/>
                    </w:rPr>
                    <w:t>4.本项目不使用煤炭，能源使用清洁能源电。</w:t>
                  </w:r>
                </w:p>
              </w:tc>
            </w:tr>
          </w:tbl>
          <w:p w14:paraId="6BFDEA03">
            <w:pPr>
              <w:pStyle w:val="77"/>
              <w:adjustRightInd w:val="0"/>
              <w:snapToGrid w:val="0"/>
              <w:spacing w:before="0" w:beforeAutospacing="0" w:after="0" w:afterAutospacing="0" w:line="360" w:lineRule="auto"/>
              <w:ind w:firstLine="422" w:firstLineChars="200"/>
              <w:jc w:val="both"/>
              <w:rPr>
                <w:rFonts w:ascii="Times New Roman" w:hAnsi="Times New Roman"/>
                <w:b/>
                <w:bCs/>
                <w:color w:val="auto"/>
                <w:sz w:val="21"/>
                <w:szCs w:val="21"/>
              </w:rPr>
            </w:pPr>
            <w:r>
              <w:rPr>
                <w:rFonts w:hint="eastAsia" w:ascii="Times New Roman" w:hAnsi="Times New Roman"/>
                <w:b/>
                <w:bCs/>
                <w:color w:val="auto"/>
                <w:sz w:val="21"/>
                <w:szCs w:val="21"/>
                <w:lang w:val="en-US" w:eastAsia="zh-CN"/>
              </w:rPr>
              <w:t>四</w:t>
            </w:r>
            <w:r>
              <w:rPr>
                <w:rFonts w:ascii="Times New Roman" w:hAnsi="Times New Roman"/>
                <w:b/>
                <w:bCs/>
                <w:color w:val="auto"/>
                <w:sz w:val="21"/>
                <w:szCs w:val="21"/>
              </w:rPr>
              <w:t>、环保政策符合性分析</w:t>
            </w:r>
          </w:p>
          <w:p w14:paraId="0C10A890">
            <w:pPr>
              <w:pStyle w:val="8"/>
              <w:spacing w:line="360" w:lineRule="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（1）与《关于印发山东省化工行业投资项目管理规定的通知》（鲁工信发[2022]5号）符合性分析</w:t>
            </w:r>
          </w:p>
          <w:p w14:paraId="6CCB947B">
            <w:pPr>
              <w:pStyle w:val="732"/>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表1-3  项目与鲁</w:t>
            </w:r>
            <w:r>
              <w:rPr>
                <w:rFonts w:hint="default" w:ascii="Times New Roman" w:hAnsi="Times New Roman" w:eastAsia="宋体" w:cs="Times New Roman"/>
                <w:b/>
                <w:bCs/>
                <w:color w:val="auto"/>
                <w:sz w:val="21"/>
                <w:szCs w:val="21"/>
                <w:highlight w:val="none"/>
                <w:lang w:eastAsia="zh-CN"/>
              </w:rPr>
              <w:t>工信发</w:t>
            </w:r>
            <w:r>
              <w:rPr>
                <w:rFonts w:hint="default" w:ascii="Times New Roman" w:hAnsi="Times New Roman" w:eastAsia="宋体" w:cs="Times New Roman"/>
                <w:b/>
                <w:bCs/>
                <w:color w:val="auto"/>
                <w:sz w:val="21"/>
                <w:szCs w:val="21"/>
                <w:highlight w:val="none"/>
              </w:rPr>
              <w:t>[202</w:t>
            </w:r>
            <w:r>
              <w:rPr>
                <w:rFonts w:hint="default" w:ascii="Times New Roman" w:hAnsi="Times New Roman" w:eastAsia="宋体"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rPr>
              <w:t>]</w:t>
            </w:r>
            <w:r>
              <w:rPr>
                <w:rFonts w:hint="default" w:ascii="Times New Roman" w:hAnsi="Times New Roman" w:eastAsia="宋体" w:cs="Times New Roman"/>
                <w:b/>
                <w:bCs/>
                <w:color w:val="auto"/>
                <w:sz w:val="21"/>
                <w:szCs w:val="21"/>
                <w:highlight w:val="none"/>
                <w:lang w:val="en-US" w:eastAsia="zh-CN"/>
              </w:rPr>
              <w:t>5</w:t>
            </w:r>
            <w:r>
              <w:rPr>
                <w:rFonts w:hint="default" w:ascii="Times New Roman" w:hAnsi="Times New Roman" w:eastAsia="宋体" w:cs="Times New Roman"/>
                <w:b/>
                <w:bCs/>
                <w:color w:val="auto"/>
                <w:sz w:val="21"/>
                <w:szCs w:val="21"/>
                <w:highlight w:val="none"/>
              </w:rPr>
              <w:t>号文符合性一览表</w:t>
            </w:r>
          </w:p>
          <w:tbl>
            <w:tblPr>
              <w:tblStyle w:val="83"/>
              <w:tblW w:w="4999"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486"/>
              <w:gridCol w:w="3967"/>
              <w:gridCol w:w="1657"/>
              <w:gridCol w:w="1050"/>
            </w:tblGrid>
            <w:tr w14:paraId="486C5748">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910" w:type="pct"/>
                  <w:tcBorders>
                    <w:top w:val="single" w:color="auto" w:sz="4" w:space="0"/>
                    <w:left w:val="single" w:color="auto" w:sz="0" w:space="0"/>
                    <w:bottom w:val="single" w:color="auto" w:sz="4" w:space="0"/>
                    <w:right w:val="single" w:color="auto" w:sz="4" w:space="0"/>
                    <w:tl2br w:val="nil"/>
                    <w:tr2bl w:val="nil"/>
                  </w:tcBorders>
                  <w:noWrap w:val="0"/>
                  <w:vAlign w:val="center"/>
                </w:tcPr>
                <w:p w14:paraId="1AA72FD4">
                  <w:pPr>
                    <w:pStyle w:val="200"/>
                    <w:spacing w:beforeLines="0" w:afterLines="0" w:line="240" w:lineRule="auto"/>
                    <w:jc w:val="center"/>
                    <w:rPr>
                      <w:rFonts w:hint="eastAsia" w:ascii="Times New Roman" w:hAnsi="Times New Roman" w:cs="Times New Roman" w:eastAsiaTheme="minorEastAsia"/>
                      <w:color w:val="auto"/>
                      <w:sz w:val="18"/>
                      <w:szCs w:val="16"/>
                      <w:highlight w:val="none"/>
                      <w:lang w:eastAsia="zh-CN"/>
                    </w:rPr>
                  </w:pPr>
                  <w:r>
                    <w:rPr>
                      <w:rFonts w:hint="eastAsia" w:ascii="Times New Roman" w:hAnsi="Times New Roman" w:cs="Times New Roman" w:eastAsiaTheme="minorEastAsia"/>
                      <w:color w:val="auto"/>
                      <w:sz w:val="18"/>
                      <w:szCs w:val="16"/>
                      <w:highlight w:val="none"/>
                      <w:lang w:eastAsia="zh-CN"/>
                    </w:rPr>
                    <w:t>项目</w:t>
                  </w:r>
                </w:p>
              </w:tc>
              <w:tc>
                <w:tcPr>
                  <w:tcW w:w="243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F2B6A1A">
                  <w:pPr>
                    <w:pStyle w:val="200"/>
                    <w:spacing w:beforeLines="0" w:afterLines="0" w:line="240" w:lineRule="auto"/>
                    <w:jc w:val="center"/>
                    <w:rPr>
                      <w:rFonts w:hint="default" w:ascii="Times New Roman" w:hAnsi="Times New Roman" w:cs="Times New Roman" w:eastAsiaTheme="minorEastAsia"/>
                      <w:color w:val="auto"/>
                      <w:sz w:val="18"/>
                      <w:szCs w:val="16"/>
                      <w:highlight w:val="none"/>
                    </w:rPr>
                  </w:pPr>
                  <w:r>
                    <w:rPr>
                      <w:rFonts w:hint="eastAsia" w:ascii="Times New Roman" w:hAnsi="Times New Roman" w:cs="Times New Roman" w:eastAsiaTheme="minorEastAsia"/>
                      <w:color w:val="auto"/>
                      <w:sz w:val="18"/>
                      <w:szCs w:val="16"/>
                      <w:highlight w:val="none"/>
                    </w:rPr>
                    <w:t>文件要求</w:t>
                  </w:r>
                </w:p>
              </w:tc>
              <w:tc>
                <w:tcPr>
                  <w:tcW w:w="101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B9289D8">
                  <w:pPr>
                    <w:pStyle w:val="200"/>
                    <w:spacing w:beforeLines="0" w:afterLines="0" w:line="240" w:lineRule="auto"/>
                    <w:jc w:val="center"/>
                    <w:rPr>
                      <w:rFonts w:hint="eastAsia" w:ascii="Times New Roman" w:hAnsi="Times New Roman" w:cs="Times New Roman" w:eastAsiaTheme="minorEastAsia"/>
                      <w:color w:val="auto"/>
                      <w:sz w:val="18"/>
                      <w:szCs w:val="16"/>
                      <w:highlight w:val="none"/>
                    </w:rPr>
                  </w:pPr>
                  <w:r>
                    <w:rPr>
                      <w:rFonts w:hint="eastAsia" w:ascii="Times New Roman" w:hAnsi="Times New Roman" w:cs="Times New Roman" w:eastAsiaTheme="minorEastAsia"/>
                      <w:color w:val="auto"/>
                      <w:sz w:val="18"/>
                      <w:szCs w:val="16"/>
                      <w:highlight w:val="none"/>
                    </w:rPr>
                    <w:t>本项目</w:t>
                  </w:r>
                  <w:r>
                    <w:rPr>
                      <w:rFonts w:hint="default" w:ascii="Times New Roman" w:hAnsi="Times New Roman" w:cs="Times New Roman" w:eastAsiaTheme="minorEastAsia"/>
                      <w:color w:val="auto"/>
                      <w:sz w:val="18"/>
                      <w:szCs w:val="16"/>
                      <w:highlight w:val="none"/>
                    </w:rPr>
                    <w:t>情况</w:t>
                  </w:r>
                </w:p>
              </w:tc>
              <w:tc>
                <w:tcPr>
                  <w:tcW w:w="6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4C0EA720">
                  <w:pPr>
                    <w:pStyle w:val="200"/>
                    <w:spacing w:beforeLines="0" w:afterLines="0" w:line="240" w:lineRule="auto"/>
                    <w:jc w:val="center"/>
                    <w:rPr>
                      <w:rFonts w:hint="default" w:ascii="Times New Roman" w:hAnsi="Times New Roman" w:cs="Times New Roman" w:eastAsiaTheme="minorEastAsia"/>
                      <w:color w:val="auto"/>
                      <w:sz w:val="18"/>
                      <w:szCs w:val="16"/>
                      <w:highlight w:val="none"/>
                    </w:rPr>
                  </w:pPr>
                  <w:r>
                    <w:rPr>
                      <w:rFonts w:hint="eastAsia" w:ascii="Times New Roman" w:hAnsi="Times New Roman" w:cs="Times New Roman" w:eastAsiaTheme="minorEastAsia"/>
                      <w:color w:val="auto"/>
                      <w:sz w:val="18"/>
                      <w:szCs w:val="16"/>
                      <w:highlight w:val="none"/>
                    </w:rPr>
                    <w:t>符合情况</w:t>
                  </w:r>
                </w:p>
              </w:tc>
            </w:tr>
            <w:tr w14:paraId="0972BC5A">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91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73EDAA1C">
                  <w:pPr>
                    <w:pStyle w:val="200"/>
                    <w:spacing w:beforeLines="0" w:afterLines="0" w:line="240" w:lineRule="auto"/>
                    <w:jc w:val="center"/>
                    <w:rPr>
                      <w:rFonts w:hint="eastAsia" w:ascii="Times New Roman" w:hAnsi="Times New Roman" w:cs="Times New Roman" w:eastAsiaTheme="minorEastAsia"/>
                      <w:color w:val="auto"/>
                      <w:sz w:val="18"/>
                      <w:szCs w:val="16"/>
                      <w:highlight w:val="none"/>
                      <w:lang w:val="en-US" w:eastAsia="zh-CN"/>
                    </w:rPr>
                  </w:pPr>
                  <w:r>
                    <w:rPr>
                      <w:rFonts w:hint="eastAsia" w:ascii="Times New Roman" w:hAnsi="Times New Roman" w:cs="Times New Roman" w:eastAsiaTheme="minorEastAsia"/>
                      <w:color w:val="auto"/>
                      <w:sz w:val="18"/>
                      <w:szCs w:val="16"/>
                      <w:highlight w:val="none"/>
                      <w:lang w:val="en-US" w:eastAsia="zh-CN"/>
                    </w:rPr>
                    <w:t>项目管理</w:t>
                  </w:r>
                </w:p>
              </w:tc>
              <w:tc>
                <w:tcPr>
                  <w:tcW w:w="2430" w:type="pct"/>
                  <w:tcBorders>
                    <w:top w:val="single" w:color="auto" w:sz="4" w:space="0"/>
                    <w:left w:val="single" w:color="auto" w:sz="4" w:space="0"/>
                    <w:bottom w:val="single" w:color="auto" w:sz="4" w:space="0"/>
                    <w:right w:val="single" w:color="auto" w:sz="4" w:space="0"/>
                    <w:tl2br w:val="nil"/>
                    <w:tr2bl w:val="nil"/>
                  </w:tcBorders>
                  <w:noWrap w:val="0"/>
                  <w:vAlign w:val="center"/>
                </w:tcPr>
                <w:p w14:paraId="061348C5">
                  <w:pPr>
                    <w:pStyle w:val="200"/>
                    <w:spacing w:beforeLines="0" w:afterLines="0" w:line="240" w:lineRule="auto"/>
                    <w:jc w:val="both"/>
                    <w:rPr>
                      <w:rFonts w:hint="eastAsia" w:ascii="Times New Roman" w:hAnsi="Times New Roman" w:cs="Times New Roman" w:eastAsiaTheme="minorEastAsia"/>
                      <w:color w:val="auto"/>
                      <w:sz w:val="18"/>
                      <w:szCs w:val="16"/>
                      <w:highlight w:val="none"/>
                      <w:lang w:val="en-US" w:eastAsia="zh-CN"/>
                    </w:rPr>
                  </w:pPr>
                  <w:r>
                    <w:rPr>
                      <w:rFonts w:hint="eastAsia" w:ascii="Times New Roman" w:hAnsi="Times New Roman" w:cs="Times New Roman" w:eastAsiaTheme="minorEastAsia"/>
                      <w:color w:val="auto"/>
                      <w:sz w:val="18"/>
                      <w:szCs w:val="16"/>
                      <w:highlight w:val="none"/>
                      <w:lang w:val="en-US" w:eastAsia="zh-CN"/>
                    </w:rPr>
                    <w:t>符合下列情形之一的化工项目，除国家另有规定的外，可以在省政府认定的化工园区、专业化工园区和重点监控点外实施，且不受投资额限值。</w:t>
                  </w:r>
                </w:p>
                <w:p w14:paraId="2ECD00A1">
                  <w:pPr>
                    <w:pStyle w:val="200"/>
                    <w:spacing w:beforeLines="0" w:afterLines="0" w:line="240" w:lineRule="auto"/>
                    <w:jc w:val="both"/>
                    <w:rPr>
                      <w:rFonts w:hint="eastAsia" w:ascii="Times New Roman" w:hAnsi="Times New Roman" w:cs="Times New Roman" w:eastAsiaTheme="minorEastAsia"/>
                      <w:color w:val="auto"/>
                      <w:sz w:val="18"/>
                      <w:szCs w:val="16"/>
                      <w:highlight w:val="none"/>
                      <w:lang w:val="en-US" w:eastAsia="zh-CN"/>
                    </w:rPr>
                  </w:pPr>
                  <w:r>
                    <w:rPr>
                      <w:rFonts w:hint="eastAsia" w:ascii="Times New Roman" w:hAnsi="Times New Roman" w:cs="Times New Roman" w:eastAsiaTheme="minorEastAsia"/>
                      <w:color w:val="auto"/>
                      <w:sz w:val="18"/>
                      <w:szCs w:val="16"/>
                      <w:highlight w:val="none"/>
                      <w:lang w:val="en-US" w:eastAsia="zh-CN"/>
                    </w:rPr>
                    <w:t>（一）2625有机肥料及微生物肥料制造、2682化妆品制造、2683口腔清洁用品制造、291橡胶制品业项目。</w:t>
                  </w:r>
                </w:p>
                <w:p w14:paraId="7FEBA3F5">
                  <w:pPr>
                    <w:pStyle w:val="200"/>
                    <w:spacing w:beforeLines="0" w:afterLines="0" w:line="240" w:lineRule="auto"/>
                    <w:jc w:val="both"/>
                    <w:rPr>
                      <w:rFonts w:hint="eastAsia" w:ascii="Times New Roman" w:hAnsi="Times New Roman" w:cs="Times New Roman" w:eastAsiaTheme="minorEastAsia"/>
                      <w:color w:val="auto"/>
                      <w:sz w:val="18"/>
                      <w:szCs w:val="16"/>
                      <w:highlight w:val="none"/>
                      <w:lang w:val="en-US" w:eastAsia="zh-CN"/>
                    </w:rPr>
                  </w:pPr>
                  <w:r>
                    <w:rPr>
                      <w:rFonts w:hint="eastAsia" w:ascii="Times New Roman" w:hAnsi="Times New Roman" w:cs="Times New Roman" w:eastAsiaTheme="minorEastAsia"/>
                      <w:color w:val="auto"/>
                      <w:sz w:val="18"/>
                      <w:szCs w:val="16"/>
                      <w:highlight w:val="none"/>
                      <w:lang w:val="en-US" w:eastAsia="zh-CN"/>
                    </w:rPr>
                    <w:t>列入《建设项目环境影响评价分类管理名录》的环评类别为报告表、登记表的非危险化学品项目。</w:t>
                  </w:r>
                </w:p>
                <w:p w14:paraId="3CC59D90">
                  <w:pPr>
                    <w:pStyle w:val="200"/>
                    <w:spacing w:beforeLines="0" w:afterLines="0" w:line="240" w:lineRule="auto"/>
                    <w:jc w:val="both"/>
                    <w:rPr>
                      <w:rFonts w:hint="default" w:ascii="Times New Roman" w:hAnsi="Times New Roman" w:cs="Times New Roman" w:eastAsiaTheme="minorEastAsia"/>
                      <w:color w:val="auto"/>
                      <w:sz w:val="18"/>
                      <w:szCs w:val="16"/>
                      <w:highlight w:val="none"/>
                      <w:lang w:val="en-US" w:eastAsia="zh-CN"/>
                    </w:rPr>
                  </w:pPr>
                  <w:r>
                    <w:rPr>
                      <w:rFonts w:hint="eastAsia" w:ascii="Times New Roman" w:hAnsi="Times New Roman" w:cs="Times New Roman" w:eastAsiaTheme="minorEastAsia"/>
                      <w:color w:val="auto"/>
                      <w:sz w:val="18"/>
                      <w:szCs w:val="16"/>
                      <w:highlight w:val="none"/>
                      <w:lang w:val="en-US" w:eastAsia="zh-CN"/>
                    </w:rPr>
                    <w:t>海水或卤水提取溴素、二氧化碳收集、新建大型冶金项目配套焦化和制酸、可再生能源发电制氢、为非化工项目配套的空分以及依托钢铁企业副产煤气就地实施钢化联产项目。</w:t>
                  </w:r>
                </w:p>
              </w:tc>
              <w:tc>
                <w:tcPr>
                  <w:tcW w:w="1015" w:type="pct"/>
                  <w:tcBorders>
                    <w:top w:val="single" w:color="auto" w:sz="4" w:space="0"/>
                    <w:left w:val="single" w:color="auto" w:sz="4" w:space="0"/>
                    <w:bottom w:val="single" w:color="auto" w:sz="4" w:space="0"/>
                    <w:right w:val="single" w:color="auto" w:sz="4" w:space="0"/>
                    <w:tl2br w:val="nil"/>
                    <w:tr2bl w:val="nil"/>
                  </w:tcBorders>
                  <w:noWrap w:val="0"/>
                  <w:vAlign w:val="center"/>
                </w:tcPr>
                <w:p w14:paraId="3B87D7BD">
                  <w:pPr>
                    <w:pStyle w:val="200"/>
                    <w:spacing w:beforeLines="0" w:afterLines="0" w:line="240" w:lineRule="auto"/>
                    <w:jc w:val="both"/>
                    <w:rPr>
                      <w:rFonts w:hint="eastAsia" w:ascii="Times New Roman" w:hAnsi="Times New Roman" w:cs="Times New Roman" w:eastAsiaTheme="minorEastAsia"/>
                      <w:color w:val="auto"/>
                      <w:sz w:val="18"/>
                      <w:szCs w:val="16"/>
                      <w:highlight w:val="none"/>
                      <w:lang w:val="en-US" w:eastAsia="zh-CN"/>
                    </w:rPr>
                  </w:pPr>
                  <w:r>
                    <w:rPr>
                      <w:rFonts w:hint="eastAsia" w:ascii="Times New Roman" w:hAnsi="Times New Roman" w:cs="Times New Roman" w:eastAsiaTheme="minorEastAsia"/>
                      <w:color w:val="auto"/>
                      <w:sz w:val="18"/>
                      <w:szCs w:val="16"/>
                      <w:highlight w:val="none"/>
                      <w:lang w:val="en-US" w:eastAsia="zh-CN"/>
                    </w:rPr>
                    <w:t>本项目不在化工园区内，为C2613无机盐制造，属于列入《建设项目环境影响评价分类管理名录》的环评类别为报告表、登记表的非危险化学品项目。可以在省政府认定的化工园区、专业化工园区和重点监控点外。</w:t>
                  </w:r>
                </w:p>
              </w:tc>
              <w:tc>
                <w:tcPr>
                  <w:tcW w:w="643" w:type="pct"/>
                  <w:tcBorders>
                    <w:top w:val="single" w:color="auto" w:sz="4" w:space="0"/>
                    <w:left w:val="single" w:color="auto" w:sz="4" w:space="0"/>
                    <w:bottom w:val="single" w:color="auto" w:sz="4" w:space="0"/>
                    <w:right w:val="single" w:color="auto" w:sz="4" w:space="0"/>
                    <w:tl2br w:val="nil"/>
                    <w:tr2bl w:val="nil"/>
                  </w:tcBorders>
                  <w:noWrap w:val="0"/>
                  <w:vAlign w:val="center"/>
                </w:tcPr>
                <w:p w14:paraId="2CABB61A">
                  <w:pPr>
                    <w:pStyle w:val="200"/>
                    <w:spacing w:beforeLines="0" w:afterLines="0" w:line="240" w:lineRule="auto"/>
                    <w:jc w:val="center"/>
                    <w:rPr>
                      <w:rFonts w:hint="eastAsia" w:ascii="Times New Roman" w:hAnsi="Times New Roman" w:cs="Times New Roman" w:eastAsiaTheme="minorEastAsia"/>
                      <w:color w:val="auto"/>
                      <w:sz w:val="18"/>
                      <w:szCs w:val="16"/>
                      <w:highlight w:val="none"/>
                    </w:rPr>
                  </w:pPr>
                  <w:r>
                    <w:rPr>
                      <w:rFonts w:hint="eastAsia" w:ascii="Times New Roman" w:hAnsi="Times New Roman" w:cs="Times New Roman" w:eastAsiaTheme="minorEastAsia"/>
                      <w:color w:val="auto"/>
                      <w:sz w:val="18"/>
                      <w:szCs w:val="16"/>
                      <w:highlight w:val="none"/>
                    </w:rPr>
                    <w:t>符合</w:t>
                  </w:r>
                </w:p>
              </w:tc>
            </w:tr>
          </w:tbl>
          <w:p w14:paraId="5C6FEDB4">
            <w:pPr>
              <w:pStyle w:val="1395"/>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eastAsia" w:ascii="Times New Roman" w:hAnsi="Times New Roman"/>
                <w:b/>
                <w:color w:val="auto"/>
                <w:highlight w:val="none"/>
                <w:lang w:eastAsia="zh-CN"/>
              </w:rPr>
            </w:pP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2</w:t>
            </w:r>
            <w:r>
              <w:rPr>
                <w:rFonts w:hint="eastAsia" w:cs="Times New Roman"/>
                <w:color w:val="auto"/>
                <w:sz w:val="21"/>
                <w:szCs w:val="21"/>
                <w:highlight w:val="none"/>
                <w:lang w:eastAsia="zh-CN"/>
              </w:rPr>
              <w:t>）</w:t>
            </w:r>
            <w:r>
              <w:rPr>
                <w:rFonts w:hint="eastAsia" w:ascii="Times New Roman" w:hAnsi="Times New Roman" w:eastAsia="宋体" w:cs="Times New Roman"/>
                <w:iCs w:val="0"/>
                <w:color w:val="auto"/>
                <w:kern w:val="2"/>
                <w:sz w:val="21"/>
                <w:szCs w:val="21"/>
                <w:highlight w:val="none"/>
                <w:lang w:val="en-US" w:eastAsia="zh-CN" w:bidi="ar-SA"/>
              </w:rPr>
              <w:t>与《淄博市化工企业环境保护管理规范》符合性分析</w:t>
            </w:r>
          </w:p>
          <w:p w14:paraId="1895EC39">
            <w:pPr>
              <w:pStyle w:val="732"/>
              <w:snapToGrid w:val="0"/>
              <w:jc w:val="center"/>
              <w:rPr>
                <w:rFonts w:hint="eastAsia" w:ascii="Times New Roman" w:hAnsi="Times New Roman" w:eastAsia="宋体" w:cs="Times New Roman"/>
                <w:b/>
                <w:bCs/>
                <w:color w:val="auto"/>
                <w:sz w:val="21"/>
                <w:szCs w:val="21"/>
                <w:highlight w:val="none"/>
                <w:lang w:eastAsia="zh-CN"/>
              </w:rPr>
            </w:pPr>
            <w:r>
              <w:rPr>
                <w:rFonts w:hint="eastAsia" w:ascii="Times New Roman" w:hAnsi="Times New Roman" w:eastAsia="宋体" w:cs="Times New Roman"/>
                <w:b/>
                <w:bCs/>
                <w:color w:val="auto"/>
                <w:sz w:val="21"/>
                <w:szCs w:val="21"/>
                <w:highlight w:val="none"/>
              </w:rPr>
              <w:t>表1-</w:t>
            </w:r>
            <w:r>
              <w:rPr>
                <w:rFonts w:hint="eastAsia" w:ascii="Times New Roman" w:hAnsi="Times New Roman" w:eastAsia="宋体" w:cs="Times New Roman"/>
                <w:b/>
                <w:bCs/>
                <w:color w:val="auto"/>
                <w:sz w:val="21"/>
                <w:szCs w:val="21"/>
                <w:highlight w:val="none"/>
                <w:lang w:val="en-US" w:eastAsia="zh-CN"/>
              </w:rPr>
              <w:t>4</w:t>
            </w:r>
            <w:r>
              <w:rPr>
                <w:rFonts w:hint="eastAsia" w:ascii="Times New Roman" w:hAnsi="Times New Roman" w:eastAsia="宋体" w:cs="Times New Roman"/>
                <w:b/>
                <w:bCs/>
                <w:color w:val="auto"/>
                <w:sz w:val="21"/>
                <w:szCs w:val="21"/>
                <w:highlight w:val="none"/>
              </w:rPr>
              <w:t xml:space="preserve"> 项目与</w:t>
            </w:r>
            <w:r>
              <w:rPr>
                <w:rFonts w:hint="eastAsia" w:ascii="Times New Roman" w:hAnsi="Times New Roman" w:eastAsia="宋体" w:cs="Times New Roman"/>
                <w:b/>
                <w:bCs/>
                <w:color w:val="auto"/>
                <w:sz w:val="21"/>
                <w:szCs w:val="21"/>
                <w:highlight w:val="none"/>
                <w:lang w:eastAsia="zh-CN"/>
              </w:rPr>
              <w:t>《淄博市化工企业环境保护管理规范》</w:t>
            </w:r>
            <w:r>
              <w:rPr>
                <w:rFonts w:hint="eastAsia" w:ascii="Times New Roman" w:hAnsi="Times New Roman" w:eastAsia="宋体" w:cs="Times New Roman"/>
                <w:b/>
                <w:bCs/>
                <w:color w:val="auto"/>
                <w:sz w:val="21"/>
                <w:szCs w:val="21"/>
                <w:highlight w:val="none"/>
              </w:rPr>
              <w:t>符合性一览表</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81"/>
              <w:gridCol w:w="2441"/>
              <w:gridCol w:w="1127"/>
            </w:tblGrid>
            <w:tr w14:paraId="241A1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10" w:type="pct"/>
                  <w:tcBorders>
                    <w:tl2br w:val="nil"/>
                    <w:tr2bl w:val="nil"/>
                  </w:tcBorders>
                  <w:noWrap w:val="0"/>
                  <w:vAlign w:val="center"/>
                </w:tcPr>
                <w:p w14:paraId="608C6150">
                  <w:pPr>
                    <w:pStyle w:val="200"/>
                    <w:spacing w:beforeLines="0" w:afterLines="0" w:line="240" w:lineRule="auto"/>
                    <w:jc w:val="center"/>
                    <w:rPr>
                      <w:rFonts w:hint="eastAsia" w:ascii="Times New Roman" w:hAnsi="Times New Roman" w:cs="Times New Roman" w:eastAsiaTheme="minorEastAsia"/>
                      <w:color w:val="auto"/>
                      <w:sz w:val="18"/>
                      <w:szCs w:val="16"/>
                      <w:highlight w:val="none"/>
                    </w:rPr>
                  </w:pPr>
                  <w:r>
                    <w:rPr>
                      <w:rFonts w:hint="eastAsia" w:ascii="Times New Roman" w:hAnsi="Times New Roman" w:cs="Times New Roman" w:eastAsiaTheme="minorEastAsia"/>
                      <w:color w:val="auto"/>
                      <w:sz w:val="18"/>
                      <w:szCs w:val="16"/>
                      <w:highlight w:val="none"/>
                    </w:rPr>
                    <w:t>文件要求</w:t>
                  </w:r>
                </w:p>
              </w:tc>
              <w:tc>
                <w:tcPr>
                  <w:tcW w:w="1497" w:type="pct"/>
                  <w:tcBorders>
                    <w:tl2br w:val="nil"/>
                    <w:tr2bl w:val="nil"/>
                  </w:tcBorders>
                  <w:noWrap w:val="0"/>
                  <w:vAlign w:val="center"/>
                </w:tcPr>
                <w:p w14:paraId="354D3040">
                  <w:pPr>
                    <w:pStyle w:val="200"/>
                    <w:spacing w:beforeLines="0" w:afterLines="0" w:line="240" w:lineRule="auto"/>
                    <w:jc w:val="center"/>
                    <w:rPr>
                      <w:rFonts w:hint="eastAsia" w:ascii="Times New Roman" w:hAnsi="Times New Roman" w:cs="Times New Roman" w:eastAsiaTheme="minorEastAsia"/>
                      <w:color w:val="auto"/>
                      <w:sz w:val="18"/>
                      <w:szCs w:val="16"/>
                      <w:highlight w:val="none"/>
                    </w:rPr>
                  </w:pPr>
                  <w:r>
                    <w:rPr>
                      <w:rFonts w:hint="eastAsia" w:ascii="Times New Roman" w:hAnsi="Times New Roman" w:cs="Times New Roman" w:eastAsiaTheme="minorEastAsia"/>
                      <w:color w:val="auto"/>
                      <w:sz w:val="18"/>
                      <w:szCs w:val="16"/>
                      <w:highlight w:val="none"/>
                    </w:rPr>
                    <w:t>本项目</w:t>
                  </w:r>
                  <w:r>
                    <w:rPr>
                      <w:rFonts w:hint="default" w:ascii="Times New Roman" w:hAnsi="Times New Roman" w:cs="Times New Roman" w:eastAsiaTheme="minorEastAsia"/>
                      <w:color w:val="auto"/>
                      <w:sz w:val="18"/>
                      <w:szCs w:val="16"/>
                      <w:highlight w:val="none"/>
                    </w:rPr>
                    <w:t>情况</w:t>
                  </w:r>
                </w:p>
              </w:tc>
              <w:tc>
                <w:tcPr>
                  <w:tcW w:w="691" w:type="pct"/>
                  <w:tcBorders>
                    <w:tl2br w:val="nil"/>
                    <w:tr2bl w:val="nil"/>
                  </w:tcBorders>
                  <w:noWrap w:val="0"/>
                  <w:vAlign w:val="center"/>
                </w:tcPr>
                <w:p w14:paraId="4356BE2E">
                  <w:pPr>
                    <w:pStyle w:val="200"/>
                    <w:spacing w:beforeLines="0" w:afterLines="0" w:line="240" w:lineRule="auto"/>
                    <w:jc w:val="center"/>
                    <w:rPr>
                      <w:rFonts w:hint="default" w:ascii="Times New Roman" w:hAnsi="Times New Roman" w:cs="Times New Roman" w:eastAsiaTheme="minorEastAsia"/>
                      <w:color w:val="auto"/>
                      <w:sz w:val="18"/>
                      <w:szCs w:val="16"/>
                      <w:highlight w:val="none"/>
                    </w:rPr>
                  </w:pPr>
                  <w:r>
                    <w:rPr>
                      <w:rFonts w:hint="eastAsia" w:ascii="Times New Roman" w:hAnsi="Times New Roman" w:cs="Times New Roman" w:eastAsiaTheme="minorEastAsia"/>
                      <w:color w:val="auto"/>
                      <w:sz w:val="18"/>
                      <w:szCs w:val="16"/>
                      <w:highlight w:val="none"/>
                    </w:rPr>
                    <w:t>符合情况</w:t>
                  </w:r>
                </w:p>
              </w:tc>
            </w:tr>
            <w:tr w14:paraId="03CF0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10" w:type="pct"/>
                  <w:tcBorders>
                    <w:tl2br w:val="nil"/>
                    <w:tr2bl w:val="nil"/>
                  </w:tcBorders>
                  <w:noWrap w:val="0"/>
                  <w:vAlign w:val="center"/>
                </w:tcPr>
                <w:p w14:paraId="6B564801">
                  <w:pPr>
                    <w:pStyle w:val="200"/>
                    <w:spacing w:beforeLines="0" w:afterLines="0" w:line="240" w:lineRule="auto"/>
                    <w:jc w:val="both"/>
                    <w:rPr>
                      <w:rFonts w:hint="default" w:ascii="Times New Roman" w:hAnsi="Times New Roman" w:cs="Times New Roman" w:eastAsiaTheme="minorEastAsia"/>
                      <w:color w:val="auto"/>
                      <w:sz w:val="18"/>
                      <w:szCs w:val="16"/>
                      <w:highlight w:val="none"/>
                      <w:lang w:val="en-US" w:eastAsia="zh-CN"/>
                    </w:rPr>
                  </w:pPr>
                  <w:r>
                    <w:rPr>
                      <w:rFonts w:hint="eastAsia" w:ascii="Times New Roman" w:hAnsi="Times New Roman" w:cs="Times New Roman" w:eastAsiaTheme="minorEastAsia"/>
                      <w:color w:val="auto"/>
                      <w:sz w:val="18"/>
                      <w:szCs w:val="16"/>
                      <w:highlight w:val="none"/>
                    </w:rPr>
                    <w:t>2.</w:t>
                  </w:r>
                  <w:r>
                    <w:rPr>
                      <w:rFonts w:hint="eastAsia" w:ascii="Times New Roman" w:hAnsi="Times New Roman" w:cs="Times New Roman" w:eastAsiaTheme="minorEastAsia"/>
                      <w:color w:val="auto"/>
                      <w:sz w:val="18"/>
                      <w:szCs w:val="16"/>
                      <w:highlight w:val="none"/>
                      <w:lang w:eastAsia="zh-CN"/>
                    </w:rPr>
                    <w:t>化工企业要建立专门的环境管理机构，健全完善环境管理制度并纳入正常管理，记录环保设施的运行数据并建立环保档案，环保设施稳定运转率达到</w:t>
                  </w:r>
                  <w:r>
                    <w:rPr>
                      <w:rFonts w:hint="eastAsia" w:ascii="Times New Roman" w:hAnsi="Times New Roman" w:cs="Times New Roman" w:eastAsiaTheme="minorEastAsia"/>
                      <w:color w:val="auto"/>
                      <w:sz w:val="18"/>
                      <w:szCs w:val="16"/>
                      <w:highlight w:val="none"/>
                      <w:lang w:val="en-US" w:eastAsia="zh-CN"/>
                    </w:rPr>
                    <w:t>95%以上。建立和完善环境污染事故应急预案，并定期组织演练。</w:t>
                  </w:r>
                </w:p>
              </w:tc>
              <w:tc>
                <w:tcPr>
                  <w:tcW w:w="1497" w:type="pct"/>
                  <w:tcBorders>
                    <w:tl2br w:val="nil"/>
                    <w:tr2bl w:val="nil"/>
                  </w:tcBorders>
                  <w:noWrap w:val="0"/>
                  <w:vAlign w:val="center"/>
                </w:tcPr>
                <w:p w14:paraId="14554FD8">
                  <w:pPr>
                    <w:pStyle w:val="200"/>
                    <w:spacing w:beforeLines="0" w:afterLines="0" w:line="240" w:lineRule="auto"/>
                    <w:jc w:val="center"/>
                    <w:rPr>
                      <w:rFonts w:hint="eastAsia" w:ascii="Times New Roman" w:hAnsi="Times New Roman" w:cs="Times New Roman" w:eastAsiaTheme="minorEastAsia"/>
                      <w:color w:val="auto"/>
                      <w:sz w:val="18"/>
                      <w:szCs w:val="16"/>
                      <w:highlight w:val="none"/>
                      <w:lang w:eastAsia="zh-CN"/>
                    </w:rPr>
                  </w:pPr>
                  <w:r>
                    <w:rPr>
                      <w:rFonts w:hint="eastAsia" w:ascii="Times New Roman" w:hAnsi="Times New Roman" w:cs="Times New Roman" w:eastAsiaTheme="minorEastAsia"/>
                      <w:color w:val="auto"/>
                      <w:sz w:val="18"/>
                      <w:szCs w:val="16"/>
                      <w:highlight w:val="none"/>
                      <w:lang w:eastAsia="zh-CN"/>
                    </w:rPr>
                    <w:t>公司</w:t>
                  </w:r>
                  <w:r>
                    <w:rPr>
                      <w:rFonts w:hint="eastAsia" w:ascii="Times New Roman" w:hAnsi="Times New Roman" w:cs="Times New Roman" w:eastAsiaTheme="minorEastAsia"/>
                      <w:color w:val="auto"/>
                      <w:sz w:val="18"/>
                      <w:szCs w:val="16"/>
                      <w:highlight w:val="none"/>
                      <w:lang w:val="en-US" w:eastAsia="zh-CN"/>
                    </w:rPr>
                    <w:t>建成后</w:t>
                  </w:r>
                  <w:r>
                    <w:rPr>
                      <w:rFonts w:hint="eastAsia" w:ascii="Times New Roman" w:hAnsi="Times New Roman" w:cs="Times New Roman" w:eastAsiaTheme="minorEastAsia"/>
                      <w:color w:val="auto"/>
                      <w:sz w:val="18"/>
                      <w:szCs w:val="16"/>
                      <w:highlight w:val="none"/>
                      <w:lang w:eastAsia="zh-CN"/>
                    </w:rPr>
                    <w:t>设专门的环境管理机构，并制定有完善的环境管理制度</w:t>
                  </w:r>
                  <w:r>
                    <w:rPr>
                      <w:rFonts w:hint="default" w:ascii="Times New Roman" w:hAnsi="Times New Roman" w:cs="Times New Roman" w:eastAsiaTheme="minorEastAsia"/>
                      <w:color w:val="auto"/>
                      <w:sz w:val="18"/>
                      <w:szCs w:val="16"/>
                      <w:highlight w:val="none"/>
                    </w:rPr>
                    <w:t>。</w:t>
                  </w:r>
                  <w:r>
                    <w:rPr>
                      <w:rFonts w:hint="eastAsia" w:ascii="Times New Roman" w:hAnsi="Times New Roman" w:cs="Times New Roman" w:eastAsiaTheme="minorEastAsia"/>
                      <w:color w:val="auto"/>
                      <w:sz w:val="18"/>
                      <w:szCs w:val="16"/>
                      <w:highlight w:val="none"/>
                      <w:lang w:eastAsia="zh-CN"/>
                    </w:rPr>
                    <w:t>编制突发环境事件应急预案，并定期组织演练。</w:t>
                  </w:r>
                </w:p>
              </w:tc>
              <w:tc>
                <w:tcPr>
                  <w:tcW w:w="691" w:type="pct"/>
                  <w:tcBorders>
                    <w:tl2br w:val="nil"/>
                    <w:tr2bl w:val="nil"/>
                  </w:tcBorders>
                  <w:noWrap w:val="0"/>
                  <w:vAlign w:val="center"/>
                </w:tcPr>
                <w:p w14:paraId="518FED3E">
                  <w:pPr>
                    <w:pStyle w:val="200"/>
                    <w:spacing w:beforeLines="0" w:afterLines="0" w:line="240" w:lineRule="auto"/>
                    <w:jc w:val="center"/>
                    <w:rPr>
                      <w:rFonts w:hint="eastAsia" w:ascii="Times New Roman" w:hAnsi="Times New Roman" w:cs="Times New Roman" w:eastAsiaTheme="minorEastAsia"/>
                      <w:color w:val="auto"/>
                      <w:sz w:val="18"/>
                      <w:szCs w:val="16"/>
                      <w:highlight w:val="none"/>
                    </w:rPr>
                  </w:pPr>
                  <w:r>
                    <w:rPr>
                      <w:rFonts w:hint="eastAsia" w:ascii="Times New Roman" w:hAnsi="Times New Roman" w:cs="Times New Roman" w:eastAsiaTheme="minorEastAsia"/>
                      <w:color w:val="auto"/>
                      <w:sz w:val="18"/>
                      <w:szCs w:val="16"/>
                      <w:highlight w:val="none"/>
                    </w:rPr>
                    <w:t>符合</w:t>
                  </w:r>
                </w:p>
              </w:tc>
            </w:tr>
            <w:tr w14:paraId="6CD2E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10" w:type="pct"/>
                  <w:tcBorders>
                    <w:tl2br w:val="nil"/>
                    <w:tr2bl w:val="nil"/>
                  </w:tcBorders>
                  <w:noWrap w:val="0"/>
                  <w:vAlign w:val="center"/>
                </w:tcPr>
                <w:p w14:paraId="21879A40">
                  <w:pPr>
                    <w:pStyle w:val="200"/>
                    <w:spacing w:beforeLines="0" w:afterLines="0" w:line="240" w:lineRule="auto"/>
                    <w:jc w:val="both"/>
                    <w:rPr>
                      <w:rFonts w:hint="default" w:ascii="Times New Roman" w:hAnsi="Times New Roman" w:cs="Times New Roman" w:eastAsiaTheme="minorEastAsia"/>
                      <w:color w:val="auto"/>
                      <w:sz w:val="18"/>
                      <w:szCs w:val="16"/>
                      <w:highlight w:val="none"/>
                      <w:lang w:val="en-US" w:eastAsia="zh-CN"/>
                    </w:rPr>
                  </w:pPr>
                  <w:r>
                    <w:rPr>
                      <w:rFonts w:hint="eastAsia" w:ascii="Times New Roman" w:hAnsi="Times New Roman" w:cs="Times New Roman" w:eastAsiaTheme="minorEastAsia"/>
                      <w:color w:val="auto"/>
                      <w:sz w:val="18"/>
                      <w:szCs w:val="16"/>
                      <w:highlight w:val="none"/>
                      <w:lang w:val="en-US" w:eastAsia="zh-CN"/>
                    </w:rPr>
                    <w:t>3.加强生产技术和设备管理，杜绝跑、冒、滴、漏，充分利用好各种资源、能源，提高原料、能源利用率，不产生或少产生废弃物。凡是通过检修、更换设备能够解决污染问题的，要及时停产检修、更换设备。</w:t>
                  </w:r>
                </w:p>
              </w:tc>
              <w:tc>
                <w:tcPr>
                  <w:tcW w:w="1497" w:type="pct"/>
                  <w:tcBorders>
                    <w:tl2br w:val="nil"/>
                    <w:tr2bl w:val="nil"/>
                  </w:tcBorders>
                  <w:noWrap w:val="0"/>
                  <w:vAlign w:val="center"/>
                </w:tcPr>
                <w:p w14:paraId="0C58F8C8">
                  <w:pPr>
                    <w:pStyle w:val="200"/>
                    <w:spacing w:beforeLines="0" w:afterLines="0" w:line="240" w:lineRule="auto"/>
                    <w:jc w:val="center"/>
                    <w:rPr>
                      <w:rFonts w:hint="eastAsia" w:ascii="Times New Roman" w:hAnsi="Times New Roman" w:cs="Times New Roman" w:eastAsiaTheme="minorEastAsia"/>
                      <w:color w:val="auto"/>
                      <w:sz w:val="18"/>
                      <w:szCs w:val="16"/>
                      <w:highlight w:val="none"/>
                      <w:lang w:eastAsia="zh-CN"/>
                    </w:rPr>
                  </w:pPr>
                  <w:r>
                    <w:rPr>
                      <w:rFonts w:hint="eastAsia" w:ascii="Times New Roman" w:hAnsi="Times New Roman" w:cs="Times New Roman" w:eastAsiaTheme="minorEastAsia"/>
                      <w:color w:val="auto"/>
                      <w:sz w:val="18"/>
                      <w:szCs w:val="16"/>
                      <w:highlight w:val="none"/>
                      <w:lang w:eastAsia="zh-CN"/>
                    </w:rPr>
                    <w:t>公司</w:t>
                  </w:r>
                  <w:r>
                    <w:rPr>
                      <w:rFonts w:hint="eastAsia" w:ascii="Times New Roman" w:hAnsi="Times New Roman" w:cs="Times New Roman" w:eastAsiaTheme="minorEastAsia"/>
                      <w:color w:val="auto"/>
                      <w:sz w:val="18"/>
                      <w:szCs w:val="16"/>
                      <w:highlight w:val="none"/>
                      <w:lang w:val="en-US" w:eastAsia="zh-CN"/>
                    </w:rPr>
                    <w:t>建成后</w:t>
                  </w:r>
                  <w:r>
                    <w:rPr>
                      <w:rFonts w:hint="eastAsia" w:ascii="Times New Roman" w:hAnsi="Times New Roman" w:cs="Times New Roman" w:eastAsiaTheme="minorEastAsia"/>
                      <w:color w:val="auto"/>
                      <w:sz w:val="18"/>
                      <w:szCs w:val="16"/>
                      <w:highlight w:val="none"/>
                      <w:lang w:eastAsia="zh-CN"/>
                    </w:rPr>
                    <w:t>设专门的环境管理机构，并有技术人员定期对设备进行检查，</w:t>
                  </w:r>
                  <w:r>
                    <w:rPr>
                      <w:rFonts w:hint="eastAsia" w:ascii="Times New Roman" w:hAnsi="Times New Roman" w:cs="Times New Roman" w:eastAsiaTheme="minorEastAsia"/>
                      <w:color w:val="auto"/>
                      <w:sz w:val="18"/>
                      <w:szCs w:val="16"/>
                      <w:highlight w:val="none"/>
                      <w:lang w:val="en-US" w:eastAsia="zh-CN"/>
                    </w:rPr>
                    <w:t>杜绝跑、冒、滴、漏</w:t>
                  </w:r>
                  <w:r>
                    <w:rPr>
                      <w:rFonts w:hint="eastAsia" w:ascii="Times New Roman" w:hAnsi="Times New Roman" w:cs="Times New Roman" w:eastAsiaTheme="minorEastAsia"/>
                      <w:color w:val="auto"/>
                      <w:sz w:val="18"/>
                      <w:szCs w:val="16"/>
                      <w:highlight w:val="none"/>
                      <w:lang w:eastAsia="zh-CN"/>
                    </w:rPr>
                    <w:t>。</w:t>
                  </w:r>
                </w:p>
              </w:tc>
              <w:tc>
                <w:tcPr>
                  <w:tcW w:w="691" w:type="pct"/>
                  <w:tcBorders>
                    <w:tl2br w:val="nil"/>
                    <w:tr2bl w:val="nil"/>
                  </w:tcBorders>
                  <w:noWrap w:val="0"/>
                  <w:vAlign w:val="center"/>
                </w:tcPr>
                <w:p w14:paraId="43B9A998">
                  <w:pPr>
                    <w:pStyle w:val="200"/>
                    <w:spacing w:beforeLines="0" w:afterLines="0" w:line="240" w:lineRule="auto"/>
                    <w:jc w:val="center"/>
                    <w:rPr>
                      <w:rFonts w:hint="eastAsia" w:ascii="Times New Roman" w:hAnsi="Times New Roman" w:cs="Times New Roman" w:eastAsiaTheme="minorEastAsia"/>
                      <w:color w:val="auto"/>
                      <w:sz w:val="18"/>
                      <w:szCs w:val="16"/>
                      <w:highlight w:val="none"/>
                      <w:lang w:eastAsia="zh-CN"/>
                    </w:rPr>
                  </w:pPr>
                  <w:r>
                    <w:rPr>
                      <w:rFonts w:hint="eastAsia" w:ascii="Times New Roman" w:hAnsi="Times New Roman" w:cs="Times New Roman" w:eastAsiaTheme="minorEastAsia"/>
                      <w:color w:val="auto"/>
                      <w:sz w:val="18"/>
                      <w:szCs w:val="16"/>
                      <w:highlight w:val="none"/>
                      <w:lang w:eastAsia="zh-CN"/>
                    </w:rPr>
                    <w:t>符合</w:t>
                  </w:r>
                </w:p>
              </w:tc>
            </w:tr>
            <w:tr w14:paraId="689D0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10" w:type="pct"/>
                  <w:tcBorders>
                    <w:tl2br w:val="nil"/>
                    <w:tr2bl w:val="nil"/>
                  </w:tcBorders>
                  <w:noWrap w:val="0"/>
                  <w:vAlign w:val="center"/>
                </w:tcPr>
                <w:p w14:paraId="0C6121B9">
                  <w:pPr>
                    <w:pStyle w:val="200"/>
                    <w:spacing w:beforeLines="0" w:afterLines="0" w:line="240" w:lineRule="auto"/>
                    <w:jc w:val="both"/>
                    <w:rPr>
                      <w:rFonts w:hint="default" w:ascii="Times New Roman" w:hAnsi="Times New Roman" w:cs="Times New Roman" w:eastAsiaTheme="minorEastAsia"/>
                      <w:color w:val="auto"/>
                      <w:sz w:val="18"/>
                      <w:szCs w:val="16"/>
                      <w:highlight w:val="none"/>
                      <w:lang w:val="en-US" w:eastAsia="zh-CN"/>
                    </w:rPr>
                  </w:pPr>
                  <w:r>
                    <w:rPr>
                      <w:rFonts w:hint="eastAsia" w:ascii="Times New Roman" w:hAnsi="Times New Roman" w:cs="Times New Roman" w:eastAsiaTheme="minorEastAsia"/>
                      <w:color w:val="auto"/>
                      <w:sz w:val="18"/>
                      <w:szCs w:val="16"/>
                      <w:highlight w:val="none"/>
                      <w:lang w:val="en-US" w:eastAsia="zh-CN"/>
                    </w:rPr>
                    <w:t>4.现有化工企业的技改项目，必须符合环境保护规划、土地利用规划、产业政策及其他有关规定，实行以新带老的原则，一并解决新老项目污染问题，确保增产不增污。</w:t>
                  </w:r>
                </w:p>
              </w:tc>
              <w:tc>
                <w:tcPr>
                  <w:tcW w:w="1497" w:type="pct"/>
                  <w:tcBorders>
                    <w:tl2br w:val="nil"/>
                    <w:tr2bl w:val="nil"/>
                  </w:tcBorders>
                  <w:noWrap w:val="0"/>
                  <w:vAlign w:val="center"/>
                </w:tcPr>
                <w:p w14:paraId="0DCB61EE">
                  <w:pPr>
                    <w:pStyle w:val="200"/>
                    <w:spacing w:beforeLines="0" w:afterLines="0" w:line="240" w:lineRule="auto"/>
                    <w:jc w:val="center"/>
                    <w:rPr>
                      <w:rFonts w:hint="default" w:ascii="Times New Roman" w:hAnsi="Times New Roman" w:cs="Times New Roman" w:eastAsiaTheme="minorEastAsia"/>
                      <w:color w:val="auto"/>
                      <w:sz w:val="18"/>
                      <w:szCs w:val="16"/>
                      <w:highlight w:val="none"/>
                      <w:lang w:val="en-US" w:eastAsia="zh-CN"/>
                    </w:rPr>
                  </w:pPr>
                  <w:r>
                    <w:rPr>
                      <w:rFonts w:hint="eastAsia" w:ascii="Times New Roman" w:hAnsi="Times New Roman" w:cs="Times New Roman" w:eastAsiaTheme="minorEastAsia"/>
                      <w:color w:val="auto"/>
                      <w:sz w:val="18"/>
                      <w:szCs w:val="16"/>
                      <w:highlight w:val="none"/>
                      <w:lang w:eastAsia="zh-CN"/>
                    </w:rPr>
                    <w:t>本项目为</w:t>
                  </w:r>
                  <w:r>
                    <w:rPr>
                      <w:rFonts w:hint="eastAsia" w:ascii="Times New Roman" w:hAnsi="Times New Roman" w:cs="Times New Roman" w:eastAsiaTheme="minorEastAsia"/>
                      <w:color w:val="auto"/>
                      <w:sz w:val="18"/>
                      <w:szCs w:val="16"/>
                      <w:highlight w:val="none"/>
                      <w:lang w:val="en-US" w:eastAsia="zh-CN"/>
                    </w:rPr>
                    <w:t>新建</w:t>
                  </w:r>
                  <w:r>
                    <w:rPr>
                      <w:rFonts w:hint="eastAsia" w:ascii="Times New Roman" w:hAnsi="Times New Roman" w:cs="Times New Roman" w:eastAsiaTheme="minorEastAsia"/>
                      <w:color w:val="auto"/>
                      <w:sz w:val="18"/>
                      <w:szCs w:val="16"/>
                      <w:highlight w:val="none"/>
                      <w:lang w:eastAsia="zh-CN"/>
                    </w:rPr>
                    <w:t>项目，符合环境保护规划及其他有关规定。</w:t>
                  </w:r>
                </w:p>
              </w:tc>
              <w:tc>
                <w:tcPr>
                  <w:tcW w:w="691" w:type="pct"/>
                  <w:tcBorders>
                    <w:tl2br w:val="nil"/>
                    <w:tr2bl w:val="nil"/>
                  </w:tcBorders>
                  <w:noWrap w:val="0"/>
                  <w:vAlign w:val="center"/>
                </w:tcPr>
                <w:p w14:paraId="7342AF87">
                  <w:pPr>
                    <w:pStyle w:val="200"/>
                    <w:spacing w:beforeLines="0" w:afterLines="0" w:line="240" w:lineRule="auto"/>
                    <w:jc w:val="center"/>
                    <w:rPr>
                      <w:rFonts w:hint="eastAsia" w:ascii="Times New Roman" w:hAnsi="Times New Roman" w:cs="Times New Roman" w:eastAsiaTheme="minorEastAsia"/>
                      <w:color w:val="auto"/>
                      <w:sz w:val="18"/>
                      <w:szCs w:val="16"/>
                      <w:highlight w:val="none"/>
                      <w:lang w:eastAsia="zh-CN"/>
                    </w:rPr>
                  </w:pPr>
                  <w:r>
                    <w:rPr>
                      <w:rFonts w:hint="eastAsia" w:ascii="Times New Roman" w:hAnsi="Times New Roman" w:cs="Times New Roman" w:eastAsiaTheme="minorEastAsia"/>
                      <w:color w:val="auto"/>
                      <w:sz w:val="18"/>
                      <w:szCs w:val="16"/>
                      <w:highlight w:val="none"/>
                      <w:lang w:eastAsia="zh-CN"/>
                    </w:rPr>
                    <w:t>符合</w:t>
                  </w:r>
                </w:p>
              </w:tc>
            </w:tr>
            <w:tr w14:paraId="72B42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10" w:type="pct"/>
                  <w:tcBorders>
                    <w:tl2br w:val="nil"/>
                    <w:tr2bl w:val="nil"/>
                  </w:tcBorders>
                  <w:noWrap w:val="0"/>
                  <w:vAlign w:val="center"/>
                </w:tcPr>
                <w:p w14:paraId="6A6B8CB2">
                  <w:pPr>
                    <w:pStyle w:val="200"/>
                    <w:spacing w:beforeLines="0" w:afterLines="0" w:line="240" w:lineRule="auto"/>
                    <w:jc w:val="both"/>
                    <w:rPr>
                      <w:rFonts w:hint="default" w:ascii="Times New Roman" w:hAnsi="Times New Roman" w:cs="Times New Roman" w:eastAsiaTheme="minorEastAsia"/>
                      <w:color w:val="auto"/>
                      <w:sz w:val="18"/>
                      <w:szCs w:val="16"/>
                      <w:highlight w:val="none"/>
                      <w:lang w:val="en-US" w:eastAsia="zh-CN"/>
                    </w:rPr>
                  </w:pPr>
                  <w:r>
                    <w:rPr>
                      <w:rFonts w:hint="eastAsia" w:ascii="Times New Roman" w:hAnsi="Times New Roman" w:cs="Times New Roman" w:eastAsiaTheme="minorEastAsia"/>
                      <w:color w:val="auto"/>
                      <w:sz w:val="18"/>
                      <w:szCs w:val="16"/>
                      <w:highlight w:val="none"/>
                      <w:lang w:val="en-US" w:eastAsia="zh-CN"/>
                    </w:rPr>
                    <w:t>7.各生产装置排出的废水，必须在清污分流的前提下进行有效处理并达标排放。废水输送管道及废水储存、处理设施必须采取密闭措施并设置废气回收处理设施，防止化工异味气体挥发。</w:t>
                  </w:r>
                </w:p>
              </w:tc>
              <w:tc>
                <w:tcPr>
                  <w:tcW w:w="1497" w:type="pct"/>
                  <w:tcBorders>
                    <w:tl2br w:val="nil"/>
                    <w:tr2bl w:val="nil"/>
                  </w:tcBorders>
                  <w:noWrap w:val="0"/>
                  <w:vAlign w:val="center"/>
                </w:tcPr>
                <w:p w14:paraId="29D573AF">
                  <w:pPr>
                    <w:pStyle w:val="200"/>
                    <w:spacing w:beforeLines="0" w:afterLines="0" w:line="240" w:lineRule="auto"/>
                    <w:jc w:val="center"/>
                    <w:rPr>
                      <w:rFonts w:hint="default" w:ascii="Times New Roman" w:hAnsi="Times New Roman" w:cs="Times New Roman" w:eastAsiaTheme="minorEastAsia"/>
                      <w:color w:val="auto"/>
                      <w:sz w:val="18"/>
                      <w:szCs w:val="16"/>
                      <w:highlight w:val="none"/>
                      <w:lang w:val="en-US" w:eastAsia="zh-CN"/>
                    </w:rPr>
                  </w:pPr>
                  <w:r>
                    <w:rPr>
                      <w:rFonts w:hint="eastAsia" w:ascii="Times New Roman" w:hAnsi="Times New Roman" w:cs="Times New Roman" w:eastAsiaTheme="minorEastAsia"/>
                      <w:color w:val="auto"/>
                      <w:sz w:val="18"/>
                      <w:szCs w:val="16"/>
                      <w:highlight w:val="none"/>
                      <w:lang w:eastAsia="zh-CN"/>
                    </w:rPr>
                    <w:t>企业采用雨污分流、污污分流制，废水输送管道采取密闭措施</w:t>
                  </w:r>
                  <w:r>
                    <w:rPr>
                      <w:rFonts w:hint="eastAsia" w:ascii="Times New Roman" w:hAnsi="Times New Roman" w:cs="Times New Roman" w:eastAsiaTheme="minorEastAsia"/>
                      <w:color w:val="auto"/>
                      <w:sz w:val="18"/>
                      <w:szCs w:val="16"/>
                      <w:highlight w:val="none"/>
                      <w:lang w:val="en-US" w:eastAsia="zh-CN"/>
                    </w:rPr>
                    <w:t>。</w:t>
                  </w:r>
                </w:p>
              </w:tc>
              <w:tc>
                <w:tcPr>
                  <w:tcW w:w="691" w:type="pct"/>
                  <w:tcBorders>
                    <w:tl2br w:val="nil"/>
                    <w:tr2bl w:val="nil"/>
                  </w:tcBorders>
                  <w:noWrap w:val="0"/>
                  <w:vAlign w:val="center"/>
                </w:tcPr>
                <w:p w14:paraId="1517DC3B">
                  <w:pPr>
                    <w:pStyle w:val="200"/>
                    <w:spacing w:beforeLines="0" w:afterLines="0" w:line="240" w:lineRule="auto"/>
                    <w:jc w:val="center"/>
                    <w:rPr>
                      <w:rFonts w:hint="eastAsia" w:ascii="Times New Roman" w:hAnsi="Times New Roman" w:cs="Times New Roman" w:eastAsiaTheme="minorEastAsia"/>
                      <w:color w:val="auto"/>
                      <w:sz w:val="18"/>
                      <w:szCs w:val="16"/>
                      <w:highlight w:val="none"/>
                      <w:lang w:eastAsia="zh-CN"/>
                    </w:rPr>
                  </w:pPr>
                  <w:r>
                    <w:rPr>
                      <w:rFonts w:hint="eastAsia" w:ascii="Times New Roman" w:hAnsi="Times New Roman" w:cs="Times New Roman" w:eastAsiaTheme="minorEastAsia"/>
                      <w:color w:val="auto"/>
                      <w:sz w:val="18"/>
                      <w:szCs w:val="16"/>
                      <w:highlight w:val="none"/>
                      <w:lang w:eastAsia="zh-CN"/>
                    </w:rPr>
                    <w:t>符合</w:t>
                  </w:r>
                </w:p>
              </w:tc>
            </w:tr>
            <w:tr w14:paraId="1B6EB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810" w:type="pct"/>
                  <w:tcBorders>
                    <w:tl2br w:val="nil"/>
                    <w:tr2bl w:val="nil"/>
                  </w:tcBorders>
                  <w:noWrap w:val="0"/>
                  <w:vAlign w:val="center"/>
                </w:tcPr>
                <w:p w14:paraId="0DC1E1DE">
                  <w:pPr>
                    <w:pStyle w:val="200"/>
                    <w:spacing w:beforeLines="0" w:afterLines="0" w:line="240" w:lineRule="auto"/>
                    <w:jc w:val="both"/>
                    <w:rPr>
                      <w:rFonts w:hint="default" w:ascii="Times New Roman" w:hAnsi="Times New Roman" w:cs="Times New Roman" w:eastAsiaTheme="minorEastAsia"/>
                      <w:color w:val="auto"/>
                      <w:sz w:val="18"/>
                      <w:szCs w:val="16"/>
                      <w:highlight w:val="none"/>
                      <w:lang w:val="en-US" w:eastAsia="zh-CN"/>
                    </w:rPr>
                  </w:pPr>
                  <w:r>
                    <w:rPr>
                      <w:rFonts w:hint="eastAsia" w:ascii="Times New Roman" w:hAnsi="Times New Roman" w:cs="Times New Roman" w:eastAsiaTheme="minorEastAsia"/>
                      <w:color w:val="auto"/>
                      <w:sz w:val="18"/>
                      <w:szCs w:val="16"/>
                      <w:highlight w:val="none"/>
                      <w:lang w:val="en-US" w:eastAsia="zh-CN"/>
                    </w:rPr>
                    <w:t>8.企业产生的固体废物必须严格按照《国家危险废物名录》进行分类。厂内固体废弃物的临时储存场要根据《一般工业固体废弃物贮存、处置场污染控制标准》（GB18599）和《危险废物贮存污染控制标准》（GB18597）的要求建设，固体废弃物在厂内的临时贮存场应设施防治渗漏、密闭防止化工</w:t>
                  </w:r>
                  <w:r>
                    <w:rPr>
                      <w:rFonts w:hint="eastAsia" w:ascii="Times New Roman" w:cs="Times New Roman" w:eastAsiaTheme="minorEastAsia"/>
                      <w:color w:val="auto"/>
                      <w:sz w:val="18"/>
                      <w:szCs w:val="16"/>
                      <w:highlight w:val="none"/>
                      <w:lang w:val="en-US" w:eastAsia="zh-CN"/>
                    </w:rPr>
                    <w:t>异味</w:t>
                  </w:r>
                  <w:r>
                    <w:rPr>
                      <w:rFonts w:hint="eastAsia" w:ascii="Times New Roman" w:hAnsi="Times New Roman" w:cs="Times New Roman" w:eastAsiaTheme="minorEastAsia"/>
                      <w:color w:val="auto"/>
                      <w:sz w:val="18"/>
                      <w:szCs w:val="16"/>
                      <w:highlight w:val="none"/>
                      <w:lang w:val="en-US" w:eastAsia="zh-CN"/>
                    </w:rPr>
                    <w:t>气体挥发以及污水、废气回收处理设施。固体废弃物应及时清运处置。工业固体废物和危险废物安全处置率均达到100%。</w:t>
                  </w:r>
                </w:p>
              </w:tc>
              <w:tc>
                <w:tcPr>
                  <w:tcW w:w="1497" w:type="pct"/>
                  <w:tcBorders>
                    <w:tl2br w:val="nil"/>
                    <w:tr2bl w:val="nil"/>
                  </w:tcBorders>
                  <w:noWrap w:val="0"/>
                  <w:vAlign w:val="center"/>
                </w:tcPr>
                <w:p w14:paraId="493BB8A9">
                  <w:pPr>
                    <w:pStyle w:val="200"/>
                    <w:spacing w:beforeLines="0" w:afterLines="0" w:line="240" w:lineRule="auto"/>
                    <w:jc w:val="center"/>
                    <w:rPr>
                      <w:rFonts w:hint="eastAsia" w:ascii="Times New Roman" w:hAnsi="Times New Roman" w:cs="Times New Roman" w:eastAsiaTheme="minorEastAsia"/>
                      <w:color w:val="auto"/>
                      <w:sz w:val="18"/>
                      <w:szCs w:val="16"/>
                      <w:highlight w:val="none"/>
                      <w:lang w:eastAsia="zh-CN"/>
                    </w:rPr>
                  </w:pPr>
                  <w:r>
                    <w:rPr>
                      <w:rFonts w:hint="eastAsia" w:ascii="Times New Roman" w:hAnsi="Times New Roman" w:cs="Times New Roman" w:eastAsiaTheme="minorEastAsia"/>
                      <w:color w:val="auto"/>
                      <w:sz w:val="18"/>
                      <w:szCs w:val="16"/>
                      <w:highlight w:val="none"/>
                      <w:lang w:eastAsia="zh-CN"/>
                    </w:rPr>
                    <w:t>企业产生的固体废物严格按照《国家危险废物名录》进行分类，</w:t>
                  </w:r>
                  <w:r>
                    <w:rPr>
                      <w:rFonts w:hint="eastAsia" w:ascii="Times New Roman" w:hAnsi="Times New Roman" w:cs="Times New Roman" w:eastAsiaTheme="minorEastAsia"/>
                      <w:color w:val="auto"/>
                      <w:sz w:val="18"/>
                      <w:szCs w:val="16"/>
                      <w:highlight w:val="none"/>
                      <w:lang w:val="en-US" w:eastAsia="zh-CN"/>
                    </w:rPr>
                    <w:t>一般固废暂存在一般固废暂存处，根据《一般工业固体废弃物贮存、处置场污染控制标准》建设；危险废物</w:t>
                  </w:r>
                  <w:r>
                    <w:rPr>
                      <w:rFonts w:hint="eastAsia" w:ascii="Times New Roman" w:hAnsi="Times New Roman" w:cs="Times New Roman" w:eastAsiaTheme="minorEastAsia"/>
                      <w:color w:val="auto"/>
                      <w:sz w:val="18"/>
                      <w:szCs w:val="16"/>
                      <w:highlight w:val="none"/>
                      <w:lang w:eastAsia="zh-CN"/>
                    </w:rPr>
                    <w:t>暂存在厂区的危废暂存间，危废间严格按照</w:t>
                  </w:r>
                  <w:r>
                    <w:rPr>
                      <w:rFonts w:hint="eastAsia" w:ascii="Times New Roman" w:hAnsi="Times New Roman" w:cs="Times New Roman" w:eastAsiaTheme="minorEastAsia"/>
                      <w:color w:val="auto"/>
                      <w:sz w:val="18"/>
                      <w:szCs w:val="16"/>
                      <w:highlight w:val="none"/>
                      <w:lang w:val="en-US" w:eastAsia="zh-CN"/>
                    </w:rPr>
                    <w:t>《危险废物贮存污染控制标准》（GB18597）的要求建设，</w:t>
                  </w:r>
                  <w:r>
                    <w:rPr>
                      <w:rFonts w:hint="eastAsia" w:ascii="Times New Roman" w:hAnsi="Times New Roman" w:cs="Times New Roman" w:eastAsiaTheme="minorEastAsia"/>
                      <w:color w:val="auto"/>
                      <w:sz w:val="18"/>
                      <w:szCs w:val="16"/>
                      <w:highlight w:val="none"/>
                      <w:lang w:eastAsia="zh-CN"/>
                    </w:rPr>
                    <w:t>地面防渗、有收集截流沟或储漏托盘，危险废物定期清运处置，工业固体废物和危险废物安全处置率均达到</w:t>
                  </w:r>
                  <w:r>
                    <w:rPr>
                      <w:rFonts w:hint="eastAsia" w:ascii="Times New Roman" w:hAnsi="Times New Roman" w:cs="Times New Roman" w:eastAsiaTheme="minorEastAsia"/>
                      <w:color w:val="auto"/>
                      <w:sz w:val="18"/>
                      <w:szCs w:val="16"/>
                      <w:highlight w:val="none"/>
                      <w:lang w:val="en-US" w:eastAsia="zh-CN"/>
                    </w:rPr>
                    <w:t>100%</w:t>
                  </w:r>
                  <w:r>
                    <w:rPr>
                      <w:rFonts w:hint="eastAsia" w:ascii="Times New Roman" w:hAnsi="Times New Roman" w:cs="Times New Roman" w:eastAsiaTheme="minorEastAsia"/>
                      <w:color w:val="auto"/>
                      <w:sz w:val="18"/>
                      <w:szCs w:val="16"/>
                      <w:highlight w:val="none"/>
                      <w:lang w:eastAsia="zh-CN"/>
                    </w:rPr>
                    <w:t>。</w:t>
                  </w:r>
                </w:p>
              </w:tc>
              <w:tc>
                <w:tcPr>
                  <w:tcW w:w="691" w:type="pct"/>
                  <w:tcBorders>
                    <w:tl2br w:val="nil"/>
                    <w:tr2bl w:val="nil"/>
                  </w:tcBorders>
                  <w:noWrap w:val="0"/>
                  <w:vAlign w:val="center"/>
                </w:tcPr>
                <w:p w14:paraId="084B79DD">
                  <w:pPr>
                    <w:pStyle w:val="200"/>
                    <w:spacing w:beforeLines="0" w:afterLines="0" w:line="240" w:lineRule="auto"/>
                    <w:jc w:val="center"/>
                    <w:rPr>
                      <w:rFonts w:hint="eastAsia" w:ascii="Times New Roman" w:hAnsi="Times New Roman" w:cs="Times New Roman" w:eastAsiaTheme="minorEastAsia"/>
                      <w:color w:val="auto"/>
                      <w:sz w:val="18"/>
                      <w:szCs w:val="16"/>
                      <w:highlight w:val="none"/>
                      <w:lang w:eastAsia="zh-CN"/>
                    </w:rPr>
                  </w:pPr>
                  <w:r>
                    <w:rPr>
                      <w:rFonts w:hint="eastAsia" w:ascii="Times New Roman" w:hAnsi="Times New Roman" w:cs="Times New Roman" w:eastAsiaTheme="minorEastAsia"/>
                      <w:color w:val="auto"/>
                      <w:sz w:val="18"/>
                      <w:szCs w:val="16"/>
                      <w:highlight w:val="none"/>
                      <w:lang w:eastAsia="zh-CN"/>
                    </w:rPr>
                    <w:t>符合</w:t>
                  </w:r>
                </w:p>
              </w:tc>
            </w:tr>
          </w:tbl>
          <w:p w14:paraId="57347406">
            <w:pPr>
              <w:pStyle w:val="1395"/>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eastAsiaTheme="minorEastAsia"/>
                <w:iCs w:val="0"/>
                <w:color w:val="auto"/>
                <w:kern w:val="2"/>
                <w:sz w:val="21"/>
                <w:szCs w:val="21"/>
                <w:highlight w:val="none"/>
                <w:lang w:val="en-US" w:eastAsia="zh-CN" w:bidi="ar-SA"/>
              </w:rPr>
            </w:pPr>
            <w:r>
              <w:rPr>
                <w:rFonts w:hint="default" w:ascii="Times New Roman" w:hAnsi="Times New Roman" w:cs="Times New Roman" w:eastAsiaTheme="minorEastAsia"/>
                <w:iCs w:val="0"/>
                <w:color w:val="auto"/>
                <w:kern w:val="2"/>
                <w:sz w:val="21"/>
                <w:szCs w:val="21"/>
                <w:highlight w:val="none"/>
                <w:lang w:val="en-US" w:eastAsia="zh-CN" w:bidi="ar-SA"/>
              </w:rPr>
              <w:t>（</w:t>
            </w:r>
            <w:r>
              <w:rPr>
                <w:rFonts w:hint="eastAsia" w:ascii="Times New Roman" w:hAnsi="Times New Roman" w:cs="Times New Roman" w:eastAsiaTheme="minorEastAsia"/>
                <w:iCs w:val="0"/>
                <w:color w:val="auto"/>
                <w:kern w:val="2"/>
                <w:sz w:val="21"/>
                <w:szCs w:val="21"/>
                <w:highlight w:val="none"/>
                <w:lang w:val="en-US" w:eastAsia="zh-CN" w:bidi="ar-SA"/>
              </w:rPr>
              <w:t>3</w:t>
            </w:r>
            <w:r>
              <w:rPr>
                <w:rFonts w:hint="default" w:ascii="Times New Roman" w:hAnsi="Times New Roman" w:cs="Times New Roman" w:eastAsiaTheme="minorEastAsia"/>
                <w:iCs w:val="0"/>
                <w:color w:val="auto"/>
                <w:kern w:val="2"/>
                <w:sz w:val="21"/>
                <w:szCs w:val="21"/>
                <w:highlight w:val="none"/>
                <w:lang w:val="en-US" w:eastAsia="zh-CN" w:bidi="ar-SA"/>
              </w:rPr>
              <w:t>）</w:t>
            </w:r>
            <w:r>
              <w:rPr>
                <w:rFonts w:hint="eastAsia" w:ascii="Times New Roman" w:hAnsi="Times New Roman" w:cs="Times New Roman" w:eastAsiaTheme="minorEastAsia"/>
                <w:iCs w:val="0"/>
                <w:color w:val="auto"/>
                <w:kern w:val="2"/>
                <w:sz w:val="21"/>
                <w:szCs w:val="21"/>
                <w:highlight w:val="none"/>
                <w:lang w:val="en-US" w:eastAsia="zh-CN" w:bidi="ar-SA"/>
              </w:rPr>
              <w:t>项目与</w:t>
            </w:r>
            <w:r>
              <w:rPr>
                <w:rFonts w:hint="default" w:ascii="Times New Roman" w:hAnsi="Times New Roman" w:cs="Times New Roman" w:eastAsiaTheme="minorEastAsia"/>
                <w:iCs w:val="0"/>
                <w:color w:val="auto"/>
                <w:kern w:val="2"/>
                <w:sz w:val="21"/>
                <w:szCs w:val="21"/>
                <w:highlight w:val="none"/>
                <w:lang w:val="en-US" w:eastAsia="zh-CN" w:bidi="ar-SA"/>
              </w:rPr>
              <w:t>《</w:t>
            </w:r>
            <w:r>
              <w:rPr>
                <w:rFonts w:hint="eastAsia" w:ascii="Times New Roman" w:hAnsi="Times New Roman" w:cs="Times New Roman" w:eastAsiaTheme="minorEastAsia"/>
                <w:iCs w:val="0"/>
                <w:color w:val="auto"/>
                <w:kern w:val="2"/>
                <w:sz w:val="21"/>
                <w:szCs w:val="21"/>
                <w:highlight w:val="none"/>
                <w:lang w:val="en-US" w:eastAsia="zh-CN" w:bidi="ar-SA"/>
              </w:rPr>
              <w:t>山东省</w:t>
            </w:r>
            <w:r>
              <w:rPr>
                <w:rFonts w:hint="default" w:ascii="Times New Roman" w:hAnsi="Times New Roman" w:cs="Times New Roman" w:eastAsiaTheme="minorEastAsia"/>
                <w:iCs w:val="0"/>
                <w:color w:val="auto"/>
                <w:kern w:val="2"/>
                <w:sz w:val="21"/>
                <w:szCs w:val="21"/>
                <w:highlight w:val="none"/>
                <w:lang w:val="en-US" w:eastAsia="zh-CN" w:bidi="ar-SA"/>
              </w:rPr>
              <w:t>环境保护条例》</w:t>
            </w:r>
            <w:r>
              <w:rPr>
                <w:rFonts w:hint="eastAsia" w:ascii="Times New Roman" w:hAnsi="Times New Roman" w:cs="Times New Roman" w:eastAsiaTheme="minorEastAsia"/>
                <w:iCs w:val="0"/>
                <w:color w:val="auto"/>
                <w:kern w:val="2"/>
                <w:sz w:val="21"/>
                <w:szCs w:val="21"/>
                <w:highlight w:val="none"/>
                <w:lang w:val="en-US" w:eastAsia="zh-CN" w:bidi="ar-SA"/>
              </w:rPr>
              <w:t>的</w:t>
            </w:r>
            <w:r>
              <w:rPr>
                <w:rFonts w:hint="default" w:ascii="Times New Roman" w:hAnsi="Times New Roman" w:cs="Times New Roman" w:eastAsiaTheme="minorEastAsia"/>
                <w:iCs w:val="0"/>
                <w:color w:val="auto"/>
                <w:kern w:val="2"/>
                <w:sz w:val="21"/>
                <w:szCs w:val="21"/>
                <w:highlight w:val="none"/>
                <w:lang w:val="en-US" w:eastAsia="zh-CN" w:bidi="ar-SA"/>
              </w:rPr>
              <w:t>符合性分析</w:t>
            </w:r>
          </w:p>
          <w:p w14:paraId="7B29A33D">
            <w:pPr>
              <w:pStyle w:val="732"/>
              <w:snapToGrid w:val="0"/>
              <w:jc w:val="center"/>
              <w:rPr>
                <w:rFonts w:hint="eastAsia" w:ascii="Times New Roman" w:hAnsi="Times New Roman" w:eastAsia="宋体" w:cs="Times New Roman"/>
                <w:b/>
                <w:bCs/>
                <w:color w:val="auto"/>
                <w:sz w:val="21"/>
                <w:szCs w:val="21"/>
                <w:highlight w:val="none"/>
              </w:rPr>
            </w:pPr>
            <w:r>
              <w:rPr>
                <w:rFonts w:hint="eastAsia" w:ascii="Times New Roman" w:hAnsi="Times New Roman" w:eastAsia="宋体" w:cs="Times New Roman"/>
                <w:b/>
                <w:bCs/>
                <w:color w:val="auto"/>
                <w:sz w:val="21"/>
                <w:szCs w:val="21"/>
                <w:highlight w:val="none"/>
              </w:rPr>
              <w:t>表</w:t>
            </w:r>
            <w:r>
              <w:rPr>
                <w:rFonts w:hint="default" w:ascii="Times New Roman" w:hAnsi="Times New Roman" w:eastAsia="宋体" w:cs="Times New Roman"/>
                <w:b/>
                <w:bCs/>
                <w:color w:val="auto"/>
                <w:sz w:val="21"/>
                <w:szCs w:val="21"/>
                <w:highlight w:val="none"/>
              </w:rPr>
              <w:t>1-</w:t>
            </w:r>
            <w:r>
              <w:rPr>
                <w:rFonts w:hint="eastAsia" w:ascii="Times New Roman" w:hAnsi="Times New Roman" w:eastAsia="宋体" w:cs="Times New Roman"/>
                <w:b/>
                <w:bCs/>
                <w:color w:val="auto"/>
                <w:sz w:val="21"/>
                <w:szCs w:val="21"/>
                <w:highlight w:val="none"/>
                <w:lang w:val="en-US" w:eastAsia="zh-CN"/>
              </w:rPr>
              <w:t>5</w:t>
            </w:r>
            <w:r>
              <w:rPr>
                <w:rFonts w:hint="eastAsia" w:ascii="Times New Roman" w:hAnsi="Times New Roman" w:eastAsia="宋体" w:cs="Times New Roman"/>
                <w:b/>
                <w:bCs/>
                <w:color w:val="auto"/>
                <w:sz w:val="21"/>
                <w:szCs w:val="21"/>
                <w:highlight w:val="none"/>
              </w:rPr>
              <w:t xml:space="preserve"> </w:t>
            </w:r>
            <w:r>
              <w:rPr>
                <w:rFonts w:hint="default" w:ascii="Times New Roman" w:hAnsi="Times New Roman" w:eastAsia="宋体" w:cs="Times New Roman"/>
                <w:b/>
                <w:bCs/>
                <w:color w:val="auto"/>
                <w:sz w:val="21"/>
                <w:szCs w:val="21"/>
                <w:highlight w:val="none"/>
              </w:rPr>
              <w:t xml:space="preserve"> </w:t>
            </w:r>
            <w:r>
              <w:rPr>
                <w:rFonts w:hint="eastAsia" w:ascii="Times New Roman" w:hAnsi="Times New Roman" w:eastAsia="宋体" w:cs="Times New Roman"/>
                <w:b/>
                <w:bCs/>
                <w:color w:val="auto"/>
                <w:sz w:val="21"/>
                <w:szCs w:val="21"/>
                <w:highlight w:val="none"/>
              </w:rPr>
              <w:t>项目与《山东省</w:t>
            </w:r>
            <w:r>
              <w:rPr>
                <w:rFonts w:hint="default" w:ascii="Times New Roman" w:hAnsi="Times New Roman" w:eastAsia="宋体" w:cs="Times New Roman"/>
                <w:b/>
                <w:bCs/>
                <w:color w:val="auto"/>
                <w:sz w:val="21"/>
                <w:szCs w:val="21"/>
                <w:highlight w:val="none"/>
              </w:rPr>
              <w:t>环境保护条例</w:t>
            </w:r>
            <w:r>
              <w:rPr>
                <w:rFonts w:hint="eastAsia" w:ascii="Times New Roman" w:hAnsi="Times New Roman" w:eastAsia="宋体" w:cs="Times New Roman"/>
                <w:b/>
                <w:bCs/>
                <w:color w:val="auto"/>
                <w:sz w:val="21"/>
                <w:szCs w:val="21"/>
                <w:highlight w:val="none"/>
              </w:rPr>
              <w:t>》符合性一览表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82"/>
              <w:gridCol w:w="4043"/>
              <w:gridCol w:w="2875"/>
              <w:gridCol w:w="652"/>
            </w:tblGrid>
            <w:tr w14:paraId="14734A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5" w:hRule="exact"/>
                <w:jc w:val="center"/>
              </w:trPr>
              <w:tc>
                <w:tcPr>
                  <w:tcW w:w="582" w:type="dxa"/>
                  <w:noWrap w:val="0"/>
                  <w:vAlign w:val="center"/>
                </w:tcPr>
                <w:p w14:paraId="227C942C">
                  <w:pPr>
                    <w:pStyle w:val="1314"/>
                    <w:ind w:right="62"/>
                    <w:jc w:val="center"/>
                    <w:textAlignment w:val="baseline"/>
                    <w:rPr>
                      <w:rFonts w:ascii="Times New Roman" w:hAnsi="Times New Roman" w:cs="Times New Roman"/>
                      <w:b w:val="0"/>
                      <w:bCs w:val="0"/>
                      <w:color w:val="auto"/>
                      <w:sz w:val="18"/>
                      <w:szCs w:val="21"/>
                      <w:highlight w:val="none"/>
                    </w:rPr>
                  </w:pPr>
                  <w:r>
                    <w:rPr>
                      <w:rFonts w:ascii="Times New Roman" w:hAnsi="Times New Roman" w:cs="Times New Roman"/>
                      <w:b w:val="0"/>
                      <w:bCs w:val="0"/>
                      <w:color w:val="auto"/>
                      <w:sz w:val="18"/>
                      <w:szCs w:val="16"/>
                      <w:highlight w:val="none"/>
                    </w:rPr>
                    <w:t>序号</w:t>
                  </w:r>
                </w:p>
              </w:tc>
              <w:tc>
                <w:tcPr>
                  <w:tcW w:w="4043" w:type="dxa"/>
                  <w:noWrap w:val="0"/>
                  <w:vAlign w:val="center"/>
                </w:tcPr>
                <w:p w14:paraId="34F28FEC">
                  <w:pPr>
                    <w:pStyle w:val="1314"/>
                    <w:ind w:left="19"/>
                    <w:jc w:val="center"/>
                    <w:textAlignment w:val="baseline"/>
                    <w:rPr>
                      <w:rFonts w:ascii="Times New Roman" w:hAnsi="Times New Roman" w:cs="Times New Roman"/>
                      <w:b w:val="0"/>
                      <w:bCs w:val="0"/>
                      <w:color w:val="auto"/>
                      <w:sz w:val="18"/>
                      <w:szCs w:val="21"/>
                      <w:highlight w:val="none"/>
                    </w:rPr>
                  </w:pPr>
                  <w:r>
                    <w:rPr>
                      <w:rFonts w:ascii="Times New Roman" w:hAnsi="Times New Roman" w:cs="Times New Roman"/>
                      <w:b w:val="0"/>
                      <w:bCs w:val="0"/>
                      <w:color w:val="auto"/>
                      <w:sz w:val="18"/>
                      <w:szCs w:val="16"/>
                      <w:highlight w:val="none"/>
                    </w:rPr>
                    <w:t>规划要求</w:t>
                  </w:r>
                </w:p>
              </w:tc>
              <w:tc>
                <w:tcPr>
                  <w:tcW w:w="2875" w:type="dxa"/>
                  <w:noWrap w:val="0"/>
                  <w:vAlign w:val="center"/>
                </w:tcPr>
                <w:p w14:paraId="57E2018D">
                  <w:pPr>
                    <w:adjustRightInd w:val="0"/>
                    <w:snapToGrid w:val="0"/>
                    <w:jc w:val="center"/>
                    <w:rPr>
                      <w:rFonts w:ascii="Times New Roman" w:hAnsi="Times New Roman" w:cs="Times New Roman"/>
                      <w:b w:val="0"/>
                      <w:bCs w:val="0"/>
                      <w:color w:val="auto"/>
                      <w:sz w:val="18"/>
                      <w:szCs w:val="21"/>
                      <w:highlight w:val="none"/>
                    </w:rPr>
                  </w:pPr>
                  <w:r>
                    <w:rPr>
                      <w:rFonts w:hint="eastAsia"/>
                      <w:b w:val="0"/>
                      <w:bCs w:val="0"/>
                      <w:color w:val="auto"/>
                      <w:sz w:val="18"/>
                      <w:szCs w:val="18"/>
                      <w:highlight w:val="none"/>
                    </w:rPr>
                    <w:t>项目情况</w:t>
                  </w:r>
                </w:p>
              </w:tc>
              <w:tc>
                <w:tcPr>
                  <w:tcW w:w="652" w:type="dxa"/>
                  <w:noWrap w:val="0"/>
                  <w:vAlign w:val="center"/>
                </w:tcPr>
                <w:p w14:paraId="384526FF">
                  <w:pPr>
                    <w:adjustRightInd w:val="0"/>
                    <w:snapToGrid w:val="0"/>
                    <w:jc w:val="center"/>
                    <w:rPr>
                      <w:rFonts w:ascii="Times New Roman" w:hAnsi="Times New Roman" w:cs="Times New Roman"/>
                      <w:b w:val="0"/>
                      <w:bCs w:val="0"/>
                      <w:color w:val="auto"/>
                      <w:sz w:val="18"/>
                      <w:szCs w:val="16"/>
                      <w:highlight w:val="none"/>
                    </w:rPr>
                  </w:pPr>
                  <w:r>
                    <w:rPr>
                      <w:rFonts w:hint="eastAsia"/>
                      <w:b w:val="0"/>
                      <w:bCs w:val="0"/>
                      <w:color w:val="auto"/>
                      <w:sz w:val="18"/>
                      <w:szCs w:val="18"/>
                      <w:highlight w:val="none"/>
                    </w:rPr>
                    <w:t>符合性</w:t>
                  </w:r>
                </w:p>
              </w:tc>
            </w:tr>
            <w:tr w14:paraId="49AF5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49" w:hRule="atLeast"/>
                <w:jc w:val="center"/>
              </w:trPr>
              <w:tc>
                <w:tcPr>
                  <w:tcW w:w="582" w:type="dxa"/>
                  <w:noWrap w:val="0"/>
                  <w:vAlign w:val="center"/>
                </w:tcPr>
                <w:p w14:paraId="7C268E27">
                  <w:pPr>
                    <w:pStyle w:val="1314"/>
                    <w:jc w:val="center"/>
                    <w:textAlignment w:val="baseline"/>
                    <w:rPr>
                      <w:rFonts w:ascii="Times New Roman" w:hAnsi="Times New Roman" w:cs="Times New Roman"/>
                      <w:color w:val="auto"/>
                      <w:sz w:val="18"/>
                      <w:szCs w:val="21"/>
                      <w:highlight w:val="none"/>
                    </w:rPr>
                  </w:pPr>
                  <w:r>
                    <w:rPr>
                      <w:rFonts w:ascii="Times New Roman" w:hAnsi="Times New Roman" w:cs="Times New Roman"/>
                      <w:color w:val="auto"/>
                      <w:sz w:val="18"/>
                      <w:szCs w:val="21"/>
                      <w:highlight w:val="none"/>
                    </w:rPr>
                    <w:t>1</w:t>
                  </w:r>
                </w:p>
              </w:tc>
              <w:tc>
                <w:tcPr>
                  <w:tcW w:w="4043" w:type="dxa"/>
                  <w:noWrap w:val="0"/>
                  <w:vAlign w:val="center"/>
                </w:tcPr>
                <w:p w14:paraId="03A35679">
                  <w:pPr>
                    <w:pStyle w:val="1314"/>
                    <w:jc w:val="center"/>
                    <w:textAlignment w:val="baseline"/>
                    <w:rPr>
                      <w:rFonts w:ascii="Times New Roman" w:hAnsi="Times New Roman" w:eastAsia="宋体" w:cs="Times New Roman"/>
                      <w:color w:val="auto"/>
                      <w:sz w:val="18"/>
                      <w:szCs w:val="16"/>
                      <w:highlight w:val="none"/>
                      <w:lang w:val="en-US" w:eastAsia="en-US"/>
                    </w:rPr>
                  </w:pPr>
                  <w:r>
                    <w:rPr>
                      <w:rFonts w:ascii="Times New Roman" w:hAnsi="Times New Roman" w:eastAsia="宋体" w:cs="Times New Roman"/>
                      <w:color w:val="auto"/>
                      <w:sz w:val="18"/>
                      <w:szCs w:val="16"/>
                      <w:highlight w:val="none"/>
                    </w:rPr>
                    <w:t>禁止建设不符合国家和省产业政策的小型造纸、制革、印染、染料、炼焦、炼硫、炼砷、炼汞、炼油、电镀、农药、石棉、水泥、玻璃、钢铁、火电以及其他严重污染环境的生产项目。已经建设的，由所在地的县级以上人民政府责令拆除或者关闭。</w:t>
                  </w:r>
                </w:p>
              </w:tc>
              <w:tc>
                <w:tcPr>
                  <w:tcW w:w="2875" w:type="dxa"/>
                  <w:noWrap w:val="0"/>
                  <w:vAlign w:val="center"/>
                </w:tcPr>
                <w:p w14:paraId="2D66255B">
                  <w:pPr>
                    <w:pStyle w:val="1314"/>
                    <w:jc w:val="center"/>
                    <w:textAlignment w:val="baseline"/>
                    <w:rPr>
                      <w:rFonts w:hint="default" w:ascii="Times New Roman" w:hAnsi="Times New Roman" w:eastAsia="宋体" w:cs="Times New Roman"/>
                      <w:color w:val="auto"/>
                      <w:sz w:val="18"/>
                      <w:szCs w:val="16"/>
                      <w:highlight w:val="none"/>
                      <w:lang w:val="en-US" w:eastAsia="zh-CN"/>
                    </w:rPr>
                  </w:pPr>
                  <w:r>
                    <w:rPr>
                      <w:rFonts w:hint="eastAsia" w:ascii="Times New Roman" w:hAnsi="Times New Roman" w:eastAsia="宋体" w:cs="Times New Roman"/>
                      <w:color w:val="auto"/>
                      <w:sz w:val="18"/>
                      <w:szCs w:val="16"/>
                      <w:highlight w:val="none"/>
                      <w:lang w:eastAsia="zh-CN"/>
                    </w:rPr>
                    <w:t>本项目</w:t>
                  </w:r>
                  <w:r>
                    <w:rPr>
                      <w:rFonts w:ascii="Times New Roman" w:hAnsi="Times New Roman" w:eastAsia="宋体" w:cs="Times New Roman"/>
                      <w:color w:val="auto"/>
                      <w:sz w:val="18"/>
                      <w:szCs w:val="16"/>
                      <w:highlight w:val="none"/>
                    </w:rPr>
                    <w:t>不属于左栏行业。</w:t>
                  </w:r>
                </w:p>
              </w:tc>
              <w:tc>
                <w:tcPr>
                  <w:tcW w:w="652" w:type="dxa"/>
                  <w:noWrap w:val="0"/>
                  <w:vAlign w:val="center"/>
                </w:tcPr>
                <w:p w14:paraId="0E4502CD">
                  <w:pPr>
                    <w:pStyle w:val="1314"/>
                    <w:jc w:val="center"/>
                    <w:textAlignment w:val="baseline"/>
                    <w:rPr>
                      <w:rFonts w:hint="eastAsia" w:ascii="Times New Roman" w:hAnsi="Times New Roman" w:eastAsia="宋体" w:cs="Times New Roman"/>
                      <w:color w:val="auto"/>
                      <w:sz w:val="18"/>
                      <w:szCs w:val="16"/>
                      <w:highlight w:val="none"/>
                      <w:lang w:eastAsia="zh-CN"/>
                    </w:rPr>
                  </w:pPr>
                  <w:r>
                    <w:rPr>
                      <w:rFonts w:ascii="Times New Roman" w:hAnsi="Times New Roman" w:eastAsia="宋体" w:cs="Times New Roman"/>
                      <w:color w:val="auto"/>
                      <w:sz w:val="18"/>
                      <w:szCs w:val="18"/>
                      <w:highlight w:val="none"/>
                    </w:rPr>
                    <w:t>符合</w:t>
                  </w:r>
                </w:p>
              </w:tc>
            </w:tr>
            <w:tr w14:paraId="49633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9" w:hRule="atLeast"/>
                <w:jc w:val="center"/>
              </w:trPr>
              <w:tc>
                <w:tcPr>
                  <w:tcW w:w="582" w:type="dxa"/>
                  <w:noWrap w:val="0"/>
                  <w:vAlign w:val="center"/>
                </w:tcPr>
                <w:p w14:paraId="3B2F41DA">
                  <w:pPr>
                    <w:pStyle w:val="1314"/>
                    <w:jc w:val="center"/>
                    <w:textAlignment w:val="baseline"/>
                    <w:rPr>
                      <w:rFonts w:ascii="Times New Roman" w:hAnsi="Times New Roman" w:cs="Times New Roman"/>
                      <w:color w:val="auto"/>
                      <w:sz w:val="18"/>
                      <w:szCs w:val="21"/>
                      <w:highlight w:val="none"/>
                    </w:rPr>
                  </w:pPr>
                  <w:r>
                    <w:rPr>
                      <w:rFonts w:ascii="Times New Roman" w:hAnsi="Times New Roman" w:cs="Times New Roman"/>
                      <w:color w:val="auto"/>
                      <w:sz w:val="18"/>
                      <w:szCs w:val="21"/>
                      <w:highlight w:val="none"/>
                    </w:rPr>
                    <w:t>2</w:t>
                  </w:r>
                </w:p>
              </w:tc>
              <w:tc>
                <w:tcPr>
                  <w:tcW w:w="4043" w:type="dxa"/>
                  <w:noWrap w:val="0"/>
                  <w:vAlign w:val="center"/>
                </w:tcPr>
                <w:p w14:paraId="4C0D55B3">
                  <w:pPr>
                    <w:pStyle w:val="1314"/>
                    <w:jc w:val="center"/>
                    <w:textAlignment w:val="baseline"/>
                    <w:rPr>
                      <w:rFonts w:ascii="Times New Roman" w:hAnsi="Times New Roman" w:eastAsia="宋体" w:cs="Times New Roman"/>
                      <w:color w:val="auto"/>
                      <w:sz w:val="18"/>
                      <w:szCs w:val="16"/>
                      <w:highlight w:val="none"/>
                      <w:lang w:val="en-US" w:eastAsia="en-US" w:bidi="ar-SA"/>
                    </w:rPr>
                  </w:pPr>
                  <w:r>
                    <w:rPr>
                      <w:rFonts w:ascii="Times New Roman" w:hAnsi="Times New Roman" w:eastAsia="宋体" w:cs="Times New Roman"/>
                      <w:color w:val="auto"/>
                      <w:sz w:val="18"/>
                      <w:szCs w:val="16"/>
                      <w:highlight w:val="none"/>
                    </w:rPr>
                    <w:t>新建、改建、</w:t>
                  </w:r>
                  <w:r>
                    <w:rPr>
                      <w:rFonts w:hint="eastAsia" w:ascii="Times New Roman" w:hAnsi="Times New Roman" w:cs="Times New Roman"/>
                      <w:color w:val="auto"/>
                      <w:sz w:val="18"/>
                      <w:szCs w:val="16"/>
                      <w:highlight w:val="none"/>
                      <w:lang w:eastAsia="zh-CN"/>
                    </w:rPr>
                    <w:t>本项目</w:t>
                  </w:r>
                  <w:r>
                    <w:rPr>
                      <w:rFonts w:ascii="Times New Roman" w:hAnsi="Times New Roman" w:eastAsia="宋体" w:cs="Times New Roman"/>
                      <w:color w:val="auto"/>
                      <w:sz w:val="18"/>
                      <w:szCs w:val="16"/>
                      <w:highlight w:val="none"/>
                    </w:rPr>
                    <w:t>，应当根据环境影响评价以及生态环境主管部门审批决定的要求建设环境保护设施、落实环境保护措施。环境保护设施应当与主体工程同时设计、同时施工、同时投产使用。</w:t>
                  </w:r>
                </w:p>
              </w:tc>
              <w:tc>
                <w:tcPr>
                  <w:tcW w:w="2875" w:type="dxa"/>
                  <w:noWrap w:val="0"/>
                  <w:vAlign w:val="center"/>
                </w:tcPr>
                <w:p w14:paraId="6A152AFC">
                  <w:pPr>
                    <w:pStyle w:val="1314"/>
                    <w:jc w:val="center"/>
                    <w:textAlignment w:val="baseline"/>
                    <w:rPr>
                      <w:rFonts w:hint="default" w:ascii="Times New Roman" w:hAnsi="Times New Roman" w:eastAsia="宋体" w:cs="Times New Roman"/>
                      <w:color w:val="auto"/>
                      <w:sz w:val="18"/>
                      <w:szCs w:val="16"/>
                      <w:highlight w:val="none"/>
                      <w:lang w:val="en-US" w:eastAsia="en-US" w:bidi="ar-SA"/>
                    </w:rPr>
                  </w:pPr>
                  <w:r>
                    <w:rPr>
                      <w:rFonts w:ascii="Times New Roman" w:hAnsi="Times New Roman" w:eastAsia="宋体" w:cs="Times New Roman"/>
                      <w:color w:val="auto"/>
                      <w:sz w:val="18"/>
                      <w:szCs w:val="16"/>
                      <w:highlight w:val="none"/>
                    </w:rPr>
                    <w:t>建设单位将严格按照环境影响评价文件以及生态环境主管部门审批决定的要求建设环境保护设施、落实环境保护措施，严格执行三同时制度。</w:t>
                  </w:r>
                </w:p>
              </w:tc>
              <w:tc>
                <w:tcPr>
                  <w:tcW w:w="652" w:type="dxa"/>
                  <w:noWrap w:val="0"/>
                  <w:vAlign w:val="center"/>
                </w:tcPr>
                <w:p w14:paraId="79A40147">
                  <w:pPr>
                    <w:pStyle w:val="1314"/>
                    <w:jc w:val="center"/>
                    <w:textAlignment w:val="baseline"/>
                    <w:rPr>
                      <w:rFonts w:hint="eastAsia" w:ascii="Times New Roman" w:hAnsi="Times New Roman" w:eastAsia="宋体" w:cs="Times New Roman"/>
                      <w:color w:val="auto"/>
                      <w:sz w:val="18"/>
                      <w:szCs w:val="18"/>
                      <w:highlight w:val="none"/>
                      <w:lang w:val="zh" w:eastAsia="zh-CN" w:bidi="ar-SA"/>
                    </w:rPr>
                  </w:pPr>
                  <w:r>
                    <w:rPr>
                      <w:rFonts w:ascii="Times New Roman" w:hAnsi="Times New Roman" w:eastAsia="宋体" w:cs="Times New Roman"/>
                      <w:color w:val="auto"/>
                      <w:sz w:val="18"/>
                      <w:szCs w:val="18"/>
                      <w:highlight w:val="none"/>
                    </w:rPr>
                    <w:t>符合</w:t>
                  </w:r>
                </w:p>
              </w:tc>
            </w:tr>
            <w:tr w14:paraId="627A7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82" w:type="dxa"/>
                  <w:noWrap w:val="0"/>
                  <w:vAlign w:val="center"/>
                </w:tcPr>
                <w:p w14:paraId="5EA65426">
                  <w:pPr>
                    <w:pStyle w:val="1314"/>
                    <w:jc w:val="center"/>
                    <w:textAlignment w:val="baseline"/>
                    <w:rPr>
                      <w:rFonts w:hint="eastAsia" w:ascii="Times New Roman" w:hAnsi="Times New Roman" w:eastAsia="宋体" w:cs="Times New Roman"/>
                      <w:color w:val="auto"/>
                      <w:sz w:val="18"/>
                      <w:szCs w:val="21"/>
                      <w:highlight w:val="none"/>
                      <w:lang w:val="en-US" w:eastAsia="zh-CN" w:bidi="ar-SA"/>
                    </w:rPr>
                  </w:pPr>
                  <w:r>
                    <w:rPr>
                      <w:rFonts w:hint="eastAsia" w:ascii="Times New Roman" w:hAnsi="Times New Roman" w:cs="Times New Roman"/>
                      <w:color w:val="auto"/>
                      <w:sz w:val="18"/>
                      <w:szCs w:val="21"/>
                      <w:highlight w:val="none"/>
                      <w:lang w:val="en-US" w:eastAsia="zh-CN"/>
                    </w:rPr>
                    <w:t>3</w:t>
                  </w:r>
                </w:p>
              </w:tc>
              <w:tc>
                <w:tcPr>
                  <w:tcW w:w="4043" w:type="dxa"/>
                  <w:noWrap w:val="0"/>
                  <w:vAlign w:val="center"/>
                </w:tcPr>
                <w:p w14:paraId="075BE830">
                  <w:pPr>
                    <w:pStyle w:val="1314"/>
                    <w:jc w:val="center"/>
                    <w:textAlignment w:val="baseline"/>
                    <w:rPr>
                      <w:rFonts w:ascii="Times New Roman" w:hAnsi="Times New Roman" w:eastAsia="宋体" w:cs="Times New Roman"/>
                      <w:color w:val="auto"/>
                      <w:sz w:val="18"/>
                      <w:szCs w:val="16"/>
                      <w:highlight w:val="none"/>
                      <w:lang w:val="en-US" w:eastAsia="en-US" w:bidi="ar-SA"/>
                    </w:rPr>
                  </w:pPr>
                  <w:r>
                    <w:rPr>
                      <w:rFonts w:ascii="Times New Roman" w:hAnsi="Times New Roman" w:eastAsia="宋体" w:cs="Times New Roman"/>
                      <w:color w:val="auto"/>
                      <w:sz w:val="18"/>
                      <w:szCs w:val="16"/>
                      <w:highlight w:val="none"/>
                    </w:rPr>
                    <w:t>排污单位应当采取措施，防治在生产建设或者其他活动中产生的废气、废水、废渣、医疗废物、粉尘、恶臭气体、放射性物质以及噪声、振动、光辐射、电磁辐射等对环境的污染和危害，其污染排放不得超过排放标准和重点污染物排放总量控制指标。</w:t>
                  </w:r>
                </w:p>
              </w:tc>
              <w:tc>
                <w:tcPr>
                  <w:tcW w:w="2875" w:type="dxa"/>
                  <w:noWrap w:val="0"/>
                  <w:vAlign w:val="center"/>
                </w:tcPr>
                <w:p w14:paraId="5A0A890B">
                  <w:pPr>
                    <w:pStyle w:val="1314"/>
                    <w:jc w:val="center"/>
                    <w:textAlignment w:val="baseline"/>
                    <w:rPr>
                      <w:rFonts w:hint="default" w:ascii="Times New Roman" w:hAnsi="Times New Roman" w:eastAsia="宋体" w:cs="Times New Roman"/>
                      <w:color w:val="auto"/>
                      <w:sz w:val="18"/>
                      <w:szCs w:val="16"/>
                      <w:highlight w:val="none"/>
                      <w:lang w:val="en-US" w:eastAsia="zh-CN" w:bidi="ar-SA"/>
                    </w:rPr>
                  </w:pPr>
                  <w:r>
                    <w:rPr>
                      <w:rFonts w:hint="eastAsia" w:ascii="Times New Roman" w:hAnsi="Times New Roman" w:eastAsia="宋体" w:cs="Times New Roman"/>
                      <w:color w:val="auto"/>
                      <w:sz w:val="18"/>
                      <w:szCs w:val="16"/>
                      <w:highlight w:val="none"/>
                      <w:lang w:eastAsia="zh-CN"/>
                    </w:rPr>
                    <w:t>本项目</w:t>
                  </w:r>
                  <w:r>
                    <w:rPr>
                      <w:rFonts w:ascii="Times New Roman" w:hAnsi="Times New Roman" w:eastAsia="宋体" w:cs="Times New Roman"/>
                      <w:color w:val="auto"/>
                      <w:sz w:val="18"/>
                      <w:szCs w:val="16"/>
                      <w:highlight w:val="none"/>
                    </w:rPr>
                    <w:t>严格落实环保措施后，各类环境污染物排放能够满足相应排放标准要求。</w:t>
                  </w:r>
                </w:p>
              </w:tc>
              <w:tc>
                <w:tcPr>
                  <w:tcW w:w="652" w:type="dxa"/>
                  <w:noWrap w:val="0"/>
                  <w:vAlign w:val="center"/>
                </w:tcPr>
                <w:p w14:paraId="4FBF9A56">
                  <w:pPr>
                    <w:pStyle w:val="1314"/>
                    <w:jc w:val="center"/>
                    <w:textAlignment w:val="baseline"/>
                    <w:rPr>
                      <w:rFonts w:ascii="Times New Roman" w:hAnsi="Times New Roman" w:eastAsia="宋体" w:cs="Times New Roman"/>
                      <w:color w:val="auto"/>
                      <w:sz w:val="18"/>
                      <w:szCs w:val="16"/>
                      <w:highlight w:val="none"/>
                      <w:lang w:val="zh" w:eastAsia="zh-CN" w:bidi="ar-SA"/>
                    </w:rPr>
                  </w:pPr>
                  <w:r>
                    <w:rPr>
                      <w:rFonts w:ascii="Times New Roman" w:hAnsi="Times New Roman" w:eastAsia="宋体" w:cs="Times New Roman"/>
                      <w:color w:val="auto"/>
                      <w:sz w:val="18"/>
                      <w:szCs w:val="18"/>
                      <w:highlight w:val="none"/>
                    </w:rPr>
                    <w:t>符合</w:t>
                  </w:r>
                </w:p>
              </w:tc>
            </w:tr>
            <w:tr w14:paraId="1CC6F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82" w:type="dxa"/>
                  <w:noWrap w:val="0"/>
                  <w:vAlign w:val="center"/>
                </w:tcPr>
                <w:p w14:paraId="00566916">
                  <w:pPr>
                    <w:pStyle w:val="1314"/>
                    <w:jc w:val="center"/>
                    <w:textAlignment w:val="baseline"/>
                    <w:rPr>
                      <w:rFonts w:hint="eastAsia" w:ascii="Times New Roman" w:hAnsi="Times New Roman" w:eastAsia="宋体" w:cs="Times New Roman"/>
                      <w:color w:val="auto"/>
                      <w:sz w:val="18"/>
                      <w:szCs w:val="21"/>
                      <w:highlight w:val="none"/>
                      <w:lang w:val="zh" w:eastAsia="zh-CN" w:bidi="ar-SA"/>
                    </w:rPr>
                  </w:pPr>
                  <w:r>
                    <w:rPr>
                      <w:rFonts w:hint="eastAsia" w:ascii="Times New Roman" w:hAnsi="Times New Roman" w:cs="Times New Roman"/>
                      <w:color w:val="auto"/>
                      <w:sz w:val="18"/>
                      <w:szCs w:val="21"/>
                      <w:highlight w:val="none"/>
                      <w:lang w:val="en-US" w:eastAsia="zh-CN"/>
                    </w:rPr>
                    <w:t>4</w:t>
                  </w:r>
                </w:p>
              </w:tc>
              <w:tc>
                <w:tcPr>
                  <w:tcW w:w="4043" w:type="dxa"/>
                  <w:noWrap w:val="0"/>
                  <w:vAlign w:val="center"/>
                </w:tcPr>
                <w:p w14:paraId="0B68B387">
                  <w:pPr>
                    <w:pStyle w:val="1314"/>
                    <w:jc w:val="center"/>
                    <w:textAlignment w:val="baseline"/>
                    <w:rPr>
                      <w:rFonts w:ascii="Times New Roman" w:hAnsi="Times New Roman" w:eastAsia="宋体" w:cs="Times New Roman"/>
                      <w:color w:val="auto"/>
                      <w:sz w:val="18"/>
                      <w:szCs w:val="16"/>
                      <w:highlight w:val="none"/>
                      <w:lang w:val="en-US" w:eastAsia="en-US" w:bidi="ar-SA"/>
                    </w:rPr>
                  </w:pPr>
                  <w:r>
                    <w:rPr>
                      <w:rFonts w:hint="eastAsia" w:ascii="Times New Roman" w:hAnsi="Times New Roman" w:eastAsia="宋体" w:cs="Times New Roman"/>
                      <w:color w:val="auto"/>
                      <w:sz w:val="18"/>
                      <w:szCs w:val="16"/>
                      <w:highlight w:val="none"/>
                      <w:lang w:val="en-US" w:eastAsia="en-US"/>
                    </w:rPr>
                    <w:t>县级以上人民政府应当根据产业结构调整和产业布局优化的要求，引导工业企业入驻工业园区;新建有污染物排放的工业项目，除在安全生产等方面有特殊要求的以外，应当进入工业园区或者工业集聚区</w:t>
                  </w:r>
                </w:p>
              </w:tc>
              <w:tc>
                <w:tcPr>
                  <w:tcW w:w="2875" w:type="dxa"/>
                  <w:noWrap w:val="0"/>
                  <w:vAlign w:val="center"/>
                </w:tcPr>
                <w:p w14:paraId="0456709E">
                  <w:pPr>
                    <w:pStyle w:val="1314"/>
                    <w:jc w:val="center"/>
                    <w:textAlignment w:val="baseline"/>
                    <w:rPr>
                      <w:rFonts w:hint="default" w:ascii="Times New Roman" w:hAnsi="Times New Roman" w:eastAsia="宋体" w:cs="Times New Roman"/>
                      <w:color w:val="auto"/>
                      <w:sz w:val="18"/>
                      <w:szCs w:val="16"/>
                      <w:highlight w:val="none"/>
                      <w:lang w:val="en-US" w:eastAsia="zh-CN" w:bidi="ar-SA"/>
                    </w:rPr>
                  </w:pPr>
                  <w:r>
                    <w:rPr>
                      <w:rFonts w:hint="eastAsia" w:ascii="Times New Roman" w:hAnsi="Times New Roman" w:eastAsia="宋体" w:cs="Times New Roman"/>
                      <w:color w:val="auto"/>
                      <w:sz w:val="18"/>
                      <w:szCs w:val="16"/>
                      <w:highlight w:val="none"/>
                      <w:lang w:val="en-US" w:eastAsia="zh-CN"/>
                    </w:rPr>
                    <w:t>本项目</w:t>
                  </w:r>
                  <w:r>
                    <w:rPr>
                      <w:rFonts w:hint="eastAsia" w:ascii="Times New Roman" w:hAnsi="Times New Roman" w:eastAsia="宋体" w:cs="Times New Roman"/>
                      <w:color w:val="auto"/>
                      <w:sz w:val="18"/>
                      <w:szCs w:val="18"/>
                      <w:highlight w:val="none"/>
                      <w:lang w:val="en-US" w:eastAsia="zh-CN"/>
                    </w:rPr>
                    <w:t>属于新建项目，位于龙泉镇工业集中区（北部工业集聚区）</w:t>
                  </w:r>
                </w:p>
              </w:tc>
              <w:tc>
                <w:tcPr>
                  <w:tcW w:w="652" w:type="dxa"/>
                  <w:noWrap w:val="0"/>
                  <w:vAlign w:val="center"/>
                </w:tcPr>
                <w:p w14:paraId="4146EA9E">
                  <w:pPr>
                    <w:pStyle w:val="1314"/>
                    <w:jc w:val="center"/>
                    <w:textAlignment w:val="baseline"/>
                    <w:rPr>
                      <w:rFonts w:hint="eastAsia" w:ascii="Times New Roman" w:hAnsi="Times New Roman" w:eastAsia="宋体" w:cs="Times New Roman"/>
                      <w:color w:val="auto"/>
                      <w:sz w:val="18"/>
                      <w:szCs w:val="16"/>
                      <w:highlight w:val="none"/>
                      <w:lang w:val="zh" w:eastAsia="zh-CN" w:bidi="ar-SA"/>
                    </w:rPr>
                  </w:pPr>
                  <w:r>
                    <w:rPr>
                      <w:rFonts w:ascii="Times New Roman" w:hAnsi="Times New Roman" w:eastAsia="宋体" w:cs="Times New Roman"/>
                      <w:color w:val="auto"/>
                      <w:sz w:val="18"/>
                      <w:szCs w:val="18"/>
                      <w:highlight w:val="none"/>
                    </w:rPr>
                    <w:t>符合</w:t>
                  </w:r>
                </w:p>
              </w:tc>
            </w:tr>
          </w:tbl>
          <w:p w14:paraId="35F27E1D">
            <w:pPr>
              <w:spacing w:line="360" w:lineRule="auto"/>
              <w:ind w:firstLine="420" w:firstLineChars="200"/>
              <w:rPr>
                <w:rFonts w:hint="default" w:ascii="Times New Roman" w:hAnsi="Times New Roman" w:cs="Times New Roman"/>
                <w:color w:val="auto"/>
                <w:highlight w:val="none"/>
              </w:rPr>
            </w:pPr>
            <w:r>
              <w:rPr>
                <w:rFonts w:hint="eastAsia" w:cs="Times New Roman" w:eastAsiaTheme="minorEastAsia"/>
                <w:color w:val="auto"/>
                <w:szCs w:val="21"/>
                <w:highlight w:val="none"/>
                <w:lang w:eastAsia="zh-CN"/>
              </w:rPr>
              <w:t>（</w:t>
            </w:r>
            <w:r>
              <w:rPr>
                <w:rFonts w:hint="eastAsia" w:cs="Times New Roman" w:eastAsiaTheme="minorEastAsia"/>
                <w:color w:val="auto"/>
                <w:szCs w:val="21"/>
                <w:highlight w:val="none"/>
                <w:lang w:val="en-US" w:eastAsia="zh-CN"/>
              </w:rPr>
              <w:t>4</w:t>
            </w:r>
            <w:r>
              <w:rPr>
                <w:rFonts w:hint="eastAsia" w:cs="Times New Roman" w:eastAsiaTheme="minorEastAsia"/>
                <w:color w:val="auto"/>
                <w:szCs w:val="21"/>
                <w:highlight w:val="none"/>
                <w:lang w:eastAsia="zh-CN"/>
              </w:rPr>
              <w:t>）</w:t>
            </w:r>
            <w:r>
              <w:rPr>
                <w:rFonts w:hint="default" w:ascii="Times New Roman" w:hAnsi="Times New Roman" w:cs="Times New Roman" w:eastAsiaTheme="minorEastAsia"/>
                <w:color w:val="auto"/>
                <w:szCs w:val="21"/>
                <w:highlight w:val="none"/>
              </w:rPr>
              <w:t>与《关于做好环境影响评价制度与排污许可制衔接相关工作的通知》（环办环评[2017]84号）的符合性分析</w:t>
            </w:r>
          </w:p>
          <w:p w14:paraId="269DC33F">
            <w:pPr>
              <w:pStyle w:val="732"/>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表1-</w:t>
            </w:r>
            <w:r>
              <w:rPr>
                <w:rFonts w:hint="eastAsia" w:ascii="Times New Roman" w:hAnsi="Times New Roman" w:eastAsia="宋体" w:cs="Times New Roman"/>
                <w:b/>
                <w:bCs/>
                <w:color w:val="auto"/>
                <w:sz w:val="21"/>
                <w:szCs w:val="21"/>
                <w:highlight w:val="none"/>
                <w:lang w:val="en-US" w:eastAsia="zh-CN"/>
              </w:rPr>
              <w:t>6</w:t>
            </w:r>
            <w:r>
              <w:rPr>
                <w:rFonts w:hint="default" w:ascii="Times New Roman" w:hAnsi="Times New Roman" w:eastAsia="宋体" w:cs="Times New Roman"/>
                <w:b/>
                <w:bCs/>
                <w:color w:val="auto"/>
                <w:sz w:val="21"/>
                <w:szCs w:val="21"/>
                <w:highlight w:val="none"/>
              </w:rPr>
              <w:t xml:space="preserve">  项目与环办环评[2017]84号文件符合性分析</w:t>
            </w:r>
          </w:p>
          <w:tbl>
            <w:tblPr>
              <w:tblStyle w:val="83"/>
              <w:tblW w:w="497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514"/>
              <w:gridCol w:w="1989"/>
              <w:gridCol w:w="608"/>
            </w:tblGrid>
            <w:tr w14:paraId="68583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4" w:hRule="atLeast"/>
                <w:jc w:val="center"/>
              </w:trPr>
              <w:tc>
                <w:tcPr>
                  <w:tcW w:w="3399" w:type="pct"/>
                  <w:vAlign w:val="center"/>
                </w:tcPr>
                <w:p w14:paraId="6054C063">
                  <w:pPr>
                    <w:pStyle w:val="200"/>
                    <w:spacing w:beforeLines="0" w:afterLines="0"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文件要求</w:t>
                  </w:r>
                </w:p>
              </w:tc>
              <w:tc>
                <w:tcPr>
                  <w:tcW w:w="1226" w:type="pct"/>
                  <w:vAlign w:val="center"/>
                </w:tcPr>
                <w:p w14:paraId="12EC79E8">
                  <w:pPr>
                    <w:pStyle w:val="200"/>
                    <w:spacing w:beforeLines="0" w:afterLines="0"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项目情况</w:t>
                  </w:r>
                </w:p>
              </w:tc>
              <w:tc>
                <w:tcPr>
                  <w:tcW w:w="375" w:type="pct"/>
                  <w:tcMar>
                    <w:left w:w="28" w:type="dxa"/>
                    <w:right w:w="28" w:type="dxa"/>
                  </w:tcMar>
                  <w:vAlign w:val="center"/>
                </w:tcPr>
                <w:p w14:paraId="7204C03D">
                  <w:pPr>
                    <w:pStyle w:val="200"/>
                    <w:spacing w:beforeLines="0" w:afterLines="0" w:line="240" w:lineRule="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结论</w:t>
                  </w:r>
                </w:p>
              </w:tc>
            </w:tr>
            <w:tr w14:paraId="11651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5" w:hRule="atLeast"/>
                <w:jc w:val="center"/>
              </w:trPr>
              <w:tc>
                <w:tcPr>
                  <w:tcW w:w="3399" w:type="pct"/>
                  <w:vAlign w:val="center"/>
                </w:tcPr>
                <w:p w14:paraId="5FFD14EF">
                  <w:pPr>
                    <w:pStyle w:val="200"/>
                    <w:spacing w:beforeLines="0" w:afterLines="0"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环境影响评价审批部门要做好建设项目环境影响报告书</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表</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的审查，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p>
                <w:p w14:paraId="1F64B97D">
                  <w:pPr>
                    <w:pStyle w:val="200"/>
                    <w:spacing w:before="24" w:after="24"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建设项目发生实际排污行为之前，排污单位应当按照国家环境保护相关法律法规以及排污许可证申请与核发技术规范要求申请排污许可证，不得无证排污或不按证排污。环境影响报告书（表）2015年1月1日（含）后获得批准的建设项目，其环境影响报告书（表）以及审批文件中与污染物排放相关的主要内容应当纳入排污许可证。建设项目无证排污或不按证排污的，建设单位不得出具该项目验收合格的意见，验收报告中与污染物排放相关的主要内容应当纳入该项目验收完成当年排污许可证执行年报。排污许可证执行报告、台账记录以及自行监测执行情况等应作为开展建设项目环境影响后评价的重要依据。</w:t>
                  </w:r>
                </w:p>
              </w:tc>
              <w:tc>
                <w:tcPr>
                  <w:tcW w:w="1226" w:type="pct"/>
                  <w:vAlign w:val="center"/>
                </w:tcPr>
                <w:p w14:paraId="3BB7E82E">
                  <w:pPr>
                    <w:pStyle w:val="200"/>
                    <w:spacing w:beforeLines="0" w:afterLines="0"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本次环评根据环境影响评价要素导则严格核定了产排污环节、污染物种类及污染防治设施和措施、排放口数量、位置以及每个排放口的污染物种类、允许排放浓度和允许排放量、排放方式、排放去向、自行监测计划等与污染物排放相关的主要内容；污染物排放均依据国家相应标准要求的进行核算。本项目正在环评阶段，环评审批后将按照要求</w:t>
                  </w:r>
                  <w:r>
                    <w:rPr>
                      <w:rFonts w:hint="eastAsia" w:ascii="Times New Roman" w:cs="Times New Roman"/>
                      <w:color w:val="auto"/>
                      <w:sz w:val="18"/>
                      <w:szCs w:val="18"/>
                      <w:highlight w:val="none"/>
                      <w:lang w:val="en-US" w:eastAsia="zh-CN"/>
                    </w:rPr>
                    <w:t>申请排污许可证</w:t>
                  </w:r>
                  <w:r>
                    <w:rPr>
                      <w:rFonts w:hint="default" w:ascii="Times New Roman" w:hAnsi="Times New Roman" w:cs="Times New Roman"/>
                      <w:color w:val="auto"/>
                      <w:sz w:val="18"/>
                      <w:szCs w:val="18"/>
                      <w:highlight w:val="none"/>
                    </w:rPr>
                    <w:t>，并进行环境保护竣工验收。</w:t>
                  </w:r>
                </w:p>
              </w:tc>
              <w:tc>
                <w:tcPr>
                  <w:tcW w:w="375" w:type="pct"/>
                  <w:vAlign w:val="center"/>
                </w:tcPr>
                <w:p w14:paraId="6554901D">
                  <w:pPr>
                    <w:pStyle w:val="200"/>
                    <w:spacing w:beforeLines="0" w:afterLines="0"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符合</w:t>
                  </w:r>
                </w:p>
              </w:tc>
            </w:tr>
          </w:tbl>
          <w:p w14:paraId="4CEEB4D9">
            <w:pPr>
              <w:tabs>
                <w:tab w:val="left" w:pos="5427"/>
              </w:tabs>
              <w:spacing w:line="360" w:lineRule="auto"/>
              <w:ind w:firstLine="420" w:firstLineChars="200"/>
              <w:rPr>
                <w:rFonts w:hint="eastAsia" w:eastAsia="宋体"/>
                <w:color w:val="auto"/>
                <w:highlight w:val="none"/>
                <w:lang w:eastAsia="zh-CN"/>
              </w:rPr>
            </w:pPr>
            <w:r>
              <w:rPr>
                <w:rFonts w:hint="eastAsia"/>
                <w:color w:val="auto"/>
                <w:highlight w:val="none"/>
                <w:lang w:eastAsia="zh-CN"/>
              </w:rPr>
              <w:t>（</w:t>
            </w:r>
            <w:r>
              <w:rPr>
                <w:rFonts w:hint="eastAsia"/>
                <w:color w:val="auto"/>
                <w:highlight w:val="none"/>
                <w:lang w:val="en-US" w:eastAsia="zh-CN"/>
              </w:rPr>
              <w:t>5</w:t>
            </w:r>
            <w:r>
              <w:rPr>
                <w:rFonts w:hint="eastAsia"/>
                <w:color w:val="auto"/>
                <w:highlight w:val="none"/>
                <w:lang w:eastAsia="zh-CN"/>
              </w:rPr>
              <w:t>）与《建设项目环境保护管理条例》（国令第 682 号）的符合性分析</w:t>
            </w:r>
          </w:p>
          <w:p w14:paraId="018C1649">
            <w:pPr>
              <w:pStyle w:val="732"/>
              <w:snapToGrid w:val="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表1-</w:t>
            </w:r>
            <w:r>
              <w:rPr>
                <w:rFonts w:hint="eastAsia" w:ascii="Times New Roman" w:hAnsi="Times New Roman" w:eastAsia="宋体" w:cs="Times New Roman"/>
                <w:b/>
                <w:bCs/>
                <w:color w:val="auto"/>
                <w:sz w:val="21"/>
                <w:szCs w:val="21"/>
                <w:highlight w:val="none"/>
                <w:lang w:val="en-US" w:eastAsia="zh-CN"/>
              </w:rPr>
              <w:t>7</w:t>
            </w:r>
            <w:r>
              <w:rPr>
                <w:rFonts w:hint="default" w:ascii="Times New Roman" w:hAnsi="Times New Roman" w:eastAsia="宋体" w:cs="Times New Roman"/>
                <w:b/>
                <w:bCs/>
                <w:color w:val="auto"/>
                <w:sz w:val="21"/>
                <w:szCs w:val="21"/>
                <w:highlight w:val="none"/>
              </w:rPr>
              <w:t>与国令第682号文的符合性分析</w:t>
            </w:r>
          </w:p>
          <w:tbl>
            <w:tblPr>
              <w:tblStyle w:val="1390"/>
              <w:tblW w:w="5000" w:type="pct"/>
              <w:tblInd w:w="-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15"/>
              <w:gridCol w:w="3529"/>
              <w:gridCol w:w="2862"/>
              <w:gridCol w:w="646"/>
            </w:tblGrid>
            <w:tr w14:paraId="38310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3" w:hRule="atLeast"/>
              </w:trPr>
              <w:tc>
                <w:tcPr>
                  <w:tcW w:w="2848" w:type="pct"/>
                  <w:gridSpan w:val="2"/>
                  <w:noWrap w:val="0"/>
                  <w:vAlign w:val="center"/>
                </w:tcPr>
                <w:p w14:paraId="762E2BD5">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文件要求</w:t>
                  </w:r>
                </w:p>
              </w:tc>
              <w:tc>
                <w:tcPr>
                  <w:tcW w:w="1755" w:type="pct"/>
                  <w:noWrap w:val="0"/>
                  <w:vAlign w:val="center"/>
                </w:tcPr>
                <w:p w14:paraId="523A5ED8">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eastAsia="zh-CN"/>
                    </w:rPr>
                    <w:t>本项目</w:t>
                  </w:r>
                  <w:r>
                    <w:rPr>
                      <w:rFonts w:ascii="Times New Roman" w:hAnsi="Times New Roman" w:eastAsia="宋体" w:cs="Times New Roman"/>
                      <w:color w:val="auto"/>
                      <w:sz w:val="18"/>
                      <w:szCs w:val="18"/>
                      <w:highlight w:val="none"/>
                    </w:rPr>
                    <w:t>情况</w:t>
                  </w:r>
                </w:p>
              </w:tc>
              <w:tc>
                <w:tcPr>
                  <w:tcW w:w="396" w:type="pct"/>
                  <w:noWrap w:val="0"/>
                  <w:vAlign w:val="center"/>
                </w:tcPr>
                <w:p w14:paraId="47A2ECA5">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符合性</w:t>
                  </w:r>
                </w:p>
              </w:tc>
            </w:tr>
            <w:tr w14:paraId="57877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89" w:hRule="atLeast"/>
              </w:trPr>
              <w:tc>
                <w:tcPr>
                  <w:tcW w:w="684" w:type="pct"/>
                  <w:vMerge w:val="restart"/>
                  <w:noWrap w:val="0"/>
                  <w:vAlign w:val="center"/>
                </w:tcPr>
                <w:p w14:paraId="3C11058F">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第十一条：建设项目有下列情形之一的，环境保护行政主管部门应当对环境影响报告书、环境影响报告表作出不予批准的决定</w:t>
                  </w:r>
                </w:p>
              </w:tc>
              <w:tc>
                <w:tcPr>
                  <w:tcW w:w="2163" w:type="pct"/>
                  <w:noWrap w:val="0"/>
                  <w:vAlign w:val="center"/>
                </w:tcPr>
                <w:p w14:paraId="056CF9C3">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（一）建设项目类型及其选址、布局、规模等不符合环境保护法律法规和相关法定规划；</w:t>
                  </w:r>
                </w:p>
              </w:tc>
              <w:tc>
                <w:tcPr>
                  <w:tcW w:w="1755" w:type="pct"/>
                  <w:noWrap w:val="0"/>
                  <w:vAlign w:val="center"/>
                </w:tcPr>
                <w:p w14:paraId="36FBFEA7">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项目用地为</w:t>
                  </w:r>
                  <w:r>
                    <w:rPr>
                      <w:rFonts w:hint="eastAsia" w:ascii="Times New Roman" w:hAnsi="Times New Roman" w:eastAsia="宋体" w:cs="Times New Roman"/>
                      <w:color w:val="auto"/>
                      <w:sz w:val="18"/>
                      <w:szCs w:val="18"/>
                      <w:highlight w:val="none"/>
                      <w:lang w:val="en-US" w:eastAsia="zh-CN"/>
                    </w:rPr>
                    <w:t>工业</w:t>
                  </w:r>
                  <w:r>
                    <w:rPr>
                      <w:rFonts w:ascii="Times New Roman" w:hAnsi="Times New Roman" w:eastAsia="宋体" w:cs="Times New Roman"/>
                      <w:color w:val="auto"/>
                      <w:sz w:val="18"/>
                      <w:szCs w:val="18"/>
                      <w:highlight w:val="none"/>
                    </w:rPr>
                    <w:t>用地，项目类型、规模、布局等符合《产业结构调整指导目录（2024年本）》等环境保护法律法规。</w:t>
                  </w:r>
                </w:p>
              </w:tc>
              <w:tc>
                <w:tcPr>
                  <w:tcW w:w="396" w:type="pct"/>
                  <w:noWrap w:val="0"/>
                  <w:vAlign w:val="center"/>
                </w:tcPr>
                <w:p w14:paraId="39E70930">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符合</w:t>
                  </w:r>
                </w:p>
              </w:tc>
            </w:tr>
            <w:tr w14:paraId="1D354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15" w:hRule="atLeast"/>
              </w:trPr>
              <w:tc>
                <w:tcPr>
                  <w:tcW w:w="684" w:type="pct"/>
                  <w:vMerge w:val="continue"/>
                  <w:noWrap w:val="0"/>
                  <w:vAlign w:val="center"/>
                </w:tcPr>
                <w:p w14:paraId="4A5D20EC">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p>
              </w:tc>
              <w:tc>
                <w:tcPr>
                  <w:tcW w:w="2163" w:type="pct"/>
                  <w:noWrap w:val="0"/>
                  <w:vAlign w:val="center"/>
                </w:tcPr>
                <w:p w14:paraId="4389A9B6">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（二）所在区域环境质量未达到国家或者地方环境质量标准，且建设项目拟采取的措施不能满足区域环境质量改善目标管理要求；</w:t>
                  </w:r>
                </w:p>
              </w:tc>
              <w:tc>
                <w:tcPr>
                  <w:tcW w:w="1755" w:type="pct"/>
                  <w:noWrap w:val="0"/>
                  <w:vAlign w:val="center"/>
                </w:tcPr>
                <w:p w14:paraId="1BB51668">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eastAsia="zh-CN"/>
                    </w:rPr>
                    <w:t>本项目</w:t>
                  </w:r>
                  <w:r>
                    <w:rPr>
                      <w:rFonts w:ascii="Times New Roman" w:hAnsi="Times New Roman" w:eastAsia="宋体" w:cs="Times New Roman"/>
                      <w:color w:val="auto"/>
                      <w:sz w:val="18"/>
                      <w:szCs w:val="18"/>
                      <w:highlight w:val="none"/>
                    </w:rPr>
                    <w:t>建设采取严格的污染防治措施，不会对周围大气、水环境质量环境造成影响，满足区域环境质量改善目标管理的要求。</w:t>
                  </w:r>
                </w:p>
              </w:tc>
              <w:tc>
                <w:tcPr>
                  <w:tcW w:w="396" w:type="pct"/>
                  <w:noWrap w:val="0"/>
                  <w:vAlign w:val="center"/>
                </w:tcPr>
                <w:p w14:paraId="05FDB159">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符合</w:t>
                  </w:r>
                </w:p>
              </w:tc>
            </w:tr>
            <w:tr w14:paraId="3778D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1" w:hRule="atLeast"/>
              </w:trPr>
              <w:tc>
                <w:tcPr>
                  <w:tcW w:w="684" w:type="pct"/>
                  <w:vMerge w:val="continue"/>
                  <w:noWrap w:val="0"/>
                  <w:vAlign w:val="center"/>
                </w:tcPr>
                <w:p w14:paraId="2C0A9616">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p>
              </w:tc>
              <w:tc>
                <w:tcPr>
                  <w:tcW w:w="2163" w:type="pct"/>
                  <w:noWrap w:val="0"/>
                  <w:vAlign w:val="center"/>
                </w:tcPr>
                <w:p w14:paraId="3BD65C81">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（三）建设项目采取的污染防治措施无法确保污染物排放达到国家和地方排放标准，或者未采取必要措施预防和控制生态破坏；</w:t>
                  </w:r>
                </w:p>
              </w:tc>
              <w:tc>
                <w:tcPr>
                  <w:tcW w:w="1755" w:type="pct"/>
                  <w:noWrap w:val="0"/>
                  <w:vAlign w:val="center"/>
                </w:tcPr>
                <w:p w14:paraId="2380EEF1">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eastAsia="zh-CN"/>
                    </w:rPr>
                    <w:t>本项目</w:t>
                  </w:r>
                  <w:r>
                    <w:rPr>
                      <w:rFonts w:ascii="Times New Roman" w:hAnsi="Times New Roman" w:eastAsia="宋体" w:cs="Times New Roman"/>
                      <w:color w:val="auto"/>
                      <w:sz w:val="18"/>
                      <w:szCs w:val="18"/>
                      <w:highlight w:val="none"/>
                    </w:rPr>
                    <w:t>拟采取污染防治措施后，污染物排放均达到国家和地方排放标准。</w:t>
                  </w:r>
                </w:p>
              </w:tc>
              <w:tc>
                <w:tcPr>
                  <w:tcW w:w="396" w:type="pct"/>
                  <w:noWrap w:val="0"/>
                  <w:vAlign w:val="center"/>
                </w:tcPr>
                <w:p w14:paraId="6BC70FC0">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符合</w:t>
                  </w:r>
                </w:p>
              </w:tc>
            </w:tr>
            <w:tr w14:paraId="3E463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1" w:hRule="atLeast"/>
              </w:trPr>
              <w:tc>
                <w:tcPr>
                  <w:tcW w:w="684" w:type="pct"/>
                  <w:vMerge w:val="continue"/>
                  <w:noWrap w:val="0"/>
                  <w:vAlign w:val="center"/>
                </w:tcPr>
                <w:p w14:paraId="5DD49AC2">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p>
              </w:tc>
              <w:tc>
                <w:tcPr>
                  <w:tcW w:w="2163" w:type="pct"/>
                  <w:noWrap w:val="0"/>
                  <w:vAlign w:val="center"/>
                </w:tcPr>
                <w:p w14:paraId="482598D9">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（四）改建、扩建和技术改造项目，未针对项目原有环境污染和生态破坏提出有效防治措施。</w:t>
                  </w:r>
                </w:p>
              </w:tc>
              <w:tc>
                <w:tcPr>
                  <w:tcW w:w="1755" w:type="pct"/>
                  <w:noWrap w:val="0"/>
                  <w:vAlign w:val="center"/>
                </w:tcPr>
                <w:p w14:paraId="6090E753">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rPr>
                    <w:t>本项目属于</w:t>
                  </w:r>
                  <w:r>
                    <w:rPr>
                      <w:rFonts w:hint="eastAsia" w:ascii="Times New Roman" w:hAnsi="Times New Roman" w:eastAsia="宋体" w:cs="Times New Roman"/>
                      <w:color w:val="auto"/>
                      <w:sz w:val="18"/>
                      <w:szCs w:val="18"/>
                      <w:highlight w:val="none"/>
                      <w:lang w:val="en-US" w:eastAsia="zh-CN"/>
                    </w:rPr>
                    <w:t>新建</w:t>
                  </w:r>
                  <w:r>
                    <w:rPr>
                      <w:rFonts w:hint="eastAsia" w:ascii="Times New Roman" w:hAnsi="Times New Roman" w:eastAsia="宋体" w:cs="Times New Roman"/>
                      <w:color w:val="auto"/>
                      <w:sz w:val="18"/>
                      <w:szCs w:val="18"/>
                      <w:highlight w:val="none"/>
                    </w:rPr>
                    <w:t>项目，</w:t>
                  </w:r>
                  <w:r>
                    <w:rPr>
                      <w:rFonts w:hint="eastAsia" w:ascii="Times New Roman" w:hAnsi="Times New Roman" w:eastAsia="宋体" w:cs="Times New Roman"/>
                      <w:color w:val="auto"/>
                      <w:sz w:val="18"/>
                      <w:szCs w:val="18"/>
                      <w:highlight w:val="none"/>
                      <w:lang w:val="en-US" w:eastAsia="zh-CN"/>
                    </w:rPr>
                    <w:t>不涉及</w:t>
                  </w:r>
                  <w:r>
                    <w:rPr>
                      <w:rFonts w:hint="eastAsia" w:ascii="Times New Roman" w:hAnsi="Times New Roman" w:eastAsia="宋体" w:cs="Times New Roman"/>
                      <w:color w:val="auto"/>
                      <w:sz w:val="18"/>
                      <w:szCs w:val="18"/>
                      <w:highlight w:val="none"/>
                    </w:rPr>
                    <w:t>原有环境污染和生态破坏提出有效防治措施。</w:t>
                  </w:r>
                </w:p>
              </w:tc>
              <w:tc>
                <w:tcPr>
                  <w:tcW w:w="396" w:type="pct"/>
                  <w:noWrap w:val="0"/>
                  <w:vAlign w:val="center"/>
                </w:tcPr>
                <w:p w14:paraId="6867A03C">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符合</w:t>
                  </w:r>
                </w:p>
              </w:tc>
            </w:tr>
            <w:tr w14:paraId="4043B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1" w:hRule="atLeast"/>
              </w:trPr>
              <w:tc>
                <w:tcPr>
                  <w:tcW w:w="684" w:type="pct"/>
                  <w:vMerge w:val="continue"/>
                  <w:noWrap w:val="0"/>
                  <w:vAlign w:val="center"/>
                </w:tcPr>
                <w:p w14:paraId="44F9C8D5">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p>
              </w:tc>
              <w:tc>
                <w:tcPr>
                  <w:tcW w:w="2163" w:type="pct"/>
                  <w:noWrap w:val="0"/>
                  <w:vAlign w:val="center"/>
                </w:tcPr>
                <w:p w14:paraId="370AFC40">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eastAsia="zh-CN"/>
                    </w:rPr>
                    <w:t>（</w:t>
                  </w:r>
                  <w:r>
                    <w:rPr>
                      <w:rFonts w:hint="eastAsia" w:ascii="Times New Roman" w:hAnsi="Times New Roman" w:eastAsia="宋体" w:cs="Times New Roman"/>
                      <w:color w:val="auto"/>
                      <w:sz w:val="18"/>
                      <w:szCs w:val="18"/>
                      <w:highlight w:val="none"/>
                      <w:lang w:val="en-US" w:eastAsia="zh-CN"/>
                    </w:rPr>
                    <w:t>五</w:t>
                  </w:r>
                  <w:r>
                    <w:rPr>
                      <w:rFonts w:hint="eastAsia" w:ascii="Times New Roman" w:hAnsi="Times New Roman" w:eastAsia="宋体" w:cs="Times New Roman"/>
                      <w:color w:val="auto"/>
                      <w:sz w:val="18"/>
                      <w:szCs w:val="18"/>
                      <w:highlight w:val="none"/>
                      <w:lang w:eastAsia="zh-CN"/>
                    </w:rPr>
                    <w:t>）</w:t>
                  </w:r>
                  <w:r>
                    <w:rPr>
                      <w:rFonts w:hint="eastAsia" w:ascii="Times New Roman" w:hAnsi="Times New Roman" w:eastAsia="宋体" w:cs="Times New Roman"/>
                      <w:color w:val="auto"/>
                      <w:sz w:val="18"/>
                      <w:szCs w:val="18"/>
                      <w:highlight w:val="none"/>
                    </w:rPr>
                    <w:t>建设项目的环境影响报告书、环境影响报告表的基础资料数据明显不实，内容存在重大缺陷、遗漏，或者环境影响评价结论不明确、不合理</w:t>
                  </w:r>
                </w:p>
              </w:tc>
              <w:tc>
                <w:tcPr>
                  <w:tcW w:w="1755" w:type="pct"/>
                  <w:noWrap w:val="0"/>
                  <w:vAlign w:val="center"/>
                </w:tcPr>
                <w:p w14:paraId="7695E60F">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本项目依法进行环境影响评价</w:t>
                  </w:r>
                </w:p>
              </w:tc>
              <w:tc>
                <w:tcPr>
                  <w:tcW w:w="396" w:type="pct"/>
                  <w:noWrap w:val="0"/>
                  <w:vAlign w:val="center"/>
                </w:tcPr>
                <w:p w14:paraId="217C2EBF">
                  <w:pPr>
                    <w:pStyle w:val="200"/>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auto"/>
                      <w:sz w:val="18"/>
                      <w:szCs w:val="18"/>
                      <w:highlight w:val="none"/>
                    </w:rPr>
                  </w:pPr>
                  <w:r>
                    <w:rPr>
                      <w:rFonts w:ascii="Times New Roman" w:hAnsi="Times New Roman" w:eastAsia="宋体" w:cs="Times New Roman"/>
                      <w:color w:val="auto"/>
                      <w:sz w:val="18"/>
                      <w:szCs w:val="18"/>
                      <w:highlight w:val="none"/>
                    </w:rPr>
                    <w:t>符合</w:t>
                  </w:r>
                </w:p>
              </w:tc>
            </w:tr>
          </w:tbl>
          <w:p w14:paraId="6E27E4AB">
            <w:pPr>
              <w:autoSpaceDE w:val="0"/>
              <w:autoSpaceDN w:val="0"/>
              <w:adjustRightIn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r>
              <w:rPr>
                <w:rFonts w:hint="eastAsia" w:cs="Times New Roman"/>
                <w:bCs/>
                <w:color w:val="auto"/>
                <w:szCs w:val="21"/>
                <w:highlight w:val="none"/>
                <w:lang w:val="en-US" w:eastAsia="zh-CN"/>
              </w:rPr>
              <w:t>6</w:t>
            </w:r>
            <w:r>
              <w:rPr>
                <w:rFonts w:hint="default" w:ascii="Times New Roman" w:hAnsi="Times New Roman" w:cs="Times New Roman"/>
                <w:bCs/>
                <w:color w:val="auto"/>
                <w:szCs w:val="21"/>
                <w:highlight w:val="none"/>
              </w:rPr>
              <w:t>）与《山东省“两高”项目管理目录（2023年版）》的符合性分析</w:t>
            </w:r>
          </w:p>
          <w:p w14:paraId="4B1A3DB1">
            <w:pPr>
              <w:tabs>
                <w:tab w:val="left" w:pos="5427"/>
              </w:tabs>
              <w:spacing w:line="360" w:lineRule="auto"/>
              <w:ind w:firstLine="420" w:firstLineChars="200"/>
              <w:rPr>
                <w:rFonts w:hint="eastAsia" w:ascii="Times New Roman" w:hAnsi="Times New Roman" w:cs="Times New Roman" w:eastAsiaTheme="minorEastAsia"/>
                <w:bCs/>
                <w:color w:val="auto"/>
                <w:highlight w:val="none"/>
                <w:lang w:eastAsia="zh-CN"/>
              </w:rPr>
            </w:pPr>
            <w:r>
              <w:rPr>
                <w:rFonts w:hint="default" w:ascii="Times New Roman" w:hAnsi="Times New Roman" w:cs="Times New Roman" w:eastAsiaTheme="minorEastAsia"/>
                <w:bCs/>
                <w:color w:val="auto"/>
                <w:highlight w:val="none"/>
              </w:rPr>
              <w:t>本项目行业类别为</w:t>
            </w:r>
            <w:r>
              <w:rPr>
                <w:rFonts w:hint="eastAsia" w:cs="Times New Roman" w:eastAsiaTheme="minorEastAsia"/>
                <w:bCs/>
                <w:color w:val="auto"/>
                <w:highlight w:val="none"/>
                <w:lang w:eastAsia="zh-CN"/>
              </w:rPr>
              <w:t>C2613无机盐制造</w:t>
            </w:r>
            <w:r>
              <w:rPr>
                <w:rFonts w:hint="default" w:ascii="Times New Roman" w:hAnsi="Times New Roman" w:cs="Times New Roman" w:eastAsiaTheme="minorEastAsia"/>
                <w:bCs/>
                <w:color w:val="auto"/>
                <w:highlight w:val="none"/>
              </w:rPr>
              <w:t>，不属于《山东省“两高”项目管理目录（2023年版）》</w:t>
            </w:r>
            <w:r>
              <w:rPr>
                <w:rFonts w:hint="eastAsia" w:cs="Times New Roman" w:eastAsiaTheme="minorEastAsia"/>
                <w:bCs/>
                <w:color w:val="auto"/>
                <w:highlight w:val="none"/>
                <w:lang w:val="en-US" w:eastAsia="zh-CN"/>
              </w:rPr>
              <w:t>中的</w:t>
            </w:r>
            <w:r>
              <w:rPr>
                <w:rFonts w:hint="default" w:ascii="Times New Roman" w:hAnsi="Times New Roman" w:cs="Times New Roman" w:eastAsiaTheme="minorEastAsia"/>
                <w:bCs/>
                <w:color w:val="auto"/>
                <w:highlight w:val="none"/>
              </w:rPr>
              <w:t>“两高”行业</w:t>
            </w:r>
            <w:r>
              <w:rPr>
                <w:rFonts w:hint="eastAsia" w:ascii="Times New Roman" w:hAnsi="Times New Roman" w:cs="Times New Roman" w:eastAsiaTheme="minorEastAsia"/>
                <w:bCs/>
                <w:color w:val="auto"/>
                <w:highlight w:val="none"/>
                <w:lang w:eastAsia="zh-CN"/>
              </w:rPr>
              <w:t>。</w:t>
            </w:r>
          </w:p>
          <w:p w14:paraId="1E78CA0E">
            <w:pPr>
              <w:rPr>
                <w:rFonts w:hint="eastAsia" w:eastAsia="宋体"/>
                <w:color w:val="auto"/>
                <w:lang w:eastAsia="zh-CN"/>
              </w:rPr>
            </w:pPr>
          </w:p>
        </w:tc>
      </w:tr>
    </w:tbl>
    <w:p w14:paraId="0354B271">
      <w:pPr>
        <w:spacing w:line="420" w:lineRule="exact"/>
        <w:outlineLvl w:val="0"/>
        <w:rPr>
          <w:rFonts w:eastAsia="黑体"/>
          <w:color w:val="auto"/>
          <w:sz w:val="30"/>
        </w:rPr>
        <w:sectPr>
          <w:footerReference r:id="rId3" w:type="default"/>
          <w:footerReference r:id="rId4" w:type="even"/>
          <w:pgSz w:w="11906" w:h="16838"/>
          <w:pgMar w:top="1701" w:right="1531" w:bottom="1701" w:left="1531" w:header="851" w:footer="1304" w:gutter="0"/>
          <w:pgNumType w:start="1"/>
          <w:cols w:space="720" w:num="1"/>
          <w:docGrid w:linePitch="312" w:charSpace="0"/>
        </w:sectPr>
      </w:pPr>
    </w:p>
    <w:p w14:paraId="411723EB">
      <w:pPr>
        <w:pStyle w:val="77"/>
        <w:spacing w:line="420" w:lineRule="exact"/>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二、建设项目工程分析</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5"/>
        <w:gridCol w:w="8635"/>
      </w:tblGrid>
      <w:tr w14:paraId="63ACF6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252" w:hRule="atLeast"/>
          <w:jc w:val="center"/>
        </w:trPr>
        <w:tc>
          <w:tcPr>
            <w:tcW w:w="633" w:type="dxa"/>
            <w:vAlign w:val="center"/>
          </w:tcPr>
          <w:p w14:paraId="0CE275BA">
            <w:pPr>
              <w:pStyle w:val="77"/>
              <w:adjustRightInd w:val="0"/>
              <w:snapToGrid w:val="0"/>
              <w:spacing w:before="0" w:beforeAutospacing="0" w:after="0" w:afterAutospacing="0" w:line="420" w:lineRule="exact"/>
              <w:jc w:val="center"/>
              <w:rPr>
                <w:rFonts w:ascii="Times New Roman" w:hAnsi="Times New Roman"/>
                <w:color w:val="auto"/>
                <w:sz w:val="21"/>
                <w:szCs w:val="21"/>
              </w:rPr>
            </w:pPr>
            <w:r>
              <w:rPr>
                <w:rFonts w:ascii="Times New Roman" w:hAnsi="Times New Roman"/>
                <w:color w:val="auto"/>
                <w:sz w:val="21"/>
                <w:szCs w:val="21"/>
              </w:rPr>
              <w:t>建设内容</w:t>
            </w:r>
          </w:p>
        </w:tc>
        <w:tc>
          <w:tcPr>
            <w:tcW w:w="8427" w:type="dxa"/>
          </w:tcPr>
          <w:p w14:paraId="6ED06C80">
            <w:pPr>
              <w:numPr>
                <w:ilvl w:val="0"/>
                <w:numId w:val="17"/>
              </w:numPr>
              <w:spacing w:line="360" w:lineRule="auto"/>
              <w:ind w:firstLine="422" w:firstLineChars="200"/>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项目由来</w:t>
            </w:r>
          </w:p>
          <w:p w14:paraId="5733A8CF">
            <w:pPr>
              <w:pStyle w:val="43"/>
              <w:snapToGrid w:val="0"/>
              <w:spacing w:line="360" w:lineRule="auto"/>
              <w:ind w:firstLine="420" w:firstLineChars="200"/>
              <w:rPr>
                <w:rFonts w:hint="default" w:ascii="Times New Roman" w:hAnsi="Times New Roman" w:cs="Times New Roman" w:eastAsiaTheme="minorEastAsia"/>
                <w:color w:val="auto"/>
                <w:highlight w:val="none"/>
                <w:lang w:val="en-US"/>
              </w:rPr>
            </w:pPr>
            <w:r>
              <w:rPr>
                <w:rFonts w:hint="eastAsia"/>
                <w:color w:val="auto"/>
                <w:highlight w:val="none"/>
                <w:lang w:eastAsia="zh-CN"/>
              </w:rPr>
              <w:t>山东广吉新</w:t>
            </w:r>
            <w:r>
              <w:rPr>
                <w:rFonts w:hint="default" w:ascii="Times New Roman" w:hAnsi="Times New Roman" w:cs="Times New Roman"/>
                <w:color w:val="auto"/>
                <w:highlight w:val="none"/>
                <w:lang w:eastAsia="zh-CN"/>
              </w:rPr>
              <w:t>材料有限公司</w:t>
            </w:r>
            <w:r>
              <w:rPr>
                <w:rFonts w:hint="default" w:ascii="Times New Roman" w:hAnsi="Times New Roman" w:cs="Times New Roman" w:eastAsiaTheme="minorEastAsia"/>
                <w:color w:val="auto"/>
                <w:highlight w:val="none"/>
              </w:rPr>
              <w:t>成立于20</w:t>
            </w:r>
            <w:r>
              <w:rPr>
                <w:rFonts w:hint="default" w:ascii="Times New Roman" w:hAnsi="Times New Roman" w:cs="Times New Roman" w:eastAsiaTheme="minorEastAsia"/>
                <w:color w:val="auto"/>
                <w:highlight w:val="none"/>
                <w:lang w:val="en-US" w:eastAsia="zh-CN"/>
              </w:rPr>
              <w:t>19</w:t>
            </w:r>
            <w:r>
              <w:rPr>
                <w:rFonts w:hint="default" w:ascii="Times New Roman" w:hAnsi="Times New Roman" w:cs="Times New Roman" w:eastAsiaTheme="minorEastAsia"/>
                <w:color w:val="auto"/>
                <w:highlight w:val="none"/>
              </w:rPr>
              <w:t>年1</w:t>
            </w:r>
            <w:r>
              <w:rPr>
                <w:rFonts w:hint="default" w:ascii="Times New Roman" w:hAnsi="Times New Roman" w:cs="Times New Roman" w:eastAsiaTheme="minorEastAsia"/>
                <w:color w:val="auto"/>
                <w:highlight w:val="none"/>
                <w:lang w:val="en-US" w:eastAsia="zh-CN"/>
              </w:rPr>
              <w:t>2</w:t>
            </w:r>
            <w:r>
              <w:rPr>
                <w:rFonts w:hint="default" w:ascii="Times New Roman" w:hAnsi="Times New Roman" w:cs="Times New Roman" w:eastAsiaTheme="minorEastAsia"/>
                <w:color w:val="auto"/>
                <w:highlight w:val="none"/>
              </w:rPr>
              <w:t>月2</w:t>
            </w:r>
            <w:r>
              <w:rPr>
                <w:rFonts w:hint="default" w:ascii="Times New Roman" w:hAnsi="Times New Roman" w:cs="Times New Roman" w:eastAsiaTheme="minorEastAsia"/>
                <w:color w:val="auto"/>
                <w:highlight w:val="none"/>
                <w:lang w:val="en-US" w:eastAsia="zh-CN"/>
              </w:rPr>
              <w:t>4</w:t>
            </w:r>
            <w:r>
              <w:rPr>
                <w:rFonts w:hint="default" w:ascii="Times New Roman" w:hAnsi="Times New Roman" w:cs="Times New Roman" w:eastAsiaTheme="minorEastAsia"/>
                <w:color w:val="auto"/>
                <w:highlight w:val="none"/>
              </w:rPr>
              <w:t>日，注册地址</w:t>
            </w:r>
            <w:r>
              <w:rPr>
                <w:rFonts w:hint="default" w:ascii="Times New Roman" w:hAnsi="Times New Roman" w:cs="Times New Roman" w:eastAsiaTheme="minorEastAsia"/>
                <w:color w:val="auto"/>
                <w:highlight w:val="none"/>
                <w:lang w:val="en-US" w:eastAsia="zh-CN"/>
              </w:rPr>
              <w:t>位于山东省淄博市淄川区龙泉镇台头村村委西1800米</w:t>
            </w:r>
            <w:r>
              <w:rPr>
                <w:rFonts w:hint="default" w:ascii="Times New Roman" w:hAnsi="Times New Roman" w:cs="Times New Roman" w:eastAsiaTheme="minorEastAsia"/>
                <w:color w:val="auto"/>
                <w:highlight w:val="none"/>
              </w:rPr>
              <w:t>，</w:t>
            </w:r>
            <w:r>
              <w:rPr>
                <w:rFonts w:hint="default" w:ascii="Times New Roman" w:hAnsi="Times New Roman" w:cs="Times New Roman" w:eastAsiaTheme="minorEastAsia"/>
                <w:color w:val="auto"/>
                <w:highlight w:val="none"/>
                <w:lang w:val="en-US" w:eastAsia="zh-CN"/>
              </w:rPr>
              <w:t>经营范围包括纳米材料制造、销售。</w:t>
            </w:r>
          </w:p>
          <w:p w14:paraId="638BAAA3">
            <w:pPr>
              <w:pStyle w:val="43"/>
              <w:snapToGrid w:val="0"/>
              <w:spacing w:line="360" w:lineRule="auto"/>
              <w:ind w:firstLine="420" w:firstLineChars="200"/>
              <w:rPr>
                <w:rFonts w:hint="default" w:ascii="Times New Roman" w:hAnsi="Times New Roman" w:cs="Times New Roman" w:eastAsiaTheme="minorEastAsia"/>
                <w:color w:val="auto"/>
                <w:highlight w:val="none"/>
                <w:lang w:val="en-US"/>
              </w:rPr>
            </w:pPr>
            <w:r>
              <w:rPr>
                <w:rFonts w:hint="default" w:ascii="Times New Roman" w:hAnsi="Times New Roman" w:cs="Times New Roman"/>
                <w:color w:val="auto"/>
                <w:highlight w:val="none"/>
                <w:lang w:eastAsia="zh-CN"/>
              </w:rPr>
              <w:t>为满足市场需求，山东广吉新材料有限公司拟投资</w:t>
            </w:r>
            <w:r>
              <w:rPr>
                <w:rFonts w:hint="default" w:ascii="Times New Roman" w:hAnsi="Times New Roman" w:cs="Times New Roman"/>
                <w:color w:val="auto"/>
                <w:highlight w:val="none"/>
                <w:lang w:val="en-US" w:eastAsia="zh-CN"/>
              </w:rPr>
              <w:t>2600</w:t>
            </w:r>
            <w:r>
              <w:rPr>
                <w:rFonts w:hint="default" w:ascii="Times New Roman" w:hAnsi="Times New Roman" w:cs="Times New Roman"/>
                <w:color w:val="auto"/>
                <w:highlight w:val="none"/>
                <w:lang w:eastAsia="zh-CN"/>
              </w:rPr>
              <w:t>万元在</w:t>
            </w:r>
            <w:r>
              <w:rPr>
                <w:rFonts w:hint="default" w:ascii="Times New Roman" w:hAnsi="Times New Roman" w:eastAsia="宋体" w:cs="Times New Roman"/>
                <w:color w:val="auto"/>
                <w:highlight w:val="none"/>
                <w:lang w:eastAsia="zh-CN"/>
              </w:rPr>
              <w:t>淄博市</w:t>
            </w:r>
            <w:r>
              <w:rPr>
                <w:rFonts w:hint="default" w:ascii="Times New Roman" w:hAnsi="Times New Roman" w:cs="Times New Roman"/>
                <w:color w:val="auto"/>
                <w:highlight w:val="none"/>
                <w:lang w:eastAsia="zh-CN"/>
              </w:rPr>
              <w:t>淄川区龙泉镇尚庄村西北200米建设“氧氯化锆提纯项目”，该项目</w:t>
            </w:r>
            <w:r>
              <w:rPr>
                <w:rFonts w:hint="default" w:ascii="Times New Roman" w:hAnsi="Times New Roman" w:cs="Times New Roman"/>
                <w:color w:val="auto"/>
                <w:highlight w:val="none"/>
                <w:lang w:val="en-US" w:eastAsia="zh-CN"/>
              </w:rPr>
              <w:t>占地面积18000m</w:t>
            </w:r>
            <w:r>
              <w:rPr>
                <w:rFonts w:hint="default" w:ascii="Times New Roman" w:hAnsi="Times New Roman" w:cs="Times New Roman"/>
                <w:color w:val="auto"/>
                <w:highlight w:val="none"/>
                <w:vertAlign w:val="superscript"/>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以</w:t>
            </w:r>
            <w:r>
              <w:rPr>
                <w:rFonts w:hint="eastAsia" w:ascii="Times New Roman" w:hAnsi="Times New Roman" w:cs="Times New Roman"/>
                <w:color w:val="auto"/>
                <w:highlight w:val="none"/>
                <w:lang w:val="en-US" w:eastAsia="zh-CN"/>
              </w:rPr>
              <w:t>工业级</w:t>
            </w:r>
            <w:r>
              <w:rPr>
                <w:rFonts w:hint="default" w:ascii="Times New Roman" w:hAnsi="Times New Roman" w:cs="Times New Roman"/>
                <w:color w:val="auto"/>
                <w:highlight w:val="none"/>
                <w:lang w:val="en-US" w:eastAsia="zh-CN"/>
              </w:rPr>
              <w:t>氧氯化锆等为</w:t>
            </w:r>
            <w:r>
              <w:rPr>
                <w:rFonts w:hint="default" w:ascii="Times New Roman" w:hAnsi="Times New Roman" w:cs="Times New Roman"/>
                <w:color w:val="auto"/>
                <w:highlight w:val="none"/>
                <w:lang w:eastAsia="zh-CN"/>
              </w:rPr>
              <w:t>原材料，购置</w:t>
            </w:r>
            <w:r>
              <w:rPr>
                <w:rFonts w:hint="default" w:ascii="Times New Roman" w:hAnsi="Times New Roman" w:cs="Times New Roman"/>
                <w:color w:val="auto"/>
                <w:highlight w:val="none"/>
                <w:lang w:val="en-US" w:eastAsia="zh-CN"/>
              </w:rPr>
              <w:t>原料溶解槽、离心机、萃取槽、板框压滤机</w:t>
            </w:r>
            <w:r>
              <w:rPr>
                <w:rFonts w:hint="eastAsia" w:ascii="Times New Roman" w:hAnsi="Times New Roman" w:cs="Times New Roman"/>
                <w:color w:val="auto"/>
                <w:highlight w:val="none"/>
                <w:lang w:val="en-US" w:eastAsia="zh-CN"/>
              </w:rPr>
              <w:t>、真空减压浓缩槽、结晶槽、钛材加热器</w:t>
            </w:r>
            <w:r>
              <w:rPr>
                <w:rFonts w:hint="default" w:ascii="Times New Roman" w:hAnsi="Times New Roman" w:cs="Times New Roman"/>
                <w:color w:val="auto"/>
                <w:highlight w:val="none"/>
                <w:lang w:eastAsia="zh-CN"/>
              </w:rPr>
              <w:t>等生产设备及其他部分配套公用设施，</w:t>
            </w:r>
            <w:r>
              <w:rPr>
                <w:rFonts w:hint="default" w:ascii="Times New Roman" w:hAnsi="Times New Roman" w:cs="Times New Roman"/>
                <w:color w:val="auto"/>
                <w:highlight w:val="none"/>
                <w:lang w:val="en-US" w:eastAsia="zh-CN"/>
              </w:rPr>
              <w:t>经过溶解、</w:t>
            </w:r>
            <w:r>
              <w:rPr>
                <w:rFonts w:hint="eastAsia" w:ascii="Times New Roman" w:hAnsi="Times New Roman" w:cs="Times New Roman"/>
                <w:color w:val="auto"/>
                <w:highlight w:val="none"/>
                <w:lang w:val="en-US" w:eastAsia="zh-CN"/>
              </w:rPr>
              <w:t>板框压滤、定容、</w:t>
            </w:r>
            <w:r>
              <w:rPr>
                <w:rFonts w:hint="default" w:ascii="Times New Roman" w:hAnsi="Times New Roman" w:cs="Times New Roman"/>
                <w:color w:val="auto"/>
                <w:highlight w:val="none"/>
                <w:lang w:val="en-US" w:eastAsia="zh-CN"/>
              </w:rPr>
              <w:t>萃取、</w:t>
            </w:r>
            <w:r>
              <w:rPr>
                <w:rFonts w:hint="eastAsia" w:ascii="Times New Roman" w:hAnsi="Times New Roman" w:cs="Times New Roman"/>
                <w:color w:val="auto"/>
                <w:highlight w:val="none"/>
                <w:lang w:val="en-US" w:eastAsia="zh-CN"/>
              </w:rPr>
              <w:t xml:space="preserve">预热分离、二次萃取、二次预热分离 </w:t>
            </w:r>
            <w:r>
              <w:rPr>
                <w:rFonts w:hint="default" w:ascii="Times New Roman" w:hAnsi="Times New Roman" w:cs="Times New Roman"/>
                <w:color w:val="auto"/>
                <w:highlight w:val="none"/>
                <w:lang w:val="en-US" w:eastAsia="zh-CN"/>
              </w:rPr>
              <w:t>、蒸发结晶、离心、</w:t>
            </w:r>
            <w:r>
              <w:rPr>
                <w:rFonts w:hint="eastAsia" w:ascii="Times New Roman" w:hAnsi="Times New Roman" w:cs="Times New Roman"/>
                <w:color w:val="auto"/>
                <w:highlight w:val="none"/>
                <w:lang w:val="en-US" w:eastAsia="zh-CN"/>
              </w:rPr>
              <w:t>包装</w:t>
            </w:r>
            <w:r>
              <w:rPr>
                <w:rFonts w:hint="default" w:ascii="Times New Roman" w:hAnsi="Times New Roman" w:cs="Times New Roman"/>
                <w:color w:val="auto"/>
                <w:highlight w:val="none"/>
                <w:lang w:val="en-US" w:eastAsia="zh-CN"/>
              </w:rPr>
              <w:t>等工艺得到所需的产品。本项目建成后可</w:t>
            </w:r>
            <w:r>
              <w:rPr>
                <w:rFonts w:hint="default" w:ascii="Times New Roman" w:hAnsi="Times New Roman" w:cs="Times New Roman"/>
                <w:color w:val="auto"/>
                <w:highlight w:val="none"/>
                <w:lang w:eastAsia="zh-CN"/>
              </w:rPr>
              <w:t>年产</w:t>
            </w:r>
            <w:r>
              <w:rPr>
                <w:rFonts w:hint="default" w:ascii="Times New Roman" w:hAnsi="Times New Roman" w:cs="Times New Roman"/>
                <w:color w:val="auto"/>
                <w:highlight w:val="none"/>
                <w:lang w:val="en-US" w:eastAsia="zh-CN"/>
              </w:rPr>
              <w:t>1900t高纯氧氯化锆和40t氧氯化铪。</w:t>
            </w:r>
            <w:r>
              <w:rPr>
                <w:rFonts w:hint="default" w:ascii="Times New Roman" w:hAnsi="Times New Roman" w:cs="Times New Roman"/>
                <w:color w:val="auto"/>
                <w:highlight w:val="none"/>
                <w:lang w:eastAsia="zh-CN"/>
              </w:rPr>
              <w:t>该项目提供一定的劳动就业岗位，促进地方经济发展，具有良好的经济效益和社会效益。</w:t>
            </w:r>
            <w:r>
              <w:rPr>
                <w:rFonts w:hint="default" w:ascii="Times New Roman" w:hAnsi="Times New Roman" w:cs="Times New Roman"/>
                <w:color w:val="auto"/>
                <w:highlight w:val="none"/>
                <w:lang w:val="de-DE" w:eastAsia="zh-CN"/>
              </w:rPr>
              <w:t>本项目已取得备案证明，项目代码：2604-370302-89-01-972775</w:t>
            </w:r>
            <w:r>
              <w:rPr>
                <w:rFonts w:hint="default" w:ascii="Times New Roman" w:hAnsi="Times New Roman" w:cs="Times New Roman" w:eastAsiaTheme="minorEastAsia"/>
                <w:color w:val="auto"/>
                <w:highlight w:val="none"/>
                <w:lang w:val="en-US" w:eastAsia="zh-CN"/>
              </w:rPr>
              <w:t>。</w:t>
            </w:r>
          </w:p>
          <w:p w14:paraId="37BFDC01">
            <w:pPr>
              <w:pStyle w:val="43"/>
              <w:numPr>
                <w:ilvl w:val="0"/>
                <w:numId w:val="17"/>
              </w:numPr>
              <w:snapToGrid w:val="0"/>
              <w:spacing w:line="360" w:lineRule="auto"/>
              <w:ind w:firstLine="420"/>
              <w:rPr>
                <w:rFonts w:hint="default" w:ascii="Times New Roman" w:hAnsi="Times New Roman" w:eastAsia="宋体" w:cs="Times New Roman"/>
                <w:b/>
                <w:bCs/>
                <w:color w:val="auto"/>
                <w:kern w:val="0"/>
                <w:highlight w:val="none"/>
              </w:rPr>
            </w:pPr>
            <w:r>
              <w:rPr>
                <w:rFonts w:hint="default" w:ascii="Times New Roman" w:hAnsi="Times New Roman" w:eastAsia="宋体" w:cs="Times New Roman"/>
                <w:b/>
                <w:bCs/>
                <w:color w:val="auto"/>
                <w:highlight w:val="none"/>
              </w:rPr>
              <w:t>建设性质：</w:t>
            </w:r>
            <w:r>
              <w:rPr>
                <w:rFonts w:hint="default" w:ascii="Times New Roman" w:hAnsi="Times New Roman" w:eastAsia="宋体" w:cs="Times New Roman"/>
                <w:b/>
                <w:bCs/>
                <w:color w:val="auto"/>
                <w:kern w:val="0"/>
                <w:highlight w:val="none"/>
                <w:lang w:val="en-US" w:eastAsia="zh-CN"/>
              </w:rPr>
              <w:t>新建</w:t>
            </w:r>
          </w:p>
          <w:p w14:paraId="1EFF5F65">
            <w:pPr>
              <w:numPr>
                <w:ilvl w:val="0"/>
                <w:numId w:val="17"/>
              </w:numPr>
              <w:spacing w:line="360" w:lineRule="auto"/>
              <w:ind w:left="0" w:leftChars="0" w:firstLine="420" w:firstLineChars="0"/>
              <w:rPr>
                <w:rFonts w:hint="default" w:ascii="Times New Roman" w:hAnsi="Times New Roman" w:cs="Times New Roman" w:eastAsiaTheme="minorEastAsia"/>
                <w:color w:val="auto"/>
                <w:spacing w:val="10"/>
                <w:szCs w:val="21"/>
                <w:highlight w:val="none"/>
                <w:lang w:val="de-DE"/>
              </w:rPr>
            </w:pPr>
            <w:r>
              <w:rPr>
                <w:rFonts w:hint="default" w:ascii="Times New Roman" w:hAnsi="Times New Roman" w:eastAsia="宋体" w:cs="Times New Roman"/>
                <w:b/>
                <w:bCs/>
                <w:color w:val="auto"/>
                <w:szCs w:val="21"/>
                <w:highlight w:val="none"/>
              </w:rPr>
              <w:t>建设地</w:t>
            </w:r>
            <w:r>
              <w:rPr>
                <w:rFonts w:hint="default" w:ascii="Times New Roman" w:hAnsi="Times New Roman" w:eastAsia="宋体" w:cs="Times New Roman"/>
                <w:b/>
                <w:bCs/>
                <w:color w:val="auto"/>
                <w:szCs w:val="21"/>
                <w:highlight w:val="none"/>
                <w:u w:val="none"/>
              </w:rPr>
              <w:t>点及周边关系：</w:t>
            </w:r>
            <w:r>
              <w:rPr>
                <w:rFonts w:hint="default" w:ascii="Times New Roman" w:hAnsi="Times New Roman" w:cs="Times New Roman" w:eastAsiaTheme="minorEastAsia"/>
                <w:color w:val="auto"/>
                <w:highlight w:val="none"/>
                <w:u w:val="none"/>
              </w:rPr>
              <w:t>项目位于</w:t>
            </w:r>
            <w:r>
              <w:rPr>
                <w:rFonts w:hint="default" w:ascii="Times New Roman" w:hAnsi="Times New Roman" w:cs="Times New Roman" w:eastAsiaTheme="minorEastAsia"/>
                <w:color w:val="auto"/>
                <w:highlight w:val="none"/>
                <w:u w:val="none"/>
                <w:lang w:eastAsia="zh-CN"/>
              </w:rPr>
              <w:t>淄博市</w:t>
            </w:r>
            <w:r>
              <w:rPr>
                <w:rFonts w:hint="eastAsia" w:cs="Times New Roman" w:eastAsiaTheme="minorEastAsia"/>
                <w:color w:val="auto"/>
                <w:highlight w:val="none"/>
                <w:u w:val="none"/>
                <w:lang w:eastAsia="zh-CN"/>
              </w:rPr>
              <w:t>淄川区龙泉镇尚庄村西北200米</w:t>
            </w:r>
            <w:r>
              <w:rPr>
                <w:rFonts w:hint="default" w:ascii="Times New Roman" w:hAnsi="Times New Roman" w:cs="Times New Roman" w:eastAsiaTheme="minorEastAsia"/>
                <w:color w:val="auto"/>
                <w:szCs w:val="21"/>
                <w:highlight w:val="none"/>
                <w:u w:val="none"/>
              </w:rPr>
              <w:t>，中心坐标（</w:t>
            </w:r>
            <w:r>
              <w:rPr>
                <w:rFonts w:hint="default" w:ascii="Times New Roman" w:hAnsi="Times New Roman" w:cs="Times New Roman" w:eastAsiaTheme="minorEastAsia"/>
                <w:color w:val="auto"/>
                <w:szCs w:val="21"/>
                <w:highlight w:val="none"/>
                <w:u w:val="none"/>
                <w:lang w:val="en-US" w:eastAsia="zh-CN"/>
              </w:rPr>
              <w:t>北纬</w:t>
            </w:r>
            <w:r>
              <w:rPr>
                <w:rFonts w:hint="default" w:ascii="Times New Roman" w:hAnsi="Times New Roman" w:cs="Times New Roman" w:eastAsiaTheme="minorEastAsia"/>
                <w:color w:val="auto"/>
                <w:szCs w:val="21"/>
                <w:highlight w:val="none"/>
                <w:u w:val="none"/>
              </w:rPr>
              <w:t>36度3</w:t>
            </w:r>
            <w:r>
              <w:rPr>
                <w:rFonts w:hint="default" w:ascii="Times New Roman" w:hAnsi="Times New Roman" w:cs="Times New Roman" w:eastAsiaTheme="minorEastAsia"/>
                <w:color w:val="auto"/>
                <w:szCs w:val="21"/>
                <w:highlight w:val="none"/>
                <w:u w:val="none"/>
                <w:lang w:val="en-US" w:eastAsia="zh-CN"/>
              </w:rPr>
              <w:t>6</w:t>
            </w:r>
            <w:r>
              <w:rPr>
                <w:rFonts w:hint="default" w:ascii="Times New Roman" w:hAnsi="Times New Roman" w:cs="Times New Roman" w:eastAsiaTheme="minorEastAsia"/>
                <w:color w:val="auto"/>
                <w:szCs w:val="21"/>
                <w:highlight w:val="none"/>
                <w:u w:val="none"/>
              </w:rPr>
              <w:t>分</w:t>
            </w:r>
            <w:r>
              <w:rPr>
                <w:rFonts w:hint="default" w:ascii="Times New Roman" w:hAnsi="Times New Roman" w:cs="Times New Roman" w:eastAsiaTheme="minorEastAsia"/>
                <w:color w:val="auto"/>
                <w:szCs w:val="21"/>
                <w:highlight w:val="none"/>
                <w:u w:val="none"/>
                <w:lang w:val="en-US" w:eastAsia="zh-CN"/>
              </w:rPr>
              <w:t>13.101</w:t>
            </w:r>
            <w:r>
              <w:rPr>
                <w:rFonts w:hint="default" w:ascii="Times New Roman" w:hAnsi="Times New Roman" w:cs="Times New Roman" w:eastAsiaTheme="minorEastAsia"/>
                <w:color w:val="auto"/>
                <w:szCs w:val="21"/>
                <w:highlight w:val="none"/>
                <w:u w:val="none"/>
              </w:rPr>
              <w:t>秒，</w:t>
            </w:r>
            <w:r>
              <w:rPr>
                <w:rFonts w:hint="default" w:ascii="Times New Roman" w:hAnsi="Times New Roman" w:cs="Times New Roman" w:eastAsiaTheme="minorEastAsia"/>
                <w:color w:val="auto"/>
                <w:szCs w:val="21"/>
                <w:highlight w:val="none"/>
                <w:u w:val="none"/>
                <w:lang w:val="en-US" w:eastAsia="zh-CN"/>
              </w:rPr>
              <w:t>东经</w:t>
            </w:r>
            <w:r>
              <w:rPr>
                <w:rFonts w:hint="default" w:ascii="Times New Roman" w:hAnsi="Times New Roman" w:cs="Times New Roman" w:eastAsiaTheme="minorEastAsia"/>
                <w:color w:val="auto"/>
                <w:szCs w:val="21"/>
                <w:highlight w:val="none"/>
                <w:u w:val="none"/>
              </w:rPr>
              <w:t>117度5</w:t>
            </w:r>
            <w:r>
              <w:rPr>
                <w:rFonts w:hint="default" w:ascii="Times New Roman" w:hAnsi="Times New Roman" w:cs="Times New Roman" w:eastAsiaTheme="minorEastAsia"/>
                <w:color w:val="auto"/>
                <w:szCs w:val="21"/>
                <w:highlight w:val="none"/>
                <w:u w:val="none"/>
                <w:lang w:val="en-US" w:eastAsia="zh-CN"/>
              </w:rPr>
              <w:t>8</w:t>
            </w:r>
            <w:r>
              <w:rPr>
                <w:rFonts w:hint="default" w:ascii="Times New Roman" w:hAnsi="Times New Roman" w:cs="Times New Roman" w:eastAsiaTheme="minorEastAsia"/>
                <w:color w:val="auto"/>
                <w:szCs w:val="21"/>
                <w:highlight w:val="none"/>
                <w:u w:val="none"/>
              </w:rPr>
              <w:t>分</w:t>
            </w:r>
            <w:r>
              <w:rPr>
                <w:rFonts w:hint="default" w:ascii="Times New Roman" w:hAnsi="Times New Roman" w:cs="Times New Roman" w:eastAsiaTheme="minorEastAsia"/>
                <w:color w:val="auto"/>
                <w:szCs w:val="21"/>
                <w:highlight w:val="none"/>
                <w:u w:val="none"/>
                <w:lang w:val="en-US" w:eastAsia="zh-CN"/>
              </w:rPr>
              <w:t>33.480</w:t>
            </w:r>
            <w:r>
              <w:rPr>
                <w:rFonts w:hint="default" w:ascii="Times New Roman" w:hAnsi="Times New Roman" w:cs="Times New Roman" w:eastAsiaTheme="minorEastAsia"/>
                <w:color w:val="auto"/>
                <w:szCs w:val="21"/>
                <w:highlight w:val="none"/>
                <w:u w:val="none"/>
              </w:rPr>
              <w:t>秒）</w:t>
            </w:r>
            <w:r>
              <w:rPr>
                <w:rFonts w:hint="default" w:ascii="Times New Roman" w:hAnsi="Times New Roman" w:cs="Times New Roman" w:eastAsiaTheme="minorEastAsia"/>
                <w:color w:val="auto"/>
                <w:szCs w:val="21"/>
                <w:highlight w:val="none"/>
              </w:rPr>
              <w:t>。地理位置图详见附图1。</w:t>
            </w:r>
            <w:r>
              <w:rPr>
                <w:rFonts w:hint="default" w:ascii="Times New Roman" w:hAnsi="Times New Roman" w:cs="Times New Roman" w:eastAsiaTheme="minorEastAsia"/>
                <w:color w:val="auto"/>
                <w:spacing w:val="10"/>
                <w:szCs w:val="21"/>
                <w:highlight w:val="none"/>
                <w:lang w:val="de-DE"/>
              </w:rPr>
              <w:t>本项目</w:t>
            </w:r>
            <w:r>
              <w:rPr>
                <w:rFonts w:hint="eastAsia" w:ascii="Times New Roman" w:hAnsi="Times New Roman" w:cs="Times New Roman" w:eastAsiaTheme="minorEastAsia"/>
                <w:color w:val="auto"/>
                <w:spacing w:val="10"/>
                <w:szCs w:val="21"/>
                <w:highlight w:val="none"/>
                <w:lang w:val="en-US" w:eastAsia="zh-CN"/>
              </w:rPr>
              <w:t>占地范围外</w:t>
            </w:r>
            <w:r>
              <w:rPr>
                <w:rFonts w:hint="eastAsia" w:cs="Times New Roman" w:eastAsiaTheme="minorEastAsia"/>
                <w:color w:val="auto"/>
                <w:spacing w:val="10"/>
                <w:szCs w:val="21"/>
                <w:highlight w:val="none"/>
                <w:lang w:val="en-US" w:eastAsia="zh-CN"/>
              </w:rPr>
              <w:t>北侧为空地，南侧为道路，东侧为淄博瑞琛特种玻璃有限公司，西侧为山东鼎力新材料科技有限公司</w:t>
            </w:r>
            <w:r>
              <w:rPr>
                <w:rFonts w:hint="default" w:ascii="Times New Roman" w:hAnsi="Times New Roman" w:cs="Times New Roman" w:eastAsiaTheme="minorEastAsia"/>
                <w:color w:val="auto"/>
                <w:spacing w:val="10"/>
                <w:szCs w:val="21"/>
                <w:highlight w:val="none"/>
                <w:lang w:val="de-DE"/>
              </w:rPr>
              <w:t>。项目</w:t>
            </w:r>
            <w:r>
              <w:rPr>
                <w:rFonts w:hint="default" w:ascii="Times New Roman" w:hAnsi="Times New Roman" w:cs="Times New Roman" w:eastAsiaTheme="minorEastAsia"/>
                <w:color w:val="auto"/>
                <w:spacing w:val="10"/>
                <w:szCs w:val="21"/>
                <w:highlight w:val="none"/>
                <w:lang w:val="en-US" w:eastAsia="zh-CN"/>
              </w:rPr>
              <w:t>500m范围内</w:t>
            </w:r>
            <w:r>
              <w:rPr>
                <w:rFonts w:hint="eastAsia" w:cs="Times New Roman" w:eastAsiaTheme="minorEastAsia"/>
                <w:color w:val="auto"/>
                <w:spacing w:val="10"/>
                <w:szCs w:val="21"/>
                <w:highlight w:val="none"/>
                <w:lang w:val="en-US" w:eastAsia="zh-CN"/>
              </w:rPr>
              <w:t>有4处</w:t>
            </w:r>
            <w:r>
              <w:rPr>
                <w:rFonts w:hint="default" w:ascii="Times New Roman" w:hAnsi="Times New Roman" w:cs="Times New Roman" w:eastAsiaTheme="minorEastAsia"/>
                <w:color w:val="auto"/>
                <w:spacing w:val="10"/>
                <w:szCs w:val="21"/>
                <w:highlight w:val="none"/>
                <w:lang w:val="en-US" w:eastAsia="zh-CN"/>
              </w:rPr>
              <w:t>敏感目标</w:t>
            </w:r>
            <w:r>
              <w:rPr>
                <w:rFonts w:hint="eastAsia" w:cs="Times New Roman" w:eastAsiaTheme="minorEastAsia"/>
                <w:color w:val="auto"/>
                <w:spacing w:val="10"/>
                <w:szCs w:val="21"/>
                <w:highlight w:val="none"/>
                <w:lang w:val="en-US" w:eastAsia="zh-CN"/>
              </w:rPr>
              <w:t>，西北侧距离南园368m，南侧距离尚庄村170m，龙泉镇龙泉小学340m，东南侧距离尚庄村村委318m</w:t>
            </w:r>
            <w:r>
              <w:rPr>
                <w:rFonts w:hint="default" w:ascii="Times New Roman" w:hAnsi="Times New Roman" w:cs="Times New Roman" w:eastAsiaTheme="minorEastAsia"/>
                <w:color w:val="auto"/>
                <w:spacing w:val="10"/>
                <w:szCs w:val="21"/>
                <w:highlight w:val="none"/>
                <w:lang w:val="de-DE"/>
              </w:rPr>
              <w:t>。</w:t>
            </w:r>
            <w:r>
              <w:rPr>
                <w:rFonts w:hint="default" w:ascii="Times New Roman" w:hAnsi="Times New Roman" w:cs="Times New Roman" w:eastAsiaTheme="minorEastAsia"/>
                <w:color w:val="auto"/>
                <w:spacing w:val="10"/>
                <w:szCs w:val="21"/>
                <w:highlight w:val="none"/>
                <w:lang w:val="de-DE" w:eastAsia="zh-CN"/>
              </w:rPr>
              <w:t>本项目</w:t>
            </w:r>
            <w:r>
              <w:rPr>
                <w:rFonts w:hint="default" w:ascii="Times New Roman" w:hAnsi="Times New Roman" w:cs="Times New Roman" w:eastAsiaTheme="minorEastAsia"/>
                <w:color w:val="auto"/>
                <w:spacing w:val="10"/>
                <w:szCs w:val="21"/>
                <w:highlight w:val="none"/>
                <w:lang w:val="de-DE"/>
              </w:rPr>
              <w:t>地理位置优越，交通运输便利。周边关系图详见图2。</w:t>
            </w:r>
          </w:p>
          <w:p w14:paraId="7633317C">
            <w:pPr>
              <w:pStyle w:val="82"/>
              <w:spacing w:after="0"/>
              <w:ind w:left="0" w:leftChars="0"/>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sz w:val="21"/>
                <w:szCs w:val="18"/>
                <w:highlight w:val="none"/>
              </w:rPr>
              <w:t>4、产品方案</w:t>
            </w:r>
          </w:p>
          <w:p w14:paraId="797EE59A">
            <w:pPr>
              <w:pStyle w:val="82"/>
              <w:spacing w:after="0"/>
              <w:ind w:left="0" w:leftChars="0"/>
              <w:jc w:val="center"/>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sz w:val="21"/>
                <w:szCs w:val="18"/>
                <w:highlight w:val="none"/>
              </w:rPr>
              <w:t>表2-</w:t>
            </w:r>
            <w:r>
              <w:rPr>
                <w:rFonts w:hint="default" w:ascii="Times New Roman" w:hAnsi="Times New Roman" w:eastAsia="宋体" w:cs="Times New Roman"/>
                <w:b/>
                <w:bCs/>
                <w:color w:val="auto"/>
                <w:sz w:val="21"/>
                <w:szCs w:val="18"/>
                <w:highlight w:val="none"/>
                <w:lang w:val="en-US" w:eastAsia="zh-CN"/>
              </w:rPr>
              <w:t>1</w:t>
            </w:r>
            <w:r>
              <w:rPr>
                <w:rFonts w:hint="default" w:ascii="Times New Roman" w:hAnsi="Times New Roman" w:eastAsia="宋体" w:cs="Times New Roman"/>
                <w:b/>
                <w:bCs/>
                <w:color w:val="auto"/>
                <w:sz w:val="21"/>
                <w:szCs w:val="18"/>
                <w:highlight w:val="none"/>
              </w:rPr>
              <w:t>项目产品方案一览表</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7"/>
              <w:gridCol w:w="2031"/>
              <w:gridCol w:w="2677"/>
              <w:gridCol w:w="2681"/>
            </w:tblGrid>
            <w:tr w14:paraId="333C4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605" w:type="pct"/>
                  <w:noWrap w:val="0"/>
                  <w:vAlign w:val="center"/>
                </w:tcPr>
                <w:p w14:paraId="786DAFAE">
                  <w:pPr>
                    <w:pStyle w:val="43"/>
                    <w:adjustRightInd w:val="0"/>
                    <w:snapToGrid w:val="0"/>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序号</w:t>
                  </w:r>
                </w:p>
              </w:tc>
              <w:tc>
                <w:tcPr>
                  <w:tcW w:w="1208" w:type="pct"/>
                  <w:noWrap w:val="0"/>
                  <w:vAlign w:val="center"/>
                </w:tcPr>
                <w:p w14:paraId="3526C43F">
                  <w:pPr>
                    <w:pStyle w:val="43"/>
                    <w:adjustRightInd w:val="0"/>
                    <w:snapToGrid w:val="0"/>
                    <w:jc w:val="center"/>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名称</w:t>
                  </w:r>
                </w:p>
              </w:tc>
              <w:tc>
                <w:tcPr>
                  <w:tcW w:w="1592" w:type="pct"/>
                  <w:noWrap w:val="0"/>
                  <w:vAlign w:val="center"/>
                </w:tcPr>
                <w:p w14:paraId="20838DAC">
                  <w:pPr>
                    <w:pStyle w:val="43"/>
                    <w:adjustRightInd w:val="0"/>
                    <w:snapToGrid w:val="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生产规模</w:t>
                  </w:r>
                </w:p>
              </w:tc>
              <w:tc>
                <w:tcPr>
                  <w:tcW w:w="1594" w:type="pct"/>
                  <w:noWrap w:val="0"/>
                  <w:vAlign w:val="center"/>
                </w:tcPr>
                <w:p w14:paraId="5A853931">
                  <w:pPr>
                    <w:pStyle w:val="43"/>
                    <w:adjustRightInd w:val="0"/>
                    <w:snapToGrid w:val="0"/>
                    <w:jc w:val="center"/>
                    <w:rPr>
                      <w:rFonts w:hint="eastAsia" w:ascii="Times New Roman" w:hAnsi="Times New Roman" w:eastAsia="宋体" w:cs="Times New Roman"/>
                      <w:b/>
                      <w:bCs/>
                      <w:color w:val="auto"/>
                      <w:sz w:val="18"/>
                      <w:szCs w:val="18"/>
                      <w:highlight w:val="none"/>
                      <w:lang w:eastAsia="zh-CN"/>
                    </w:rPr>
                  </w:pPr>
                  <w:r>
                    <w:rPr>
                      <w:rFonts w:hint="eastAsia" w:ascii="Times New Roman" w:hAnsi="Times New Roman" w:cs="Times New Roman"/>
                      <w:b/>
                      <w:bCs/>
                      <w:color w:val="auto"/>
                      <w:sz w:val="18"/>
                      <w:szCs w:val="18"/>
                      <w:highlight w:val="none"/>
                      <w:lang w:val="en-US" w:eastAsia="zh-CN"/>
                    </w:rPr>
                    <w:t>备注</w:t>
                  </w:r>
                </w:p>
              </w:tc>
            </w:tr>
            <w:tr w14:paraId="3EA8C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605" w:type="pct"/>
                  <w:noWrap w:val="0"/>
                  <w:vAlign w:val="center"/>
                </w:tcPr>
                <w:p w14:paraId="55840D0F">
                  <w:pPr>
                    <w:pStyle w:val="43"/>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w:t>
                  </w:r>
                </w:p>
              </w:tc>
              <w:tc>
                <w:tcPr>
                  <w:tcW w:w="1208" w:type="pct"/>
                  <w:noWrap w:val="0"/>
                  <w:vAlign w:val="center"/>
                </w:tcPr>
                <w:p w14:paraId="0DE7D91B">
                  <w:pPr>
                    <w:pStyle w:val="43"/>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高纯氧氯化锆</w:t>
                  </w:r>
                </w:p>
              </w:tc>
              <w:tc>
                <w:tcPr>
                  <w:tcW w:w="1592" w:type="pct"/>
                  <w:noWrap w:val="0"/>
                  <w:vAlign w:val="center"/>
                </w:tcPr>
                <w:p w14:paraId="20AA22E0">
                  <w:pPr>
                    <w:pStyle w:val="43"/>
                    <w:adjustRightInd w:val="0"/>
                    <w:snapToGrid w:val="0"/>
                    <w:jc w:val="center"/>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lang w:val="en-US" w:eastAsia="zh-CN"/>
                    </w:rPr>
                    <w:t>1900t</w:t>
                  </w:r>
                  <w:r>
                    <w:rPr>
                      <w:rFonts w:hint="default" w:ascii="Times New Roman" w:hAnsi="Times New Roman" w:cs="Times New Roman"/>
                      <w:color w:val="auto"/>
                      <w:sz w:val="18"/>
                      <w:szCs w:val="18"/>
                      <w:highlight w:val="none"/>
                      <w:lang w:val="en-US" w:eastAsia="zh-CN"/>
                    </w:rPr>
                    <w:t>/a</w:t>
                  </w:r>
                </w:p>
              </w:tc>
              <w:tc>
                <w:tcPr>
                  <w:tcW w:w="1594" w:type="pct"/>
                  <w:noWrap w:val="0"/>
                  <w:vAlign w:val="center"/>
                </w:tcPr>
                <w:p w14:paraId="413BADC5">
                  <w:pPr>
                    <w:pStyle w:val="43"/>
                    <w:adjustRightInd w:val="0"/>
                    <w:snapToGrid w:val="0"/>
                    <w:jc w:val="center"/>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《工业高纯氧氯化锆》（HG/T4694-2014）</w:t>
                  </w:r>
                </w:p>
              </w:tc>
            </w:tr>
            <w:tr w14:paraId="5F71D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605" w:type="pct"/>
                  <w:noWrap w:val="0"/>
                  <w:vAlign w:val="center"/>
                </w:tcPr>
                <w:p w14:paraId="1491B540">
                  <w:pPr>
                    <w:pStyle w:val="43"/>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p>
              </w:tc>
              <w:tc>
                <w:tcPr>
                  <w:tcW w:w="1208" w:type="pct"/>
                  <w:noWrap w:val="0"/>
                  <w:vAlign w:val="center"/>
                </w:tcPr>
                <w:p w14:paraId="0D423048">
                  <w:pPr>
                    <w:pStyle w:val="43"/>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氧氯化铪</w:t>
                  </w:r>
                </w:p>
              </w:tc>
              <w:tc>
                <w:tcPr>
                  <w:tcW w:w="1592" w:type="pct"/>
                  <w:noWrap w:val="0"/>
                  <w:vAlign w:val="center"/>
                </w:tcPr>
                <w:p w14:paraId="4F6AA725">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40t</w:t>
                  </w:r>
                  <w:r>
                    <w:rPr>
                      <w:rFonts w:hint="default" w:ascii="Times New Roman" w:hAnsi="Times New Roman" w:cs="Times New Roman"/>
                      <w:color w:val="auto"/>
                      <w:sz w:val="18"/>
                      <w:szCs w:val="18"/>
                      <w:highlight w:val="none"/>
                      <w:lang w:val="en-US" w:eastAsia="zh-CN"/>
                    </w:rPr>
                    <w:t>/a</w:t>
                  </w:r>
                </w:p>
              </w:tc>
              <w:tc>
                <w:tcPr>
                  <w:tcW w:w="1594" w:type="pct"/>
                  <w:noWrap w:val="0"/>
                  <w:vAlign w:val="center"/>
                </w:tcPr>
                <w:p w14:paraId="12F23300">
                  <w:pPr>
                    <w:adjustRightInd w:val="0"/>
                    <w:snapToGrid w:val="0"/>
                    <w:jc w:val="center"/>
                    <w:rPr>
                      <w:rFonts w:hint="eastAsia" w:ascii="Times New Roman" w:hAnsi="Times New Roman" w:cs="Times New Roman"/>
                      <w:color w:val="auto"/>
                      <w:sz w:val="18"/>
                      <w:szCs w:val="18"/>
                      <w:highlight w:val="none"/>
                      <w:vertAlign w:val="baseline"/>
                      <w:lang w:val="en-US" w:eastAsia="zh-CN"/>
                    </w:rPr>
                  </w:pPr>
                  <w:r>
                    <w:rPr>
                      <w:rFonts w:hint="eastAsia" w:ascii="Times New Roman" w:hAnsi="Times New Roman" w:cs="Times New Roman"/>
                      <w:color w:val="auto"/>
                      <w:sz w:val="18"/>
                      <w:szCs w:val="18"/>
                      <w:highlight w:val="none"/>
                      <w:vertAlign w:val="baseline"/>
                      <w:lang w:val="en-US" w:eastAsia="zh-CN"/>
                    </w:rPr>
                    <w:t>/</w:t>
                  </w:r>
                </w:p>
              </w:tc>
            </w:tr>
          </w:tbl>
          <w:p w14:paraId="7FCBCB16">
            <w:pPr>
              <w:snapToGrid w:val="0"/>
              <w:spacing w:line="360" w:lineRule="auto"/>
              <w:ind w:firstLine="420" w:firstLineChars="200"/>
              <w:rPr>
                <w:rFonts w:hint="eastAsia"/>
                <w:color w:val="auto"/>
                <w:lang w:val="en-US" w:eastAsia="zh-CN"/>
              </w:rPr>
            </w:pPr>
            <w:r>
              <w:rPr>
                <w:rFonts w:hint="eastAsia" w:cs="Times New Roman"/>
                <w:b w:val="0"/>
                <w:bCs w:val="0"/>
                <w:color w:val="auto"/>
                <w:kern w:val="0"/>
                <w:sz w:val="21"/>
                <w:szCs w:val="18"/>
                <w:highlight w:val="none"/>
                <w:lang w:val="en-US" w:eastAsia="zh-CN" w:bidi="ar-SA"/>
              </w:rPr>
              <w:t>高纯氧氯化锆产品质量标准执行《工业高纯氧氯化锆》（HG/T4694-2014）</w:t>
            </w:r>
            <w:r>
              <w:rPr>
                <w:rFonts w:hint="eastAsia"/>
                <w:color w:val="auto"/>
                <w:lang w:val="en-US" w:eastAsia="zh-CN"/>
              </w:rPr>
              <w:t>标准。</w:t>
            </w:r>
          </w:p>
          <w:p w14:paraId="7DAA73A9">
            <w:pPr>
              <w:pStyle w:val="82"/>
              <w:spacing w:after="0"/>
              <w:ind w:left="0" w:leftChars="0"/>
              <w:jc w:val="center"/>
              <w:rPr>
                <w:rFonts w:hint="default" w:ascii="Times New Roman" w:hAnsi="Times New Roman" w:eastAsia="宋体" w:cs="Times New Roman"/>
                <w:b/>
                <w:bCs/>
                <w:color w:val="auto"/>
                <w:sz w:val="21"/>
                <w:szCs w:val="18"/>
                <w:highlight w:val="none"/>
                <w:lang w:val="en-US"/>
              </w:rPr>
            </w:pPr>
            <w:r>
              <w:rPr>
                <w:rFonts w:hint="default" w:ascii="Times New Roman" w:hAnsi="Times New Roman" w:eastAsia="宋体" w:cs="Times New Roman"/>
                <w:b/>
                <w:bCs/>
                <w:color w:val="auto"/>
                <w:sz w:val="21"/>
                <w:szCs w:val="18"/>
                <w:highlight w:val="none"/>
              </w:rPr>
              <w:t>表2-</w:t>
            </w:r>
            <w:r>
              <w:rPr>
                <w:rFonts w:hint="eastAsia" w:cs="Times New Roman"/>
                <w:b/>
                <w:bCs/>
                <w:color w:val="auto"/>
                <w:sz w:val="21"/>
                <w:szCs w:val="18"/>
                <w:highlight w:val="none"/>
                <w:lang w:val="en-US" w:eastAsia="zh-CN"/>
              </w:rPr>
              <w:t>2</w:t>
            </w:r>
            <w:r>
              <w:rPr>
                <w:rFonts w:hint="default" w:ascii="Times New Roman" w:hAnsi="Times New Roman" w:eastAsia="宋体" w:cs="Times New Roman"/>
                <w:b/>
                <w:bCs/>
                <w:color w:val="auto"/>
                <w:sz w:val="21"/>
                <w:szCs w:val="18"/>
                <w:highlight w:val="none"/>
                <w:lang w:val="en-US" w:eastAsia="zh-CN"/>
              </w:rPr>
              <w:t>高纯氧氯化锆</w:t>
            </w:r>
            <w:r>
              <w:rPr>
                <w:rFonts w:hint="eastAsia" w:ascii="Times New Roman" w:hAnsi="Times New Roman" w:eastAsia="宋体" w:cs="Times New Roman"/>
                <w:b/>
                <w:bCs/>
                <w:color w:val="auto"/>
                <w:sz w:val="21"/>
                <w:szCs w:val="18"/>
                <w:highlight w:val="none"/>
                <w:lang w:val="en-US" w:eastAsia="zh-CN"/>
              </w:rPr>
              <w:t>质量标准</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49"/>
              <w:gridCol w:w="2677"/>
              <w:gridCol w:w="2680"/>
            </w:tblGrid>
            <w:tr w14:paraId="350F5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1813" w:type="pct"/>
                  <w:vMerge w:val="restart"/>
                  <w:noWrap w:val="0"/>
                  <w:vAlign w:val="center"/>
                </w:tcPr>
                <w:p w14:paraId="46CE01E9">
                  <w:pPr>
                    <w:pStyle w:val="43"/>
                    <w:adjustRightInd w:val="0"/>
                    <w:snapToGrid w:val="0"/>
                    <w:jc w:val="center"/>
                    <w:rPr>
                      <w:rFonts w:hint="eastAsia" w:ascii="Times New Roman" w:hAnsi="Times New Roman" w:eastAsia="宋体" w:cs="Times New Roman"/>
                      <w:b/>
                      <w:color w:val="auto"/>
                      <w:sz w:val="18"/>
                      <w:szCs w:val="18"/>
                      <w:highlight w:val="none"/>
                      <w:lang w:val="en-US" w:eastAsia="zh-CN"/>
                    </w:rPr>
                  </w:pPr>
                  <w:r>
                    <w:rPr>
                      <w:rFonts w:hint="eastAsia" w:ascii="Times New Roman" w:hAnsi="Times New Roman" w:cs="Times New Roman"/>
                      <w:b/>
                      <w:color w:val="auto"/>
                      <w:sz w:val="18"/>
                      <w:szCs w:val="18"/>
                      <w:highlight w:val="none"/>
                      <w:lang w:val="en-US" w:eastAsia="zh-CN"/>
                    </w:rPr>
                    <w:t>项目</w:t>
                  </w:r>
                </w:p>
              </w:tc>
              <w:tc>
                <w:tcPr>
                  <w:tcW w:w="3186" w:type="pct"/>
                  <w:gridSpan w:val="2"/>
                  <w:noWrap w:val="0"/>
                  <w:vAlign w:val="center"/>
                </w:tcPr>
                <w:p w14:paraId="5E845CC0">
                  <w:pPr>
                    <w:pStyle w:val="43"/>
                    <w:adjustRightInd w:val="0"/>
                    <w:snapToGrid w:val="0"/>
                    <w:jc w:val="center"/>
                    <w:rPr>
                      <w:rFonts w:hint="default" w:ascii="Times New Roman" w:hAnsi="Times New Roman" w:eastAsia="宋体" w:cs="Times New Roman"/>
                      <w:b/>
                      <w:bCs/>
                      <w:color w:val="auto"/>
                      <w:sz w:val="18"/>
                      <w:szCs w:val="18"/>
                      <w:highlight w:val="none"/>
                      <w:lang w:val="en-US" w:eastAsia="zh-CN"/>
                    </w:rPr>
                  </w:pPr>
                  <w:r>
                    <w:rPr>
                      <w:rFonts w:hint="eastAsia" w:ascii="Times New Roman" w:hAnsi="Times New Roman" w:eastAsia="宋体" w:cs="Times New Roman"/>
                      <w:b/>
                      <w:bCs/>
                      <w:color w:val="auto"/>
                      <w:sz w:val="18"/>
                      <w:szCs w:val="18"/>
                      <w:highlight w:val="none"/>
                      <w:lang w:val="en-US" w:eastAsia="zh-CN"/>
                    </w:rPr>
                    <w:t>指标</w:t>
                  </w:r>
                </w:p>
              </w:tc>
            </w:tr>
            <w:tr w14:paraId="44535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813" w:type="pct"/>
                  <w:vMerge w:val="continue"/>
                  <w:noWrap w:val="0"/>
                  <w:vAlign w:val="center"/>
                </w:tcPr>
                <w:p w14:paraId="6F0E8B1D">
                  <w:pPr>
                    <w:pStyle w:val="43"/>
                    <w:adjustRightInd w:val="0"/>
                    <w:snapToGrid w:val="0"/>
                    <w:jc w:val="center"/>
                    <w:rPr>
                      <w:rFonts w:hint="default" w:ascii="Times New Roman" w:hAnsi="Times New Roman" w:eastAsia="宋体" w:cs="Times New Roman"/>
                      <w:color w:val="auto"/>
                      <w:sz w:val="18"/>
                      <w:szCs w:val="18"/>
                      <w:highlight w:val="none"/>
                      <w:lang w:val="en-US" w:eastAsia="zh-CN"/>
                    </w:rPr>
                  </w:pPr>
                </w:p>
              </w:tc>
              <w:tc>
                <w:tcPr>
                  <w:tcW w:w="1592" w:type="pct"/>
                  <w:noWrap w:val="0"/>
                  <w:vAlign w:val="center"/>
                </w:tcPr>
                <w:p w14:paraId="0BB2EFA7">
                  <w:pPr>
                    <w:pStyle w:val="43"/>
                    <w:adjustRightInd w:val="0"/>
                    <w:snapToGrid w:val="0"/>
                    <w:jc w:val="center"/>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HPZOC-36</w:t>
                  </w:r>
                </w:p>
              </w:tc>
              <w:tc>
                <w:tcPr>
                  <w:tcW w:w="1594" w:type="pct"/>
                  <w:noWrap w:val="0"/>
                  <w:vAlign w:val="center"/>
                </w:tcPr>
                <w:p w14:paraId="526AC3E7">
                  <w:pPr>
                    <w:pStyle w:val="43"/>
                    <w:adjustRightInd w:val="0"/>
                    <w:snapToGrid w:val="0"/>
                    <w:jc w:val="center"/>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HPZOC-35</w:t>
                  </w:r>
                </w:p>
              </w:tc>
            </w:tr>
            <w:tr w14:paraId="0CACD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813" w:type="pct"/>
                  <w:noWrap w:val="0"/>
                  <w:vAlign w:val="center"/>
                </w:tcPr>
                <w:p w14:paraId="02D94754">
                  <w:pPr>
                    <w:pStyle w:val="43"/>
                    <w:adjustRightInd w:val="0"/>
                    <w:snapToGrid w:val="0"/>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锆铪合量（以ZrO</w:t>
                  </w:r>
                  <w:r>
                    <w:rPr>
                      <w:rFonts w:hint="eastAsia" w:ascii="Times New Roman" w:hAnsi="Times New Roman" w:eastAsia="宋体" w:cs="Times New Roman"/>
                      <w:color w:val="auto"/>
                      <w:sz w:val="18"/>
                      <w:szCs w:val="18"/>
                      <w:highlight w:val="none"/>
                      <w:vertAlign w:val="subscript"/>
                      <w:lang w:val="en-US" w:eastAsia="zh-CN"/>
                    </w:rPr>
                    <w:t>2</w:t>
                  </w:r>
                  <w:r>
                    <w:rPr>
                      <w:rFonts w:hint="eastAsia" w:ascii="Times New Roman" w:hAnsi="Times New Roman" w:eastAsia="宋体" w:cs="Times New Roman"/>
                      <w:color w:val="auto"/>
                      <w:sz w:val="18"/>
                      <w:szCs w:val="18"/>
                      <w:highlight w:val="none"/>
                      <w:lang w:val="en-US" w:eastAsia="zh-CN"/>
                    </w:rPr>
                    <w:t>计），w/%    ≥</w:t>
                  </w:r>
                </w:p>
              </w:tc>
              <w:tc>
                <w:tcPr>
                  <w:tcW w:w="1592" w:type="pct"/>
                  <w:noWrap w:val="0"/>
                  <w:vAlign w:val="center"/>
                </w:tcPr>
                <w:p w14:paraId="10922F70">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36.0</w:t>
                  </w:r>
                </w:p>
              </w:tc>
              <w:tc>
                <w:tcPr>
                  <w:tcW w:w="1594" w:type="pct"/>
                  <w:shd w:val="clear" w:color="auto" w:fill="auto"/>
                  <w:noWrap w:val="0"/>
                  <w:vAlign w:val="center"/>
                </w:tcPr>
                <w:p w14:paraId="4693522F">
                  <w:pPr>
                    <w:pStyle w:val="43"/>
                    <w:adjustRightInd w:val="0"/>
                    <w:snapToGrid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35.0</w:t>
                  </w:r>
                </w:p>
              </w:tc>
            </w:tr>
            <w:tr w14:paraId="5BCB1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813" w:type="pct"/>
                  <w:noWrap w:val="0"/>
                  <w:vAlign w:val="center"/>
                </w:tcPr>
                <w:p w14:paraId="478115B4">
                  <w:pPr>
                    <w:adjustRightInd w:val="0"/>
                    <w:snapToGrid w:val="0"/>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氧化铁（Fe</w:t>
                  </w:r>
                  <w:r>
                    <w:rPr>
                      <w:rFonts w:hint="eastAsia" w:ascii="Times New Roman" w:hAnsi="Times New Roman" w:eastAsia="宋体" w:cs="Times New Roman"/>
                      <w:color w:val="auto"/>
                      <w:sz w:val="18"/>
                      <w:szCs w:val="18"/>
                      <w:highlight w:val="none"/>
                      <w:vertAlign w:val="subscript"/>
                      <w:lang w:val="en-US" w:eastAsia="zh-CN"/>
                    </w:rPr>
                    <w:t>2</w:t>
                  </w:r>
                  <w:r>
                    <w:rPr>
                      <w:rFonts w:hint="eastAsia" w:ascii="Times New Roman" w:hAnsi="Times New Roman" w:eastAsia="宋体" w:cs="Times New Roman"/>
                      <w:color w:val="auto"/>
                      <w:sz w:val="18"/>
                      <w:szCs w:val="18"/>
                      <w:highlight w:val="none"/>
                      <w:lang w:val="en-US" w:eastAsia="zh-CN"/>
                    </w:rPr>
                    <w:t>O</w:t>
                  </w:r>
                  <w:r>
                    <w:rPr>
                      <w:rFonts w:hint="eastAsia" w:ascii="Times New Roman" w:hAnsi="Times New Roman" w:eastAsia="宋体" w:cs="Times New Roman"/>
                      <w:color w:val="auto"/>
                      <w:sz w:val="18"/>
                      <w:szCs w:val="18"/>
                      <w:highlight w:val="none"/>
                      <w:vertAlign w:val="subscript"/>
                      <w:lang w:val="en-US" w:eastAsia="zh-CN"/>
                    </w:rPr>
                    <w:t>3</w:t>
                  </w:r>
                  <w:r>
                    <w:rPr>
                      <w:rFonts w:hint="eastAsia" w:ascii="Times New Roman" w:hAnsi="Times New Roman" w:eastAsia="宋体" w:cs="Times New Roman"/>
                      <w:color w:val="auto"/>
                      <w:sz w:val="18"/>
                      <w:szCs w:val="18"/>
                      <w:highlight w:val="none"/>
                      <w:lang w:val="en-US" w:eastAsia="zh-CN"/>
                    </w:rPr>
                    <w:t>），w/%                ≤</w:t>
                  </w:r>
                </w:p>
              </w:tc>
              <w:tc>
                <w:tcPr>
                  <w:tcW w:w="1592" w:type="pct"/>
                  <w:noWrap w:val="0"/>
                  <w:vAlign w:val="center"/>
                </w:tcPr>
                <w:p w14:paraId="0EED5BE6">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0.0005</w:t>
                  </w:r>
                </w:p>
              </w:tc>
              <w:tc>
                <w:tcPr>
                  <w:tcW w:w="1594" w:type="pct"/>
                  <w:shd w:val="clear" w:color="auto" w:fill="auto"/>
                  <w:noWrap w:val="0"/>
                  <w:vAlign w:val="center"/>
                </w:tcPr>
                <w:p w14:paraId="06B7F6D8">
                  <w:pPr>
                    <w:pStyle w:val="43"/>
                    <w:adjustRightInd w:val="0"/>
                    <w:snapToGrid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0.0005</w:t>
                  </w:r>
                </w:p>
              </w:tc>
            </w:tr>
            <w:tr w14:paraId="03357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813" w:type="pct"/>
                  <w:noWrap w:val="0"/>
                  <w:vAlign w:val="center"/>
                </w:tcPr>
                <w:p w14:paraId="2E71F028">
                  <w:pPr>
                    <w:adjustRightInd w:val="0"/>
                    <w:snapToGrid w:val="0"/>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二氧化硅（SiO</w:t>
                  </w:r>
                  <w:r>
                    <w:rPr>
                      <w:rFonts w:hint="eastAsia" w:ascii="Times New Roman" w:hAnsi="Times New Roman" w:eastAsia="宋体" w:cs="Times New Roman"/>
                      <w:color w:val="auto"/>
                      <w:sz w:val="18"/>
                      <w:szCs w:val="18"/>
                      <w:highlight w:val="none"/>
                      <w:vertAlign w:val="subscript"/>
                      <w:lang w:val="en-US" w:eastAsia="zh-CN"/>
                    </w:rPr>
                    <w:t>2</w:t>
                  </w:r>
                  <w:r>
                    <w:rPr>
                      <w:rFonts w:hint="eastAsia" w:ascii="Times New Roman" w:hAnsi="Times New Roman" w:eastAsia="宋体" w:cs="Times New Roman"/>
                      <w:color w:val="auto"/>
                      <w:sz w:val="18"/>
                      <w:szCs w:val="18"/>
                      <w:highlight w:val="none"/>
                      <w:lang w:val="en-US" w:eastAsia="zh-CN"/>
                    </w:rPr>
                    <w:t>），w/%              ≤</w:t>
                  </w:r>
                </w:p>
              </w:tc>
              <w:tc>
                <w:tcPr>
                  <w:tcW w:w="1592" w:type="pct"/>
                  <w:noWrap w:val="0"/>
                  <w:vAlign w:val="center"/>
                </w:tcPr>
                <w:p w14:paraId="4B41A2A5">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0.002</w:t>
                  </w:r>
                </w:p>
              </w:tc>
              <w:tc>
                <w:tcPr>
                  <w:tcW w:w="1594" w:type="pct"/>
                  <w:shd w:val="clear" w:color="auto" w:fill="auto"/>
                  <w:noWrap w:val="0"/>
                  <w:vAlign w:val="center"/>
                </w:tcPr>
                <w:p w14:paraId="6A0B9A81">
                  <w:pPr>
                    <w:pStyle w:val="43"/>
                    <w:adjustRightInd w:val="0"/>
                    <w:snapToGrid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0.003</w:t>
                  </w:r>
                </w:p>
              </w:tc>
            </w:tr>
            <w:tr w14:paraId="52D2F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813" w:type="pct"/>
                  <w:noWrap w:val="0"/>
                  <w:vAlign w:val="center"/>
                </w:tcPr>
                <w:p w14:paraId="350EA7FF">
                  <w:pPr>
                    <w:adjustRightInd w:val="0"/>
                    <w:snapToGrid w:val="0"/>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氧化钠（Na</w:t>
                  </w:r>
                  <w:r>
                    <w:rPr>
                      <w:rFonts w:hint="eastAsia" w:ascii="Times New Roman" w:hAnsi="Times New Roman" w:eastAsia="宋体" w:cs="Times New Roman"/>
                      <w:color w:val="auto"/>
                      <w:sz w:val="18"/>
                      <w:szCs w:val="18"/>
                      <w:highlight w:val="none"/>
                      <w:vertAlign w:val="subscript"/>
                      <w:lang w:val="en-US" w:eastAsia="zh-CN"/>
                    </w:rPr>
                    <w:t>2</w:t>
                  </w:r>
                  <w:r>
                    <w:rPr>
                      <w:rFonts w:hint="eastAsia" w:ascii="Times New Roman" w:hAnsi="Times New Roman" w:eastAsia="宋体" w:cs="Times New Roman"/>
                      <w:color w:val="auto"/>
                      <w:sz w:val="18"/>
                      <w:szCs w:val="18"/>
                      <w:highlight w:val="none"/>
                      <w:lang w:val="en-US" w:eastAsia="zh-CN"/>
                    </w:rPr>
                    <w:t>O），w/%                ≤</w:t>
                  </w:r>
                </w:p>
              </w:tc>
              <w:tc>
                <w:tcPr>
                  <w:tcW w:w="1592" w:type="pct"/>
                  <w:noWrap w:val="0"/>
                  <w:vAlign w:val="center"/>
                </w:tcPr>
                <w:p w14:paraId="4348C7F4">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0.0005</w:t>
                  </w:r>
                </w:p>
              </w:tc>
              <w:tc>
                <w:tcPr>
                  <w:tcW w:w="1594" w:type="pct"/>
                  <w:shd w:val="clear" w:color="auto" w:fill="auto"/>
                  <w:noWrap w:val="0"/>
                  <w:vAlign w:val="center"/>
                </w:tcPr>
                <w:p w14:paraId="39C47A80">
                  <w:pPr>
                    <w:pStyle w:val="43"/>
                    <w:adjustRightInd w:val="0"/>
                    <w:snapToGrid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0.0005</w:t>
                  </w:r>
                </w:p>
              </w:tc>
            </w:tr>
            <w:tr w14:paraId="3E6EE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813" w:type="pct"/>
                  <w:noWrap w:val="0"/>
                  <w:vAlign w:val="center"/>
                </w:tcPr>
                <w:p w14:paraId="762C5812">
                  <w:pPr>
                    <w:adjustRightInd w:val="0"/>
                    <w:snapToGrid w:val="0"/>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二氧化钛（TiO</w:t>
                  </w:r>
                  <w:r>
                    <w:rPr>
                      <w:rFonts w:hint="eastAsia" w:ascii="Times New Roman" w:hAnsi="Times New Roman" w:eastAsia="宋体" w:cs="Times New Roman"/>
                      <w:color w:val="auto"/>
                      <w:sz w:val="18"/>
                      <w:szCs w:val="18"/>
                      <w:highlight w:val="none"/>
                      <w:vertAlign w:val="subscript"/>
                      <w:lang w:val="en-US" w:eastAsia="zh-CN"/>
                    </w:rPr>
                    <w:t>2</w:t>
                  </w:r>
                  <w:r>
                    <w:rPr>
                      <w:rFonts w:hint="eastAsia" w:ascii="Times New Roman" w:hAnsi="Times New Roman" w:eastAsia="宋体" w:cs="Times New Roman"/>
                      <w:color w:val="auto"/>
                      <w:sz w:val="18"/>
                      <w:szCs w:val="18"/>
                      <w:highlight w:val="none"/>
                      <w:lang w:val="en-US" w:eastAsia="zh-CN"/>
                    </w:rPr>
                    <w:t>），w/%             ≤</w:t>
                  </w:r>
                </w:p>
              </w:tc>
              <w:tc>
                <w:tcPr>
                  <w:tcW w:w="1592" w:type="pct"/>
                  <w:noWrap w:val="0"/>
                  <w:vAlign w:val="center"/>
                </w:tcPr>
                <w:p w14:paraId="179A4A45">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0.0005</w:t>
                  </w:r>
                </w:p>
              </w:tc>
              <w:tc>
                <w:tcPr>
                  <w:tcW w:w="1594" w:type="pct"/>
                  <w:shd w:val="clear" w:color="auto" w:fill="auto"/>
                  <w:noWrap w:val="0"/>
                  <w:vAlign w:val="center"/>
                </w:tcPr>
                <w:p w14:paraId="21B3558F">
                  <w:pPr>
                    <w:pStyle w:val="43"/>
                    <w:adjustRightInd w:val="0"/>
                    <w:snapToGrid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0.0005</w:t>
                  </w:r>
                </w:p>
              </w:tc>
            </w:tr>
            <w:tr w14:paraId="4DBCC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813" w:type="pct"/>
                  <w:noWrap w:val="0"/>
                  <w:vAlign w:val="center"/>
                </w:tcPr>
                <w:p w14:paraId="58B8F766">
                  <w:pPr>
                    <w:adjustRightInd w:val="0"/>
                    <w:snapToGrid w:val="0"/>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氧化钙（CaO），w/%                 ≤</w:t>
                  </w:r>
                </w:p>
              </w:tc>
              <w:tc>
                <w:tcPr>
                  <w:tcW w:w="1592" w:type="pct"/>
                  <w:noWrap w:val="0"/>
                  <w:vAlign w:val="center"/>
                </w:tcPr>
                <w:p w14:paraId="15843CEE">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0.0005</w:t>
                  </w:r>
                </w:p>
              </w:tc>
              <w:tc>
                <w:tcPr>
                  <w:tcW w:w="1594" w:type="pct"/>
                  <w:shd w:val="clear" w:color="auto" w:fill="auto"/>
                  <w:noWrap w:val="0"/>
                  <w:vAlign w:val="center"/>
                </w:tcPr>
                <w:p w14:paraId="47630D21">
                  <w:pPr>
                    <w:pStyle w:val="43"/>
                    <w:adjustRightInd w:val="0"/>
                    <w:snapToGrid w:val="0"/>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0.0005</w:t>
                  </w:r>
                </w:p>
              </w:tc>
            </w:tr>
          </w:tbl>
          <w:p w14:paraId="71A25C65">
            <w:pPr>
              <w:spacing w:line="360" w:lineRule="auto"/>
              <w:jc w:val="center"/>
              <w:rPr>
                <w:rFonts w:hint="default" w:ascii="Times New Roman" w:hAnsi="Times New Roman" w:eastAsia="宋体" w:cs="Times New Roman"/>
                <w:b/>
                <w:bCs/>
                <w:color w:val="auto"/>
                <w:highlight w:val="none"/>
                <w:lang w:val="de-DE"/>
              </w:rPr>
            </w:pPr>
            <w:r>
              <w:rPr>
                <w:rFonts w:hint="default" w:ascii="Times New Roman" w:hAnsi="Times New Roman" w:eastAsia="宋体" w:cs="Times New Roman"/>
                <w:b/>
                <w:bCs/>
                <w:color w:val="auto"/>
                <w:highlight w:val="none"/>
                <w:lang w:val="de-DE"/>
              </w:rPr>
              <w:object>
                <v:shape id="_x0000_i1025" o:spt="75" type="#_x0000_t75" style="height:555.75pt;width:411.55pt;" o:ole="t" filled="f" o:preferrelative="t" stroked="f" coordsize="21600,21600">
                  <v:path/>
                  <v:fill on="f" focussize="0,0"/>
                  <v:stroke on="f"/>
                  <v:imagedata r:id="rId11" o:title=""/>
                  <o:lock v:ext="edit" aspectratio="f"/>
                  <w10:wrap type="none"/>
                  <w10:anchorlock/>
                </v:shape>
                <o:OLEObject Type="Embed" ProgID="Visio.Drawing.15" ShapeID="_x0000_i1025" DrawAspect="Content" ObjectID="_1468075725" r:id="rId10">
                  <o:LockedField>false</o:LockedField>
                </o:OLEObject>
              </w:object>
            </w:r>
          </w:p>
          <w:p w14:paraId="33AB7F72">
            <w:pPr>
              <w:spacing w:line="360" w:lineRule="auto"/>
              <w:jc w:val="center"/>
              <w:rPr>
                <w:rFonts w:hint="default" w:ascii="Times New Roman" w:hAnsi="Times New Roman" w:eastAsia="宋体" w:cs="Times New Roman"/>
                <w:b/>
                <w:bCs/>
                <w:color w:val="auto"/>
                <w:highlight w:val="none"/>
                <w:lang w:val="de-DE"/>
              </w:rPr>
            </w:pPr>
            <w:r>
              <w:rPr>
                <w:rFonts w:hint="default" w:ascii="Times New Roman" w:hAnsi="Times New Roman" w:eastAsia="宋体" w:cs="Times New Roman"/>
                <w:b/>
                <w:bCs/>
                <w:color w:val="auto"/>
                <w:highlight w:val="none"/>
                <w:lang w:val="de-DE"/>
              </w:rPr>
              <w:t>图2-</w:t>
            </w:r>
            <w:r>
              <w:rPr>
                <w:rFonts w:hint="eastAsia" w:ascii="Times New Roman" w:hAnsi="Times New Roman" w:eastAsia="宋体" w:cs="Times New Roman"/>
                <w:b/>
                <w:bCs/>
                <w:color w:val="auto"/>
                <w:highlight w:val="none"/>
                <w:lang w:val="en-US" w:eastAsia="zh-CN"/>
              </w:rPr>
              <w:t>1</w:t>
            </w:r>
            <w:r>
              <w:rPr>
                <w:rFonts w:hint="default" w:ascii="Times New Roman" w:hAnsi="Times New Roman" w:eastAsia="宋体" w:cs="Times New Roman"/>
                <w:b/>
                <w:bCs/>
                <w:color w:val="auto"/>
                <w:highlight w:val="none"/>
                <w:lang w:val="de-DE"/>
              </w:rPr>
              <w:t>项目</w:t>
            </w:r>
            <w:r>
              <w:rPr>
                <w:rFonts w:hint="eastAsia" w:cs="Times New Roman"/>
                <w:b/>
                <w:bCs/>
                <w:color w:val="auto"/>
                <w:highlight w:val="none"/>
                <w:lang w:val="en-US" w:eastAsia="zh-CN"/>
              </w:rPr>
              <w:t>物料平衡</w:t>
            </w:r>
            <w:r>
              <w:rPr>
                <w:rFonts w:hint="default" w:ascii="Times New Roman" w:hAnsi="Times New Roman" w:eastAsia="宋体" w:cs="Times New Roman"/>
                <w:b/>
                <w:bCs/>
                <w:color w:val="auto"/>
                <w:highlight w:val="none"/>
                <w:lang w:val="de-DE"/>
              </w:rPr>
              <w:t>图</w:t>
            </w:r>
          </w:p>
          <w:p w14:paraId="1B649AD2">
            <w:pPr>
              <w:spacing w:line="360" w:lineRule="auto"/>
              <w:jc w:val="center"/>
              <w:rPr>
                <w:rFonts w:hint="default" w:ascii="Times New Roman" w:hAnsi="Times New Roman" w:eastAsia="宋体" w:cs="Times New Roman"/>
                <w:b/>
                <w:bCs/>
                <w:color w:val="auto"/>
                <w:highlight w:val="none"/>
                <w:lang w:val="de-DE"/>
              </w:rPr>
            </w:pPr>
            <w:r>
              <w:rPr>
                <w:rFonts w:hint="default" w:ascii="Times New Roman" w:hAnsi="Times New Roman" w:eastAsia="宋体" w:cs="Times New Roman"/>
                <w:b/>
                <w:bCs/>
                <w:color w:val="auto"/>
                <w:highlight w:val="none"/>
                <w:lang w:val="de-DE"/>
              </w:rPr>
              <w:object>
                <v:shape id="_x0000_i1026" o:spt="75" type="#_x0000_t75" style="height:145.55pt;width:202.5pt;" o:ole="t" filled="f" o:preferrelative="t" stroked="f" coordsize="21600,21600">
                  <v:path/>
                  <v:fill on="f" focussize="0,0"/>
                  <v:stroke on="f"/>
                  <v:imagedata r:id="rId13" o:title=""/>
                  <o:lock v:ext="edit" aspectratio="f"/>
                  <w10:wrap type="none"/>
                  <w10:anchorlock/>
                </v:shape>
                <o:OLEObject Type="Embed" ProgID="Visio.Drawing.15" ShapeID="_x0000_i1026" DrawAspect="Content" ObjectID="_1468075726" r:id="rId12">
                  <o:LockedField>false</o:LockedField>
                </o:OLEObject>
              </w:object>
            </w:r>
          </w:p>
          <w:p w14:paraId="453381D6">
            <w:pPr>
              <w:spacing w:line="360" w:lineRule="auto"/>
              <w:jc w:val="center"/>
              <w:rPr>
                <w:rFonts w:hint="eastAsia" w:ascii="Times New Roman" w:hAnsi="Times New Roman" w:eastAsia="宋体" w:cs="Times New Roman"/>
                <w:b/>
                <w:bCs/>
                <w:color w:val="auto"/>
                <w:highlight w:val="none"/>
                <w:lang w:val="de-DE" w:eastAsia="zh-CN"/>
              </w:rPr>
            </w:pPr>
            <w:r>
              <w:rPr>
                <w:rFonts w:hint="default" w:ascii="Times New Roman" w:hAnsi="Times New Roman" w:eastAsia="宋体" w:cs="Times New Roman"/>
                <w:b/>
                <w:bCs/>
                <w:color w:val="auto"/>
                <w:highlight w:val="none"/>
                <w:lang w:val="de-DE"/>
              </w:rPr>
              <w:t>图2-</w:t>
            </w:r>
            <w:r>
              <w:rPr>
                <w:rFonts w:hint="default" w:ascii="Times New Roman" w:hAnsi="Times New Roman" w:eastAsia="宋体" w:cs="Times New Roman"/>
                <w:b/>
                <w:bCs/>
                <w:color w:val="auto"/>
                <w:highlight w:val="none"/>
                <w:lang w:val="en-US" w:eastAsia="zh-CN"/>
              </w:rPr>
              <w:t>2</w:t>
            </w:r>
            <w:r>
              <w:rPr>
                <w:rFonts w:hint="eastAsia" w:cs="Times New Roman"/>
                <w:b/>
                <w:bCs/>
                <w:color w:val="auto"/>
                <w:highlight w:val="none"/>
                <w:lang w:val="en-US" w:eastAsia="zh-CN"/>
              </w:rPr>
              <w:t>氯元素平衡</w:t>
            </w:r>
            <w:r>
              <w:rPr>
                <w:rFonts w:hint="default" w:ascii="Times New Roman" w:hAnsi="Times New Roman" w:eastAsia="宋体" w:cs="Times New Roman"/>
                <w:b/>
                <w:bCs/>
                <w:color w:val="auto"/>
                <w:highlight w:val="none"/>
                <w:lang w:val="de-DE"/>
              </w:rPr>
              <w:t>图</w:t>
            </w:r>
            <w:r>
              <w:rPr>
                <w:rFonts w:hint="eastAsia" w:cs="Times New Roman"/>
                <w:b/>
                <w:bCs/>
                <w:color w:val="auto"/>
                <w:highlight w:val="none"/>
                <w:lang w:val="de-DE" w:eastAsia="zh-CN"/>
              </w:rPr>
              <w:t>（</w:t>
            </w:r>
            <w:r>
              <w:rPr>
                <w:rFonts w:hint="eastAsia" w:cs="Times New Roman"/>
                <w:b/>
                <w:bCs/>
                <w:color w:val="auto"/>
                <w:highlight w:val="none"/>
                <w:lang w:val="en-US" w:eastAsia="zh-CN"/>
              </w:rPr>
              <w:t>t/a</w:t>
            </w:r>
            <w:r>
              <w:rPr>
                <w:rFonts w:hint="eastAsia" w:cs="Times New Roman"/>
                <w:b/>
                <w:bCs/>
                <w:color w:val="auto"/>
                <w:highlight w:val="none"/>
                <w:lang w:val="de-DE" w:eastAsia="zh-CN"/>
              </w:rPr>
              <w:t>）</w:t>
            </w:r>
          </w:p>
          <w:p w14:paraId="5C681816">
            <w:pPr>
              <w:snapToGrid w:val="0"/>
              <w:spacing w:line="360" w:lineRule="auto"/>
              <w:ind w:firstLine="422" w:firstLineChars="200"/>
              <w:rPr>
                <w:rFonts w:hint="default" w:ascii="Times New Roman" w:hAnsi="Times New Roman" w:cs="Times New Roman"/>
                <w:color w:val="auto"/>
                <w:szCs w:val="21"/>
                <w:highlight w:val="none"/>
              </w:rPr>
            </w:pPr>
            <w:r>
              <w:rPr>
                <w:rFonts w:hint="default" w:ascii="Times New Roman" w:hAnsi="Times New Roman" w:eastAsia="宋体" w:cs="Times New Roman"/>
                <w:b/>
                <w:bCs/>
                <w:color w:val="auto"/>
                <w:kern w:val="0"/>
                <w:sz w:val="21"/>
                <w:szCs w:val="18"/>
                <w:highlight w:val="none"/>
                <w:lang w:val="en-US" w:eastAsia="zh-CN" w:bidi="ar-SA"/>
              </w:rPr>
              <w:t>5、工程内容</w:t>
            </w:r>
            <w:r>
              <w:rPr>
                <w:rFonts w:hint="default" w:ascii="Times New Roman" w:hAnsi="Times New Roman" w:eastAsia="黑体" w:cs="Times New Roman"/>
                <w:color w:val="auto"/>
                <w:szCs w:val="21"/>
                <w:highlight w:val="none"/>
              </w:rPr>
              <w:t>：</w:t>
            </w:r>
            <w:r>
              <w:rPr>
                <w:rFonts w:hint="default" w:ascii="Times New Roman" w:hAnsi="Times New Roman" w:cs="Times New Roman"/>
                <w:color w:val="auto"/>
                <w:kern w:val="0"/>
                <w:szCs w:val="21"/>
                <w:highlight w:val="none"/>
                <w:lang w:eastAsia="zh-CN"/>
              </w:rPr>
              <w:t>本项目</w:t>
            </w:r>
            <w:r>
              <w:rPr>
                <w:rFonts w:hint="default" w:ascii="Times New Roman" w:hAnsi="Times New Roman" w:cs="Times New Roman"/>
                <w:color w:val="auto"/>
                <w:kern w:val="0"/>
                <w:szCs w:val="21"/>
                <w:highlight w:val="none"/>
              </w:rPr>
              <w:t>工程内容</w:t>
            </w:r>
            <w:r>
              <w:rPr>
                <w:rFonts w:hint="default" w:ascii="Times New Roman" w:hAnsi="Times New Roman" w:cs="Times New Roman"/>
                <w:snapToGrid w:val="0"/>
                <w:color w:val="auto"/>
                <w:kern w:val="0"/>
                <w:szCs w:val="21"/>
                <w:highlight w:val="none"/>
              </w:rPr>
              <w:t>具体见表2-</w:t>
            </w:r>
            <w:r>
              <w:rPr>
                <w:rFonts w:hint="eastAsia" w:cs="Times New Roman"/>
                <w:snapToGrid w:val="0"/>
                <w:color w:val="auto"/>
                <w:kern w:val="0"/>
                <w:szCs w:val="21"/>
                <w:highlight w:val="none"/>
                <w:lang w:val="en-US" w:eastAsia="zh-CN"/>
              </w:rPr>
              <w:t>3</w:t>
            </w:r>
            <w:r>
              <w:rPr>
                <w:rFonts w:hint="default" w:ascii="Times New Roman" w:hAnsi="Times New Roman" w:cs="Times New Roman"/>
                <w:snapToGrid w:val="0"/>
                <w:color w:val="auto"/>
                <w:kern w:val="0"/>
                <w:szCs w:val="21"/>
                <w:highlight w:val="none"/>
              </w:rPr>
              <w:t>。</w:t>
            </w:r>
          </w:p>
          <w:p w14:paraId="0541D485">
            <w:pPr>
              <w:pStyle w:val="82"/>
              <w:spacing w:after="0"/>
              <w:ind w:left="0" w:leftChars="0"/>
              <w:jc w:val="center"/>
              <w:rPr>
                <w:rFonts w:hint="default" w:ascii="Times New Roman" w:hAnsi="Times New Roman" w:eastAsia="宋体" w:cs="Times New Roman"/>
                <w:b/>
                <w:bCs/>
                <w:color w:val="auto"/>
                <w:sz w:val="21"/>
                <w:szCs w:val="18"/>
                <w:highlight w:val="none"/>
              </w:rPr>
            </w:pPr>
            <w:r>
              <w:rPr>
                <w:rFonts w:hint="default" w:ascii="Times New Roman" w:hAnsi="Times New Roman" w:eastAsia="宋体" w:cs="Times New Roman"/>
                <w:b/>
                <w:bCs/>
                <w:color w:val="auto"/>
                <w:sz w:val="21"/>
                <w:szCs w:val="18"/>
                <w:highlight w:val="none"/>
              </w:rPr>
              <w:t>表2-</w:t>
            </w:r>
            <w:r>
              <w:rPr>
                <w:rFonts w:hint="eastAsia" w:cs="Times New Roman"/>
                <w:b/>
                <w:bCs/>
                <w:color w:val="auto"/>
                <w:sz w:val="21"/>
                <w:szCs w:val="18"/>
                <w:highlight w:val="none"/>
                <w:lang w:val="en-US" w:eastAsia="zh-CN"/>
              </w:rPr>
              <w:t>3</w:t>
            </w:r>
            <w:r>
              <w:rPr>
                <w:rFonts w:hint="default" w:ascii="Times New Roman" w:hAnsi="Times New Roman" w:eastAsia="宋体" w:cs="Times New Roman"/>
                <w:b/>
                <w:bCs/>
                <w:color w:val="auto"/>
                <w:sz w:val="21"/>
                <w:szCs w:val="18"/>
                <w:highlight w:val="none"/>
              </w:rPr>
              <w:t>项目主要工程内容</w:t>
            </w:r>
          </w:p>
          <w:tbl>
            <w:tblPr>
              <w:tblStyle w:val="83"/>
              <w:tblW w:w="4982"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51" w:type="dxa"/>
                <w:bottom w:w="0" w:type="dxa"/>
                <w:right w:w="51" w:type="dxa"/>
              </w:tblCellMar>
            </w:tblPr>
            <w:tblGrid>
              <w:gridCol w:w="1588"/>
              <w:gridCol w:w="1945"/>
              <w:gridCol w:w="2924"/>
              <w:gridCol w:w="1917"/>
            </w:tblGrid>
            <w:tr w14:paraId="46DA60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8" w:type="pct"/>
                  <w:tcBorders>
                    <w:top w:val="single" w:color="auto" w:sz="6" w:space="0"/>
                  </w:tcBorders>
                  <w:vAlign w:val="center"/>
                </w:tcPr>
                <w:p w14:paraId="4783F201">
                  <w:pPr>
                    <w:pStyle w:val="33"/>
                    <w:keepNext w:val="0"/>
                    <w:keepLines w:val="0"/>
                    <w:pageBreakBefore w:val="0"/>
                    <w:widowControl w:val="0"/>
                    <w:kinsoku/>
                    <w:wordWrap/>
                    <w:overflowPunct/>
                    <w:topLinePunct w:val="0"/>
                    <w:autoSpaceDE/>
                    <w:autoSpaceDN/>
                    <w:bidi w:val="0"/>
                    <w:adjustRightInd w:val="0"/>
                    <w:snapToGrid w:val="0"/>
                    <w:spacing w:after="0"/>
                    <w:ind w:left="60" w:leftChars="0" w:hanging="60" w:hangingChars="33"/>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工程名称</w:t>
                  </w:r>
                </w:p>
              </w:tc>
              <w:tc>
                <w:tcPr>
                  <w:tcW w:w="1161" w:type="pct"/>
                  <w:tcBorders>
                    <w:top w:val="single" w:color="auto" w:sz="6" w:space="0"/>
                  </w:tcBorders>
                  <w:vAlign w:val="center"/>
                </w:tcPr>
                <w:p w14:paraId="1FE909E7">
                  <w:pPr>
                    <w:pStyle w:val="33"/>
                    <w:keepNext w:val="0"/>
                    <w:keepLines w:val="0"/>
                    <w:pageBreakBefore w:val="0"/>
                    <w:widowControl w:val="0"/>
                    <w:kinsoku/>
                    <w:wordWrap/>
                    <w:overflowPunct/>
                    <w:topLinePunct w:val="0"/>
                    <w:autoSpaceDE/>
                    <w:autoSpaceDN/>
                    <w:bidi w:val="0"/>
                    <w:adjustRightInd w:val="0"/>
                    <w:snapToGrid w:val="0"/>
                    <w:spacing w:after="0"/>
                    <w:ind w:left="0" w:leftChars="0" w:firstLine="422"/>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工程内容</w:t>
                  </w:r>
                </w:p>
              </w:tc>
              <w:tc>
                <w:tcPr>
                  <w:tcW w:w="1745" w:type="pct"/>
                  <w:tcBorders>
                    <w:top w:val="single" w:color="auto" w:sz="6" w:space="0"/>
                    <w:right w:val="single" w:color="auto" w:sz="4" w:space="0"/>
                  </w:tcBorders>
                  <w:vAlign w:val="center"/>
                </w:tcPr>
                <w:p w14:paraId="6E82D398">
                  <w:pPr>
                    <w:pStyle w:val="33"/>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b/>
                      <w:bCs/>
                      <w:color w:val="auto"/>
                      <w:sz w:val="18"/>
                      <w:szCs w:val="18"/>
                      <w:highlight w:val="none"/>
                    </w:rPr>
                  </w:pPr>
                  <w:r>
                    <w:rPr>
                      <w:rFonts w:hint="default" w:ascii="Times New Roman" w:hAnsi="Times New Roman" w:cs="Times New Roman"/>
                      <w:b/>
                      <w:color w:val="auto"/>
                      <w:sz w:val="18"/>
                      <w:szCs w:val="18"/>
                      <w:highlight w:val="none"/>
                    </w:rPr>
                    <w:t>建设内容及规模</w:t>
                  </w:r>
                </w:p>
              </w:tc>
              <w:tc>
                <w:tcPr>
                  <w:tcW w:w="1144" w:type="pct"/>
                  <w:tcBorders>
                    <w:top w:val="single" w:color="auto" w:sz="6" w:space="0"/>
                    <w:right w:val="single" w:color="auto" w:sz="4" w:space="0"/>
                  </w:tcBorders>
                  <w:vAlign w:val="center"/>
                </w:tcPr>
                <w:p w14:paraId="5C1A6318">
                  <w:pPr>
                    <w:pStyle w:val="33"/>
                    <w:keepNext w:val="0"/>
                    <w:keepLines w:val="0"/>
                    <w:pageBreakBefore w:val="0"/>
                    <w:widowControl w:val="0"/>
                    <w:kinsoku/>
                    <w:wordWrap/>
                    <w:overflowPunct/>
                    <w:topLinePunct w:val="0"/>
                    <w:autoSpaceDE/>
                    <w:autoSpaceDN/>
                    <w:bidi w:val="0"/>
                    <w:adjustRightInd w:val="0"/>
                    <w:snapToGrid w:val="0"/>
                    <w:spacing w:after="0"/>
                    <w:ind w:left="0" w:leftChars="0" w:firstLine="0" w:firstLineChars="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备注</w:t>
                  </w:r>
                </w:p>
              </w:tc>
            </w:tr>
            <w:tr w14:paraId="60A41AA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8" w:type="pct"/>
                  <w:vAlign w:val="center"/>
                </w:tcPr>
                <w:p w14:paraId="25F51861">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主体工程</w:t>
                  </w:r>
                </w:p>
              </w:tc>
              <w:tc>
                <w:tcPr>
                  <w:tcW w:w="1161" w:type="pct"/>
                  <w:vAlign w:val="center"/>
                </w:tcPr>
                <w:p w14:paraId="7DF6AA1C">
                  <w:pPr>
                    <w:pStyle w:val="43"/>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生产车间</w:t>
                  </w:r>
                </w:p>
              </w:tc>
              <w:tc>
                <w:tcPr>
                  <w:tcW w:w="1745" w:type="pct"/>
                  <w:tcBorders>
                    <w:right w:val="single" w:color="auto" w:sz="4" w:space="0"/>
                  </w:tcBorders>
                  <w:vAlign w:val="center"/>
                </w:tcPr>
                <w:p w14:paraId="377F57C2">
                  <w:pPr>
                    <w:pStyle w:val="43"/>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1座，</w:t>
                  </w:r>
                  <w:r>
                    <w:rPr>
                      <w:rFonts w:hint="default" w:ascii="Times New Roman" w:hAnsi="Times New Roman" w:cs="Times New Roman"/>
                      <w:color w:val="auto"/>
                      <w:sz w:val="18"/>
                      <w:szCs w:val="18"/>
                      <w:highlight w:val="none"/>
                      <w:lang w:val="en-US" w:eastAsia="zh-CN"/>
                    </w:rPr>
                    <w:t>占地面</w:t>
                  </w:r>
                  <w:r>
                    <w:rPr>
                      <w:rFonts w:hint="default" w:ascii="Times New Roman" w:hAnsi="Times New Roman" w:eastAsia="宋体" w:cs="Times New Roman"/>
                      <w:color w:val="auto"/>
                      <w:sz w:val="18"/>
                      <w:szCs w:val="18"/>
                      <w:highlight w:val="none"/>
                      <w:lang w:val="en-US" w:eastAsia="zh-CN"/>
                    </w:rPr>
                    <w:t>积</w:t>
                  </w:r>
                  <w:r>
                    <w:rPr>
                      <w:rFonts w:hint="eastAsia" w:ascii="Times New Roman" w:hAnsi="Times New Roman" w:cs="Times New Roman"/>
                      <w:color w:val="auto"/>
                      <w:sz w:val="18"/>
                      <w:szCs w:val="18"/>
                      <w:highlight w:val="none"/>
                      <w:lang w:val="en-US" w:eastAsia="zh-CN"/>
                    </w:rPr>
                    <w:t>11500</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2</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主要包括</w:t>
                  </w:r>
                  <w:r>
                    <w:rPr>
                      <w:rFonts w:hint="eastAsia" w:ascii="Times New Roman" w:hAnsi="Times New Roman" w:cs="Times New Roman"/>
                      <w:color w:val="auto"/>
                      <w:sz w:val="18"/>
                      <w:szCs w:val="18"/>
                      <w:highlight w:val="none"/>
                      <w:lang w:val="en-US" w:eastAsia="zh-CN"/>
                    </w:rPr>
                    <w:t>20台原料溶解槽、10台板框压滤机、2台标准定容槽、10台离心机、2台精密过滤槽、16台泵、2个萃取槽、3套钛材加热器、10台真空减压浓缩槽、10台结晶槽及配套环保设施，年产1900t高纯氧氯化锆和40t氧氯化铪</w:t>
                  </w:r>
                </w:p>
              </w:tc>
              <w:tc>
                <w:tcPr>
                  <w:tcW w:w="1144" w:type="pct"/>
                  <w:tcBorders>
                    <w:right w:val="single" w:color="auto" w:sz="4" w:space="0"/>
                  </w:tcBorders>
                  <w:vAlign w:val="center"/>
                </w:tcPr>
                <w:p w14:paraId="1252165A">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租赁现有</w:t>
                  </w:r>
                </w:p>
              </w:tc>
            </w:tr>
            <w:tr w14:paraId="434A365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8" w:type="pct"/>
                  <w:vMerge w:val="restart"/>
                  <w:vAlign w:val="center"/>
                </w:tcPr>
                <w:p w14:paraId="49AE8A55">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辅助工程</w:t>
                  </w:r>
                </w:p>
              </w:tc>
              <w:tc>
                <w:tcPr>
                  <w:tcW w:w="1161" w:type="pct"/>
                  <w:vAlign w:val="center"/>
                </w:tcPr>
                <w:p w14:paraId="6A7F3000">
                  <w:pPr>
                    <w:pStyle w:val="43"/>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ascii="Times New Roman" w:hAnsi="Times New Roman" w:eastAsia="宋体" w:cs="Times New Roman"/>
                      <w:color w:val="auto"/>
                      <w:sz w:val="18"/>
                      <w:szCs w:val="18"/>
                      <w:highlight w:val="none"/>
                      <w:lang w:eastAsia="zh-CN"/>
                    </w:rPr>
                  </w:pPr>
                  <w:r>
                    <w:rPr>
                      <w:rFonts w:hint="eastAsia" w:ascii="Times New Roman" w:hAnsi="Times New Roman" w:cs="Times New Roman"/>
                      <w:color w:val="auto"/>
                      <w:sz w:val="18"/>
                      <w:szCs w:val="18"/>
                      <w:highlight w:val="none"/>
                      <w:lang w:val="en-US" w:eastAsia="zh-CN"/>
                    </w:rPr>
                    <w:t>南</w:t>
                  </w:r>
                  <w:r>
                    <w:rPr>
                      <w:rFonts w:hint="default" w:ascii="Times New Roman" w:hAnsi="Times New Roman" w:cs="Times New Roman"/>
                      <w:color w:val="auto"/>
                      <w:sz w:val="18"/>
                      <w:szCs w:val="18"/>
                      <w:highlight w:val="none"/>
                    </w:rPr>
                    <w:t>办公</w:t>
                  </w:r>
                  <w:r>
                    <w:rPr>
                      <w:rFonts w:hint="eastAsia" w:ascii="Times New Roman" w:hAnsi="Times New Roman" w:cs="Times New Roman"/>
                      <w:color w:val="auto"/>
                      <w:sz w:val="18"/>
                      <w:szCs w:val="18"/>
                      <w:highlight w:val="none"/>
                      <w:lang w:val="en-US" w:eastAsia="zh-CN"/>
                    </w:rPr>
                    <w:t>楼</w:t>
                  </w:r>
                </w:p>
              </w:tc>
              <w:tc>
                <w:tcPr>
                  <w:tcW w:w="1745" w:type="pct"/>
                  <w:tcBorders>
                    <w:right w:val="single" w:color="auto" w:sz="4" w:space="0"/>
                  </w:tcBorders>
                  <w:vAlign w:val="center"/>
                </w:tcPr>
                <w:p w14:paraId="320E201D">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sz w:val="18"/>
                      <w:szCs w:val="18"/>
                      <w:highlight w:val="none"/>
                      <w:lang w:val="en-US" w:eastAsia="zh-CN"/>
                    </w:rPr>
                    <w:t>4F</w:t>
                  </w:r>
                  <w:r>
                    <w:rPr>
                      <w:rFonts w:hint="default" w:ascii="Times New Roman" w:hAnsi="Times New Roman" w:cs="Times New Roman"/>
                      <w:color w:val="auto"/>
                      <w:sz w:val="18"/>
                      <w:szCs w:val="18"/>
                      <w:highlight w:val="none"/>
                    </w:rPr>
                    <w:t>，</w:t>
                  </w:r>
                  <w:r>
                    <w:rPr>
                      <w:rFonts w:hint="eastAsia" w:cs="Times New Roman"/>
                      <w:color w:val="auto"/>
                      <w:sz w:val="18"/>
                      <w:szCs w:val="18"/>
                      <w:highlight w:val="none"/>
                      <w:lang w:val="en-US" w:eastAsia="zh-CN"/>
                    </w:rPr>
                    <w:t>建筑</w:t>
                  </w:r>
                  <w:r>
                    <w:rPr>
                      <w:rFonts w:hint="default" w:ascii="Times New Roman" w:hAnsi="Times New Roman" w:cs="Times New Roman"/>
                      <w:color w:val="auto"/>
                      <w:sz w:val="18"/>
                      <w:szCs w:val="18"/>
                      <w:highlight w:val="none"/>
                      <w:lang w:val="en-US" w:eastAsia="zh-CN"/>
                    </w:rPr>
                    <w:t>面积为</w:t>
                  </w:r>
                  <w:r>
                    <w:rPr>
                      <w:rFonts w:hint="eastAsia" w:cs="Times New Roman"/>
                      <w:color w:val="auto"/>
                      <w:kern w:val="0"/>
                      <w:sz w:val="18"/>
                      <w:szCs w:val="18"/>
                      <w:highlight w:val="none"/>
                      <w:lang w:val="en-US" w:eastAsia="zh-CN"/>
                    </w:rPr>
                    <w:t>2500</w:t>
                  </w:r>
                  <w:r>
                    <w:rPr>
                      <w:rFonts w:hint="default" w:ascii="Times New Roman" w:hAnsi="Times New Roman" w:cs="Times New Roman"/>
                      <w:color w:val="auto"/>
                      <w:sz w:val="18"/>
                      <w:szCs w:val="18"/>
                      <w:highlight w:val="none"/>
                    </w:rPr>
                    <w:t xml:space="preserve"> m</w:t>
                  </w:r>
                  <w:r>
                    <w:rPr>
                      <w:rFonts w:hint="default" w:ascii="Times New Roman" w:hAnsi="Times New Roman" w:cs="Times New Roman"/>
                      <w:color w:val="auto"/>
                      <w:sz w:val="18"/>
                      <w:szCs w:val="18"/>
                      <w:highlight w:val="none"/>
                      <w:vertAlign w:val="superscript"/>
                    </w:rPr>
                    <w:t>2</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主要用于办公</w:t>
                  </w:r>
                </w:p>
              </w:tc>
              <w:tc>
                <w:tcPr>
                  <w:tcW w:w="1144" w:type="pct"/>
                  <w:tcBorders>
                    <w:right w:val="single" w:color="auto" w:sz="4" w:space="0"/>
                  </w:tcBorders>
                  <w:vAlign w:val="center"/>
                </w:tcPr>
                <w:p w14:paraId="4F663536">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租赁现有</w:t>
                  </w:r>
                </w:p>
              </w:tc>
            </w:tr>
            <w:tr w14:paraId="4F54EFF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8" w:type="pct"/>
                  <w:vMerge w:val="continue"/>
                  <w:vAlign w:val="center"/>
                </w:tcPr>
                <w:p w14:paraId="50E9886E">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none"/>
                    </w:rPr>
                  </w:pPr>
                </w:p>
              </w:tc>
              <w:tc>
                <w:tcPr>
                  <w:tcW w:w="1161" w:type="pct"/>
                  <w:vAlign w:val="center"/>
                </w:tcPr>
                <w:p w14:paraId="7F06AE5E">
                  <w:pPr>
                    <w:pStyle w:val="43"/>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北办公楼</w:t>
                  </w:r>
                </w:p>
              </w:tc>
              <w:tc>
                <w:tcPr>
                  <w:tcW w:w="1745" w:type="pct"/>
                  <w:tcBorders>
                    <w:right w:val="single" w:color="auto" w:sz="4" w:space="0"/>
                  </w:tcBorders>
                  <w:vAlign w:val="center"/>
                </w:tcPr>
                <w:p w14:paraId="497FD9AD">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5F</w:t>
                  </w:r>
                  <w:r>
                    <w:rPr>
                      <w:rFonts w:hint="default" w:ascii="Times New Roman" w:hAnsi="Times New Roman" w:cs="Times New Roman"/>
                      <w:color w:val="auto"/>
                      <w:sz w:val="18"/>
                      <w:szCs w:val="18"/>
                      <w:highlight w:val="none"/>
                    </w:rPr>
                    <w:t>，</w:t>
                  </w:r>
                  <w:r>
                    <w:rPr>
                      <w:rFonts w:hint="eastAsia" w:cs="Times New Roman"/>
                      <w:color w:val="auto"/>
                      <w:sz w:val="18"/>
                      <w:szCs w:val="18"/>
                      <w:highlight w:val="none"/>
                      <w:lang w:val="en-US" w:eastAsia="zh-CN"/>
                    </w:rPr>
                    <w:t>建筑</w:t>
                  </w:r>
                  <w:r>
                    <w:rPr>
                      <w:rFonts w:hint="default" w:ascii="Times New Roman" w:hAnsi="Times New Roman" w:cs="Times New Roman"/>
                      <w:color w:val="auto"/>
                      <w:sz w:val="18"/>
                      <w:szCs w:val="18"/>
                      <w:highlight w:val="none"/>
                      <w:lang w:val="en-US" w:eastAsia="zh-CN"/>
                    </w:rPr>
                    <w:t>面积为</w:t>
                  </w:r>
                  <w:r>
                    <w:rPr>
                      <w:rFonts w:hint="eastAsia" w:cs="Times New Roman"/>
                      <w:color w:val="auto"/>
                      <w:kern w:val="0"/>
                      <w:sz w:val="18"/>
                      <w:szCs w:val="18"/>
                      <w:highlight w:val="none"/>
                      <w:lang w:val="en-US" w:eastAsia="zh-CN"/>
                    </w:rPr>
                    <w:t>2000</w:t>
                  </w:r>
                  <w:r>
                    <w:rPr>
                      <w:rFonts w:hint="default" w:ascii="Times New Roman" w:hAnsi="Times New Roman" w:cs="Times New Roman"/>
                      <w:color w:val="auto"/>
                      <w:sz w:val="18"/>
                      <w:szCs w:val="18"/>
                      <w:highlight w:val="none"/>
                    </w:rPr>
                    <w:t xml:space="preserve"> m</w:t>
                  </w:r>
                  <w:r>
                    <w:rPr>
                      <w:rFonts w:hint="default" w:ascii="Times New Roman" w:hAnsi="Times New Roman" w:cs="Times New Roman"/>
                      <w:color w:val="auto"/>
                      <w:sz w:val="18"/>
                      <w:szCs w:val="18"/>
                      <w:highlight w:val="none"/>
                      <w:vertAlign w:val="superscript"/>
                    </w:rPr>
                    <w:t>2</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主要用于办公</w:t>
                  </w:r>
                </w:p>
              </w:tc>
              <w:tc>
                <w:tcPr>
                  <w:tcW w:w="1144" w:type="pct"/>
                  <w:tcBorders>
                    <w:right w:val="single" w:color="auto" w:sz="4" w:space="0"/>
                  </w:tcBorders>
                  <w:vAlign w:val="center"/>
                </w:tcPr>
                <w:p w14:paraId="2F4CDE94">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租赁现有</w:t>
                  </w:r>
                </w:p>
              </w:tc>
            </w:tr>
            <w:tr w14:paraId="12EA538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8" w:type="pct"/>
                  <w:vMerge w:val="restart"/>
                  <w:vAlign w:val="center"/>
                </w:tcPr>
                <w:p w14:paraId="7060494D">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公用工程</w:t>
                  </w:r>
                </w:p>
              </w:tc>
              <w:tc>
                <w:tcPr>
                  <w:tcW w:w="1161" w:type="pct"/>
                  <w:vAlign w:val="center"/>
                </w:tcPr>
                <w:p w14:paraId="74F71FC1">
                  <w:pPr>
                    <w:pStyle w:val="43"/>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供水系统</w:t>
                  </w:r>
                </w:p>
              </w:tc>
              <w:tc>
                <w:tcPr>
                  <w:tcW w:w="1745" w:type="pct"/>
                  <w:tcBorders>
                    <w:right w:val="single" w:color="auto" w:sz="4" w:space="0"/>
                  </w:tcBorders>
                  <w:vAlign w:val="center"/>
                </w:tcPr>
                <w:p w14:paraId="70092ABF">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新鲜水</w:t>
                  </w:r>
                  <w:r>
                    <w:rPr>
                      <w:rFonts w:hint="default" w:ascii="Times New Roman" w:hAnsi="Times New Roman" w:cs="Times New Roman"/>
                      <w:color w:val="auto"/>
                      <w:sz w:val="18"/>
                      <w:szCs w:val="18"/>
                      <w:highlight w:val="none"/>
                      <w:lang w:val="en-US" w:eastAsia="zh-CN"/>
                    </w:rPr>
                    <w:t>用水量</w:t>
                  </w:r>
                  <w:r>
                    <w:rPr>
                      <w:rFonts w:hint="eastAsia" w:cs="Times New Roman"/>
                      <w:color w:val="auto"/>
                      <w:sz w:val="18"/>
                      <w:szCs w:val="18"/>
                      <w:highlight w:val="none"/>
                      <w:lang w:val="en-US" w:eastAsia="zh-CN"/>
                    </w:rPr>
                    <w:t>447.348</w:t>
                  </w:r>
                  <w:r>
                    <w:rPr>
                      <w:rFonts w:hint="default" w:ascii="Times New Roman" w:hAnsi="Times New Roman" w:cs="Times New Roman"/>
                      <w:color w:val="auto"/>
                      <w:sz w:val="18"/>
                      <w:szCs w:val="18"/>
                      <w:highlight w:val="none"/>
                    </w:rPr>
                    <w:t>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/a</w:t>
                  </w:r>
                  <w:r>
                    <w:rPr>
                      <w:rFonts w:hint="eastAsia" w:cs="Times New Roman"/>
                      <w:color w:val="auto"/>
                      <w:sz w:val="18"/>
                      <w:szCs w:val="18"/>
                      <w:highlight w:val="none"/>
                      <w:lang w:eastAsia="zh-CN"/>
                    </w:rPr>
                    <w:t>，</w:t>
                  </w:r>
                  <w:r>
                    <w:rPr>
                      <w:rFonts w:hint="eastAsia" w:cs="Times New Roman"/>
                      <w:color w:val="auto"/>
                      <w:sz w:val="18"/>
                      <w:szCs w:val="18"/>
                      <w:highlight w:val="none"/>
                      <w:lang w:val="en-US" w:eastAsia="zh-CN"/>
                    </w:rPr>
                    <w:t>来源于</w:t>
                  </w:r>
                  <w:r>
                    <w:rPr>
                      <w:rFonts w:hint="default" w:ascii="Times New Roman" w:hAnsi="Times New Roman" w:cs="Times New Roman"/>
                      <w:color w:val="auto"/>
                      <w:sz w:val="18"/>
                      <w:szCs w:val="18"/>
                      <w:highlight w:val="none"/>
                    </w:rPr>
                    <w:t>淄川区</w:t>
                  </w:r>
                  <w:r>
                    <w:rPr>
                      <w:rFonts w:hint="eastAsia" w:cs="Times New Roman"/>
                      <w:color w:val="auto"/>
                      <w:sz w:val="18"/>
                      <w:szCs w:val="18"/>
                      <w:highlight w:val="none"/>
                      <w:lang w:eastAsia="zh-CN"/>
                    </w:rPr>
                    <w:t>龙泉镇</w:t>
                  </w:r>
                  <w:r>
                    <w:rPr>
                      <w:rFonts w:hint="default" w:ascii="Times New Roman" w:hAnsi="Times New Roman" w:cs="Times New Roman"/>
                      <w:color w:val="auto"/>
                      <w:sz w:val="18"/>
                      <w:szCs w:val="18"/>
                      <w:highlight w:val="none"/>
                      <w:lang w:eastAsia="zh-CN"/>
                    </w:rPr>
                    <w:t>供水管网</w:t>
                  </w:r>
                </w:p>
              </w:tc>
              <w:tc>
                <w:tcPr>
                  <w:tcW w:w="1144" w:type="pct"/>
                  <w:tcBorders>
                    <w:right w:val="single" w:color="auto" w:sz="4" w:space="0"/>
                  </w:tcBorders>
                  <w:vAlign w:val="center"/>
                </w:tcPr>
                <w:p w14:paraId="773E5C35">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2D32677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8" w:type="pct"/>
                  <w:vMerge w:val="continue"/>
                  <w:vAlign w:val="center"/>
                </w:tcPr>
                <w:p w14:paraId="5BA2F6F4">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yellow"/>
                    </w:rPr>
                  </w:pPr>
                </w:p>
              </w:tc>
              <w:tc>
                <w:tcPr>
                  <w:tcW w:w="1161" w:type="pct"/>
                  <w:vAlign w:val="center"/>
                </w:tcPr>
                <w:p w14:paraId="79F5F65E">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供汽系统</w:t>
                  </w:r>
                </w:p>
              </w:tc>
              <w:tc>
                <w:tcPr>
                  <w:tcW w:w="1745" w:type="pct"/>
                  <w:tcBorders>
                    <w:right w:val="single" w:color="auto" w:sz="4" w:space="0"/>
                  </w:tcBorders>
                  <w:vAlign w:val="center"/>
                </w:tcPr>
                <w:p w14:paraId="5F828310">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来源于淄博鑫绿源生物化工有限公司，蒸汽用量为300t/a</w:t>
                  </w:r>
                </w:p>
              </w:tc>
              <w:tc>
                <w:tcPr>
                  <w:tcW w:w="1144" w:type="pct"/>
                  <w:tcBorders>
                    <w:right w:val="single" w:color="auto" w:sz="4" w:space="0"/>
                  </w:tcBorders>
                  <w:vAlign w:val="center"/>
                </w:tcPr>
                <w:p w14:paraId="20FFC49E">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color w:val="auto"/>
                      <w:sz w:val="18"/>
                      <w:szCs w:val="18"/>
                      <w:highlight w:val="none"/>
                    </w:rPr>
                  </w:pPr>
                </w:p>
              </w:tc>
            </w:tr>
            <w:tr w14:paraId="3453733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8" w:type="pct"/>
                  <w:vMerge w:val="continue"/>
                  <w:vAlign w:val="center"/>
                </w:tcPr>
                <w:p w14:paraId="57451F36">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yellow"/>
                    </w:rPr>
                  </w:pPr>
                </w:p>
              </w:tc>
              <w:tc>
                <w:tcPr>
                  <w:tcW w:w="1161" w:type="pct"/>
                  <w:vAlign w:val="center"/>
                </w:tcPr>
                <w:p w14:paraId="26C5235E">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供电系统</w:t>
                  </w:r>
                </w:p>
              </w:tc>
              <w:tc>
                <w:tcPr>
                  <w:tcW w:w="1745" w:type="pct"/>
                  <w:tcBorders>
                    <w:right w:val="single" w:color="auto" w:sz="4" w:space="0"/>
                  </w:tcBorders>
                  <w:vAlign w:val="center"/>
                </w:tcPr>
                <w:p w14:paraId="029DB578">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龙泉镇</w:t>
                  </w:r>
                  <w:r>
                    <w:rPr>
                      <w:rFonts w:hint="default" w:ascii="Times New Roman" w:hAnsi="Times New Roman" w:cs="Times New Roman"/>
                      <w:color w:val="auto"/>
                      <w:sz w:val="18"/>
                      <w:szCs w:val="18"/>
                      <w:highlight w:val="none"/>
                      <w:lang w:eastAsia="zh-CN"/>
                    </w:rPr>
                    <w:t>供电所，</w:t>
                  </w:r>
                  <w:r>
                    <w:rPr>
                      <w:rFonts w:hint="default" w:ascii="Times New Roman" w:hAnsi="Times New Roman" w:cs="Times New Roman"/>
                      <w:bCs/>
                      <w:color w:val="auto"/>
                      <w:sz w:val="18"/>
                      <w:szCs w:val="18"/>
                      <w:highlight w:val="none"/>
                      <w:lang w:val="en-US" w:eastAsia="zh-CN"/>
                    </w:rPr>
                    <w:t>用电量</w:t>
                  </w:r>
                  <w:r>
                    <w:rPr>
                      <w:rFonts w:hint="eastAsia" w:cs="Times New Roman"/>
                      <w:bCs/>
                      <w:color w:val="auto"/>
                      <w:sz w:val="18"/>
                      <w:szCs w:val="18"/>
                      <w:highlight w:val="none"/>
                      <w:lang w:val="en-US" w:eastAsia="zh-CN"/>
                    </w:rPr>
                    <w:t>80</w:t>
                  </w:r>
                  <w:r>
                    <w:rPr>
                      <w:rFonts w:hint="default" w:ascii="Times New Roman" w:hAnsi="Times New Roman" w:cs="Times New Roman"/>
                      <w:bCs/>
                      <w:color w:val="auto"/>
                      <w:sz w:val="18"/>
                      <w:szCs w:val="18"/>
                      <w:highlight w:val="none"/>
                    </w:rPr>
                    <w:t>万kWh/a</w:t>
                  </w:r>
                </w:p>
              </w:tc>
              <w:tc>
                <w:tcPr>
                  <w:tcW w:w="1144" w:type="pct"/>
                  <w:tcBorders>
                    <w:right w:val="single" w:color="auto" w:sz="4" w:space="0"/>
                  </w:tcBorders>
                  <w:vAlign w:val="center"/>
                </w:tcPr>
                <w:p w14:paraId="5E7AA65F">
                  <w:pPr>
                    <w:keepNext w:val="0"/>
                    <w:keepLines w:val="0"/>
                    <w:pageBreakBefore w:val="0"/>
                    <w:widowControl w:val="0"/>
                    <w:kinsoku/>
                    <w:wordWrap/>
                    <w:overflowPunct/>
                    <w:topLinePunct w:val="0"/>
                    <w:autoSpaceDE/>
                    <w:autoSpaceDN/>
                    <w:bidi w:val="0"/>
                    <w:adjustRightInd w:val="0"/>
                    <w:snapToGrid w:val="0"/>
                    <w:ind w:left="0" w:lef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3494FC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8" w:type="pct"/>
                  <w:vMerge w:val="restart"/>
                  <w:vAlign w:val="center"/>
                </w:tcPr>
                <w:p w14:paraId="1DCB4D75">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环保工程</w:t>
                  </w:r>
                </w:p>
              </w:tc>
              <w:tc>
                <w:tcPr>
                  <w:tcW w:w="1161" w:type="pct"/>
                  <w:vAlign w:val="center"/>
                </w:tcPr>
                <w:p w14:paraId="125A6850">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噪声处理控制</w:t>
                  </w:r>
                </w:p>
              </w:tc>
              <w:tc>
                <w:tcPr>
                  <w:tcW w:w="1745" w:type="pct"/>
                  <w:tcBorders>
                    <w:right w:val="single" w:color="auto" w:sz="4" w:space="0"/>
                  </w:tcBorders>
                  <w:vAlign w:val="center"/>
                </w:tcPr>
                <w:p w14:paraId="04640F34">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减振、隔声</w:t>
                  </w:r>
                </w:p>
              </w:tc>
              <w:tc>
                <w:tcPr>
                  <w:tcW w:w="1144" w:type="pct"/>
                  <w:tcBorders>
                    <w:right w:val="single" w:color="auto" w:sz="4" w:space="0"/>
                  </w:tcBorders>
                  <w:vAlign w:val="center"/>
                </w:tcPr>
                <w:p w14:paraId="59C368D9">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0DA0ED5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8" w:type="pct"/>
                  <w:vMerge w:val="continue"/>
                  <w:vAlign w:val="center"/>
                </w:tcPr>
                <w:p w14:paraId="418FAEBA">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none"/>
                    </w:rPr>
                  </w:pPr>
                </w:p>
              </w:tc>
              <w:tc>
                <w:tcPr>
                  <w:tcW w:w="1161" w:type="pct"/>
                  <w:vAlign w:val="center"/>
                </w:tcPr>
                <w:p w14:paraId="4C28D325">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废水处理控制</w:t>
                  </w:r>
                </w:p>
              </w:tc>
              <w:tc>
                <w:tcPr>
                  <w:tcW w:w="1745" w:type="pct"/>
                  <w:tcBorders>
                    <w:right w:val="single" w:color="auto" w:sz="4" w:space="0"/>
                  </w:tcBorders>
                  <w:vAlign w:val="center"/>
                </w:tcPr>
                <w:p w14:paraId="330E2FD8">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val="en-US" w:eastAsia="zh-CN"/>
                    </w:rPr>
                    <w:t>生活污水经化粪池暂存后由环卫部门定期清运，</w:t>
                  </w:r>
                  <w:r>
                    <w:rPr>
                      <w:rFonts w:hint="default" w:ascii="Times New Roman" w:hAnsi="Times New Roman" w:eastAsia="宋体" w:cs="Times New Roman"/>
                      <w:color w:val="auto"/>
                      <w:sz w:val="18"/>
                      <w:szCs w:val="18"/>
                      <w:highlight w:val="none"/>
                      <w:lang w:eastAsia="zh-CN"/>
                    </w:rPr>
                    <w:t>蒸汽冷凝水、蒸发冷凝水回用于原料溶解用水、酸雾吸收塔用水。离心废水、酸雾吸收废水经厂内</w:t>
                  </w:r>
                  <w:r>
                    <w:rPr>
                      <w:rFonts w:hint="default" w:ascii="Times New Roman" w:hAnsi="Times New Roman" w:eastAsia="宋体" w:cs="Times New Roman"/>
                      <w:color w:val="auto"/>
                      <w:sz w:val="18"/>
                      <w:szCs w:val="18"/>
                      <w:highlight w:val="none"/>
                      <w:lang w:val="en-US" w:eastAsia="zh-CN"/>
                    </w:rPr>
                    <w:t>污水处理站中和、多效蒸发器蒸发出来的蒸汽经冷凝后回用于预热分离用水和地面清扫用水，不外排</w:t>
                  </w:r>
                </w:p>
              </w:tc>
              <w:tc>
                <w:tcPr>
                  <w:tcW w:w="1144" w:type="pct"/>
                  <w:tcBorders>
                    <w:right w:val="single" w:color="auto" w:sz="4" w:space="0"/>
                  </w:tcBorders>
                  <w:vAlign w:val="center"/>
                </w:tcPr>
                <w:p w14:paraId="63FAE7E5">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66DFA63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8" w:type="pct"/>
                  <w:vMerge w:val="continue"/>
                  <w:vAlign w:val="center"/>
                </w:tcPr>
                <w:p w14:paraId="155E1917">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none"/>
                    </w:rPr>
                  </w:pPr>
                </w:p>
              </w:tc>
              <w:tc>
                <w:tcPr>
                  <w:tcW w:w="1161" w:type="pct"/>
                  <w:vAlign w:val="center"/>
                </w:tcPr>
                <w:p w14:paraId="701CE3D3">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固废处理控制</w:t>
                  </w:r>
                </w:p>
              </w:tc>
              <w:tc>
                <w:tcPr>
                  <w:tcW w:w="1745" w:type="pct"/>
                  <w:tcBorders>
                    <w:right w:val="single" w:color="auto" w:sz="4" w:space="0"/>
                  </w:tcBorders>
                  <w:vAlign w:val="center"/>
                </w:tcPr>
                <w:p w14:paraId="7D76E1CA">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分类收集、妥善储存、防渗的固废堆场</w:t>
                  </w:r>
                </w:p>
              </w:tc>
              <w:tc>
                <w:tcPr>
                  <w:tcW w:w="1144" w:type="pct"/>
                  <w:tcBorders>
                    <w:right w:val="single" w:color="auto" w:sz="4" w:space="0"/>
                  </w:tcBorders>
                  <w:vAlign w:val="center"/>
                </w:tcPr>
                <w:p w14:paraId="49E12680">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r>
            <w:tr w14:paraId="33B0EB3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51" w:type="dxa"/>
                  <w:bottom w:w="0" w:type="dxa"/>
                  <w:right w:w="51" w:type="dxa"/>
                </w:tblCellMar>
              </w:tblPrEx>
              <w:trPr>
                <w:trHeight w:val="437" w:hRule="atLeast"/>
                <w:jc w:val="center"/>
              </w:trPr>
              <w:tc>
                <w:tcPr>
                  <w:tcW w:w="948" w:type="pct"/>
                  <w:vMerge w:val="continue"/>
                  <w:vAlign w:val="center"/>
                </w:tcPr>
                <w:p w14:paraId="4B8DA270">
                  <w:pPr>
                    <w:pStyle w:val="33"/>
                    <w:keepNext w:val="0"/>
                    <w:keepLines w:val="0"/>
                    <w:pageBreakBefore w:val="0"/>
                    <w:widowControl w:val="0"/>
                    <w:kinsoku/>
                    <w:wordWrap/>
                    <w:overflowPunct/>
                    <w:topLinePunct w:val="0"/>
                    <w:autoSpaceDE/>
                    <w:autoSpaceDN/>
                    <w:bidi w:val="0"/>
                    <w:adjustRightInd w:val="0"/>
                    <w:snapToGrid w:val="0"/>
                    <w:spacing w:after="0"/>
                    <w:ind w:left="59" w:leftChars="0" w:hanging="59" w:hangingChars="33"/>
                    <w:jc w:val="center"/>
                    <w:textAlignment w:val="auto"/>
                    <w:rPr>
                      <w:rFonts w:hint="default" w:ascii="Times New Roman" w:hAnsi="Times New Roman" w:cs="Times New Roman"/>
                      <w:color w:val="auto"/>
                      <w:sz w:val="18"/>
                      <w:szCs w:val="18"/>
                      <w:highlight w:val="none"/>
                    </w:rPr>
                  </w:pPr>
                </w:p>
              </w:tc>
              <w:tc>
                <w:tcPr>
                  <w:tcW w:w="1161" w:type="pct"/>
                  <w:vAlign w:val="center"/>
                </w:tcPr>
                <w:p w14:paraId="007DD0D9">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废气处理控制</w:t>
                  </w:r>
                </w:p>
              </w:tc>
              <w:tc>
                <w:tcPr>
                  <w:tcW w:w="1745" w:type="pct"/>
                  <w:tcBorders>
                    <w:right w:val="single" w:color="auto" w:sz="4" w:space="0"/>
                  </w:tcBorders>
                  <w:vAlign w:val="center"/>
                </w:tcPr>
                <w:p w14:paraId="11278971">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溶解、定容、萃取、预热分离、二次萃取、二次预热分离、蒸发结晶、离心工序产生的废气经管道收集，板框压滤、精密过滤、包装工序产生的废气经集气罩收集，</w:t>
                  </w:r>
                  <w:r>
                    <w:rPr>
                      <w:rFonts w:hint="eastAsia" w:cs="Times New Roman"/>
                      <w:color w:val="auto"/>
                      <w:sz w:val="18"/>
                      <w:szCs w:val="18"/>
                      <w:highlight w:val="none"/>
                      <w:lang w:val="en-US" w:eastAsia="zh-CN"/>
                    </w:rPr>
                    <w:t>水喷淋+酸雾吸收塔+除雾器+二级活性炭吸附装置</w:t>
                  </w:r>
                  <w:r>
                    <w:rPr>
                      <w:rFonts w:hint="default" w:ascii="Times New Roman" w:hAnsi="Times New Roman" w:cs="Times New Roman"/>
                      <w:color w:val="auto"/>
                      <w:sz w:val="18"/>
                      <w:szCs w:val="18"/>
                      <w:highlight w:val="none"/>
                      <w:lang w:val="en-US" w:eastAsia="zh-CN"/>
                    </w:rPr>
                    <w:t>处理后由15m高排气筒（P1）有组织排放</w:t>
                  </w:r>
                  <w:r>
                    <w:rPr>
                      <w:rFonts w:hint="default" w:ascii="Times New Roman" w:hAnsi="Times New Roman" w:cs="Times New Roman"/>
                      <w:color w:val="auto"/>
                      <w:sz w:val="18"/>
                      <w:szCs w:val="18"/>
                      <w:highlight w:val="none"/>
                    </w:rPr>
                    <w:t>。</w:t>
                  </w:r>
                </w:p>
              </w:tc>
              <w:tc>
                <w:tcPr>
                  <w:tcW w:w="1144" w:type="pct"/>
                  <w:tcBorders>
                    <w:right w:val="single" w:color="auto" w:sz="4" w:space="0"/>
                  </w:tcBorders>
                  <w:vAlign w:val="center"/>
                </w:tcPr>
                <w:p w14:paraId="37B460A9">
                  <w:pPr>
                    <w:pStyle w:val="33"/>
                    <w:keepNext w:val="0"/>
                    <w:keepLines w:val="0"/>
                    <w:pageBreakBefore w:val="0"/>
                    <w:widowControl w:val="0"/>
                    <w:kinsoku/>
                    <w:wordWrap/>
                    <w:overflowPunct/>
                    <w:topLinePunct w:val="0"/>
                    <w:autoSpaceDE/>
                    <w:autoSpaceDN/>
                    <w:bidi w:val="0"/>
                    <w:adjustRightInd w:val="0"/>
                    <w:snapToGrid w:val="0"/>
                    <w:spacing w:after="0"/>
                    <w:ind w:left="34" w:leftChars="0" w:hanging="34" w:hangingChars="19"/>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新增</w:t>
                  </w:r>
                </w:p>
              </w:tc>
            </w:tr>
          </w:tbl>
          <w:p w14:paraId="17A5746C">
            <w:pPr>
              <w:spacing w:line="360" w:lineRule="auto"/>
              <w:ind w:firstLine="422" w:firstLineChars="200"/>
              <w:rPr>
                <w:rFonts w:hint="default" w:ascii="Times New Roman" w:hAnsi="Times New Roman" w:cs="Times New Roman"/>
                <w:color w:val="auto"/>
                <w:szCs w:val="21"/>
                <w:highlight w:val="none"/>
              </w:rPr>
            </w:pPr>
            <w:r>
              <w:rPr>
                <w:rFonts w:hint="default" w:ascii="Times New Roman" w:hAnsi="Times New Roman" w:eastAsia="宋体" w:cs="Times New Roman"/>
                <w:b/>
                <w:bCs/>
                <w:color w:val="auto"/>
                <w:szCs w:val="21"/>
                <w:highlight w:val="none"/>
              </w:rPr>
              <w:t>6、工程总投资及环保投资：</w:t>
            </w:r>
            <w:r>
              <w:rPr>
                <w:rFonts w:hint="default" w:ascii="Times New Roman" w:hAnsi="Times New Roman" w:eastAsia="宋体" w:cs="Times New Roman"/>
                <w:color w:val="auto"/>
                <w:szCs w:val="21"/>
                <w:highlight w:val="none"/>
                <w:lang w:val="en-US" w:eastAsia="zh-CN"/>
              </w:rPr>
              <w:t>本</w:t>
            </w:r>
            <w:r>
              <w:rPr>
                <w:rFonts w:hint="default" w:ascii="Times New Roman" w:hAnsi="Times New Roman" w:eastAsia="宋体" w:cs="Times New Roman"/>
                <w:color w:val="auto"/>
                <w:szCs w:val="21"/>
                <w:highlight w:val="none"/>
              </w:rPr>
              <w:t>项</w:t>
            </w:r>
            <w:r>
              <w:rPr>
                <w:rFonts w:hint="default" w:ascii="Times New Roman" w:hAnsi="Times New Roman" w:cs="Times New Roman"/>
                <w:color w:val="auto"/>
                <w:szCs w:val="21"/>
                <w:highlight w:val="none"/>
              </w:rPr>
              <w:t>目投资</w:t>
            </w:r>
            <w:r>
              <w:rPr>
                <w:rFonts w:hint="eastAsia" w:cs="Times New Roman"/>
                <w:color w:val="auto"/>
                <w:szCs w:val="21"/>
                <w:highlight w:val="none"/>
                <w:lang w:val="en-US" w:eastAsia="zh-CN"/>
              </w:rPr>
              <w:t>2600</w:t>
            </w:r>
            <w:r>
              <w:rPr>
                <w:rFonts w:hint="default" w:ascii="Times New Roman" w:hAnsi="Times New Roman" w:cs="Times New Roman"/>
                <w:color w:val="auto"/>
                <w:szCs w:val="21"/>
                <w:highlight w:val="none"/>
              </w:rPr>
              <w:t>万元，其中环保投资</w:t>
            </w:r>
            <w:r>
              <w:rPr>
                <w:rFonts w:hint="eastAsia" w:cs="Times New Roman"/>
                <w:color w:val="auto"/>
                <w:szCs w:val="21"/>
                <w:highlight w:val="none"/>
                <w:lang w:val="en-US" w:eastAsia="zh-CN"/>
              </w:rPr>
              <w:t>100</w:t>
            </w:r>
            <w:r>
              <w:rPr>
                <w:rFonts w:hint="default" w:ascii="Times New Roman" w:hAnsi="Times New Roman" w:cs="Times New Roman"/>
                <w:color w:val="auto"/>
                <w:szCs w:val="21"/>
                <w:highlight w:val="none"/>
              </w:rPr>
              <w:t>万元，占总投资的</w:t>
            </w:r>
            <w:r>
              <w:rPr>
                <w:rFonts w:hint="eastAsia" w:cs="Times New Roman"/>
                <w:color w:val="auto"/>
                <w:szCs w:val="21"/>
                <w:highlight w:val="none"/>
                <w:lang w:val="en-US" w:eastAsia="zh-CN"/>
              </w:rPr>
              <w:t>3.8</w:t>
            </w:r>
            <w:r>
              <w:rPr>
                <w:rFonts w:hint="default" w:ascii="Times New Roman" w:hAnsi="Times New Roman" w:cs="Times New Roman"/>
                <w:color w:val="auto"/>
                <w:szCs w:val="21"/>
                <w:highlight w:val="none"/>
              </w:rPr>
              <w:t>%。</w:t>
            </w:r>
          </w:p>
          <w:p w14:paraId="2B0AB38C">
            <w:pPr>
              <w:spacing w:line="360" w:lineRule="auto"/>
              <w:ind w:firstLine="422" w:firstLineChars="200"/>
              <w:rPr>
                <w:rFonts w:hint="default" w:ascii="Times New Roman" w:hAnsi="Times New Roman" w:cs="Times New Roman"/>
                <w:color w:val="auto"/>
                <w:kern w:val="0"/>
                <w:szCs w:val="21"/>
                <w:highlight w:val="none"/>
              </w:rPr>
            </w:pPr>
            <w:r>
              <w:rPr>
                <w:rFonts w:hint="default" w:ascii="Times New Roman" w:hAnsi="Times New Roman" w:eastAsia="宋体" w:cs="Times New Roman"/>
                <w:b/>
                <w:bCs/>
                <w:color w:val="auto"/>
                <w:szCs w:val="21"/>
                <w:highlight w:val="none"/>
              </w:rPr>
              <w:t>7、劳动制度及定员：</w:t>
            </w:r>
            <w:r>
              <w:rPr>
                <w:rFonts w:hint="default" w:ascii="Times New Roman" w:hAnsi="Times New Roman" w:eastAsia="宋体" w:cs="Times New Roman"/>
                <w:color w:val="auto"/>
                <w:kern w:val="0"/>
                <w:szCs w:val="21"/>
                <w:highlight w:val="none"/>
                <w:lang w:eastAsia="zh-CN"/>
              </w:rPr>
              <w:t>本项目</w:t>
            </w:r>
            <w:r>
              <w:rPr>
                <w:rFonts w:hint="default" w:ascii="Times New Roman" w:hAnsi="Times New Roman" w:eastAsia="宋体" w:cs="Times New Roman"/>
                <w:color w:val="auto"/>
                <w:kern w:val="0"/>
                <w:szCs w:val="21"/>
                <w:highlight w:val="none"/>
              </w:rPr>
              <w:t>劳</w:t>
            </w:r>
            <w:r>
              <w:rPr>
                <w:rFonts w:hint="default" w:ascii="Times New Roman" w:hAnsi="Times New Roman" w:cs="Times New Roman"/>
                <w:color w:val="auto"/>
                <w:kern w:val="0"/>
                <w:szCs w:val="21"/>
                <w:highlight w:val="none"/>
              </w:rPr>
              <w:t>动定员为</w:t>
            </w:r>
            <w:r>
              <w:rPr>
                <w:rFonts w:hint="eastAsia" w:cs="Times New Roman"/>
                <w:color w:val="auto"/>
                <w:kern w:val="0"/>
                <w:szCs w:val="21"/>
                <w:highlight w:val="none"/>
                <w:lang w:val="en-US" w:eastAsia="zh-CN"/>
              </w:rPr>
              <w:t>20</w:t>
            </w:r>
            <w:r>
              <w:rPr>
                <w:rFonts w:hint="default" w:ascii="Times New Roman" w:hAnsi="Times New Roman" w:cs="Times New Roman"/>
                <w:color w:val="auto"/>
                <w:kern w:val="0"/>
                <w:szCs w:val="21"/>
                <w:highlight w:val="none"/>
              </w:rPr>
              <w:t>人，项目年运行</w:t>
            </w:r>
            <w:r>
              <w:rPr>
                <w:rFonts w:hint="default" w:ascii="Times New Roman" w:hAnsi="Times New Roman" w:cs="Times New Roman"/>
                <w:color w:val="auto"/>
                <w:kern w:val="0"/>
                <w:szCs w:val="21"/>
                <w:highlight w:val="none"/>
                <w:lang w:val="en-US" w:eastAsia="zh-CN"/>
              </w:rPr>
              <w:t>300</w:t>
            </w:r>
            <w:r>
              <w:rPr>
                <w:rFonts w:hint="default" w:ascii="Times New Roman" w:hAnsi="Times New Roman" w:cs="Times New Roman"/>
                <w:color w:val="auto"/>
                <w:kern w:val="0"/>
                <w:szCs w:val="21"/>
                <w:highlight w:val="none"/>
              </w:rPr>
              <w:t>天，</w:t>
            </w:r>
            <w:r>
              <w:rPr>
                <w:rFonts w:hint="eastAsia" w:cs="Times New Roman"/>
                <w:color w:val="auto"/>
                <w:kern w:val="0"/>
                <w:szCs w:val="21"/>
                <w:highlight w:val="none"/>
                <w:lang w:val="en-US" w:eastAsia="zh-CN"/>
              </w:rPr>
              <w:t>三班倒，</w:t>
            </w:r>
            <w:r>
              <w:rPr>
                <w:rFonts w:hint="default" w:ascii="Times New Roman" w:hAnsi="Times New Roman" w:cs="Times New Roman"/>
                <w:color w:val="auto"/>
                <w:kern w:val="0"/>
                <w:szCs w:val="21"/>
                <w:highlight w:val="none"/>
              </w:rPr>
              <w:t>8小时工作制。</w:t>
            </w:r>
          </w:p>
          <w:p w14:paraId="26002A9E">
            <w:pPr>
              <w:spacing w:line="360" w:lineRule="auto"/>
              <w:ind w:firstLine="422" w:firstLineChars="200"/>
              <w:jc w:val="left"/>
              <w:rPr>
                <w:rFonts w:hint="default" w:ascii="Times New Roman" w:hAnsi="Times New Roman" w:cs="Times New Roman"/>
                <w:color w:val="auto"/>
                <w:szCs w:val="21"/>
                <w:highlight w:val="none"/>
              </w:rPr>
            </w:pPr>
            <w:r>
              <w:rPr>
                <w:rFonts w:hint="default" w:ascii="Times New Roman" w:hAnsi="Times New Roman" w:eastAsia="宋体" w:cs="Times New Roman"/>
                <w:b/>
                <w:bCs/>
                <w:color w:val="auto"/>
                <w:szCs w:val="21"/>
                <w:highlight w:val="none"/>
              </w:rPr>
              <w:t>8、生产日期：</w:t>
            </w:r>
            <w:r>
              <w:rPr>
                <w:rFonts w:hint="default" w:ascii="Times New Roman" w:hAnsi="Times New Roman" w:cs="Times New Roman"/>
                <w:color w:val="auto"/>
                <w:kern w:val="0"/>
                <w:szCs w:val="21"/>
                <w:highlight w:val="none"/>
              </w:rPr>
              <w:t>本项目拟于202</w:t>
            </w:r>
            <w:r>
              <w:rPr>
                <w:rFonts w:hint="eastAsia" w:cs="Times New Roman"/>
                <w:color w:val="auto"/>
                <w:kern w:val="0"/>
                <w:szCs w:val="21"/>
                <w:highlight w:val="none"/>
                <w:lang w:val="en-US" w:eastAsia="zh-CN"/>
              </w:rPr>
              <w:t>7</w:t>
            </w:r>
            <w:r>
              <w:rPr>
                <w:rFonts w:hint="default" w:ascii="Times New Roman" w:hAnsi="Times New Roman" w:cs="Times New Roman"/>
                <w:color w:val="auto"/>
                <w:kern w:val="0"/>
                <w:szCs w:val="21"/>
                <w:highlight w:val="none"/>
              </w:rPr>
              <w:t>年</w:t>
            </w:r>
            <w:r>
              <w:rPr>
                <w:rFonts w:hint="eastAsia" w:cs="Times New Roman"/>
                <w:color w:val="auto"/>
                <w:kern w:val="0"/>
                <w:szCs w:val="21"/>
                <w:highlight w:val="none"/>
                <w:lang w:val="en-US" w:eastAsia="zh-CN"/>
              </w:rPr>
              <w:t>1</w:t>
            </w:r>
            <w:r>
              <w:rPr>
                <w:rFonts w:hint="default" w:ascii="Times New Roman" w:hAnsi="Times New Roman" w:cs="Times New Roman"/>
                <w:color w:val="auto"/>
                <w:kern w:val="0"/>
                <w:szCs w:val="21"/>
                <w:highlight w:val="none"/>
              </w:rPr>
              <w:t>月投产。</w:t>
            </w:r>
          </w:p>
          <w:p w14:paraId="083F7E8D">
            <w:pPr>
              <w:spacing w:line="360" w:lineRule="auto"/>
              <w:ind w:firstLine="422" w:firstLineChars="200"/>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9、原辅材料及能源消耗</w:t>
            </w:r>
          </w:p>
          <w:p w14:paraId="14BC937D">
            <w:pPr>
              <w:pStyle w:val="82"/>
              <w:ind w:left="0" w:leftChars="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r>
              <w:rPr>
                <w:rFonts w:hint="default" w:ascii="Times New Roman" w:hAnsi="Times New Roman" w:eastAsia="宋体" w:cs="Times New Roman"/>
                <w:snapToGrid w:val="0"/>
                <w:color w:val="auto"/>
                <w:kern w:val="0"/>
                <w:sz w:val="21"/>
                <w:szCs w:val="21"/>
                <w:highlight w:val="none"/>
                <w:lang w:val="en-US" w:eastAsia="zh-CN" w:bidi="ar-SA"/>
              </w:rPr>
              <w:t>主要原辅材料及能源消耗用量</w:t>
            </w:r>
          </w:p>
          <w:p w14:paraId="6AC3465F">
            <w:pPr>
              <w:spacing w:line="360" w:lineRule="auto"/>
              <w:ind w:firstLine="420" w:firstLineChars="200"/>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本项目主要原辅材料及能源消耗，具体情况见表2-</w:t>
            </w:r>
            <w:r>
              <w:rPr>
                <w:rFonts w:hint="eastAsia" w:cs="Times New Roman"/>
                <w:snapToGrid w:val="0"/>
                <w:color w:val="auto"/>
                <w:kern w:val="0"/>
                <w:szCs w:val="21"/>
                <w:highlight w:val="none"/>
                <w:lang w:val="en-US" w:eastAsia="zh-CN"/>
              </w:rPr>
              <w:t>4</w:t>
            </w:r>
            <w:r>
              <w:rPr>
                <w:rFonts w:hint="default" w:ascii="Times New Roman" w:hAnsi="Times New Roman" w:cs="Times New Roman"/>
                <w:snapToGrid w:val="0"/>
                <w:color w:val="auto"/>
                <w:kern w:val="0"/>
                <w:szCs w:val="21"/>
                <w:highlight w:val="none"/>
              </w:rPr>
              <w:t>。</w:t>
            </w:r>
          </w:p>
          <w:p w14:paraId="5D7B7FD3">
            <w:pPr>
              <w:pStyle w:val="82"/>
              <w:spacing w:after="0"/>
              <w:ind w:left="0" w:lef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表2-</w:t>
            </w:r>
            <w:r>
              <w:rPr>
                <w:rFonts w:hint="eastAsia" w:cs="Times New Roman"/>
                <w:b/>
                <w:bCs/>
                <w:color w:val="auto"/>
                <w:sz w:val="21"/>
                <w:szCs w:val="21"/>
                <w:highlight w:val="none"/>
                <w:lang w:val="en-US" w:eastAsia="zh-CN"/>
              </w:rPr>
              <w:t>4</w:t>
            </w:r>
            <w:r>
              <w:rPr>
                <w:rFonts w:hint="default" w:ascii="Times New Roman" w:hAnsi="Times New Roman" w:eastAsia="宋体" w:cs="Times New Roman"/>
                <w:b/>
                <w:bCs/>
                <w:color w:val="auto"/>
                <w:sz w:val="21"/>
                <w:szCs w:val="21"/>
                <w:highlight w:val="none"/>
              </w:rPr>
              <w:t>主要原辅料及能源消耗</w:t>
            </w:r>
          </w:p>
          <w:tbl>
            <w:tblPr>
              <w:tblStyle w:val="83"/>
              <w:tblW w:w="4848"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637"/>
              <w:gridCol w:w="1827"/>
              <w:gridCol w:w="1216"/>
              <w:gridCol w:w="1255"/>
              <w:gridCol w:w="3214"/>
            </w:tblGrid>
            <w:tr w14:paraId="2A1F3FA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391" w:type="pct"/>
                  <w:noWrap w:val="0"/>
                  <w:vAlign w:val="center"/>
                </w:tcPr>
                <w:p w14:paraId="43689C84">
                  <w:pPr>
                    <w:adjustRightInd w:val="0"/>
                    <w:snapToGrid w:val="0"/>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序号</w:t>
                  </w:r>
                </w:p>
              </w:tc>
              <w:tc>
                <w:tcPr>
                  <w:tcW w:w="1121" w:type="pct"/>
                  <w:noWrap w:val="0"/>
                  <w:vAlign w:val="center"/>
                </w:tcPr>
                <w:p w14:paraId="5E8E7091">
                  <w:pPr>
                    <w:adjustRightInd w:val="0"/>
                    <w:snapToGrid w:val="0"/>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名称</w:t>
                  </w:r>
                </w:p>
              </w:tc>
              <w:tc>
                <w:tcPr>
                  <w:tcW w:w="746" w:type="pct"/>
                  <w:noWrap w:val="0"/>
                  <w:vAlign w:val="center"/>
                </w:tcPr>
                <w:p w14:paraId="122D8C41">
                  <w:pPr>
                    <w:adjustRightInd w:val="0"/>
                    <w:snapToGrid w:val="0"/>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单位</w:t>
                  </w:r>
                </w:p>
              </w:tc>
              <w:tc>
                <w:tcPr>
                  <w:tcW w:w="770" w:type="pct"/>
                  <w:noWrap w:val="0"/>
                  <w:vAlign w:val="center"/>
                </w:tcPr>
                <w:p w14:paraId="5C1A76C5">
                  <w:pPr>
                    <w:adjustRightInd w:val="0"/>
                    <w:snapToGrid w:val="0"/>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项目用量</w:t>
                  </w:r>
                </w:p>
              </w:tc>
              <w:tc>
                <w:tcPr>
                  <w:tcW w:w="1971" w:type="pct"/>
                  <w:noWrap w:val="0"/>
                  <w:vAlign w:val="center"/>
                </w:tcPr>
                <w:p w14:paraId="20D8B826">
                  <w:pPr>
                    <w:adjustRightInd w:val="0"/>
                    <w:snapToGrid w:val="0"/>
                    <w:contextualSpacing/>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备注</w:t>
                  </w:r>
                </w:p>
              </w:tc>
            </w:tr>
            <w:tr w14:paraId="29A4373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noWrap w:val="0"/>
                  <w:vAlign w:val="center"/>
                </w:tcPr>
                <w:p w14:paraId="4B8483DA">
                  <w:pPr>
                    <w:pStyle w:val="43"/>
                    <w:adjustRightInd w:val="0"/>
                    <w:snapToGrid w:val="0"/>
                    <w:jc w:val="center"/>
                    <w:rPr>
                      <w:rFonts w:hint="default" w:ascii="Times New Roman" w:hAnsi="Times New Roman" w:cs="Times New Roman"/>
                      <w:bCs/>
                      <w:color w:val="auto"/>
                      <w:sz w:val="18"/>
                      <w:szCs w:val="18"/>
                      <w:highlight w:val="none"/>
                    </w:rPr>
                  </w:pPr>
                  <w:r>
                    <w:rPr>
                      <w:rFonts w:hint="default" w:ascii="Times New Roman" w:hAnsi="Times New Roman" w:cs="Times New Roman"/>
                      <w:color w:val="auto"/>
                      <w:sz w:val="18"/>
                      <w:szCs w:val="18"/>
                      <w:highlight w:val="none"/>
                    </w:rPr>
                    <w:t>1</w:t>
                  </w:r>
                </w:p>
              </w:tc>
              <w:tc>
                <w:tcPr>
                  <w:tcW w:w="1121" w:type="pct"/>
                  <w:shd w:val="clear" w:color="auto" w:fill="auto"/>
                  <w:noWrap w:val="0"/>
                  <w:vAlign w:val="center"/>
                </w:tcPr>
                <w:p w14:paraId="66F14956">
                  <w:pPr>
                    <w:pStyle w:val="950"/>
                    <w:spacing w:after="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工业级氧氯化锆</w:t>
                  </w:r>
                </w:p>
              </w:tc>
              <w:tc>
                <w:tcPr>
                  <w:tcW w:w="746" w:type="pct"/>
                  <w:noWrap w:val="0"/>
                  <w:vAlign w:val="center"/>
                </w:tcPr>
                <w:p w14:paraId="0241C927">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t/a</w:t>
                  </w:r>
                </w:p>
              </w:tc>
              <w:tc>
                <w:tcPr>
                  <w:tcW w:w="770" w:type="pct"/>
                  <w:shd w:val="clear" w:color="auto" w:fill="auto"/>
                  <w:noWrap w:val="0"/>
                  <w:vAlign w:val="center"/>
                </w:tcPr>
                <w:p w14:paraId="46DBCCB8">
                  <w:pPr>
                    <w:spacing w:after="0"/>
                    <w:jc w:val="center"/>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2600</w:t>
                  </w:r>
                </w:p>
              </w:tc>
              <w:tc>
                <w:tcPr>
                  <w:tcW w:w="1971" w:type="pct"/>
                  <w:shd w:val="clear" w:color="auto" w:fill="auto"/>
                  <w:noWrap w:val="0"/>
                  <w:vAlign w:val="center"/>
                </w:tcPr>
                <w:p w14:paraId="3A01A7FC">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eastAsiaTheme="minorEastAsia"/>
                      <w:bCs/>
                      <w:color w:val="auto"/>
                      <w:sz w:val="18"/>
                      <w:szCs w:val="18"/>
                      <w:highlight w:val="none"/>
                      <w:lang w:val="en-US" w:eastAsia="zh-CN"/>
                    </w:rPr>
                    <w:t>外购，</w:t>
                  </w:r>
                  <w:r>
                    <w:rPr>
                      <w:rFonts w:hint="eastAsia" w:ascii="Times New Roman" w:hAnsi="Times New Roman" w:eastAsiaTheme="minorEastAsia"/>
                      <w:bCs/>
                      <w:color w:val="auto"/>
                      <w:sz w:val="18"/>
                      <w:szCs w:val="18"/>
                      <w:highlight w:val="none"/>
                      <w:lang w:val="en-US" w:eastAsia="zh-CN"/>
                    </w:rPr>
                    <w:t>吨包</w:t>
                  </w:r>
                  <w:r>
                    <w:rPr>
                      <w:rFonts w:hint="eastAsia" w:ascii="Times New Roman" w:hAnsi="Times New Roman" w:cs="Times New Roman"/>
                      <w:bCs/>
                      <w:color w:val="auto"/>
                      <w:sz w:val="18"/>
                      <w:szCs w:val="18"/>
                      <w:highlight w:val="none"/>
                      <w:lang w:val="en-US" w:eastAsia="zh-CN"/>
                    </w:rPr>
                    <w:t>，粉状</w:t>
                  </w:r>
                </w:p>
              </w:tc>
            </w:tr>
            <w:tr w14:paraId="47CE7A4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noWrap w:val="0"/>
                  <w:vAlign w:val="center"/>
                </w:tcPr>
                <w:p w14:paraId="35EE4ED1">
                  <w:pPr>
                    <w:adjustRightInd w:val="0"/>
                    <w:snapToGrid w:val="0"/>
                    <w:contextualSpacing/>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p>
              </w:tc>
              <w:tc>
                <w:tcPr>
                  <w:tcW w:w="1121" w:type="pct"/>
                  <w:shd w:val="clear" w:color="auto" w:fill="auto"/>
                  <w:noWrap w:val="0"/>
                  <w:vAlign w:val="center"/>
                </w:tcPr>
                <w:p w14:paraId="51036D0E">
                  <w:pPr>
                    <w:pStyle w:val="950"/>
                    <w:spacing w:after="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P204萃取剂</w:t>
                  </w:r>
                </w:p>
              </w:tc>
              <w:tc>
                <w:tcPr>
                  <w:tcW w:w="746" w:type="pct"/>
                  <w:noWrap w:val="0"/>
                  <w:vAlign w:val="center"/>
                </w:tcPr>
                <w:p w14:paraId="24E09DD6">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0" w:type="pct"/>
                  <w:shd w:val="clear" w:color="auto" w:fill="auto"/>
                  <w:noWrap w:val="0"/>
                  <w:vAlign w:val="center"/>
                </w:tcPr>
                <w:p w14:paraId="7F0CB416">
                  <w:pPr>
                    <w:spacing w:after="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250</w:t>
                  </w:r>
                </w:p>
              </w:tc>
              <w:tc>
                <w:tcPr>
                  <w:tcW w:w="1971" w:type="pct"/>
                  <w:shd w:val="clear" w:color="auto" w:fill="auto"/>
                  <w:noWrap w:val="0"/>
                  <w:vAlign w:val="center"/>
                </w:tcPr>
                <w:p w14:paraId="00710969">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eastAsiaTheme="minorEastAsia"/>
                      <w:bCs/>
                      <w:color w:val="auto"/>
                      <w:sz w:val="18"/>
                      <w:szCs w:val="18"/>
                      <w:highlight w:val="none"/>
                      <w:lang w:val="en-US" w:eastAsia="zh-CN"/>
                    </w:rPr>
                    <w:t>外购，</w:t>
                  </w:r>
                  <w:r>
                    <w:rPr>
                      <w:rFonts w:hint="eastAsia" w:eastAsiaTheme="minorEastAsia"/>
                      <w:bCs/>
                      <w:color w:val="auto"/>
                      <w:sz w:val="18"/>
                      <w:szCs w:val="18"/>
                      <w:highlight w:val="none"/>
                      <w:lang w:val="en-US" w:eastAsia="zh-CN"/>
                    </w:rPr>
                    <w:t>吨桶</w:t>
                  </w:r>
                  <w:r>
                    <w:rPr>
                      <w:rFonts w:hint="eastAsia" w:ascii="Times New Roman" w:hAnsi="Times New Roman" w:cs="Times New Roman"/>
                      <w:bCs/>
                      <w:color w:val="auto"/>
                      <w:sz w:val="18"/>
                      <w:szCs w:val="18"/>
                      <w:highlight w:val="none"/>
                      <w:lang w:val="en-US" w:eastAsia="zh-CN"/>
                    </w:rPr>
                    <w:t>，</w:t>
                  </w:r>
                  <w:r>
                    <w:rPr>
                      <w:rFonts w:hint="eastAsia" w:cs="Times New Roman"/>
                      <w:bCs/>
                      <w:color w:val="auto"/>
                      <w:sz w:val="18"/>
                      <w:szCs w:val="18"/>
                      <w:highlight w:val="none"/>
                      <w:lang w:val="en-US" w:eastAsia="zh-CN"/>
                    </w:rPr>
                    <w:t>液态，最大储存量为5t</w:t>
                  </w:r>
                </w:p>
              </w:tc>
            </w:tr>
            <w:tr w14:paraId="039E479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91" w:type="pct"/>
                  <w:shd w:val="clear" w:color="auto" w:fill="auto"/>
                  <w:noWrap w:val="0"/>
                  <w:vAlign w:val="center"/>
                </w:tcPr>
                <w:p w14:paraId="7829F87D">
                  <w:pPr>
                    <w:adjustRightInd w:val="0"/>
                    <w:snapToGrid w:val="0"/>
                    <w:contextualSpacing/>
                    <w:jc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w:t>
                  </w:r>
                </w:p>
              </w:tc>
              <w:tc>
                <w:tcPr>
                  <w:tcW w:w="1121" w:type="pct"/>
                  <w:shd w:val="clear" w:color="auto" w:fill="auto"/>
                  <w:noWrap w:val="0"/>
                  <w:vAlign w:val="center"/>
                </w:tcPr>
                <w:p w14:paraId="021E9159">
                  <w:pPr>
                    <w:pStyle w:val="950"/>
                    <w:spacing w:after="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P507萃取剂</w:t>
                  </w:r>
                </w:p>
              </w:tc>
              <w:tc>
                <w:tcPr>
                  <w:tcW w:w="746" w:type="pct"/>
                  <w:shd w:val="clear" w:color="auto" w:fill="auto"/>
                  <w:noWrap w:val="0"/>
                  <w:vAlign w:val="center"/>
                </w:tcPr>
                <w:p w14:paraId="43EDE3E6">
                  <w:pPr>
                    <w:pStyle w:val="950"/>
                    <w:spacing w:after="0"/>
                    <w:jc w:val="center"/>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0" w:type="pct"/>
                  <w:shd w:val="clear" w:color="auto" w:fill="auto"/>
                  <w:noWrap w:val="0"/>
                  <w:vAlign w:val="center"/>
                </w:tcPr>
                <w:p w14:paraId="02E97C9D">
                  <w:pPr>
                    <w:spacing w:after="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250</w:t>
                  </w:r>
                </w:p>
              </w:tc>
              <w:tc>
                <w:tcPr>
                  <w:tcW w:w="1971" w:type="pct"/>
                  <w:shd w:val="clear" w:color="auto" w:fill="auto"/>
                  <w:noWrap w:val="0"/>
                  <w:vAlign w:val="center"/>
                </w:tcPr>
                <w:p w14:paraId="1CAF0E9A">
                  <w:pPr>
                    <w:adjustRightInd w:val="0"/>
                    <w:snapToGrid w:val="0"/>
                    <w:jc w:val="center"/>
                    <w:rPr>
                      <w:rFonts w:hint="default" w:ascii="Times New Roman" w:hAnsi="Times New Roman" w:cs="Times New Roman"/>
                      <w:color w:val="auto"/>
                      <w:spacing w:val="-2"/>
                      <w:kern w:val="0"/>
                      <w:sz w:val="18"/>
                      <w:szCs w:val="18"/>
                      <w:highlight w:val="none"/>
                    </w:rPr>
                  </w:pPr>
                  <w:r>
                    <w:rPr>
                      <w:rFonts w:hint="default" w:ascii="Times New Roman" w:hAnsi="Times New Roman" w:eastAsiaTheme="minorEastAsia"/>
                      <w:bCs/>
                      <w:color w:val="auto"/>
                      <w:sz w:val="18"/>
                      <w:szCs w:val="18"/>
                      <w:highlight w:val="none"/>
                      <w:lang w:val="en-US" w:eastAsia="zh-CN"/>
                    </w:rPr>
                    <w:t>外购，</w:t>
                  </w:r>
                  <w:r>
                    <w:rPr>
                      <w:rFonts w:hint="eastAsia" w:eastAsiaTheme="minorEastAsia"/>
                      <w:bCs/>
                      <w:color w:val="auto"/>
                      <w:sz w:val="18"/>
                      <w:szCs w:val="18"/>
                      <w:highlight w:val="none"/>
                      <w:lang w:val="en-US" w:eastAsia="zh-CN"/>
                    </w:rPr>
                    <w:t>吨桶</w:t>
                  </w:r>
                  <w:r>
                    <w:rPr>
                      <w:rFonts w:hint="eastAsia" w:ascii="Times New Roman" w:hAnsi="Times New Roman" w:cs="Times New Roman"/>
                      <w:bCs/>
                      <w:color w:val="auto"/>
                      <w:sz w:val="18"/>
                      <w:szCs w:val="18"/>
                      <w:highlight w:val="none"/>
                      <w:lang w:val="en-US" w:eastAsia="zh-CN"/>
                    </w:rPr>
                    <w:t>，</w:t>
                  </w:r>
                  <w:r>
                    <w:rPr>
                      <w:rFonts w:hint="eastAsia" w:cs="Times New Roman"/>
                      <w:bCs/>
                      <w:color w:val="auto"/>
                      <w:sz w:val="18"/>
                      <w:szCs w:val="18"/>
                      <w:highlight w:val="none"/>
                      <w:lang w:val="en-US" w:eastAsia="zh-CN"/>
                    </w:rPr>
                    <w:t>液态，最大储存量为5t</w:t>
                  </w:r>
                </w:p>
              </w:tc>
            </w:tr>
            <w:tr w14:paraId="76DA1B1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91" w:type="pct"/>
                  <w:shd w:val="clear" w:color="auto" w:fill="auto"/>
                  <w:noWrap w:val="0"/>
                  <w:vAlign w:val="center"/>
                </w:tcPr>
                <w:p w14:paraId="5A00DA08">
                  <w:pPr>
                    <w:adjustRightInd w:val="0"/>
                    <w:snapToGrid w:val="0"/>
                    <w:contextualSpacing/>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4</w:t>
                  </w:r>
                </w:p>
              </w:tc>
              <w:tc>
                <w:tcPr>
                  <w:tcW w:w="1121" w:type="pct"/>
                  <w:shd w:val="clear" w:color="auto" w:fill="auto"/>
                  <w:noWrap w:val="0"/>
                  <w:vAlign w:val="center"/>
                </w:tcPr>
                <w:p w14:paraId="4C1F3F74">
                  <w:pPr>
                    <w:pStyle w:val="950"/>
                    <w:spacing w:after="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氢氧化钠</w:t>
                  </w:r>
                </w:p>
              </w:tc>
              <w:tc>
                <w:tcPr>
                  <w:tcW w:w="746" w:type="pct"/>
                  <w:shd w:val="clear" w:color="auto" w:fill="auto"/>
                  <w:noWrap w:val="0"/>
                  <w:vAlign w:val="center"/>
                </w:tcPr>
                <w:p w14:paraId="3962EAA9">
                  <w:pPr>
                    <w:pStyle w:val="950"/>
                    <w:spacing w:after="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0" w:type="pct"/>
                  <w:shd w:val="clear" w:color="auto" w:fill="auto"/>
                  <w:noWrap w:val="0"/>
                  <w:vAlign w:val="center"/>
                </w:tcPr>
                <w:p w14:paraId="044374B2">
                  <w:pPr>
                    <w:spacing w:after="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15.759</w:t>
                  </w:r>
                </w:p>
              </w:tc>
              <w:tc>
                <w:tcPr>
                  <w:tcW w:w="1971" w:type="pct"/>
                  <w:shd w:val="clear" w:color="auto" w:fill="auto"/>
                  <w:noWrap w:val="0"/>
                  <w:vAlign w:val="center"/>
                </w:tcPr>
                <w:p w14:paraId="3145D039">
                  <w:pPr>
                    <w:adjustRightInd w:val="0"/>
                    <w:snapToGrid w:val="0"/>
                    <w:jc w:val="center"/>
                    <w:rPr>
                      <w:rFonts w:hint="default" w:ascii="Times New Roman" w:hAnsi="Times New Roman" w:eastAsiaTheme="minorEastAsia"/>
                      <w:bCs/>
                      <w:color w:val="auto"/>
                      <w:sz w:val="18"/>
                      <w:szCs w:val="18"/>
                      <w:highlight w:val="none"/>
                      <w:lang w:val="en-US" w:eastAsia="zh-CN"/>
                    </w:rPr>
                  </w:pPr>
                  <w:r>
                    <w:rPr>
                      <w:rFonts w:hint="default" w:ascii="Times New Roman" w:hAnsi="Times New Roman" w:eastAsiaTheme="minorEastAsia"/>
                      <w:bCs/>
                      <w:color w:val="auto"/>
                      <w:sz w:val="18"/>
                      <w:szCs w:val="18"/>
                      <w:highlight w:val="none"/>
                      <w:lang w:val="en-US" w:eastAsia="zh-CN"/>
                    </w:rPr>
                    <w:t>外购，</w:t>
                  </w:r>
                  <w:r>
                    <w:rPr>
                      <w:rFonts w:hint="eastAsia" w:ascii="Times New Roman" w:hAnsi="Times New Roman" w:eastAsiaTheme="minorEastAsia"/>
                      <w:bCs/>
                      <w:color w:val="auto"/>
                      <w:sz w:val="18"/>
                      <w:szCs w:val="18"/>
                      <w:highlight w:val="none"/>
                      <w:lang w:val="en-US" w:eastAsia="zh-CN"/>
                    </w:rPr>
                    <w:t>25kg/袋</w:t>
                  </w:r>
                </w:p>
              </w:tc>
            </w:tr>
            <w:tr w14:paraId="2C49E01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91" w:type="pct"/>
                  <w:shd w:val="clear" w:color="auto" w:fill="auto"/>
                  <w:noWrap w:val="0"/>
                  <w:vAlign w:val="center"/>
                </w:tcPr>
                <w:p w14:paraId="46EA3F69">
                  <w:pPr>
                    <w:adjustRightInd w:val="0"/>
                    <w:snapToGrid w:val="0"/>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5</w:t>
                  </w:r>
                </w:p>
              </w:tc>
              <w:tc>
                <w:tcPr>
                  <w:tcW w:w="1121" w:type="pct"/>
                  <w:shd w:val="clear" w:color="auto" w:fill="auto"/>
                  <w:noWrap w:val="0"/>
                  <w:vAlign w:val="center"/>
                </w:tcPr>
                <w:p w14:paraId="70D78ABF">
                  <w:pPr>
                    <w:pStyle w:val="950"/>
                    <w:spacing w:after="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机油</w:t>
                  </w:r>
                </w:p>
              </w:tc>
              <w:tc>
                <w:tcPr>
                  <w:tcW w:w="746" w:type="pct"/>
                  <w:shd w:val="clear" w:color="auto" w:fill="auto"/>
                  <w:noWrap w:val="0"/>
                  <w:vAlign w:val="center"/>
                </w:tcPr>
                <w:p w14:paraId="594EC263">
                  <w:pPr>
                    <w:pStyle w:val="950"/>
                    <w:spacing w:after="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0" w:type="pct"/>
                  <w:shd w:val="clear" w:color="auto" w:fill="auto"/>
                  <w:noWrap w:val="0"/>
                  <w:vAlign w:val="center"/>
                </w:tcPr>
                <w:p w14:paraId="52E39647">
                  <w:pPr>
                    <w:pStyle w:val="950"/>
                    <w:spacing w:after="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2</w:t>
                  </w:r>
                </w:p>
              </w:tc>
              <w:tc>
                <w:tcPr>
                  <w:tcW w:w="1971" w:type="pct"/>
                  <w:shd w:val="clear" w:color="auto" w:fill="auto"/>
                  <w:noWrap w:val="0"/>
                  <w:vAlign w:val="center"/>
                </w:tcPr>
                <w:p w14:paraId="196B7903">
                  <w:pPr>
                    <w:adjustRightInd w:val="0"/>
                    <w:snapToGrid w:val="0"/>
                    <w:jc w:val="center"/>
                    <w:rPr>
                      <w:rFonts w:hint="default" w:cs="Times New Roman"/>
                      <w:color w:val="auto"/>
                      <w:spacing w:val="-2"/>
                      <w:kern w:val="0"/>
                      <w:sz w:val="18"/>
                      <w:szCs w:val="18"/>
                      <w:highlight w:val="none"/>
                      <w:lang w:val="en-US" w:eastAsia="zh-CN"/>
                    </w:rPr>
                  </w:pPr>
                  <w:r>
                    <w:rPr>
                      <w:rFonts w:hint="default" w:ascii="Times New Roman" w:hAnsi="Times New Roman" w:eastAsiaTheme="minorEastAsia"/>
                      <w:bCs/>
                      <w:color w:val="auto"/>
                      <w:sz w:val="18"/>
                      <w:szCs w:val="18"/>
                      <w:highlight w:val="none"/>
                      <w:lang w:val="en-US" w:eastAsia="zh-CN"/>
                    </w:rPr>
                    <w:t>外购，</w:t>
                  </w:r>
                  <w:r>
                    <w:rPr>
                      <w:rFonts w:hint="eastAsia" w:ascii="Times New Roman" w:hAnsi="Times New Roman" w:eastAsiaTheme="minorEastAsia"/>
                      <w:bCs/>
                      <w:color w:val="auto"/>
                      <w:sz w:val="18"/>
                      <w:szCs w:val="18"/>
                      <w:highlight w:val="none"/>
                      <w:lang w:val="en-US" w:eastAsia="zh-CN"/>
                    </w:rPr>
                    <w:t>180kg/桶，最大储存量为2桶（0.36t）</w:t>
                  </w:r>
                </w:p>
              </w:tc>
            </w:tr>
            <w:tr w14:paraId="2E80A63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91" w:type="pct"/>
                  <w:shd w:val="clear" w:color="auto" w:fill="auto"/>
                  <w:noWrap w:val="0"/>
                  <w:vAlign w:val="center"/>
                </w:tcPr>
                <w:p w14:paraId="700347FE">
                  <w:pPr>
                    <w:adjustRightInd w:val="0"/>
                    <w:snapToGrid w:val="0"/>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6</w:t>
                  </w:r>
                </w:p>
              </w:tc>
              <w:tc>
                <w:tcPr>
                  <w:tcW w:w="1121" w:type="pct"/>
                  <w:shd w:val="clear" w:color="auto" w:fill="auto"/>
                  <w:noWrap w:val="0"/>
                  <w:vAlign w:val="center"/>
                </w:tcPr>
                <w:p w14:paraId="52BE198D">
                  <w:pPr>
                    <w:pStyle w:val="950"/>
                    <w:spacing w:after="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蒸汽</w:t>
                  </w:r>
                </w:p>
              </w:tc>
              <w:tc>
                <w:tcPr>
                  <w:tcW w:w="746" w:type="pct"/>
                  <w:shd w:val="clear" w:color="auto" w:fill="auto"/>
                  <w:noWrap w:val="0"/>
                  <w:vAlign w:val="center"/>
                </w:tcPr>
                <w:p w14:paraId="6DB1201B">
                  <w:pPr>
                    <w:pStyle w:val="950"/>
                    <w:spacing w:after="0"/>
                    <w:jc w:val="center"/>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770" w:type="pct"/>
                  <w:shd w:val="clear" w:color="auto" w:fill="auto"/>
                  <w:noWrap w:val="0"/>
                  <w:vAlign w:val="center"/>
                </w:tcPr>
                <w:p w14:paraId="1AA230A8">
                  <w:pPr>
                    <w:pStyle w:val="950"/>
                    <w:spacing w:after="0"/>
                    <w:jc w:val="center"/>
                    <w:rPr>
                      <w:rFonts w:hint="default"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300</w:t>
                  </w:r>
                </w:p>
              </w:tc>
              <w:tc>
                <w:tcPr>
                  <w:tcW w:w="1971" w:type="pct"/>
                  <w:shd w:val="clear" w:color="auto" w:fill="auto"/>
                  <w:noWrap w:val="0"/>
                  <w:vAlign w:val="center"/>
                </w:tcPr>
                <w:p w14:paraId="6FA9C8D9">
                  <w:pPr>
                    <w:adjustRightInd w:val="0"/>
                    <w:snapToGrid w:val="0"/>
                    <w:jc w:val="center"/>
                    <w:rPr>
                      <w:rFonts w:hint="eastAsia" w:ascii="Times New Roman" w:hAnsi="Times New Roman" w:eastAsia="宋体" w:cs="Times New Roman"/>
                      <w:color w:val="auto"/>
                      <w:spacing w:val="-2"/>
                      <w:kern w:val="0"/>
                      <w:sz w:val="18"/>
                      <w:szCs w:val="18"/>
                      <w:highlight w:val="none"/>
                      <w:lang w:val="en-US" w:eastAsia="zh-CN"/>
                    </w:rPr>
                  </w:pPr>
                  <w:r>
                    <w:rPr>
                      <w:rFonts w:hint="eastAsia" w:cs="Times New Roman"/>
                      <w:color w:val="auto"/>
                      <w:spacing w:val="-2"/>
                      <w:kern w:val="0"/>
                      <w:sz w:val="18"/>
                      <w:szCs w:val="18"/>
                      <w:highlight w:val="none"/>
                      <w:lang w:val="en-US" w:eastAsia="zh-CN"/>
                    </w:rPr>
                    <w:t>来源于淄博鑫绿源生物化工有限公司</w:t>
                  </w:r>
                </w:p>
              </w:tc>
            </w:tr>
            <w:tr w14:paraId="78A6CC6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391" w:type="pct"/>
                  <w:shd w:val="clear" w:color="auto" w:fill="auto"/>
                  <w:noWrap w:val="0"/>
                  <w:vAlign w:val="center"/>
                </w:tcPr>
                <w:p w14:paraId="60E35F41">
                  <w:pPr>
                    <w:adjustRightInd w:val="0"/>
                    <w:snapToGrid w:val="0"/>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w:t>
                  </w:r>
                </w:p>
              </w:tc>
              <w:tc>
                <w:tcPr>
                  <w:tcW w:w="1121" w:type="pct"/>
                  <w:shd w:val="clear" w:color="auto" w:fill="auto"/>
                  <w:noWrap w:val="0"/>
                  <w:vAlign w:val="center"/>
                </w:tcPr>
                <w:p w14:paraId="2D9C13B0">
                  <w:pPr>
                    <w:pStyle w:val="950"/>
                    <w:spacing w:after="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sz w:val="18"/>
                      <w:szCs w:val="18"/>
                      <w:highlight w:val="none"/>
                    </w:rPr>
                    <w:t>水</w:t>
                  </w:r>
                </w:p>
              </w:tc>
              <w:tc>
                <w:tcPr>
                  <w:tcW w:w="746" w:type="pct"/>
                  <w:shd w:val="clear" w:color="auto" w:fill="auto"/>
                  <w:noWrap w:val="0"/>
                  <w:vAlign w:val="center"/>
                </w:tcPr>
                <w:p w14:paraId="1B0D0068">
                  <w:pPr>
                    <w:pStyle w:val="950"/>
                    <w:spacing w:after="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sz w:val="18"/>
                      <w:szCs w:val="18"/>
                      <w:highlight w:val="none"/>
                    </w:rPr>
                    <w:t>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/a</w:t>
                  </w:r>
                </w:p>
              </w:tc>
              <w:tc>
                <w:tcPr>
                  <w:tcW w:w="770" w:type="pct"/>
                  <w:shd w:val="clear" w:color="auto" w:fill="auto"/>
                  <w:noWrap w:val="0"/>
                  <w:vAlign w:val="center"/>
                </w:tcPr>
                <w:p w14:paraId="42F34139">
                  <w:pPr>
                    <w:pStyle w:val="950"/>
                    <w:spacing w:after="0"/>
                    <w:jc w:val="center"/>
                    <w:rPr>
                      <w:rFonts w:hint="default" w:ascii="Times New Roman" w:hAnsi="Times New Roman" w:eastAsia="宋体" w:cs="Times New Roman"/>
                      <w:bCs/>
                      <w:color w:val="auto"/>
                      <w:kern w:val="0"/>
                      <w:sz w:val="18"/>
                      <w:szCs w:val="18"/>
                      <w:highlight w:val="none"/>
                      <w:lang w:val="en-US" w:eastAsia="zh-CN" w:bidi="ar-SA"/>
                    </w:rPr>
                  </w:pPr>
                  <w:r>
                    <w:rPr>
                      <w:rFonts w:hint="eastAsia" w:ascii="Times New Roman" w:hAnsi="Times New Roman" w:eastAsia="宋体" w:cs="Times New Roman"/>
                      <w:bCs/>
                      <w:color w:val="auto"/>
                      <w:sz w:val="18"/>
                      <w:szCs w:val="18"/>
                      <w:highlight w:val="none"/>
                      <w:lang w:val="en-US" w:eastAsia="zh-CN"/>
                    </w:rPr>
                    <w:t>447.348</w:t>
                  </w:r>
                </w:p>
              </w:tc>
              <w:tc>
                <w:tcPr>
                  <w:tcW w:w="1971" w:type="pct"/>
                  <w:shd w:val="clear" w:color="auto" w:fill="auto"/>
                  <w:noWrap w:val="0"/>
                  <w:vAlign w:val="center"/>
                </w:tcPr>
                <w:p w14:paraId="3ACC2767">
                  <w:pPr>
                    <w:adjustRightInd w:val="0"/>
                    <w:snapToGrid w:val="0"/>
                    <w:jc w:val="center"/>
                    <w:rPr>
                      <w:rFonts w:hint="eastAsia"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color w:val="auto"/>
                      <w:kern w:val="24"/>
                      <w:sz w:val="18"/>
                      <w:szCs w:val="18"/>
                      <w:highlight w:val="none"/>
                      <w:lang w:eastAsia="zh-CN"/>
                    </w:rPr>
                    <w:t>由淄川区龙泉镇供水管网提供</w:t>
                  </w:r>
                </w:p>
              </w:tc>
            </w:tr>
            <w:tr w14:paraId="6C33144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shd w:val="clear" w:color="auto" w:fill="auto"/>
                  <w:noWrap w:val="0"/>
                  <w:vAlign w:val="center"/>
                </w:tcPr>
                <w:p w14:paraId="1264F3C1">
                  <w:pPr>
                    <w:adjustRightInd w:val="0"/>
                    <w:snapToGrid w:val="0"/>
                    <w:contextualSpacing/>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8</w:t>
                  </w:r>
                </w:p>
              </w:tc>
              <w:tc>
                <w:tcPr>
                  <w:tcW w:w="1121" w:type="pct"/>
                  <w:shd w:val="clear" w:color="auto" w:fill="auto"/>
                  <w:noWrap w:val="0"/>
                  <w:vAlign w:val="center"/>
                </w:tcPr>
                <w:p w14:paraId="03EE592D">
                  <w:pPr>
                    <w:pStyle w:val="950"/>
                    <w:spacing w:after="0"/>
                    <w:jc w:val="center"/>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sz w:val="18"/>
                      <w:szCs w:val="18"/>
                      <w:highlight w:val="none"/>
                    </w:rPr>
                    <w:t>电</w:t>
                  </w:r>
                </w:p>
              </w:tc>
              <w:tc>
                <w:tcPr>
                  <w:tcW w:w="746" w:type="pct"/>
                  <w:shd w:val="clear" w:color="auto" w:fill="auto"/>
                  <w:noWrap w:val="0"/>
                  <w:vAlign w:val="center"/>
                </w:tcPr>
                <w:p w14:paraId="0B1B00E0">
                  <w:pPr>
                    <w:pStyle w:val="950"/>
                    <w:spacing w:after="0"/>
                    <w:jc w:val="center"/>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bCs/>
                      <w:color w:val="auto"/>
                      <w:sz w:val="18"/>
                      <w:szCs w:val="18"/>
                      <w:highlight w:val="none"/>
                    </w:rPr>
                    <w:t>kW·h/a</w:t>
                  </w:r>
                </w:p>
              </w:tc>
              <w:tc>
                <w:tcPr>
                  <w:tcW w:w="770" w:type="pct"/>
                  <w:shd w:val="clear" w:color="auto" w:fill="auto"/>
                  <w:noWrap w:val="0"/>
                  <w:vAlign w:val="center"/>
                </w:tcPr>
                <w:p w14:paraId="41D4A520">
                  <w:pPr>
                    <w:pStyle w:val="950"/>
                    <w:spacing w:after="0"/>
                    <w:jc w:val="center"/>
                    <w:rPr>
                      <w:rFonts w:hint="default" w:ascii="Times New Roman" w:hAnsi="Times New Roman" w:eastAsia="宋体" w:cs="Times New Roman"/>
                      <w:color w:val="auto"/>
                      <w:kern w:val="0"/>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80</w:t>
                  </w:r>
                  <w:r>
                    <w:rPr>
                      <w:rFonts w:hint="default" w:ascii="Times New Roman" w:hAnsi="Times New Roman" w:eastAsia="宋体" w:cs="Times New Roman"/>
                      <w:color w:val="auto"/>
                      <w:sz w:val="18"/>
                      <w:szCs w:val="18"/>
                      <w:highlight w:val="none"/>
                    </w:rPr>
                    <w:t>万</w:t>
                  </w:r>
                </w:p>
              </w:tc>
              <w:tc>
                <w:tcPr>
                  <w:tcW w:w="1971" w:type="pct"/>
                  <w:shd w:val="clear" w:color="auto" w:fill="auto"/>
                  <w:noWrap w:val="0"/>
                  <w:vAlign w:val="center"/>
                </w:tcPr>
                <w:p w14:paraId="1064B9A1">
                  <w:pPr>
                    <w:adjustRightInd w:val="0"/>
                    <w:snapToGrid w:val="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来自</w:t>
                  </w:r>
                  <w:r>
                    <w:rPr>
                      <w:rFonts w:hint="eastAsia" w:cs="Times New Roman"/>
                      <w:color w:val="auto"/>
                      <w:sz w:val="18"/>
                      <w:szCs w:val="18"/>
                      <w:highlight w:val="none"/>
                      <w:lang w:eastAsia="zh-CN"/>
                    </w:rPr>
                    <w:t>龙泉镇</w:t>
                  </w:r>
                  <w:r>
                    <w:rPr>
                      <w:rFonts w:hint="default" w:ascii="Times New Roman" w:hAnsi="Times New Roman" w:cs="Times New Roman"/>
                      <w:color w:val="auto"/>
                      <w:sz w:val="18"/>
                      <w:szCs w:val="18"/>
                      <w:highlight w:val="none"/>
                      <w:lang w:eastAsia="zh-CN"/>
                    </w:rPr>
                    <w:t>供电所</w:t>
                  </w:r>
                </w:p>
              </w:tc>
            </w:tr>
          </w:tbl>
          <w:p w14:paraId="00FFB7E6">
            <w:pPr>
              <w:spacing w:line="360" w:lineRule="auto"/>
              <w:ind w:firstLine="422" w:firstLineChars="200"/>
              <w:rPr>
                <w:rFonts w:hint="default" w:ascii="Times New Roman" w:hAnsi="Times New Roman" w:cs="Times New Roman" w:eastAsiaTheme="minorEastAsia"/>
                <w:b/>
                <w:bCs/>
                <w:color w:val="auto"/>
                <w:kern w:val="0"/>
                <w:szCs w:val="21"/>
                <w:highlight w:val="none"/>
              </w:rPr>
            </w:pPr>
            <w:r>
              <w:rPr>
                <w:rFonts w:hint="default" w:ascii="Times New Roman" w:hAnsi="Times New Roman" w:cs="Times New Roman" w:eastAsiaTheme="minorEastAsia"/>
                <w:b/>
                <w:bCs/>
                <w:color w:val="auto"/>
                <w:kern w:val="0"/>
                <w:szCs w:val="21"/>
                <w:highlight w:val="none"/>
              </w:rPr>
              <w:t>原料介绍：</w:t>
            </w:r>
          </w:p>
          <w:p w14:paraId="6BCA806D">
            <w:pPr>
              <w:spacing w:line="360" w:lineRule="auto"/>
              <w:ind w:firstLine="420" w:firstLineChars="200"/>
              <w:rPr>
                <w:rFonts w:hint="eastAsia" w:cs="Times New Roman" w:eastAsiaTheme="minorEastAsia"/>
                <w:color w:val="auto"/>
                <w:kern w:val="0"/>
                <w:szCs w:val="21"/>
                <w:highlight w:val="none"/>
                <w:lang w:eastAsia="zh-CN"/>
              </w:rPr>
            </w:pPr>
            <w:r>
              <w:rPr>
                <w:rFonts w:hint="default" w:ascii="Times New Roman" w:hAnsi="Times New Roman" w:cs="Times New Roman" w:eastAsiaTheme="minorEastAsia"/>
                <w:color w:val="auto"/>
                <w:kern w:val="0"/>
                <w:szCs w:val="21"/>
                <w:highlight w:val="none"/>
              </w:rPr>
              <w:t>①</w:t>
            </w:r>
            <w:r>
              <w:rPr>
                <w:rFonts w:hint="default" w:ascii="Times New Roman" w:hAnsi="Times New Roman" w:cs="Times New Roman" w:eastAsiaTheme="minorEastAsia"/>
                <w:color w:val="auto"/>
                <w:kern w:val="0"/>
                <w:szCs w:val="21"/>
                <w:highlight w:val="none"/>
                <w:lang w:val="en-US" w:eastAsia="zh-CN"/>
              </w:rPr>
              <w:t>氧氯化锆</w:t>
            </w:r>
            <w:r>
              <w:rPr>
                <w:rFonts w:hint="eastAsia" w:ascii="Times New Roman" w:hAnsi="Times New Roman" w:cs="Times New Roman" w:eastAsiaTheme="minorEastAsia"/>
                <w:color w:val="auto"/>
                <w:kern w:val="0"/>
                <w:szCs w:val="21"/>
                <w:highlight w:val="none"/>
                <w:lang w:eastAsia="zh-CN"/>
              </w:rPr>
              <w:t>：无色或白色（有时呈微黄色）的粒状结晶体。无臭，味咸而凉。密度 2.49g/cm。熔点248 ~ 261℃，有潮解性，易溶于水和醇。在湿度很高的空气中能吸收湿气潮解而变成溶液。加热到150℃失去六分子水，210℃失去全部水，加热到300℃左右开始放出氧气，温度再高即完全分解。能溶于水、甲醇、乙醚，不溶于其他溶剂。水溶液呈酸性。与酸类作用放出氧气和氯气，与盐类也能起化学作用。有极强的氧化力，与硫、磷、碳等相遇会发生燃烧和爆炸</w:t>
            </w:r>
            <w:r>
              <w:rPr>
                <w:rFonts w:hint="eastAsia" w:cs="Times New Roman" w:eastAsiaTheme="minorEastAsia"/>
                <w:color w:val="auto"/>
                <w:kern w:val="0"/>
                <w:szCs w:val="21"/>
                <w:highlight w:val="none"/>
                <w:lang w:eastAsia="zh-CN"/>
              </w:rPr>
              <w:t>，吸入有毒；急性毒性：大鼠经口 LD50：2950mg/kg；小鼠经口LD50：12270mg/kg。</w:t>
            </w:r>
          </w:p>
          <w:p w14:paraId="2460E115">
            <w:pPr>
              <w:spacing w:line="360" w:lineRule="auto"/>
              <w:ind w:firstLine="420" w:firstLineChars="200"/>
              <w:rPr>
                <w:rFonts w:hint="default" w:cs="Times New Roman" w:eastAsiaTheme="minorEastAsia"/>
                <w:color w:val="auto"/>
                <w:kern w:val="0"/>
                <w:szCs w:val="21"/>
                <w:highlight w:val="none"/>
                <w:lang w:val="en-US" w:eastAsia="zh-CN"/>
              </w:rPr>
            </w:pPr>
            <w:r>
              <w:rPr>
                <w:rFonts w:hint="eastAsia" w:ascii="Times New Roman" w:hAnsi="Times New Roman" w:cs="Times New Roman" w:eastAsiaTheme="minorEastAsia"/>
                <w:color w:val="auto"/>
                <w:kern w:val="0"/>
                <w:szCs w:val="21"/>
                <w:highlight w:val="none"/>
                <w:lang w:eastAsia="zh-CN"/>
              </w:rPr>
              <w:t>八水氧氯化锆（ZrOCl</w:t>
            </w:r>
            <w:r>
              <w:rPr>
                <w:rFonts w:hint="eastAsia" w:ascii="Times New Roman" w:hAnsi="Times New Roman" w:cs="Times New Roman" w:eastAsiaTheme="minorEastAsia"/>
                <w:color w:val="auto"/>
                <w:kern w:val="0"/>
                <w:szCs w:val="21"/>
                <w:highlight w:val="none"/>
                <w:vertAlign w:val="subscript"/>
                <w:lang w:eastAsia="zh-CN"/>
              </w:rPr>
              <w:t>2</w:t>
            </w:r>
            <w:r>
              <w:rPr>
                <w:rFonts w:hint="eastAsia" w:ascii="Times New Roman" w:hAnsi="Times New Roman" w:cs="Times New Roman" w:eastAsiaTheme="minorEastAsia"/>
                <w:color w:val="auto"/>
                <w:kern w:val="0"/>
                <w:szCs w:val="21"/>
                <w:highlight w:val="none"/>
                <w:lang w:eastAsia="zh-CN"/>
              </w:rPr>
              <w:t>·8H</w:t>
            </w:r>
            <w:r>
              <w:rPr>
                <w:rFonts w:hint="eastAsia" w:ascii="Times New Roman" w:hAnsi="Times New Roman" w:cs="Times New Roman" w:eastAsiaTheme="minorEastAsia"/>
                <w:color w:val="auto"/>
                <w:kern w:val="0"/>
                <w:szCs w:val="21"/>
                <w:highlight w:val="none"/>
                <w:vertAlign w:val="subscript"/>
                <w:lang w:eastAsia="zh-CN"/>
              </w:rPr>
              <w:t>2</w:t>
            </w:r>
            <w:r>
              <w:rPr>
                <w:rFonts w:hint="eastAsia" w:ascii="Times New Roman" w:hAnsi="Times New Roman" w:cs="Times New Roman" w:eastAsiaTheme="minorEastAsia"/>
                <w:color w:val="auto"/>
                <w:kern w:val="0"/>
                <w:szCs w:val="21"/>
                <w:highlight w:val="none"/>
                <w:lang w:eastAsia="zh-CN"/>
              </w:rPr>
              <w:t>O）为外购ZOC-36 工业级成品</w:t>
            </w:r>
            <w:r>
              <w:rPr>
                <w:rFonts w:hint="eastAsia" w:cs="Times New Roman" w:eastAsiaTheme="minorEastAsia"/>
                <w:color w:val="auto"/>
                <w:kern w:val="0"/>
                <w:szCs w:val="21"/>
                <w:highlight w:val="none"/>
                <w:lang w:eastAsia="zh-CN"/>
              </w:rPr>
              <w:t>，满足《中华人民共和国化工行业标准 工业八水合二氯氧化锆（氯氧化锆）》（HG/T2772 -2012）标准要求，</w:t>
            </w:r>
            <w:r>
              <w:rPr>
                <w:rFonts w:hint="eastAsia" w:cs="Times New Roman" w:eastAsiaTheme="minorEastAsia"/>
                <w:color w:val="auto"/>
                <w:kern w:val="0"/>
                <w:szCs w:val="21"/>
                <w:highlight w:val="none"/>
                <w:lang w:val="en-US" w:eastAsia="zh-CN"/>
              </w:rPr>
              <w:t>其成分组成参数要求见下表</w:t>
            </w:r>
          </w:p>
          <w:p w14:paraId="014427A3">
            <w:pPr>
              <w:pStyle w:val="82"/>
              <w:spacing w:after="0"/>
              <w:ind w:left="0" w:leftChars="0"/>
              <w:jc w:val="center"/>
              <w:rPr>
                <w:rFonts w:hint="eastAsia" w:ascii="Times New Roman" w:hAnsi="Times New Roman" w:eastAsia="宋体" w:cs="Times New Roman"/>
                <w:b/>
                <w:bCs/>
                <w:color w:val="auto"/>
                <w:sz w:val="21"/>
                <w:szCs w:val="18"/>
                <w:highlight w:val="none"/>
                <w:lang w:val="en-US" w:eastAsia="zh-CN"/>
              </w:rPr>
            </w:pPr>
            <w:r>
              <w:rPr>
                <w:rFonts w:hint="default" w:ascii="Times New Roman" w:hAnsi="Times New Roman" w:eastAsia="宋体" w:cs="Times New Roman"/>
                <w:b/>
                <w:bCs/>
                <w:color w:val="auto"/>
                <w:sz w:val="21"/>
                <w:szCs w:val="18"/>
                <w:highlight w:val="none"/>
              </w:rPr>
              <w:t>表2-</w:t>
            </w:r>
            <w:r>
              <w:rPr>
                <w:rFonts w:hint="eastAsia" w:cs="Times New Roman"/>
                <w:b/>
                <w:bCs/>
                <w:color w:val="auto"/>
                <w:sz w:val="21"/>
                <w:szCs w:val="18"/>
                <w:highlight w:val="none"/>
                <w:lang w:val="en-US" w:eastAsia="zh-CN"/>
              </w:rPr>
              <w:t>5</w:t>
            </w:r>
            <w:r>
              <w:rPr>
                <w:rFonts w:hint="eastAsia" w:ascii="Times New Roman" w:hAnsi="Times New Roman" w:eastAsia="宋体" w:cs="Times New Roman"/>
                <w:b/>
                <w:bCs/>
                <w:color w:val="auto"/>
                <w:sz w:val="21"/>
                <w:szCs w:val="18"/>
                <w:highlight w:val="none"/>
                <w:lang w:val="en-US" w:eastAsia="zh-CN"/>
              </w:rPr>
              <w:t>氯氧化锆原料成分组成参数一览表</w:t>
            </w:r>
          </w:p>
          <w:p w14:paraId="2F59B831">
            <w:pPr>
              <w:pStyle w:val="82"/>
              <w:spacing w:after="0"/>
              <w:ind w:left="0" w:leftChars="0"/>
              <w:jc w:val="center"/>
              <w:rPr>
                <w:rFonts w:hint="default" w:ascii="Times New Roman" w:hAnsi="Times New Roman" w:eastAsia="宋体" w:cs="Times New Roman"/>
                <w:b/>
                <w:bCs/>
                <w:color w:val="auto"/>
                <w:sz w:val="21"/>
                <w:szCs w:val="18"/>
                <w:highlight w:val="none"/>
                <w:lang w:val="en-US"/>
              </w:rPr>
            </w:pPr>
          </w:p>
          <w:tbl>
            <w:tblPr>
              <w:tblStyle w:val="8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73"/>
              <w:gridCol w:w="3934"/>
            </w:tblGrid>
            <w:tr w14:paraId="0BBD8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atLeast"/>
                <w:jc w:val="center"/>
              </w:trPr>
              <w:tc>
                <w:tcPr>
                  <w:tcW w:w="2660" w:type="pct"/>
                  <w:noWrap w:val="0"/>
                  <w:vAlign w:val="center"/>
                </w:tcPr>
                <w:p w14:paraId="470AE60D">
                  <w:pPr>
                    <w:pStyle w:val="43"/>
                    <w:adjustRightInd w:val="0"/>
                    <w:snapToGrid w:val="0"/>
                    <w:jc w:val="center"/>
                    <w:rPr>
                      <w:rFonts w:hint="eastAsia" w:ascii="Times New Roman" w:hAnsi="Times New Roman" w:eastAsia="宋体" w:cs="Times New Roman"/>
                      <w:b/>
                      <w:color w:val="auto"/>
                      <w:sz w:val="18"/>
                      <w:szCs w:val="18"/>
                      <w:highlight w:val="none"/>
                      <w:lang w:val="en-US" w:eastAsia="zh-CN"/>
                    </w:rPr>
                  </w:pPr>
                  <w:r>
                    <w:rPr>
                      <w:rFonts w:hint="eastAsia" w:ascii="Times New Roman" w:hAnsi="Times New Roman" w:cs="Times New Roman"/>
                      <w:b/>
                      <w:color w:val="auto"/>
                      <w:sz w:val="18"/>
                      <w:szCs w:val="18"/>
                      <w:highlight w:val="none"/>
                      <w:lang w:val="en-US" w:eastAsia="zh-CN"/>
                    </w:rPr>
                    <w:t>项目</w:t>
                  </w:r>
                </w:p>
              </w:tc>
              <w:tc>
                <w:tcPr>
                  <w:tcW w:w="2339" w:type="pct"/>
                  <w:noWrap w:val="0"/>
                  <w:vAlign w:val="center"/>
                </w:tcPr>
                <w:p w14:paraId="75684F68">
                  <w:pPr>
                    <w:pStyle w:val="43"/>
                    <w:adjustRightInd w:val="0"/>
                    <w:snapToGrid w:val="0"/>
                    <w:jc w:val="center"/>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HPZOC-36</w:t>
                  </w:r>
                </w:p>
              </w:tc>
            </w:tr>
            <w:tr w14:paraId="50995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2660" w:type="pct"/>
                  <w:noWrap w:val="0"/>
                  <w:vAlign w:val="center"/>
                </w:tcPr>
                <w:p w14:paraId="2294C276">
                  <w:pPr>
                    <w:pStyle w:val="43"/>
                    <w:adjustRightInd w:val="0"/>
                    <w:snapToGrid w:val="0"/>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锆铪合量（以ZrO</w:t>
                  </w:r>
                  <w:r>
                    <w:rPr>
                      <w:rFonts w:hint="eastAsia" w:ascii="Times New Roman" w:hAnsi="Times New Roman" w:eastAsia="宋体" w:cs="Times New Roman"/>
                      <w:color w:val="auto"/>
                      <w:sz w:val="18"/>
                      <w:szCs w:val="18"/>
                      <w:highlight w:val="none"/>
                      <w:vertAlign w:val="subscript"/>
                      <w:lang w:val="en-US" w:eastAsia="zh-CN"/>
                    </w:rPr>
                    <w:t>2</w:t>
                  </w:r>
                  <w:r>
                    <w:rPr>
                      <w:rFonts w:hint="eastAsia" w:ascii="Times New Roman" w:hAnsi="Times New Roman" w:eastAsia="宋体" w:cs="Times New Roman"/>
                      <w:color w:val="auto"/>
                      <w:sz w:val="18"/>
                      <w:szCs w:val="18"/>
                      <w:highlight w:val="none"/>
                      <w:lang w:val="en-US" w:eastAsia="zh-CN"/>
                    </w:rPr>
                    <w:t>计），w/%    ≥</w:t>
                  </w:r>
                </w:p>
              </w:tc>
              <w:tc>
                <w:tcPr>
                  <w:tcW w:w="2339" w:type="pct"/>
                  <w:noWrap w:val="0"/>
                  <w:vAlign w:val="center"/>
                </w:tcPr>
                <w:p w14:paraId="103D670C">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36.0</w:t>
                  </w:r>
                </w:p>
              </w:tc>
            </w:tr>
            <w:tr w14:paraId="6249E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2660" w:type="pct"/>
                  <w:noWrap w:val="0"/>
                  <w:vAlign w:val="center"/>
                </w:tcPr>
                <w:p w14:paraId="411E7DA8">
                  <w:pPr>
                    <w:adjustRightInd w:val="0"/>
                    <w:snapToGrid w:val="0"/>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氧化铁（Fe</w:t>
                  </w:r>
                  <w:r>
                    <w:rPr>
                      <w:rFonts w:hint="eastAsia" w:ascii="Times New Roman" w:hAnsi="Times New Roman" w:eastAsia="宋体" w:cs="Times New Roman"/>
                      <w:color w:val="auto"/>
                      <w:sz w:val="18"/>
                      <w:szCs w:val="18"/>
                      <w:highlight w:val="none"/>
                      <w:vertAlign w:val="subscript"/>
                      <w:lang w:val="en-US" w:eastAsia="zh-CN"/>
                    </w:rPr>
                    <w:t>2</w:t>
                  </w:r>
                  <w:r>
                    <w:rPr>
                      <w:rFonts w:hint="eastAsia" w:ascii="Times New Roman" w:hAnsi="Times New Roman" w:eastAsia="宋体" w:cs="Times New Roman"/>
                      <w:color w:val="auto"/>
                      <w:sz w:val="18"/>
                      <w:szCs w:val="18"/>
                      <w:highlight w:val="none"/>
                      <w:lang w:val="en-US" w:eastAsia="zh-CN"/>
                    </w:rPr>
                    <w:t>O</w:t>
                  </w:r>
                  <w:r>
                    <w:rPr>
                      <w:rFonts w:hint="eastAsia" w:ascii="Times New Roman" w:hAnsi="Times New Roman" w:eastAsia="宋体" w:cs="Times New Roman"/>
                      <w:color w:val="auto"/>
                      <w:sz w:val="18"/>
                      <w:szCs w:val="18"/>
                      <w:highlight w:val="none"/>
                      <w:vertAlign w:val="subscript"/>
                      <w:lang w:val="en-US" w:eastAsia="zh-CN"/>
                    </w:rPr>
                    <w:t>3</w:t>
                  </w:r>
                  <w:r>
                    <w:rPr>
                      <w:rFonts w:hint="eastAsia" w:ascii="Times New Roman" w:hAnsi="Times New Roman" w:eastAsia="宋体" w:cs="Times New Roman"/>
                      <w:color w:val="auto"/>
                      <w:sz w:val="18"/>
                      <w:szCs w:val="18"/>
                      <w:highlight w:val="none"/>
                      <w:lang w:val="en-US" w:eastAsia="zh-CN"/>
                    </w:rPr>
                    <w:t>），w/%                ≤</w:t>
                  </w:r>
                </w:p>
              </w:tc>
              <w:tc>
                <w:tcPr>
                  <w:tcW w:w="2339" w:type="pct"/>
                  <w:noWrap w:val="0"/>
                  <w:vAlign w:val="center"/>
                </w:tcPr>
                <w:p w14:paraId="37CC5AA2">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0.002</w:t>
                  </w:r>
                </w:p>
              </w:tc>
            </w:tr>
            <w:tr w14:paraId="1422C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2660" w:type="pct"/>
                  <w:noWrap w:val="0"/>
                  <w:vAlign w:val="center"/>
                </w:tcPr>
                <w:p w14:paraId="72DA5656">
                  <w:pPr>
                    <w:adjustRightInd w:val="0"/>
                    <w:snapToGrid w:val="0"/>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二氧化硅（SiO</w:t>
                  </w:r>
                  <w:r>
                    <w:rPr>
                      <w:rFonts w:hint="eastAsia" w:ascii="Times New Roman" w:hAnsi="Times New Roman" w:eastAsia="宋体" w:cs="Times New Roman"/>
                      <w:color w:val="auto"/>
                      <w:sz w:val="18"/>
                      <w:szCs w:val="18"/>
                      <w:highlight w:val="none"/>
                      <w:vertAlign w:val="subscript"/>
                      <w:lang w:val="en-US" w:eastAsia="zh-CN"/>
                    </w:rPr>
                    <w:t>2</w:t>
                  </w:r>
                  <w:r>
                    <w:rPr>
                      <w:rFonts w:hint="eastAsia" w:ascii="Times New Roman" w:hAnsi="Times New Roman" w:eastAsia="宋体" w:cs="Times New Roman"/>
                      <w:color w:val="auto"/>
                      <w:sz w:val="18"/>
                      <w:szCs w:val="18"/>
                      <w:highlight w:val="none"/>
                      <w:lang w:val="en-US" w:eastAsia="zh-CN"/>
                    </w:rPr>
                    <w:t>），w/%              ≤</w:t>
                  </w:r>
                </w:p>
              </w:tc>
              <w:tc>
                <w:tcPr>
                  <w:tcW w:w="2339" w:type="pct"/>
                  <w:noWrap w:val="0"/>
                  <w:vAlign w:val="center"/>
                </w:tcPr>
                <w:p w14:paraId="6155C373">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0.01</w:t>
                  </w:r>
                </w:p>
              </w:tc>
            </w:tr>
            <w:tr w14:paraId="207E0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2660" w:type="pct"/>
                  <w:noWrap w:val="0"/>
                  <w:vAlign w:val="center"/>
                </w:tcPr>
                <w:p w14:paraId="717BF934">
                  <w:pPr>
                    <w:adjustRightInd w:val="0"/>
                    <w:snapToGrid w:val="0"/>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氧化钠（Na</w:t>
                  </w:r>
                  <w:r>
                    <w:rPr>
                      <w:rFonts w:hint="eastAsia" w:ascii="Times New Roman" w:hAnsi="Times New Roman" w:eastAsia="宋体" w:cs="Times New Roman"/>
                      <w:color w:val="auto"/>
                      <w:sz w:val="18"/>
                      <w:szCs w:val="18"/>
                      <w:highlight w:val="none"/>
                      <w:vertAlign w:val="subscript"/>
                      <w:lang w:val="en-US" w:eastAsia="zh-CN"/>
                    </w:rPr>
                    <w:t>2</w:t>
                  </w:r>
                  <w:r>
                    <w:rPr>
                      <w:rFonts w:hint="eastAsia" w:ascii="Times New Roman" w:hAnsi="Times New Roman" w:eastAsia="宋体" w:cs="Times New Roman"/>
                      <w:color w:val="auto"/>
                      <w:sz w:val="18"/>
                      <w:szCs w:val="18"/>
                      <w:highlight w:val="none"/>
                      <w:lang w:val="en-US" w:eastAsia="zh-CN"/>
                    </w:rPr>
                    <w:t>O），w/%                ≤</w:t>
                  </w:r>
                </w:p>
              </w:tc>
              <w:tc>
                <w:tcPr>
                  <w:tcW w:w="2339" w:type="pct"/>
                  <w:noWrap w:val="0"/>
                  <w:vAlign w:val="center"/>
                </w:tcPr>
                <w:p w14:paraId="10629A5A">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0.005</w:t>
                  </w:r>
                </w:p>
              </w:tc>
            </w:tr>
            <w:tr w14:paraId="4185D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2660" w:type="pct"/>
                  <w:noWrap w:val="0"/>
                  <w:vAlign w:val="center"/>
                </w:tcPr>
                <w:p w14:paraId="19E1C615">
                  <w:pPr>
                    <w:adjustRightInd w:val="0"/>
                    <w:snapToGrid w:val="0"/>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二氧化钛（TiO</w:t>
                  </w:r>
                  <w:r>
                    <w:rPr>
                      <w:rFonts w:hint="eastAsia" w:ascii="Times New Roman" w:hAnsi="Times New Roman" w:eastAsia="宋体" w:cs="Times New Roman"/>
                      <w:color w:val="auto"/>
                      <w:sz w:val="18"/>
                      <w:szCs w:val="18"/>
                      <w:highlight w:val="none"/>
                      <w:vertAlign w:val="subscript"/>
                      <w:lang w:val="en-US" w:eastAsia="zh-CN"/>
                    </w:rPr>
                    <w:t>2</w:t>
                  </w:r>
                  <w:r>
                    <w:rPr>
                      <w:rFonts w:hint="eastAsia" w:ascii="Times New Roman" w:hAnsi="Times New Roman" w:eastAsia="宋体" w:cs="Times New Roman"/>
                      <w:color w:val="auto"/>
                      <w:sz w:val="18"/>
                      <w:szCs w:val="18"/>
                      <w:highlight w:val="none"/>
                      <w:lang w:val="en-US" w:eastAsia="zh-CN"/>
                    </w:rPr>
                    <w:t>），w/%             ≤</w:t>
                  </w:r>
                </w:p>
              </w:tc>
              <w:tc>
                <w:tcPr>
                  <w:tcW w:w="2339" w:type="pct"/>
                  <w:noWrap w:val="0"/>
                  <w:vAlign w:val="center"/>
                </w:tcPr>
                <w:p w14:paraId="1451BA04">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0.001</w:t>
                  </w:r>
                </w:p>
              </w:tc>
            </w:tr>
            <w:tr w14:paraId="4F09B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2660" w:type="pct"/>
                  <w:noWrap w:val="0"/>
                  <w:vAlign w:val="center"/>
                </w:tcPr>
                <w:p w14:paraId="31C4E57E">
                  <w:pPr>
                    <w:adjustRightInd w:val="0"/>
                    <w:snapToGrid w:val="0"/>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氧化钙（CaO），w/%                 ≤</w:t>
                  </w:r>
                </w:p>
              </w:tc>
              <w:tc>
                <w:tcPr>
                  <w:tcW w:w="2339" w:type="pct"/>
                  <w:noWrap w:val="0"/>
                  <w:vAlign w:val="center"/>
                </w:tcPr>
                <w:p w14:paraId="3E522F92">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0.01</w:t>
                  </w:r>
                </w:p>
              </w:tc>
            </w:tr>
            <w:tr w14:paraId="4042E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2660" w:type="pct"/>
                  <w:noWrap w:val="0"/>
                  <w:vAlign w:val="center"/>
                </w:tcPr>
                <w:p w14:paraId="29E54517">
                  <w:pPr>
                    <w:adjustRightInd w:val="0"/>
                    <w:snapToGrid w:val="0"/>
                    <w:jc w:val="left"/>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硫酸盐（以SO</w:t>
                  </w:r>
                  <w:r>
                    <w:rPr>
                      <w:rFonts w:hint="eastAsia" w:ascii="Times New Roman" w:hAnsi="Times New Roman" w:eastAsia="宋体" w:cs="Times New Roman"/>
                      <w:color w:val="auto"/>
                      <w:sz w:val="18"/>
                      <w:szCs w:val="18"/>
                      <w:highlight w:val="none"/>
                      <w:vertAlign w:val="subscript"/>
                      <w:lang w:val="en-US" w:eastAsia="zh-CN"/>
                    </w:rPr>
                    <w:t>4</w:t>
                  </w:r>
                  <w:r>
                    <w:rPr>
                      <w:rFonts w:hint="eastAsia" w:ascii="Times New Roman" w:hAnsi="Times New Roman" w:eastAsia="宋体" w:cs="Times New Roman"/>
                      <w:color w:val="auto"/>
                      <w:sz w:val="18"/>
                      <w:szCs w:val="18"/>
                      <w:highlight w:val="none"/>
                      <w:vertAlign w:val="superscript"/>
                      <w:lang w:val="en-US" w:eastAsia="zh-CN"/>
                    </w:rPr>
                    <w:t>2-</w:t>
                  </w:r>
                  <w:r>
                    <w:rPr>
                      <w:rFonts w:hint="eastAsia" w:ascii="Times New Roman" w:hAnsi="Times New Roman" w:eastAsia="宋体" w:cs="Times New Roman"/>
                      <w:color w:val="auto"/>
                      <w:sz w:val="18"/>
                      <w:szCs w:val="18"/>
                      <w:highlight w:val="none"/>
                      <w:lang w:val="en-US" w:eastAsia="zh-CN"/>
                    </w:rPr>
                    <w:t>计），w/%                 ≤</w:t>
                  </w:r>
                </w:p>
              </w:tc>
              <w:tc>
                <w:tcPr>
                  <w:tcW w:w="2339" w:type="pct"/>
                  <w:noWrap w:val="0"/>
                  <w:vAlign w:val="center"/>
                </w:tcPr>
                <w:p w14:paraId="676C1929">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0.005</w:t>
                  </w:r>
                </w:p>
              </w:tc>
            </w:tr>
          </w:tbl>
          <w:p w14:paraId="2FF91BD7">
            <w:pPr>
              <w:spacing w:line="360" w:lineRule="auto"/>
              <w:ind w:firstLine="420" w:firstLineChars="200"/>
              <w:rPr>
                <w:rFonts w:hint="default" w:ascii="Times New Roman" w:hAnsi="Times New Roman" w:cs="Times New Roman" w:eastAsiaTheme="minorEastAsia"/>
                <w:color w:val="auto"/>
                <w:kern w:val="0"/>
                <w:szCs w:val="21"/>
                <w:highlight w:val="none"/>
                <w:lang w:val="en-US" w:eastAsia="zh-CN"/>
              </w:rPr>
            </w:pPr>
            <w:r>
              <w:rPr>
                <w:rFonts w:hint="eastAsia" w:cs="Times New Roman" w:eastAsiaTheme="minorEastAsia"/>
                <w:color w:val="auto"/>
                <w:kern w:val="0"/>
                <w:szCs w:val="21"/>
                <w:highlight w:val="none"/>
                <w:lang w:val="en-US" w:eastAsia="zh-CN"/>
              </w:rPr>
              <w:t>本次评价对原料氧氯化锆进行了取样化验，化验结果如下表。</w:t>
            </w:r>
          </w:p>
          <w:p w14:paraId="5D01D440">
            <w:pPr>
              <w:pStyle w:val="82"/>
              <w:spacing w:after="0"/>
              <w:ind w:left="0" w:leftChars="0"/>
              <w:jc w:val="center"/>
              <w:rPr>
                <w:rFonts w:hint="eastAsia" w:ascii="Times New Roman" w:hAnsi="Times New Roman" w:eastAsia="宋体" w:cs="Times New Roman"/>
                <w:b/>
                <w:bCs/>
                <w:color w:val="auto"/>
                <w:sz w:val="21"/>
                <w:szCs w:val="18"/>
                <w:highlight w:val="none"/>
                <w:lang w:val="en-US" w:eastAsia="zh-CN"/>
              </w:rPr>
            </w:pPr>
            <w:r>
              <w:rPr>
                <w:rFonts w:hint="default" w:ascii="Times New Roman" w:hAnsi="Times New Roman" w:eastAsia="宋体" w:cs="Times New Roman"/>
                <w:b/>
                <w:bCs/>
                <w:color w:val="auto"/>
                <w:sz w:val="21"/>
                <w:szCs w:val="18"/>
                <w:highlight w:val="none"/>
              </w:rPr>
              <w:t>表2-</w:t>
            </w:r>
            <w:r>
              <w:rPr>
                <w:rFonts w:hint="eastAsia" w:cs="Times New Roman"/>
                <w:b/>
                <w:bCs/>
                <w:color w:val="auto"/>
                <w:sz w:val="21"/>
                <w:szCs w:val="18"/>
                <w:highlight w:val="none"/>
                <w:lang w:val="en-US" w:eastAsia="zh-CN"/>
              </w:rPr>
              <w:t>6</w:t>
            </w:r>
            <w:r>
              <w:rPr>
                <w:rFonts w:hint="eastAsia" w:ascii="Times New Roman" w:hAnsi="Times New Roman" w:eastAsia="宋体" w:cs="Times New Roman"/>
                <w:b/>
                <w:bCs/>
                <w:color w:val="auto"/>
                <w:sz w:val="21"/>
                <w:szCs w:val="18"/>
                <w:highlight w:val="none"/>
                <w:lang w:val="en-US" w:eastAsia="zh-CN"/>
              </w:rPr>
              <w:t>氯氧化锆原料主要成分化验结果览表</w:t>
            </w:r>
          </w:p>
          <w:p w14:paraId="52D43859">
            <w:pPr>
              <w:pStyle w:val="82"/>
              <w:spacing w:after="0"/>
              <w:ind w:left="0" w:leftChars="0"/>
              <w:jc w:val="center"/>
              <w:rPr>
                <w:rFonts w:hint="default" w:ascii="Times New Roman" w:hAnsi="Times New Roman" w:eastAsia="宋体" w:cs="Times New Roman"/>
                <w:b/>
                <w:bCs/>
                <w:color w:val="auto"/>
                <w:sz w:val="21"/>
                <w:szCs w:val="18"/>
                <w:highlight w:val="none"/>
                <w:lang w:val="en-US"/>
              </w:rPr>
            </w:pP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73"/>
              <w:gridCol w:w="3933"/>
            </w:tblGrid>
            <w:tr w14:paraId="58B4E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39" w:hRule="atLeast"/>
                <w:jc w:val="center"/>
              </w:trPr>
              <w:tc>
                <w:tcPr>
                  <w:tcW w:w="2660" w:type="pct"/>
                  <w:noWrap w:val="0"/>
                  <w:vAlign w:val="center"/>
                </w:tcPr>
                <w:p w14:paraId="11500D48">
                  <w:pPr>
                    <w:pStyle w:val="43"/>
                    <w:adjustRightInd w:val="0"/>
                    <w:snapToGrid w:val="0"/>
                    <w:jc w:val="center"/>
                    <w:rPr>
                      <w:rFonts w:hint="eastAsia" w:ascii="Times New Roman" w:hAnsi="Times New Roman" w:eastAsia="宋体" w:cs="Times New Roman"/>
                      <w:b/>
                      <w:color w:val="auto"/>
                      <w:sz w:val="18"/>
                      <w:szCs w:val="18"/>
                      <w:highlight w:val="none"/>
                      <w:lang w:val="en-US" w:eastAsia="zh-CN"/>
                    </w:rPr>
                  </w:pPr>
                  <w:r>
                    <w:rPr>
                      <w:rFonts w:hint="eastAsia" w:ascii="Times New Roman" w:hAnsi="Times New Roman" w:cs="Times New Roman"/>
                      <w:b/>
                      <w:color w:val="auto"/>
                      <w:sz w:val="18"/>
                      <w:szCs w:val="18"/>
                      <w:highlight w:val="none"/>
                      <w:lang w:val="en-US" w:eastAsia="zh-CN"/>
                    </w:rPr>
                    <w:t>项目</w:t>
                  </w:r>
                </w:p>
              </w:tc>
              <w:tc>
                <w:tcPr>
                  <w:tcW w:w="2339" w:type="pct"/>
                  <w:noWrap w:val="0"/>
                  <w:vAlign w:val="center"/>
                </w:tcPr>
                <w:p w14:paraId="50B9EF06">
                  <w:pPr>
                    <w:pStyle w:val="43"/>
                    <w:adjustRightInd w:val="0"/>
                    <w:snapToGrid w:val="0"/>
                    <w:jc w:val="center"/>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指标</w:t>
                  </w:r>
                </w:p>
              </w:tc>
            </w:tr>
            <w:tr w14:paraId="1B1D9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2660" w:type="pct"/>
                  <w:noWrap w:val="0"/>
                  <w:vAlign w:val="center"/>
                </w:tcPr>
                <w:p w14:paraId="25409492">
                  <w:pPr>
                    <w:pStyle w:val="43"/>
                    <w:adjustRightInd w:val="0"/>
                    <w:snapToGrid w:val="0"/>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锆铪合量（以ZrO</w:t>
                  </w:r>
                  <w:r>
                    <w:rPr>
                      <w:rFonts w:hint="eastAsia" w:ascii="Times New Roman" w:hAnsi="Times New Roman" w:eastAsia="宋体" w:cs="Times New Roman"/>
                      <w:color w:val="auto"/>
                      <w:sz w:val="18"/>
                      <w:szCs w:val="18"/>
                      <w:highlight w:val="none"/>
                      <w:vertAlign w:val="subscript"/>
                      <w:lang w:val="en-US" w:eastAsia="zh-CN"/>
                    </w:rPr>
                    <w:t>2</w:t>
                  </w:r>
                  <w:r>
                    <w:rPr>
                      <w:rFonts w:hint="eastAsia" w:ascii="Times New Roman" w:hAnsi="Times New Roman" w:eastAsia="宋体" w:cs="Times New Roman"/>
                      <w:color w:val="auto"/>
                      <w:sz w:val="18"/>
                      <w:szCs w:val="18"/>
                      <w:highlight w:val="none"/>
                      <w:lang w:val="en-US" w:eastAsia="zh-CN"/>
                    </w:rPr>
                    <w:t xml:space="preserve">计），w/%    </w:t>
                  </w:r>
                </w:p>
              </w:tc>
              <w:tc>
                <w:tcPr>
                  <w:tcW w:w="2339" w:type="pct"/>
                  <w:noWrap w:val="0"/>
                  <w:vAlign w:val="center"/>
                </w:tcPr>
                <w:p w14:paraId="2AAD5A38">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36.08</w:t>
                  </w:r>
                </w:p>
              </w:tc>
            </w:tr>
            <w:tr w14:paraId="5A1B0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2660" w:type="pct"/>
                  <w:noWrap w:val="0"/>
                  <w:vAlign w:val="center"/>
                </w:tcPr>
                <w:p w14:paraId="579B4EE4">
                  <w:pPr>
                    <w:adjustRightInd w:val="0"/>
                    <w:snapToGrid w:val="0"/>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氧化铁（Fe</w:t>
                  </w:r>
                  <w:r>
                    <w:rPr>
                      <w:rFonts w:hint="eastAsia" w:ascii="Times New Roman" w:hAnsi="Times New Roman" w:eastAsia="宋体" w:cs="Times New Roman"/>
                      <w:color w:val="auto"/>
                      <w:sz w:val="18"/>
                      <w:szCs w:val="18"/>
                      <w:highlight w:val="none"/>
                      <w:vertAlign w:val="subscript"/>
                      <w:lang w:val="en-US" w:eastAsia="zh-CN"/>
                    </w:rPr>
                    <w:t>2</w:t>
                  </w:r>
                  <w:r>
                    <w:rPr>
                      <w:rFonts w:hint="eastAsia" w:ascii="Times New Roman" w:hAnsi="Times New Roman" w:eastAsia="宋体" w:cs="Times New Roman"/>
                      <w:color w:val="auto"/>
                      <w:sz w:val="18"/>
                      <w:szCs w:val="18"/>
                      <w:highlight w:val="none"/>
                      <w:lang w:val="en-US" w:eastAsia="zh-CN"/>
                    </w:rPr>
                    <w:t>O</w:t>
                  </w:r>
                  <w:r>
                    <w:rPr>
                      <w:rFonts w:hint="eastAsia" w:ascii="Times New Roman" w:hAnsi="Times New Roman" w:eastAsia="宋体" w:cs="Times New Roman"/>
                      <w:color w:val="auto"/>
                      <w:sz w:val="18"/>
                      <w:szCs w:val="18"/>
                      <w:highlight w:val="none"/>
                      <w:vertAlign w:val="subscript"/>
                      <w:lang w:val="en-US" w:eastAsia="zh-CN"/>
                    </w:rPr>
                    <w:t>3</w:t>
                  </w:r>
                  <w:r>
                    <w:rPr>
                      <w:rFonts w:hint="eastAsia" w:ascii="Times New Roman" w:hAnsi="Times New Roman" w:eastAsia="宋体" w:cs="Times New Roman"/>
                      <w:color w:val="auto"/>
                      <w:sz w:val="18"/>
                      <w:szCs w:val="18"/>
                      <w:highlight w:val="none"/>
                      <w:lang w:val="en-US" w:eastAsia="zh-CN"/>
                    </w:rPr>
                    <w:t xml:space="preserve">），w/%              </w:t>
                  </w:r>
                </w:p>
              </w:tc>
              <w:tc>
                <w:tcPr>
                  <w:tcW w:w="2339" w:type="pct"/>
                  <w:noWrap w:val="0"/>
                  <w:vAlign w:val="center"/>
                </w:tcPr>
                <w:p w14:paraId="2352A9FD">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0.0001</w:t>
                  </w:r>
                </w:p>
              </w:tc>
            </w:tr>
            <w:tr w14:paraId="2B840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2660" w:type="pct"/>
                  <w:noWrap w:val="0"/>
                  <w:vAlign w:val="center"/>
                </w:tcPr>
                <w:p w14:paraId="136466FB">
                  <w:pPr>
                    <w:adjustRightInd w:val="0"/>
                    <w:snapToGrid w:val="0"/>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二氧化硅（SiO</w:t>
                  </w:r>
                  <w:r>
                    <w:rPr>
                      <w:rFonts w:hint="eastAsia" w:ascii="Times New Roman" w:hAnsi="Times New Roman" w:eastAsia="宋体" w:cs="Times New Roman"/>
                      <w:color w:val="auto"/>
                      <w:sz w:val="18"/>
                      <w:szCs w:val="18"/>
                      <w:highlight w:val="none"/>
                      <w:vertAlign w:val="subscript"/>
                      <w:lang w:val="en-US" w:eastAsia="zh-CN"/>
                    </w:rPr>
                    <w:t>2</w:t>
                  </w:r>
                  <w:r>
                    <w:rPr>
                      <w:rFonts w:hint="eastAsia" w:ascii="Times New Roman" w:hAnsi="Times New Roman" w:eastAsia="宋体" w:cs="Times New Roman"/>
                      <w:color w:val="auto"/>
                      <w:sz w:val="18"/>
                      <w:szCs w:val="18"/>
                      <w:highlight w:val="none"/>
                      <w:lang w:val="en-US" w:eastAsia="zh-CN"/>
                    </w:rPr>
                    <w:t xml:space="preserve">），w/%              </w:t>
                  </w:r>
                </w:p>
              </w:tc>
              <w:tc>
                <w:tcPr>
                  <w:tcW w:w="2339" w:type="pct"/>
                  <w:noWrap w:val="0"/>
                  <w:vAlign w:val="center"/>
                </w:tcPr>
                <w:p w14:paraId="0125B33C">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0.0005</w:t>
                  </w:r>
                </w:p>
              </w:tc>
            </w:tr>
            <w:tr w14:paraId="7CA12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2660" w:type="pct"/>
                  <w:noWrap w:val="0"/>
                  <w:vAlign w:val="center"/>
                </w:tcPr>
                <w:p w14:paraId="6EADB6E9">
                  <w:pPr>
                    <w:adjustRightInd w:val="0"/>
                    <w:snapToGrid w:val="0"/>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氧化钠（Na</w:t>
                  </w:r>
                  <w:r>
                    <w:rPr>
                      <w:rFonts w:hint="eastAsia" w:ascii="Times New Roman" w:hAnsi="Times New Roman" w:eastAsia="宋体" w:cs="Times New Roman"/>
                      <w:color w:val="auto"/>
                      <w:sz w:val="18"/>
                      <w:szCs w:val="18"/>
                      <w:highlight w:val="none"/>
                      <w:vertAlign w:val="subscript"/>
                      <w:lang w:val="en-US" w:eastAsia="zh-CN"/>
                    </w:rPr>
                    <w:t>2</w:t>
                  </w:r>
                  <w:r>
                    <w:rPr>
                      <w:rFonts w:hint="eastAsia" w:ascii="Times New Roman" w:hAnsi="Times New Roman" w:eastAsia="宋体" w:cs="Times New Roman"/>
                      <w:color w:val="auto"/>
                      <w:sz w:val="18"/>
                      <w:szCs w:val="18"/>
                      <w:highlight w:val="none"/>
                      <w:lang w:val="en-US" w:eastAsia="zh-CN"/>
                    </w:rPr>
                    <w:t xml:space="preserve">O），w/%              </w:t>
                  </w:r>
                </w:p>
              </w:tc>
              <w:tc>
                <w:tcPr>
                  <w:tcW w:w="2339" w:type="pct"/>
                  <w:noWrap w:val="0"/>
                  <w:vAlign w:val="center"/>
                </w:tcPr>
                <w:p w14:paraId="4A7088D2">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0.0006</w:t>
                  </w:r>
                </w:p>
              </w:tc>
            </w:tr>
            <w:tr w14:paraId="1EAD5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2660" w:type="pct"/>
                  <w:noWrap w:val="0"/>
                  <w:vAlign w:val="center"/>
                </w:tcPr>
                <w:p w14:paraId="15946BAE">
                  <w:pPr>
                    <w:adjustRightInd w:val="0"/>
                    <w:snapToGrid w:val="0"/>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二氧化钛（TiO</w:t>
                  </w:r>
                  <w:r>
                    <w:rPr>
                      <w:rFonts w:hint="eastAsia" w:ascii="Times New Roman" w:hAnsi="Times New Roman" w:eastAsia="宋体" w:cs="Times New Roman"/>
                      <w:color w:val="auto"/>
                      <w:sz w:val="18"/>
                      <w:szCs w:val="18"/>
                      <w:highlight w:val="none"/>
                      <w:vertAlign w:val="subscript"/>
                      <w:lang w:val="en-US" w:eastAsia="zh-CN"/>
                    </w:rPr>
                    <w:t>2</w:t>
                  </w:r>
                  <w:r>
                    <w:rPr>
                      <w:rFonts w:hint="eastAsia" w:ascii="Times New Roman" w:hAnsi="Times New Roman" w:eastAsia="宋体" w:cs="Times New Roman"/>
                      <w:color w:val="auto"/>
                      <w:sz w:val="18"/>
                      <w:szCs w:val="18"/>
                      <w:highlight w:val="none"/>
                      <w:lang w:val="en-US" w:eastAsia="zh-CN"/>
                    </w:rPr>
                    <w:t xml:space="preserve">），w/%             </w:t>
                  </w:r>
                </w:p>
              </w:tc>
              <w:tc>
                <w:tcPr>
                  <w:tcW w:w="2339" w:type="pct"/>
                  <w:noWrap w:val="0"/>
                  <w:vAlign w:val="center"/>
                </w:tcPr>
                <w:p w14:paraId="03DE843C">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0.0004</w:t>
                  </w:r>
                </w:p>
              </w:tc>
            </w:tr>
            <w:tr w14:paraId="4D521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2660" w:type="pct"/>
                  <w:noWrap w:val="0"/>
                  <w:vAlign w:val="center"/>
                </w:tcPr>
                <w:p w14:paraId="695EBDCA">
                  <w:pPr>
                    <w:adjustRightInd w:val="0"/>
                    <w:snapToGrid w:val="0"/>
                    <w:jc w:val="left"/>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游离水（H</w:t>
                  </w:r>
                  <w:r>
                    <w:rPr>
                      <w:rFonts w:hint="eastAsia" w:ascii="Times New Roman" w:hAnsi="Times New Roman" w:eastAsia="宋体" w:cs="Times New Roman"/>
                      <w:color w:val="auto"/>
                      <w:sz w:val="18"/>
                      <w:szCs w:val="18"/>
                      <w:highlight w:val="none"/>
                      <w:vertAlign w:val="subscript"/>
                      <w:lang w:val="en-US" w:eastAsia="zh-CN"/>
                    </w:rPr>
                    <w:t>2</w:t>
                  </w:r>
                  <w:r>
                    <w:rPr>
                      <w:rFonts w:hint="eastAsia" w:ascii="Times New Roman" w:hAnsi="Times New Roman" w:eastAsia="宋体" w:cs="Times New Roman"/>
                      <w:color w:val="auto"/>
                      <w:sz w:val="18"/>
                      <w:szCs w:val="18"/>
                      <w:highlight w:val="none"/>
                      <w:lang w:val="en-US" w:eastAsia="zh-CN"/>
                    </w:rPr>
                    <w:t xml:space="preserve">O），w/%   </w:t>
                  </w:r>
                </w:p>
              </w:tc>
              <w:tc>
                <w:tcPr>
                  <w:tcW w:w="2339" w:type="pct"/>
                  <w:noWrap w:val="0"/>
                  <w:vAlign w:val="center"/>
                </w:tcPr>
                <w:p w14:paraId="611968F5">
                  <w:pPr>
                    <w:pStyle w:val="43"/>
                    <w:adjustRightInd w:val="0"/>
                    <w:snapToGrid w:val="0"/>
                    <w:jc w:val="center"/>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26</w:t>
                  </w:r>
                </w:p>
              </w:tc>
            </w:tr>
          </w:tbl>
          <w:p w14:paraId="1EF5C5E4">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eastAsiaTheme="minorEastAsia"/>
                <w:color w:val="auto"/>
                <w:kern w:val="0"/>
                <w:szCs w:val="21"/>
                <w:highlight w:val="none"/>
                <w:lang w:eastAsia="zh-CN"/>
              </w:rPr>
            </w:pPr>
            <w:r>
              <w:rPr>
                <w:rFonts w:hint="default" w:ascii="Times New Roman" w:hAnsi="Times New Roman" w:cs="Times New Roman" w:eastAsiaTheme="minorEastAsia"/>
                <w:color w:val="auto"/>
                <w:kern w:val="0"/>
                <w:szCs w:val="21"/>
                <w:highlight w:val="none"/>
              </w:rPr>
              <w:t>②</w:t>
            </w:r>
            <w:r>
              <w:rPr>
                <w:rFonts w:hint="default" w:ascii="Times New Roman" w:hAnsi="Times New Roman" w:cs="Times New Roman" w:eastAsiaTheme="minorEastAsia"/>
                <w:color w:val="auto"/>
                <w:kern w:val="0"/>
                <w:szCs w:val="21"/>
                <w:highlight w:val="none"/>
                <w:lang w:val="en-US" w:eastAsia="zh-CN"/>
              </w:rPr>
              <w:t>P204萃取剂</w:t>
            </w:r>
            <w:r>
              <w:rPr>
                <w:rFonts w:hint="eastAsia" w:cs="Times New Roman" w:eastAsiaTheme="minorEastAsia"/>
                <w:color w:val="auto"/>
                <w:kern w:val="0"/>
                <w:szCs w:val="21"/>
                <w:highlight w:val="none"/>
                <w:lang w:eastAsia="zh-CN"/>
              </w:rPr>
              <w:t>：</w:t>
            </w:r>
            <w:r>
              <w:rPr>
                <w:rFonts w:hint="eastAsia" w:cs="Times New Roman" w:eastAsiaTheme="minorEastAsia"/>
                <w:color w:val="auto"/>
                <w:kern w:val="0"/>
                <w:szCs w:val="21"/>
                <w:highlight w:val="none"/>
                <w:lang w:val="en-US" w:eastAsia="zh-CN"/>
              </w:rPr>
              <w:t>又名二 -（2-乙基己基）磷酸酯，无色透明黏稠液体。密度（g/mL，25/25℃）：0.973；凝固点（ºC）：-60；沸点（ºC，1.33kPa）：209；折射率（25ºC）：1.4420；闪点（ºC）：196。溶于苯、己烷和乙醇等一般有机溶剂和碱中，不溶于水。LD50：4940 mg/kg（大鼠经口）；1250 mg/kg（兔经皮）；中等毒性，对眼睛、皮肤和黏膜有刺激性</w:t>
            </w:r>
            <w:r>
              <w:rPr>
                <w:rFonts w:hint="default" w:ascii="Times New Roman" w:hAnsi="Times New Roman" w:cs="Times New Roman" w:eastAsiaTheme="minorEastAsia"/>
                <w:color w:val="auto"/>
                <w:kern w:val="0"/>
                <w:szCs w:val="21"/>
                <w:highlight w:val="none"/>
                <w:lang w:eastAsia="zh-CN"/>
              </w:rPr>
              <w:t>。</w:t>
            </w:r>
          </w:p>
          <w:p w14:paraId="62871145">
            <w:pPr>
              <w:spacing w:line="360" w:lineRule="auto"/>
              <w:ind w:firstLine="420" w:firstLineChars="200"/>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t>③</w:t>
            </w:r>
            <w:r>
              <w:rPr>
                <w:rFonts w:hint="default" w:ascii="Times New Roman" w:hAnsi="Times New Roman" w:cs="Times New Roman" w:eastAsiaTheme="minorEastAsia"/>
                <w:color w:val="auto"/>
                <w:kern w:val="0"/>
                <w:szCs w:val="21"/>
                <w:highlight w:val="none"/>
                <w:lang w:val="en-US" w:eastAsia="zh-CN"/>
              </w:rPr>
              <w:t>P507萃取剂</w:t>
            </w:r>
            <w:r>
              <w:rPr>
                <w:rFonts w:hint="eastAsia" w:cs="Times New Roman" w:eastAsiaTheme="minorEastAsia"/>
                <w:color w:val="auto"/>
                <w:kern w:val="0"/>
                <w:szCs w:val="21"/>
                <w:highlight w:val="none"/>
                <w:lang w:eastAsia="zh-CN"/>
              </w:rPr>
              <w:t>：</w:t>
            </w:r>
            <w:r>
              <w:rPr>
                <w:rFonts w:hint="eastAsia" w:cs="Times New Roman" w:eastAsiaTheme="minorEastAsia"/>
                <w:color w:val="auto"/>
                <w:kern w:val="0"/>
                <w:szCs w:val="21"/>
                <w:highlight w:val="none"/>
                <w:lang w:val="en-US" w:eastAsia="zh-CN"/>
              </w:rPr>
              <w:t>又名</w:t>
            </w:r>
            <w:r>
              <w:rPr>
                <w:rFonts w:hint="eastAsia" w:cs="Times New Roman" w:eastAsiaTheme="minorEastAsia"/>
                <w:color w:val="auto"/>
                <w:kern w:val="0"/>
                <w:szCs w:val="21"/>
                <w:highlight w:val="none"/>
                <w:lang w:eastAsia="zh-CN"/>
              </w:rPr>
              <w:t>2-乙基己基膦酸单-2-乙基己基酯，为淡黄色至红棕色油状液体，相对密度约0.98-1.00 g/cm³，沸点&gt;250℃，闪点&gt;110℃，难溶于水，易溶于煤油、苯、甲苯等有机溶剂，具有酸性（pKa≈4.5），热稳定性好（分解温度&gt;200℃），化学性质稳定，对金属离子有良好的络合萃取能力。毒性方面，P507属低毒至中等毒性物质，LD50（大鼠经口）约2000-5000 mg/kg，对皮肤和眼睛有轻度刺激性，长期接触可能引起呼吸道和消化道不适，无明确致癌致畸证据，但操作时需佩戴防护手套和护目镜，避免吸入蒸气或接触皮肤，储存于阴凉通风处，远离火源</w:t>
            </w:r>
            <w:r>
              <w:rPr>
                <w:rFonts w:hint="default" w:ascii="Times New Roman" w:hAnsi="Times New Roman" w:cs="Times New Roman" w:eastAsiaTheme="minorEastAsia"/>
                <w:color w:val="auto"/>
                <w:kern w:val="0"/>
                <w:szCs w:val="21"/>
                <w:highlight w:val="none"/>
              </w:rPr>
              <w:t>。</w:t>
            </w:r>
          </w:p>
          <w:p w14:paraId="3D971031">
            <w:pPr>
              <w:spacing w:line="360" w:lineRule="auto"/>
              <w:ind w:firstLine="420" w:firstLineChars="200"/>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t>④</w:t>
            </w:r>
            <w:r>
              <w:rPr>
                <w:rFonts w:hint="default" w:ascii="Times New Roman" w:hAnsi="Times New Roman" w:cs="Times New Roman" w:eastAsiaTheme="minorEastAsia"/>
                <w:color w:val="auto"/>
                <w:kern w:val="0"/>
                <w:szCs w:val="21"/>
                <w:highlight w:val="none"/>
                <w:lang w:val="en-US" w:eastAsia="zh-CN"/>
              </w:rPr>
              <w:t>氢氧化钠</w:t>
            </w:r>
            <w:r>
              <w:rPr>
                <w:rFonts w:hint="eastAsia" w:cs="Times New Roman" w:eastAsiaTheme="minorEastAsia"/>
                <w:color w:val="auto"/>
                <w:kern w:val="0"/>
                <w:szCs w:val="21"/>
                <w:highlight w:val="none"/>
                <w:lang w:eastAsia="zh-CN"/>
              </w:rPr>
              <w:t>：白色不透明固体，易潮解。熔点（℃）：318.4相对密度（水=1）：2.12 沸点（℃）：1390 饱和蒸气压（kPa）：0.13/739℃溶解性：易溶于水、乙醇、甘油，不溶于丙酮。</w:t>
            </w:r>
          </w:p>
          <w:p w14:paraId="5AC75255">
            <w:pPr>
              <w:spacing w:line="360" w:lineRule="auto"/>
              <w:ind w:firstLine="422" w:firstLineChars="200"/>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10、主要生产设备</w:t>
            </w:r>
          </w:p>
          <w:p w14:paraId="68C94F8C">
            <w:pPr>
              <w:spacing w:line="360" w:lineRule="auto"/>
              <w:ind w:firstLine="420" w:firstLineChars="200"/>
              <w:rPr>
                <w:rFonts w:hint="default" w:ascii="Times New Roman" w:hAnsi="Times New Roman" w:cs="Times New Roman" w:eastAsiaTheme="minorEastAsia"/>
                <w:color w:val="auto"/>
                <w:kern w:val="0"/>
                <w:szCs w:val="21"/>
                <w:highlight w:val="none"/>
              </w:rPr>
            </w:pPr>
            <w:r>
              <w:rPr>
                <w:rFonts w:hint="default" w:ascii="Times New Roman" w:hAnsi="Times New Roman" w:cs="Times New Roman" w:eastAsiaTheme="minorEastAsia"/>
                <w:color w:val="auto"/>
                <w:kern w:val="0"/>
                <w:szCs w:val="21"/>
                <w:highlight w:val="none"/>
              </w:rPr>
              <w:t>本项目主要生产设备见表2-</w:t>
            </w:r>
            <w:r>
              <w:rPr>
                <w:rFonts w:hint="eastAsia" w:cs="Times New Roman" w:eastAsiaTheme="minorEastAsia"/>
                <w:color w:val="auto"/>
                <w:kern w:val="0"/>
                <w:szCs w:val="21"/>
                <w:highlight w:val="none"/>
                <w:lang w:val="en-US" w:eastAsia="zh-CN"/>
              </w:rPr>
              <w:t>7</w:t>
            </w:r>
            <w:r>
              <w:rPr>
                <w:rFonts w:hint="default" w:ascii="Times New Roman" w:hAnsi="Times New Roman" w:cs="Times New Roman" w:eastAsiaTheme="minorEastAsia"/>
                <w:color w:val="auto"/>
                <w:kern w:val="0"/>
                <w:szCs w:val="21"/>
                <w:highlight w:val="none"/>
              </w:rPr>
              <w:t>。</w:t>
            </w:r>
          </w:p>
          <w:p w14:paraId="0A54BA81">
            <w:pPr>
              <w:pStyle w:val="82"/>
              <w:spacing w:after="0"/>
              <w:ind w:left="0" w:lef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表2-</w:t>
            </w:r>
            <w:r>
              <w:rPr>
                <w:rFonts w:hint="eastAsia" w:cs="Times New Roman"/>
                <w:b/>
                <w:bCs/>
                <w:color w:val="auto"/>
                <w:sz w:val="21"/>
                <w:szCs w:val="21"/>
                <w:highlight w:val="none"/>
                <w:lang w:val="en-US" w:eastAsia="zh-CN"/>
              </w:rPr>
              <w:t>7</w:t>
            </w:r>
            <w:r>
              <w:rPr>
                <w:rFonts w:hint="default" w:ascii="Times New Roman" w:hAnsi="Times New Roman" w:eastAsia="宋体" w:cs="Times New Roman"/>
                <w:b/>
                <w:bCs/>
                <w:color w:val="auto"/>
                <w:sz w:val="21"/>
                <w:szCs w:val="21"/>
                <w:highlight w:val="none"/>
              </w:rPr>
              <w:t xml:space="preserve"> 项目主要生产及环保设备</w:t>
            </w:r>
          </w:p>
          <w:tbl>
            <w:tblPr>
              <w:tblStyle w:val="83"/>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6"/>
              <w:gridCol w:w="923"/>
              <w:gridCol w:w="1034"/>
              <w:gridCol w:w="1629"/>
              <w:gridCol w:w="1743"/>
              <w:gridCol w:w="1293"/>
              <w:gridCol w:w="1293"/>
            </w:tblGrid>
            <w:tr w14:paraId="2B668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tblHeader/>
                <w:jc w:val="center"/>
              </w:trPr>
              <w:tc>
                <w:tcPr>
                  <w:tcW w:w="289" w:type="pct"/>
                  <w:noWrap w:val="0"/>
                  <w:vAlign w:val="center"/>
                </w:tcPr>
                <w:p w14:paraId="6CEF8D65">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序号</w:t>
                  </w:r>
                </w:p>
              </w:tc>
              <w:tc>
                <w:tcPr>
                  <w:tcW w:w="549" w:type="pct"/>
                  <w:noWrap w:val="0"/>
                  <w:vAlign w:val="center"/>
                </w:tcPr>
                <w:p w14:paraId="506FE8FB">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主要生产单元</w:t>
                  </w:r>
                </w:p>
              </w:tc>
              <w:tc>
                <w:tcPr>
                  <w:tcW w:w="615" w:type="pct"/>
                  <w:noWrap w:val="0"/>
                  <w:vAlign w:val="center"/>
                </w:tcPr>
                <w:p w14:paraId="2FAB975C">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主要工艺</w:t>
                  </w:r>
                </w:p>
              </w:tc>
              <w:tc>
                <w:tcPr>
                  <w:tcW w:w="969" w:type="pct"/>
                  <w:noWrap w:val="0"/>
                  <w:vAlign w:val="center"/>
                </w:tcPr>
                <w:p w14:paraId="0520F311">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生产设施</w:t>
                  </w:r>
                </w:p>
              </w:tc>
              <w:tc>
                <w:tcPr>
                  <w:tcW w:w="1037" w:type="pct"/>
                  <w:noWrap w:val="0"/>
                  <w:vAlign w:val="center"/>
                </w:tcPr>
                <w:p w14:paraId="13BFBCAD">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项目数量</w:t>
                  </w:r>
                </w:p>
              </w:tc>
              <w:tc>
                <w:tcPr>
                  <w:tcW w:w="769" w:type="pct"/>
                  <w:noWrap w:val="0"/>
                  <w:vAlign w:val="center"/>
                </w:tcPr>
                <w:p w14:paraId="3A233F80">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型号</w:t>
                  </w:r>
                </w:p>
              </w:tc>
              <w:tc>
                <w:tcPr>
                  <w:tcW w:w="769" w:type="pct"/>
                  <w:noWrap w:val="0"/>
                  <w:vAlign w:val="center"/>
                </w:tcPr>
                <w:p w14:paraId="6F5AB369">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color w:val="auto"/>
                      <w:sz w:val="18"/>
                      <w:szCs w:val="18"/>
                      <w:highlight w:val="none"/>
                      <w:lang w:val="en-US" w:eastAsia="zh-CN"/>
                    </w:rPr>
                  </w:pPr>
                  <w:r>
                    <w:rPr>
                      <w:rFonts w:hint="default" w:ascii="Times New Roman" w:hAnsi="Times New Roman" w:cs="Times New Roman"/>
                      <w:b/>
                      <w:color w:val="auto"/>
                      <w:sz w:val="18"/>
                      <w:szCs w:val="18"/>
                      <w:highlight w:val="none"/>
                      <w:lang w:val="en-US" w:eastAsia="zh-CN"/>
                    </w:rPr>
                    <w:t>备注</w:t>
                  </w:r>
                </w:p>
              </w:tc>
            </w:tr>
            <w:tr w14:paraId="74E1D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195B9DBA">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1</w:t>
                  </w:r>
                </w:p>
              </w:tc>
              <w:tc>
                <w:tcPr>
                  <w:tcW w:w="549" w:type="pct"/>
                  <w:vMerge w:val="restart"/>
                  <w:noWrap w:val="0"/>
                  <w:vAlign w:val="center"/>
                </w:tcPr>
                <w:p w14:paraId="2A47FFC8">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none"/>
                      <w:lang w:val="en-US" w:eastAsia="zh-CN"/>
                    </w:rPr>
                  </w:pPr>
                  <w:r>
                    <w:rPr>
                      <w:rFonts w:hint="eastAsia" w:ascii="Times New Roman" w:hAnsi="Times New Roman" w:cs="Times New Roman"/>
                      <w:bCs/>
                      <w:color w:val="auto"/>
                      <w:sz w:val="18"/>
                      <w:szCs w:val="18"/>
                      <w:highlight w:val="none"/>
                      <w:lang w:val="en-US" w:eastAsia="zh-CN"/>
                    </w:rPr>
                    <w:t>生产单元</w:t>
                  </w:r>
                </w:p>
              </w:tc>
              <w:tc>
                <w:tcPr>
                  <w:tcW w:w="615" w:type="pct"/>
                  <w:shd w:val="clear" w:color="auto" w:fill="auto"/>
                  <w:noWrap w:val="0"/>
                  <w:vAlign w:val="center"/>
                </w:tcPr>
                <w:p w14:paraId="1EEF7766">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溶解</w:t>
                  </w:r>
                </w:p>
              </w:tc>
              <w:tc>
                <w:tcPr>
                  <w:tcW w:w="969" w:type="pct"/>
                  <w:shd w:val="clear" w:color="auto" w:fill="auto"/>
                  <w:noWrap w:val="0"/>
                  <w:vAlign w:val="center"/>
                </w:tcPr>
                <w:p w14:paraId="60862610">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原料溶解槽</w:t>
                  </w:r>
                </w:p>
              </w:tc>
              <w:tc>
                <w:tcPr>
                  <w:tcW w:w="1037" w:type="pct"/>
                  <w:shd w:val="clear" w:color="auto" w:fill="auto"/>
                  <w:noWrap w:val="0"/>
                  <w:vAlign w:val="center"/>
                </w:tcPr>
                <w:p w14:paraId="7C02AFD1">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20台</w:t>
                  </w:r>
                </w:p>
              </w:tc>
              <w:tc>
                <w:tcPr>
                  <w:tcW w:w="769" w:type="pct"/>
                  <w:noWrap w:val="0"/>
                  <w:vAlign w:val="center"/>
                </w:tcPr>
                <w:p w14:paraId="08FBFE7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6m</w:t>
                  </w:r>
                  <w:r>
                    <w:rPr>
                      <w:rFonts w:hint="eastAsia" w:cs="Times New Roman"/>
                      <w:bCs/>
                      <w:color w:val="auto"/>
                      <w:sz w:val="18"/>
                      <w:szCs w:val="18"/>
                      <w:highlight w:val="none"/>
                      <w:vertAlign w:val="superscript"/>
                      <w:lang w:val="en-US" w:eastAsia="zh-CN"/>
                    </w:rPr>
                    <w:t>3</w:t>
                  </w:r>
                </w:p>
              </w:tc>
              <w:tc>
                <w:tcPr>
                  <w:tcW w:w="769" w:type="pct"/>
                  <w:noWrap w:val="0"/>
                  <w:vAlign w:val="center"/>
                </w:tcPr>
                <w:p w14:paraId="427F4B31">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w:t>
                  </w:r>
                </w:p>
              </w:tc>
            </w:tr>
            <w:tr w14:paraId="6CF90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645D3840">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2</w:t>
                  </w:r>
                </w:p>
              </w:tc>
              <w:tc>
                <w:tcPr>
                  <w:tcW w:w="549" w:type="pct"/>
                  <w:vMerge w:val="continue"/>
                  <w:noWrap w:val="0"/>
                  <w:vAlign w:val="center"/>
                </w:tcPr>
                <w:p w14:paraId="7EB2DDCE">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336B8F6F">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压滤</w:t>
                  </w:r>
                </w:p>
              </w:tc>
              <w:tc>
                <w:tcPr>
                  <w:tcW w:w="969" w:type="pct"/>
                  <w:shd w:val="clear" w:color="auto" w:fill="auto"/>
                  <w:noWrap w:val="0"/>
                  <w:vAlign w:val="center"/>
                </w:tcPr>
                <w:p w14:paraId="6BAA9A52">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板框压滤机</w:t>
                  </w:r>
                </w:p>
              </w:tc>
              <w:tc>
                <w:tcPr>
                  <w:tcW w:w="1037" w:type="pct"/>
                  <w:shd w:val="clear" w:color="auto" w:fill="auto"/>
                  <w:noWrap w:val="0"/>
                  <w:vAlign w:val="center"/>
                </w:tcPr>
                <w:p w14:paraId="40D322B0">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10台</w:t>
                  </w:r>
                </w:p>
              </w:tc>
              <w:tc>
                <w:tcPr>
                  <w:tcW w:w="769" w:type="pct"/>
                  <w:shd w:val="clear" w:color="auto" w:fill="auto"/>
                  <w:noWrap w:val="0"/>
                  <w:vAlign w:val="center"/>
                </w:tcPr>
                <w:p w14:paraId="0F4E947D">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15</w:t>
                  </w:r>
                  <w:r>
                    <w:rPr>
                      <w:rFonts w:hint="eastAsia" w:cs="Times New Roman"/>
                      <w:bCs/>
                      <w:color w:val="auto"/>
                      <w:sz w:val="18"/>
                      <w:szCs w:val="18"/>
                      <w:highlight w:val="none"/>
                      <w:lang w:val="en-US" w:eastAsia="zh-CN"/>
                    </w:rPr>
                    <w:t>m</w:t>
                  </w:r>
                  <w:r>
                    <w:rPr>
                      <w:rFonts w:hint="eastAsia" w:cs="Times New Roman"/>
                      <w:bCs/>
                      <w:color w:val="auto"/>
                      <w:sz w:val="18"/>
                      <w:szCs w:val="18"/>
                      <w:highlight w:val="none"/>
                      <w:vertAlign w:val="superscript"/>
                      <w:lang w:val="en-US" w:eastAsia="zh-CN"/>
                    </w:rPr>
                    <w:t>3</w:t>
                  </w:r>
                </w:p>
              </w:tc>
              <w:tc>
                <w:tcPr>
                  <w:tcW w:w="769" w:type="pct"/>
                  <w:shd w:val="clear" w:color="auto" w:fill="auto"/>
                  <w:noWrap w:val="0"/>
                  <w:vAlign w:val="center"/>
                </w:tcPr>
                <w:p w14:paraId="6B7F962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w:t>
                  </w:r>
                </w:p>
              </w:tc>
            </w:tr>
            <w:tr w14:paraId="73071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731E898E">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3</w:t>
                  </w:r>
                </w:p>
              </w:tc>
              <w:tc>
                <w:tcPr>
                  <w:tcW w:w="549" w:type="pct"/>
                  <w:vMerge w:val="continue"/>
                  <w:noWrap w:val="0"/>
                  <w:vAlign w:val="center"/>
                </w:tcPr>
                <w:p w14:paraId="63DD95D2">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255DD67A">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定容</w:t>
                  </w:r>
                </w:p>
              </w:tc>
              <w:tc>
                <w:tcPr>
                  <w:tcW w:w="969" w:type="pct"/>
                  <w:shd w:val="clear" w:color="auto" w:fill="auto"/>
                  <w:noWrap w:val="0"/>
                  <w:vAlign w:val="center"/>
                </w:tcPr>
                <w:p w14:paraId="4F7948B1">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标准定容槽</w:t>
                  </w:r>
                </w:p>
              </w:tc>
              <w:tc>
                <w:tcPr>
                  <w:tcW w:w="1037" w:type="pct"/>
                  <w:shd w:val="clear" w:color="auto" w:fill="auto"/>
                  <w:noWrap w:val="0"/>
                  <w:vAlign w:val="center"/>
                </w:tcPr>
                <w:p w14:paraId="6D07D6D9">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2台</w:t>
                  </w:r>
                </w:p>
              </w:tc>
              <w:tc>
                <w:tcPr>
                  <w:tcW w:w="769" w:type="pct"/>
                  <w:shd w:val="clear" w:color="auto" w:fill="auto"/>
                  <w:noWrap w:val="0"/>
                  <w:vAlign w:val="center"/>
                </w:tcPr>
                <w:p w14:paraId="44685E5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10</w:t>
                  </w:r>
                  <w:r>
                    <w:rPr>
                      <w:rFonts w:hint="eastAsia" w:cs="Times New Roman"/>
                      <w:bCs/>
                      <w:color w:val="auto"/>
                      <w:sz w:val="18"/>
                      <w:szCs w:val="18"/>
                      <w:highlight w:val="none"/>
                      <w:lang w:val="en-US" w:eastAsia="zh-CN"/>
                    </w:rPr>
                    <w:t>m</w:t>
                  </w:r>
                  <w:r>
                    <w:rPr>
                      <w:rFonts w:hint="eastAsia" w:cs="Times New Roman"/>
                      <w:bCs/>
                      <w:color w:val="auto"/>
                      <w:sz w:val="18"/>
                      <w:szCs w:val="18"/>
                      <w:highlight w:val="none"/>
                      <w:vertAlign w:val="superscript"/>
                      <w:lang w:val="en-US" w:eastAsia="zh-CN"/>
                    </w:rPr>
                    <w:t>3</w:t>
                  </w:r>
                </w:p>
              </w:tc>
              <w:tc>
                <w:tcPr>
                  <w:tcW w:w="769" w:type="pct"/>
                  <w:shd w:val="clear" w:color="auto" w:fill="auto"/>
                  <w:noWrap w:val="0"/>
                  <w:vAlign w:val="center"/>
                </w:tcPr>
                <w:p w14:paraId="2137819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w:t>
                  </w:r>
                </w:p>
              </w:tc>
            </w:tr>
            <w:tr w14:paraId="16ABF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3AD98327">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4</w:t>
                  </w:r>
                </w:p>
              </w:tc>
              <w:tc>
                <w:tcPr>
                  <w:tcW w:w="549" w:type="pct"/>
                  <w:vMerge w:val="continue"/>
                  <w:noWrap w:val="0"/>
                  <w:vAlign w:val="center"/>
                </w:tcPr>
                <w:p w14:paraId="5122CF8C">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71074D16">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离心</w:t>
                  </w:r>
                </w:p>
              </w:tc>
              <w:tc>
                <w:tcPr>
                  <w:tcW w:w="969" w:type="pct"/>
                  <w:shd w:val="clear" w:color="auto" w:fill="auto"/>
                  <w:noWrap w:val="0"/>
                  <w:vAlign w:val="center"/>
                </w:tcPr>
                <w:p w14:paraId="173C395A">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离心机</w:t>
                  </w:r>
                </w:p>
              </w:tc>
              <w:tc>
                <w:tcPr>
                  <w:tcW w:w="1037" w:type="pct"/>
                  <w:shd w:val="clear" w:color="auto" w:fill="auto"/>
                  <w:noWrap w:val="0"/>
                  <w:vAlign w:val="center"/>
                </w:tcPr>
                <w:p w14:paraId="7A84FBDF">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10台</w:t>
                  </w:r>
                </w:p>
              </w:tc>
              <w:tc>
                <w:tcPr>
                  <w:tcW w:w="769" w:type="pct"/>
                  <w:shd w:val="clear" w:color="auto" w:fill="auto"/>
                  <w:noWrap w:val="0"/>
                  <w:vAlign w:val="center"/>
                </w:tcPr>
                <w:p w14:paraId="1A0C8FC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Φ1200</w:t>
                  </w:r>
                </w:p>
              </w:tc>
              <w:tc>
                <w:tcPr>
                  <w:tcW w:w="769" w:type="pct"/>
                  <w:shd w:val="clear" w:color="auto" w:fill="auto"/>
                  <w:noWrap w:val="0"/>
                  <w:vAlign w:val="center"/>
                </w:tcPr>
                <w:p w14:paraId="03901D9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w:t>
                  </w:r>
                </w:p>
              </w:tc>
            </w:tr>
            <w:tr w14:paraId="3F0EC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2FC6DE3E">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5</w:t>
                  </w:r>
                </w:p>
              </w:tc>
              <w:tc>
                <w:tcPr>
                  <w:tcW w:w="549" w:type="pct"/>
                  <w:vMerge w:val="continue"/>
                  <w:noWrap w:val="0"/>
                  <w:vAlign w:val="center"/>
                </w:tcPr>
                <w:p w14:paraId="2315223F">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68D5CEB1">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过滤</w:t>
                  </w:r>
                </w:p>
              </w:tc>
              <w:tc>
                <w:tcPr>
                  <w:tcW w:w="969" w:type="pct"/>
                  <w:shd w:val="clear" w:color="auto" w:fill="auto"/>
                  <w:noWrap w:val="0"/>
                  <w:vAlign w:val="center"/>
                </w:tcPr>
                <w:p w14:paraId="78E4AE2A">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精密过滤器</w:t>
                  </w:r>
                </w:p>
              </w:tc>
              <w:tc>
                <w:tcPr>
                  <w:tcW w:w="1037" w:type="pct"/>
                  <w:shd w:val="clear" w:color="auto" w:fill="auto"/>
                  <w:noWrap w:val="0"/>
                  <w:vAlign w:val="center"/>
                </w:tcPr>
                <w:p w14:paraId="1C8B58A8">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2台</w:t>
                  </w:r>
                </w:p>
              </w:tc>
              <w:tc>
                <w:tcPr>
                  <w:tcW w:w="769" w:type="pct"/>
                  <w:shd w:val="clear" w:color="auto" w:fill="auto"/>
                  <w:noWrap w:val="0"/>
                  <w:vAlign w:val="center"/>
                </w:tcPr>
                <w:p w14:paraId="789E26D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w:t>
                  </w:r>
                </w:p>
              </w:tc>
              <w:tc>
                <w:tcPr>
                  <w:tcW w:w="769" w:type="pct"/>
                  <w:shd w:val="clear" w:color="auto" w:fill="auto"/>
                  <w:noWrap w:val="0"/>
                  <w:vAlign w:val="center"/>
                </w:tcPr>
                <w:p w14:paraId="73B416D4">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w:t>
                  </w:r>
                </w:p>
              </w:tc>
            </w:tr>
            <w:tr w14:paraId="2A8FF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38A15A4C">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6</w:t>
                  </w:r>
                </w:p>
              </w:tc>
              <w:tc>
                <w:tcPr>
                  <w:tcW w:w="549" w:type="pct"/>
                  <w:vMerge w:val="continue"/>
                  <w:noWrap w:val="0"/>
                  <w:vAlign w:val="center"/>
                </w:tcPr>
                <w:p w14:paraId="42A78F3D">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14CB9FD4">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辅助</w:t>
                  </w:r>
                </w:p>
              </w:tc>
              <w:tc>
                <w:tcPr>
                  <w:tcW w:w="969" w:type="pct"/>
                  <w:shd w:val="clear" w:color="auto" w:fill="auto"/>
                  <w:noWrap w:val="0"/>
                  <w:vAlign w:val="center"/>
                </w:tcPr>
                <w:p w14:paraId="4A09B902">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泵</w:t>
                  </w:r>
                </w:p>
              </w:tc>
              <w:tc>
                <w:tcPr>
                  <w:tcW w:w="1037" w:type="pct"/>
                  <w:shd w:val="clear" w:color="auto" w:fill="auto"/>
                  <w:noWrap w:val="0"/>
                  <w:vAlign w:val="center"/>
                </w:tcPr>
                <w:p w14:paraId="13138448">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16台</w:t>
                  </w:r>
                </w:p>
              </w:tc>
              <w:tc>
                <w:tcPr>
                  <w:tcW w:w="769" w:type="pct"/>
                  <w:shd w:val="clear" w:color="auto" w:fill="auto"/>
                  <w:noWrap w:val="0"/>
                  <w:vAlign w:val="center"/>
                </w:tcPr>
                <w:p w14:paraId="75444080">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w:t>
                  </w:r>
                </w:p>
              </w:tc>
              <w:tc>
                <w:tcPr>
                  <w:tcW w:w="769" w:type="pct"/>
                  <w:shd w:val="clear" w:color="auto" w:fill="auto"/>
                  <w:noWrap w:val="0"/>
                  <w:vAlign w:val="center"/>
                </w:tcPr>
                <w:p w14:paraId="71015515">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w:t>
                  </w:r>
                </w:p>
              </w:tc>
            </w:tr>
            <w:tr w14:paraId="76075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29DFBC0A">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7</w:t>
                  </w:r>
                </w:p>
              </w:tc>
              <w:tc>
                <w:tcPr>
                  <w:tcW w:w="549" w:type="pct"/>
                  <w:vMerge w:val="continue"/>
                  <w:noWrap w:val="0"/>
                  <w:vAlign w:val="center"/>
                </w:tcPr>
                <w:p w14:paraId="37E5BDC8">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4CB8051A">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萃取</w:t>
                  </w:r>
                </w:p>
              </w:tc>
              <w:tc>
                <w:tcPr>
                  <w:tcW w:w="969" w:type="pct"/>
                  <w:shd w:val="clear" w:color="auto" w:fill="auto"/>
                  <w:noWrap w:val="0"/>
                  <w:vAlign w:val="center"/>
                </w:tcPr>
                <w:p w14:paraId="60FF79E6">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萃取槽</w:t>
                  </w:r>
                </w:p>
              </w:tc>
              <w:tc>
                <w:tcPr>
                  <w:tcW w:w="1037" w:type="pct"/>
                  <w:shd w:val="clear" w:color="auto" w:fill="auto"/>
                  <w:noWrap w:val="0"/>
                  <w:vAlign w:val="center"/>
                </w:tcPr>
                <w:p w14:paraId="3B4759E7">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2套</w:t>
                  </w:r>
                </w:p>
              </w:tc>
              <w:tc>
                <w:tcPr>
                  <w:tcW w:w="769" w:type="pct"/>
                  <w:shd w:val="clear" w:color="auto" w:fill="auto"/>
                  <w:noWrap w:val="0"/>
                  <w:vAlign w:val="center"/>
                </w:tcPr>
                <w:p w14:paraId="6533CBBA">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60m*4m</w:t>
                  </w:r>
                </w:p>
              </w:tc>
              <w:tc>
                <w:tcPr>
                  <w:tcW w:w="769" w:type="pct"/>
                  <w:shd w:val="clear" w:color="auto" w:fill="auto"/>
                  <w:noWrap w:val="0"/>
                  <w:vAlign w:val="center"/>
                </w:tcPr>
                <w:p w14:paraId="136CA21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w:t>
                  </w:r>
                </w:p>
              </w:tc>
            </w:tr>
            <w:tr w14:paraId="4A14E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7C7B1EA4">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8</w:t>
                  </w:r>
                </w:p>
              </w:tc>
              <w:tc>
                <w:tcPr>
                  <w:tcW w:w="549" w:type="pct"/>
                  <w:vMerge w:val="continue"/>
                  <w:noWrap w:val="0"/>
                  <w:vAlign w:val="center"/>
                </w:tcPr>
                <w:p w14:paraId="324582BF">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149D3B95">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预热</w:t>
                  </w:r>
                </w:p>
              </w:tc>
              <w:tc>
                <w:tcPr>
                  <w:tcW w:w="969" w:type="pct"/>
                  <w:shd w:val="clear" w:color="auto" w:fill="auto"/>
                  <w:noWrap w:val="0"/>
                  <w:vAlign w:val="center"/>
                </w:tcPr>
                <w:p w14:paraId="751496F8">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钛材加热器</w:t>
                  </w:r>
                </w:p>
              </w:tc>
              <w:tc>
                <w:tcPr>
                  <w:tcW w:w="1037" w:type="pct"/>
                  <w:shd w:val="clear" w:color="auto" w:fill="auto"/>
                  <w:noWrap w:val="0"/>
                  <w:vAlign w:val="center"/>
                </w:tcPr>
                <w:p w14:paraId="37028630">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3套</w:t>
                  </w:r>
                </w:p>
              </w:tc>
              <w:tc>
                <w:tcPr>
                  <w:tcW w:w="769" w:type="pct"/>
                  <w:shd w:val="clear" w:color="auto" w:fill="auto"/>
                  <w:noWrap w:val="0"/>
                  <w:vAlign w:val="center"/>
                </w:tcPr>
                <w:p w14:paraId="2E41D82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5</w:t>
                  </w:r>
                  <w:r>
                    <w:rPr>
                      <w:rFonts w:hint="eastAsia" w:cs="Times New Roman"/>
                      <w:bCs/>
                      <w:color w:val="auto"/>
                      <w:sz w:val="18"/>
                      <w:szCs w:val="18"/>
                      <w:highlight w:val="none"/>
                      <w:lang w:val="en-US" w:eastAsia="zh-CN"/>
                    </w:rPr>
                    <w:t>m</w:t>
                  </w:r>
                  <w:r>
                    <w:rPr>
                      <w:rFonts w:hint="eastAsia" w:cs="Times New Roman"/>
                      <w:bCs/>
                      <w:color w:val="auto"/>
                      <w:sz w:val="18"/>
                      <w:szCs w:val="18"/>
                      <w:highlight w:val="none"/>
                      <w:vertAlign w:val="superscript"/>
                      <w:lang w:val="en-US" w:eastAsia="zh-CN"/>
                    </w:rPr>
                    <w:t>3</w:t>
                  </w:r>
                </w:p>
              </w:tc>
              <w:tc>
                <w:tcPr>
                  <w:tcW w:w="769" w:type="pct"/>
                  <w:shd w:val="clear" w:color="auto" w:fill="auto"/>
                  <w:noWrap w:val="0"/>
                  <w:vAlign w:val="center"/>
                </w:tcPr>
                <w:p w14:paraId="580B4A6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w:t>
                  </w:r>
                </w:p>
              </w:tc>
            </w:tr>
            <w:tr w14:paraId="4737E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blHeader/>
                <w:jc w:val="center"/>
              </w:trPr>
              <w:tc>
                <w:tcPr>
                  <w:tcW w:w="289" w:type="pct"/>
                  <w:shd w:val="clear" w:color="auto" w:fill="auto"/>
                  <w:noWrap w:val="0"/>
                  <w:vAlign w:val="center"/>
                </w:tcPr>
                <w:p w14:paraId="21D375FF">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9</w:t>
                  </w:r>
                </w:p>
              </w:tc>
              <w:tc>
                <w:tcPr>
                  <w:tcW w:w="549" w:type="pct"/>
                  <w:vMerge w:val="continue"/>
                  <w:shd w:val="clear" w:color="auto" w:fill="auto"/>
                  <w:noWrap w:val="0"/>
                  <w:vAlign w:val="center"/>
                </w:tcPr>
                <w:p w14:paraId="3CAC070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5C49868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蒸发</w:t>
                  </w:r>
                </w:p>
              </w:tc>
              <w:tc>
                <w:tcPr>
                  <w:tcW w:w="969" w:type="pct"/>
                  <w:shd w:val="clear" w:color="auto" w:fill="auto"/>
                  <w:noWrap w:val="0"/>
                  <w:vAlign w:val="center"/>
                </w:tcPr>
                <w:p w14:paraId="18B84DE0">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真空减压浓缩槽</w:t>
                  </w:r>
                </w:p>
              </w:tc>
              <w:tc>
                <w:tcPr>
                  <w:tcW w:w="1037" w:type="pct"/>
                  <w:shd w:val="clear" w:color="auto" w:fill="auto"/>
                  <w:noWrap w:val="0"/>
                  <w:vAlign w:val="center"/>
                </w:tcPr>
                <w:p w14:paraId="7659DB92">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10台</w:t>
                  </w:r>
                </w:p>
              </w:tc>
              <w:tc>
                <w:tcPr>
                  <w:tcW w:w="769" w:type="pct"/>
                  <w:shd w:val="clear" w:color="auto" w:fill="auto"/>
                  <w:noWrap w:val="0"/>
                  <w:vAlign w:val="center"/>
                </w:tcPr>
                <w:p w14:paraId="545549DA">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10</w:t>
                  </w:r>
                  <w:r>
                    <w:rPr>
                      <w:rFonts w:hint="eastAsia" w:cs="Times New Roman"/>
                      <w:bCs/>
                      <w:color w:val="auto"/>
                      <w:sz w:val="18"/>
                      <w:szCs w:val="18"/>
                      <w:highlight w:val="none"/>
                      <w:lang w:val="en-US" w:eastAsia="zh-CN"/>
                    </w:rPr>
                    <w:t>m</w:t>
                  </w:r>
                  <w:r>
                    <w:rPr>
                      <w:rFonts w:hint="eastAsia" w:cs="Times New Roman"/>
                      <w:bCs/>
                      <w:color w:val="auto"/>
                      <w:sz w:val="18"/>
                      <w:szCs w:val="18"/>
                      <w:highlight w:val="none"/>
                      <w:vertAlign w:val="superscript"/>
                      <w:lang w:val="en-US" w:eastAsia="zh-CN"/>
                    </w:rPr>
                    <w:t>3</w:t>
                  </w:r>
                </w:p>
              </w:tc>
              <w:tc>
                <w:tcPr>
                  <w:tcW w:w="769" w:type="pct"/>
                  <w:shd w:val="clear" w:color="auto" w:fill="auto"/>
                  <w:noWrap w:val="0"/>
                  <w:vAlign w:val="center"/>
                </w:tcPr>
                <w:p w14:paraId="0A76A0A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bCs/>
                      <w:color w:val="auto"/>
                      <w:sz w:val="18"/>
                      <w:szCs w:val="18"/>
                      <w:highlight w:val="none"/>
                      <w:lang w:val="en-US" w:eastAsia="zh-CN"/>
                    </w:rPr>
                  </w:pPr>
                  <w:r>
                    <w:rPr>
                      <w:rFonts w:hint="eastAsia" w:cs="Times New Roman"/>
                      <w:bCs/>
                      <w:color w:val="auto"/>
                      <w:sz w:val="18"/>
                      <w:szCs w:val="18"/>
                      <w:highlight w:val="none"/>
                      <w:lang w:val="en-US" w:eastAsia="zh-CN"/>
                    </w:rPr>
                    <w:t>/</w:t>
                  </w:r>
                </w:p>
              </w:tc>
            </w:tr>
            <w:tr w14:paraId="121C1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6936A5D8">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eastAsia="宋体" w:cs="Times New Roman"/>
                      <w:bCs/>
                      <w:color w:val="auto"/>
                      <w:kern w:val="2"/>
                      <w:sz w:val="18"/>
                      <w:szCs w:val="18"/>
                      <w:highlight w:val="none"/>
                      <w:lang w:val="en-US" w:eastAsia="zh-CN" w:bidi="ar-SA"/>
                    </w:rPr>
                    <w:t>10</w:t>
                  </w:r>
                </w:p>
              </w:tc>
              <w:tc>
                <w:tcPr>
                  <w:tcW w:w="549" w:type="pct"/>
                  <w:vMerge w:val="continue"/>
                  <w:shd w:val="clear" w:color="auto" w:fill="auto"/>
                  <w:noWrap w:val="0"/>
                  <w:vAlign w:val="center"/>
                </w:tcPr>
                <w:p w14:paraId="3401FD52">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15F8445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结晶</w:t>
                  </w:r>
                </w:p>
              </w:tc>
              <w:tc>
                <w:tcPr>
                  <w:tcW w:w="969" w:type="pct"/>
                  <w:shd w:val="clear" w:color="auto" w:fill="auto"/>
                  <w:noWrap w:val="0"/>
                  <w:vAlign w:val="center"/>
                </w:tcPr>
                <w:p w14:paraId="051305DD">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结晶槽</w:t>
                  </w:r>
                </w:p>
              </w:tc>
              <w:tc>
                <w:tcPr>
                  <w:tcW w:w="1037" w:type="pct"/>
                  <w:shd w:val="clear" w:color="auto" w:fill="auto"/>
                  <w:noWrap w:val="0"/>
                  <w:vAlign w:val="center"/>
                </w:tcPr>
                <w:p w14:paraId="694B031F">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10台</w:t>
                  </w:r>
                </w:p>
              </w:tc>
              <w:tc>
                <w:tcPr>
                  <w:tcW w:w="769" w:type="pct"/>
                  <w:shd w:val="clear" w:color="auto" w:fill="auto"/>
                  <w:noWrap w:val="0"/>
                  <w:vAlign w:val="center"/>
                </w:tcPr>
                <w:p w14:paraId="5DAF9950">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10</w:t>
                  </w:r>
                  <w:r>
                    <w:rPr>
                      <w:rFonts w:hint="eastAsia" w:cs="Times New Roman"/>
                      <w:bCs/>
                      <w:color w:val="auto"/>
                      <w:sz w:val="18"/>
                      <w:szCs w:val="18"/>
                      <w:highlight w:val="none"/>
                      <w:lang w:val="en-US" w:eastAsia="zh-CN"/>
                    </w:rPr>
                    <w:t>m</w:t>
                  </w:r>
                  <w:r>
                    <w:rPr>
                      <w:rFonts w:hint="eastAsia" w:cs="Times New Roman"/>
                      <w:bCs/>
                      <w:color w:val="auto"/>
                      <w:sz w:val="18"/>
                      <w:szCs w:val="18"/>
                      <w:highlight w:val="none"/>
                      <w:vertAlign w:val="superscript"/>
                      <w:lang w:val="en-US" w:eastAsia="zh-CN"/>
                    </w:rPr>
                    <w:t>3</w:t>
                  </w:r>
                </w:p>
              </w:tc>
              <w:tc>
                <w:tcPr>
                  <w:tcW w:w="769" w:type="pct"/>
                  <w:shd w:val="clear" w:color="auto" w:fill="auto"/>
                  <w:noWrap w:val="0"/>
                  <w:vAlign w:val="center"/>
                </w:tcPr>
                <w:p w14:paraId="0160432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bCs/>
                      <w:color w:val="auto"/>
                      <w:sz w:val="18"/>
                      <w:szCs w:val="18"/>
                      <w:highlight w:val="none"/>
                      <w:lang w:val="en-US" w:eastAsia="zh-CN"/>
                    </w:rPr>
                  </w:pPr>
                  <w:r>
                    <w:rPr>
                      <w:rFonts w:hint="eastAsia" w:cs="Times New Roman"/>
                      <w:bCs/>
                      <w:color w:val="auto"/>
                      <w:sz w:val="18"/>
                      <w:szCs w:val="18"/>
                      <w:highlight w:val="none"/>
                      <w:lang w:val="en-US" w:eastAsia="zh-CN"/>
                    </w:rPr>
                    <w:t>/</w:t>
                  </w:r>
                </w:p>
              </w:tc>
            </w:tr>
            <w:tr w14:paraId="48180B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01D5D1B4">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11</w:t>
                  </w:r>
                </w:p>
              </w:tc>
              <w:tc>
                <w:tcPr>
                  <w:tcW w:w="549" w:type="pct"/>
                  <w:vMerge w:val="restart"/>
                  <w:shd w:val="clear" w:color="auto" w:fill="auto"/>
                  <w:noWrap w:val="0"/>
                  <w:vAlign w:val="center"/>
                </w:tcPr>
                <w:p w14:paraId="01118AD9">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lang w:val="en-US" w:eastAsia="zh-CN"/>
                    </w:rPr>
                    <w:t>废</w:t>
                  </w:r>
                  <w:r>
                    <w:rPr>
                      <w:rFonts w:hint="eastAsia" w:cs="Times New Roman"/>
                      <w:bCs/>
                      <w:color w:val="auto"/>
                      <w:sz w:val="18"/>
                      <w:szCs w:val="18"/>
                      <w:highlight w:val="none"/>
                      <w:lang w:val="en-US" w:eastAsia="zh-CN"/>
                    </w:rPr>
                    <w:t>水处理</w:t>
                  </w:r>
                </w:p>
              </w:tc>
              <w:tc>
                <w:tcPr>
                  <w:tcW w:w="615" w:type="pct"/>
                  <w:shd w:val="clear" w:color="auto" w:fill="auto"/>
                  <w:noWrap w:val="0"/>
                  <w:vAlign w:val="center"/>
                </w:tcPr>
                <w:p w14:paraId="3976780C">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中和</w:t>
                  </w:r>
                </w:p>
              </w:tc>
              <w:tc>
                <w:tcPr>
                  <w:tcW w:w="969" w:type="pct"/>
                  <w:shd w:val="clear" w:color="auto" w:fill="auto"/>
                  <w:noWrap w:val="0"/>
                  <w:vAlign w:val="center"/>
                </w:tcPr>
                <w:p w14:paraId="382F55C9">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中和槽</w:t>
                  </w:r>
                </w:p>
              </w:tc>
              <w:tc>
                <w:tcPr>
                  <w:tcW w:w="1037" w:type="pct"/>
                  <w:shd w:val="clear" w:color="auto" w:fill="auto"/>
                  <w:noWrap w:val="0"/>
                  <w:vAlign w:val="center"/>
                </w:tcPr>
                <w:p w14:paraId="7F47BF6B">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1套</w:t>
                  </w:r>
                </w:p>
              </w:tc>
              <w:tc>
                <w:tcPr>
                  <w:tcW w:w="769" w:type="pct"/>
                  <w:shd w:val="clear" w:color="auto" w:fill="auto"/>
                  <w:noWrap w:val="0"/>
                  <w:vAlign w:val="center"/>
                </w:tcPr>
                <w:p w14:paraId="68410F0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bCs/>
                      <w:color w:val="auto"/>
                      <w:kern w:val="2"/>
                      <w:sz w:val="18"/>
                      <w:szCs w:val="18"/>
                      <w:highlight w:val="none"/>
                      <w:lang w:val="en-US" w:eastAsia="zh-CN" w:bidi="ar-SA"/>
                    </w:rPr>
                    <w:t>60m*4m</w:t>
                  </w:r>
                </w:p>
              </w:tc>
              <w:tc>
                <w:tcPr>
                  <w:tcW w:w="769" w:type="pct"/>
                  <w:shd w:val="clear" w:color="auto" w:fill="auto"/>
                  <w:noWrap w:val="0"/>
                  <w:vAlign w:val="center"/>
                </w:tcPr>
                <w:p w14:paraId="49E8B438">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w:t>
                  </w:r>
                </w:p>
              </w:tc>
            </w:tr>
            <w:tr w14:paraId="7B2DC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59BAD351">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12</w:t>
                  </w:r>
                </w:p>
              </w:tc>
              <w:tc>
                <w:tcPr>
                  <w:tcW w:w="549" w:type="pct"/>
                  <w:vMerge w:val="continue"/>
                  <w:shd w:val="clear" w:color="auto" w:fill="auto"/>
                  <w:noWrap w:val="0"/>
                  <w:vAlign w:val="center"/>
                </w:tcPr>
                <w:p w14:paraId="00F57911">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18"/>
                      <w:szCs w:val="18"/>
                      <w:highlight w:val="none"/>
                      <w:lang w:val="en-US" w:eastAsia="zh-CN"/>
                    </w:rPr>
                  </w:pPr>
                </w:p>
              </w:tc>
              <w:tc>
                <w:tcPr>
                  <w:tcW w:w="615" w:type="pct"/>
                  <w:shd w:val="clear" w:color="auto" w:fill="auto"/>
                  <w:noWrap w:val="0"/>
                  <w:vAlign w:val="center"/>
                </w:tcPr>
                <w:p w14:paraId="0F47C9D5">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蒸发</w:t>
                  </w:r>
                </w:p>
              </w:tc>
              <w:tc>
                <w:tcPr>
                  <w:tcW w:w="969" w:type="pct"/>
                  <w:shd w:val="clear" w:color="auto" w:fill="auto"/>
                  <w:noWrap w:val="0"/>
                  <w:vAlign w:val="center"/>
                </w:tcPr>
                <w:p w14:paraId="17EC185F">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多效蒸发器</w:t>
                  </w:r>
                </w:p>
              </w:tc>
              <w:tc>
                <w:tcPr>
                  <w:tcW w:w="1037" w:type="pct"/>
                  <w:shd w:val="clear" w:color="auto" w:fill="auto"/>
                  <w:noWrap w:val="0"/>
                  <w:vAlign w:val="center"/>
                </w:tcPr>
                <w:p w14:paraId="0BBA342C">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1套</w:t>
                  </w:r>
                </w:p>
              </w:tc>
              <w:tc>
                <w:tcPr>
                  <w:tcW w:w="769" w:type="pct"/>
                  <w:shd w:val="clear" w:color="auto" w:fill="auto"/>
                  <w:noWrap w:val="0"/>
                  <w:vAlign w:val="center"/>
                </w:tcPr>
                <w:p w14:paraId="6BCA59EF">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w:t>
                  </w:r>
                </w:p>
              </w:tc>
              <w:tc>
                <w:tcPr>
                  <w:tcW w:w="769" w:type="pct"/>
                  <w:shd w:val="clear" w:color="auto" w:fill="auto"/>
                  <w:noWrap w:val="0"/>
                  <w:vAlign w:val="center"/>
                </w:tcPr>
                <w:p w14:paraId="2BEADC5D">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cs="Times New Roman"/>
                      <w:bCs/>
                      <w:color w:val="auto"/>
                      <w:sz w:val="18"/>
                      <w:szCs w:val="18"/>
                      <w:highlight w:val="none"/>
                      <w:lang w:val="en-US" w:eastAsia="zh-CN"/>
                    </w:rPr>
                  </w:pPr>
                  <w:r>
                    <w:rPr>
                      <w:rFonts w:hint="eastAsia" w:cs="Times New Roman"/>
                      <w:bCs/>
                      <w:color w:val="auto"/>
                      <w:sz w:val="18"/>
                      <w:szCs w:val="18"/>
                      <w:highlight w:val="none"/>
                      <w:lang w:val="en-US" w:eastAsia="zh-CN"/>
                    </w:rPr>
                    <w:t>/</w:t>
                  </w:r>
                </w:p>
              </w:tc>
            </w:tr>
            <w:tr w14:paraId="493EA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89" w:type="pct"/>
                  <w:shd w:val="clear" w:color="auto" w:fill="auto"/>
                  <w:noWrap w:val="0"/>
                  <w:vAlign w:val="center"/>
                </w:tcPr>
                <w:p w14:paraId="302B3AB4">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13</w:t>
                  </w:r>
                </w:p>
              </w:tc>
              <w:tc>
                <w:tcPr>
                  <w:tcW w:w="549" w:type="pct"/>
                  <w:shd w:val="clear" w:color="auto" w:fill="auto"/>
                  <w:noWrap w:val="0"/>
                  <w:vAlign w:val="center"/>
                </w:tcPr>
                <w:p w14:paraId="5BAAA3E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18"/>
                      <w:szCs w:val="18"/>
                      <w:highlight w:val="none"/>
                      <w:lang w:val="en-US" w:eastAsia="zh-CN"/>
                    </w:rPr>
                    <w:t>废气治理</w:t>
                  </w:r>
                </w:p>
              </w:tc>
              <w:tc>
                <w:tcPr>
                  <w:tcW w:w="615" w:type="pct"/>
                  <w:shd w:val="clear" w:color="auto" w:fill="auto"/>
                  <w:noWrap w:val="0"/>
                  <w:vAlign w:val="center"/>
                </w:tcPr>
                <w:p w14:paraId="287DD1D9">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sz w:val="18"/>
                      <w:szCs w:val="18"/>
                      <w:highlight w:val="none"/>
                      <w:lang w:val="en-US" w:eastAsia="zh-CN"/>
                    </w:rPr>
                    <w:t>处理</w:t>
                  </w:r>
                  <w:r>
                    <w:rPr>
                      <w:rFonts w:hint="eastAsia" w:cs="Times New Roman"/>
                      <w:bCs/>
                      <w:color w:val="auto"/>
                      <w:sz w:val="18"/>
                      <w:szCs w:val="18"/>
                      <w:highlight w:val="none"/>
                      <w:lang w:val="en-US" w:eastAsia="zh-CN"/>
                    </w:rPr>
                    <w:t>氯化氢、VOCs</w:t>
                  </w:r>
                </w:p>
              </w:tc>
              <w:tc>
                <w:tcPr>
                  <w:tcW w:w="969" w:type="pct"/>
                  <w:shd w:val="clear" w:color="auto" w:fill="auto"/>
                  <w:noWrap w:val="0"/>
                  <w:vAlign w:val="center"/>
                </w:tcPr>
                <w:p w14:paraId="387B352D">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水喷淋+酸雾吸收塔+除雾器+二级活性炭吸附装置</w:t>
                  </w:r>
                </w:p>
              </w:tc>
              <w:tc>
                <w:tcPr>
                  <w:tcW w:w="1037" w:type="pct"/>
                  <w:shd w:val="clear" w:color="auto" w:fill="auto"/>
                  <w:noWrap w:val="0"/>
                  <w:vAlign w:val="center"/>
                </w:tcPr>
                <w:p w14:paraId="48D6A9B3">
                  <w:pPr>
                    <w:pStyle w:val="43"/>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1套</w:t>
                  </w:r>
                </w:p>
              </w:tc>
              <w:tc>
                <w:tcPr>
                  <w:tcW w:w="769" w:type="pct"/>
                  <w:shd w:val="clear" w:color="auto" w:fill="auto"/>
                  <w:noWrap w:val="0"/>
                  <w:vAlign w:val="center"/>
                </w:tcPr>
                <w:p w14:paraId="1E35743F">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bCs/>
                      <w:color w:val="auto"/>
                      <w:sz w:val="18"/>
                      <w:szCs w:val="18"/>
                      <w:highlight w:val="none"/>
                    </w:rPr>
                    <w:t>/</w:t>
                  </w:r>
                </w:p>
              </w:tc>
              <w:tc>
                <w:tcPr>
                  <w:tcW w:w="769" w:type="pct"/>
                  <w:shd w:val="clear" w:color="auto" w:fill="auto"/>
                  <w:noWrap w:val="0"/>
                  <w:vAlign w:val="center"/>
                </w:tcPr>
                <w:p w14:paraId="488DBD9E">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w:t>
                  </w:r>
                </w:p>
              </w:tc>
            </w:tr>
          </w:tbl>
          <w:p w14:paraId="1CB8C2ED">
            <w:pPr>
              <w:spacing w:line="360" w:lineRule="auto"/>
              <w:ind w:firstLine="360" w:firstLineChars="200"/>
              <w:rPr>
                <w:rFonts w:hint="default" w:ascii="Times New Roman" w:hAnsi="Times New Roman" w:cs="Times New Roman" w:eastAsiaTheme="minorEastAsia"/>
                <w:bCs/>
                <w:color w:val="auto"/>
                <w:szCs w:val="21"/>
                <w:highlight w:val="none"/>
              </w:rPr>
            </w:pPr>
            <w:r>
              <w:rPr>
                <w:rFonts w:hint="default" w:ascii="Times New Roman" w:hAnsi="Times New Roman" w:cs="Times New Roman" w:eastAsiaTheme="minorEastAsia"/>
                <w:bCs/>
                <w:color w:val="auto"/>
                <w:sz w:val="18"/>
                <w:szCs w:val="18"/>
                <w:highlight w:val="none"/>
              </w:rPr>
              <w:t>以上设备均不属于</w:t>
            </w:r>
            <w:r>
              <w:rPr>
                <w:rFonts w:hint="default" w:ascii="Times New Roman" w:hAnsi="Times New Roman" w:cs="Times New Roman" w:eastAsiaTheme="minorEastAsia"/>
                <w:bCs/>
                <w:color w:val="auto"/>
                <w:kern w:val="0"/>
                <w:sz w:val="18"/>
                <w:szCs w:val="18"/>
                <w:highlight w:val="none"/>
                <w:lang w:eastAsia="zh-CN"/>
              </w:rPr>
              <w:t>《产业结构调整指导目录（2024年本）》</w:t>
            </w:r>
            <w:r>
              <w:rPr>
                <w:rFonts w:hint="default" w:ascii="Times New Roman" w:hAnsi="Times New Roman" w:cs="Times New Roman" w:eastAsiaTheme="minorEastAsia"/>
                <w:bCs/>
                <w:color w:val="auto"/>
                <w:kern w:val="0"/>
                <w:sz w:val="18"/>
                <w:szCs w:val="18"/>
                <w:highlight w:val="none"/>
              </w:rPr>
              <w:t>中规定淘汰类、限制类设备。</w:t>
            </w:r>
          </w:p>
          <w:p w14:paraId="7C825D8C">
            <w:pPr>
              <w:spacing w:line="360" w:lineRule="auto"/>
              <w:ind w:firstLine="422" w:firstLineChars="200"/>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11、给排水、供电及供热：</w:t>
            </w:r>
          </w:p>
          <w:p w14:paraId="3D5287F7">
            <w:pPr>
              <w:keepNext w:val="0"/>
              <w:keepLines w:val="0"/>
              <w:pageBreakBefore w:val="0"/>
              <w:widowControl w:val="0"/>
              <w:tabs>
                <w:tab w:val="left" w:pos="1800"/>
              </w:tabs>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eastAsiaTheme="minorEastAsia"/>
                <w:color w:val="auto"/>
                <w:kern w:val="24"/>
                <w:sz w:val="21"/>
                <w:szCs w:val="21"/>
                <w:highlight w:val="none"/>
                <w:lang w:val="en-US" w:eastAsia="zh-CN"/>
              </w:rPr>
            </w:pPr>
            <w:r>
              <w:rPr>
                <w:rFonts w:hint="eastAsia" w:cs="Times New Roman" w:eastAsiaTheme="minorEastAsia"/>
                <w:color w:val="auto"/>
                <w:kern w:val="24"/>
                <w:sz w:val="21"/>
                <w:szCs w:val="21"/>
                <w:highlight w:val="none"/>
                <w:lang w:eastAsia="zh-CN"/>
              </w:rPr>
              <w:t>（</w:t>
            </w:r>
            <w:r>
              <w:rPr>
                <w:rFonts w:hint="eastAsia" w:cs="Times New Roman" w:eastAsiaTheme="minorEastAsia"/>
                <w:color w:val="auto"/>
                <w:kern w:val="24"/>
                <w:sz w:val="21"/>
                <w:szCs w:val="21"/>
                <w:highlight w:val="none"/>
                <w:lang w:val="en-US" w:eastAsia="zh-CN"/>
              </w:rPr>
              <w:t>1</w:t>
            </w:r>
            <w:r>
              <w:rPr>
                <w:rFonts w:hint="eastAsia" w:cs="Times New Roman" w:eastAsiaTheme="minorEastAsia"/>
                <w:color w:val="auto"/>
                <w:kern w:val="24"/>
                <w:sz w:val="21"/>
                <w:szCs w:val="21"/>
                <w:highlight w:val="none"/>
                <w:lang w:eastAsia="zh-CN"/>
              </w:rPr>
              <w:t>）</w:t>
            </w:r>
            <w:r>
              <w:rPr>
                <w:rFonts w:hint="eastAsia" w:cs="Times New Roman" w:eastAsiaTheme="minorEastAsia"/>
                <w:color w:val="auto"/>
                <w:kern w:val="24"/>
                <w:sz w:val="21"/>
                <w:szCs w:val="21"/>
                <w:highlight w:val="none"/>
                <w:lang w:val="en-US" w:eastAsia="zh-CN"/>
              </w:rPr>
              <w:t>给水</w:t>
            </w:r>
          </w:p>
          <w:p w14:paraId="7AD1CA27">
            <w:pPr>
              <w:keepNext w:val="0"/>
              <w:keepLines w:val="0"/>
              <w:pageBreakBefore w:val="0"/>
              <w:widowControl w:val="0"/>
              <w:tabs>
                <w:tab w:val="left" w:pos="1800"/>
              </w:tabs>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eastAsiaTheme="minorEastAsia"/>
                <w:color w:val="auto"/>
                <w:kern w:val="24"/>
                <w:sz w:val="21"/>
                <w:szCs w:val="21"/>
                <w:highlight w:val="none"/>
                <w:lang w:val="zh-CN"/>
              </w:rPr>
            </w:pPr>
            <w:r>
              <w:rPr>
                <w:rFonts w:hint="eastAsia" w:cs="Times New Roman" w:eastAsiaTheme="minorEastAsia"/>
                <w:color w:val="auto"/>
                <w:kern w:val="24"/>
                <w:sz w:val="21"/>
                <w:szCs w:val="21"/>
                <w:highlight w:val="none"/>
                <w:lang w:val="en-US" w:eastAsia="zh-CN"/>
              </w:rPr>
              <w:t>本</w:t>
            </w:r>
            <w:r>
              <w:rPr>
                <w:rFonts w:hint="default" w:ascii="Times New Roman" w:hAnsi="Times New Roman" w:cs="Times New Roman" w:eastAsiaTheme="minorEastAsia"/>
                <w:color w:val="auto"/>
                <w:kern w:val="24"/>
                <w:sz w:val="21"/>
                <w:szCs w:val="21"/>
                <w:highlight w:val="none"/>
              </w:rPr>
              <w:t>项目用水主要为生活用水</w:t>
            </w:r>
            <w:r>
              <w:rPr>
                <w:rFonts w:hint="default" w:ascii="Times New Roman" w:hAnsi="Times New Roman" w:cs="Times New Roman"/>
                <w:color w:val="auto"/>
                <w:spacing w:val="-2"/>
                <w:kern w:val="0"/>
                <w:highlight w:val="none"/>
                <w:lang w:val="en-US" w:eastAsia="zh-CN"/>
              </w:rPr>
              <w:t>、</w:t>
            </w:r>
            <w:r>
              <w:rPr>
                <w:rFonts w:hint="eastAsia" w:cs="Times New Roman"/>
                <w:color w:val="auto"/>
                <w:spacing w:val="-2"/>
                <w:kern w:val="0"/>
                <w:highlight w:val="none"/>
                <w:lang w:val="en-US" w:eastAsia="zh-CN"/>
              </w:rPr>
              <w:t>原料溶解和定容用水、预热分离用水、水喷淋+酸雾吸收塔用水、地面清扫用水</w:t>
            </w:r>
            <w:r>
              <w:rPr>
                <w:rFonts w:hint="default" w:ascii="Times New Roman" w:hAnsi="Times New Roman" w:cs="Times New Roman"/>
                <w:color w:val="auto"/>
                <w:spacing w:val="-2"/>
                <w:kern w:val="0"/>
                <w:highlight w:val="none"/>
                <w:lang w:val="en-US" w:eastAsia="zh-CN"/>
              </w:rPr>
              <w:t>，</w:t>
            </w:r>
            <w:r>
              <w:rPr>
                <w:rFonts w:hint="eastAsia" w:cs="Times New Roman"/>
                <w:color w:val="auto"/>
                <w:spacing w:val="-2"/>
                <w:kern w:val="0"/>
                <w:highlight w:val="none"/>
                <w:lang w:val="en-US" w:eastAsia="zh-CN"/>
              </w:rPr>
              <w:t>新鲜水</w:t>
            </w:r>
            <w:r>
              <w:rPr>
                <w:rFonts w:hint="default" w:ascii="Times New Roman" w:hAnsi="Times New Roman" w:cs="Times New Roman"/>
                <w:color w:val="auto"/>
                <w:spacing w:val="-2"/>
                <w:kern w:val="0"/>
                <w:highlight w:val="none"/>
                <w:lang w:val="en-US" w:eastAsia="zh-CN"/>
              </w:rPr>
              <w:t>总用水量为</w:t>
            </w:r>
            <w:r>
              <w:rPr>
                <w:rFonts w:hint="eastAsia" w:cs="Times New Roman"/>
                <w:color w:val="auto"/>
                <w:spacing w:val="-2"/>
                <w:kern w:val="0"/>
                <w:highlight w:val="none"/>
                <w:lang w:val="en-US" w:eastAsia="zh-CN"/>
              </w:rPr>
              <w:t>447.348</w:t>
            </w:r>
            <w:r>
              <w:rPr>
                <w:rFonts w:hint="default" w:ascii="Times New Roman" w:hAnsi="Times New Roman" w:cs="Times New Roman"/>
                <w:color w:val="auto"/>
                <w:kern w:val="24"/>
                <w:sz w:val="21"/>
                <w:szCs w:val="21"/>
                <w:highlight w:val="none"/>
              </w:rPr>
              <w:t>m</w:t>
            </w:r>
            <w:r>
              <w:rPr>
                <w:rFonts w:hint="default" w:ascii="Times New Roman" w:hAnsi="Times New Roman" w:cs="Times New Roman"/>
                <w:color w:val="auto"/>
                <w:kern w:val="24"/>
                <w:sz w:val="21"/>
                <w:szCs w:val="21"/>
                <w:highlight w:val="none"/>
                <w:vertAlign w:val="superscript"/>
              </w:rPr>
              <w:t>3</w:t>
            </w:r>
            <w:r>
              <w:rPr>
                <w:rFonts w:hint="default" w:ascii="Times New Roman" w:hAnsi="Times New Roman" w:cs="Times New Roman"/>
                <w:color w:val="auto"/>
                <w:kern w:val="24"/>
                <w:sz w:val="21"/>
                <w:szCs w:val="21"/>
                <w:highlight w:val="none"/>
              </w:rPr>
              <w:t>/a</w:t>
            </w:r>
            <w:r>
              <w:rPr>
                <w:rFonts w:hint="default" w:ascii="Times New Roman" w:hAnsi="Times New Roman" w:cs="Times New Roman"/>
                <w:color w:val="auto"/>
                <w:kern w:val="24"/>
                <w:sz w:val="21"/>
                <w:szCs w:val="21"/>
                <w:highlight w:val="none"/>
                <w:lang w:eastAsia="zh-CN"/>
              </w:rPr>
              <w:t>，由淄川区</w:t>
            </w:r>
            <w:r>
              <w:rPr>
                <w:rFonts w:hint="eastAsia" w:cs="Times New Roman"/>
                <w:color w:val="auto"/>
                <w:kern w:val="24"/>
                <w:sz w:val="21"/>
                <w:szCs w:val="21"/>
                <w:highlight w:val="none"/>
                <w:lang w:eastAsia="zh-CN"/>
              </w:rPr>
              <w:t>龙泉镇</w:t>
            </w:r>
            <w:r>
              <w:rPr>
                <w:rFonts w:hint="default" w:ascii="Times New Roman" w:hAnsi="Times New Roman" w:cs="Times New Roman"/>
                <w:color w:val="auto"/>
                <w:kern w:val="24"/>
                <w:sz w:val="21"/>
                <w:szCs w:val="21"/>
                <w:highlight w:val="none"/>
                <w:lang w:eastAsia="zh-CN"/>
              </w:rPr>
              <w:t>供水管网提供</w:t>
            </w:r>
            <w:r>
              <w:rPr>
                <w:rFonts w:hint="default" w:ascii="Times New Roman" w:hAnsi="Times New Roman" w:cs="Times New Roman" w:eastAsiaTheme="minorEastAsia"/>
                <w:color w:val="auto"/>
                <w:kern w:val="24"/>
                <w:sz w:val="21"/>
                <w:szCs w:val="21"/>
                <w:highlight w:val="none"/>
              </w:rPr>
              <w:t>。</w:t>
            </w:r>
          </w:p>
          <w:p w14:paraId="6493F7F8">
            <w:pPr>
              <w:keepNext w:val="0"/>
              <w:keepLines w:val="0"/>
              <w:pageBreakBefore w:val="0"/>
              <w:widowControl w:val="0"/>
              <w:tabs>
                <w:tab w:val="left" w:pos="1800"/>
              </w:tabs>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kern w:val="24"/>
                <w:sz w:val="21"/>
                <w:szCs w:val="21"/>
                <w:highlight w:val="none"/>
              </w:rPr>
              <w:t>①生活用水：项目</w:t>
            </w:r>
            <w:r>
              <w:rPr>
                <w:rFonts w:hint="default" w:ascii="Times New Roman" w:hAnsi="Times New Roman" w:cs="Times New Roman"/>
                <w:color w:val="auto"/>
                <w:kern w:val="24"/>
                <w:sz w:val="21"/>
                <w:szCs w:val="21"/>
                <w:highlight w:val="none"/>
                <w:lang w:val="en-US" w:eastAsia="zh-CN"/>
              </w:rPr>
              <w:t>劳动定员</w:t>
            </w:r>
            <w:r>
              <w:rPr>
                <w:rFonts w:hint="eastAsia" w:cs="Times New Roman"/>
                <w:color w:val="auto"/>
                <w:kern w:val="24"/>
                <w:sz w:val="21"/>
                <w:szCs w:val="21"/>
                <w:highlight w:val="none"/>
                <w:lang w:val="en-US" w:eastAsia="zh-CN"/>
              </w:rPr>
              <w:t>20</w:t>
            </w:r>
            <w:r>
              <w:rPr>
                <w:rFonts w:hint="default" w:ascii="Times New Roman" w:hAnsi="Times New Roman" w:cs="Times New Roman"/>
                <w:color w:val="auto"/>
                <w:kern w:val="24"/>
                <w:sz w:val="21"/>
                <w:szCs w:val="21"/>
                <w:highlight w:val="none"/>
              </w:rPr>
              <w:t>人，全年工作</w:t>
            </w:r>
            <w:r>
              <w:rPr>
                <w:rFonts w:hint="default" w:ascii="Times New Roman" w:hAnsi="Times New Roman" w:cs="Times New Roman"/>
                <w:color w:val="auto"/>
                <w:kern w:val="24"/>
                <w:sz w:val="21"/>
                <w:szCs w:val="21"/>
                <w:highlight w:val="none"/>
                <w:lang w:val="en-US" w:eastAsia="zh-CN"/>
              </w:rPr>
              <w:t>300</w:t>
            </w:r>
            <w:r>
              <w:rPr>
                <w:rFonts w:hint="default" w:ascii="Times New Roman" w:hAnsi="Times New Roman" w:cs="Times New Roman"/>
                <w:color w:val="auto"/>
                <w:kern w:val="24"/>
                <w:sz w:val="21"/>
                <w:szCs w:val="21"/>
                <w:highlight w:val="none"/>
              </w:rPr>
              <w:t>天，</w:t>
            </w:r>
            <w:r>
              <w:rPr>
                <w:rFonts w:hint="default" w:ascii="Times New Roman" w:hAnsi="Times New Roman" w:cs="Times New Roman"/>
                <w:bCs/>
                <w:color w:val="auto"/>
                <w:highlight w:val="none"/>
                <w:lang w:val="de-DE"/>
              </w:rPr>
              <w:t>根据《建筑给水排水设计标准》（GB50015-2019）中</w:t>
            </w:r>
            <w:r>
              <w:rPr>
                <w:rFonts w:hint="default" w:ascii="Times New Roman" w:hAnsi="Times New Roman" w:cs="Times New Roman"/>
                <w:bCs/>
                <w:color w:val="auto"/>
                <w:highlight w:val="none"/>
                <w:lang w:val="en-US" w:eastAsia="zh-CN"/>
              </w:rPr>
              <w:t>非住宿员工</w:t>
            </w:r>
            <w:r>
              <w:rPr>
                <w:rFonts w:hint="default" w:ascii="Times New Roman" w:hAnsi="Times New Roman" w:cs="Times New Roman"/>
                <w:bCs/>
                <w:color w:val="auto"/>
                <w:highlight w:val="none"/>
                <w:lang w:val="de-DE"/>
              </w:rPr>
              <w:t>生活用水量按照</w:t>
            </w:r>
            <w:r>
              <w:rPr>
                <w:rFonts w:hint="default" w:ascii="Times New Roman" w:hAnsi="Times New Roman" w:cs="Times New Roman"/>
                <w:bCs/>
                <w:color w:val="auto"/>
                <w:highlight w:val="none"/>
              </w:rPr>
              <w:t>4</w:t>
            </w:r>
            <w:r>
              <w:rPr>
                <w:rFonts w:hint="default" w:ascii="Times New Roman" w:hAnsi="Times New Roman" w:cs="Times New Roman"/>
                <w:bCs/>
                <w:color w:val="auto"/>
                <w:highlight w:val="none"/>
                <w:lang w:val="de-DE"/>
              </w:rPr>
              <w:t>0L/人·班计，</w:t>
            </w:r>
            <w:r>
              <w:rPr>
                <w:rFonts w:hint="default" w:ascii="Times New Roman" w:hAnsi="Times New Roman" w:cs="Times New Roman"/>
                <w:color w:val="auto"/>
                <w:kern w:val="24"/>
                <w:sz w:val="21"/>
                <w:szCs w:val="21"/>
                <w:highlight w:val="none"/>
              </w:rPr>
              <w:t>则职工生活用水量为</w:t>
            </w:r>
            <w:r>
              <w:rPr>
                <w:rFonts w:hint="eastAsia" w:cs="Times New Roman"/>
                <w:color w:val="auto"/>
                <w:kern w:val="24"/>
                <w:sz w:val="21"/>
                <w:szCs w:val="21"/>
                <w:highlight w:val="none"/>
                <w:lang w:val="en-US" w:eastAsia="zh-CN"/>
              </w:rPr>
              <w:t>240</w:t>
            </w:r>
            <w:r>
              <w:rPr>
                <w:rFonts w:hint="default" w:ascii="Times New Roman" w:hAnsi="Times New Roman" w:cs="Times New Roman"/>
                <w:color w:val="auto"/>
                <w:kern w:val="24"/>
                <w:sz w:val="21"/>
                <w:szCs w:val="21"/>
                <w:highlight w:val="none"/>
              </w:rPr>
              <w:t>m</w:t>
            </w:r>
            <w:r>
              <w:rPr>
                <w:rFonts w:hint="default" w:ascii="Times New Roman" w:hAnsi="Times New Roman" w:cs="Times New Roman"/>
                <w:color w:val="auto"/>
                <w:kern w:val="24"/>
                <w:sz w:val="21"/>
                <w:szCs w:val="21"/>
                <w:highlight w:val="none"/>
                <w:vertAlign w:val="superscript"/>
              </w:rPr>
              <w:t>3</w:t>
            </w:r>
            <w:r>
              <w:rPr>
                <w:rFonts w:hint="default" w:ascii="Times New Roman" w:hAnsi="Times New Roman" w:cs="Times New Roman"/>
                <w:color w:val="auto"/>
                <w:kern w:val="24"/>
                <w:sz w:val="21"/>
                <w:szCs w:val="21"/>
                <w:highlight w:val="none"/>
              </w:rPr>
              <w:t>/a</w:t>
            </w:r>
            <w:r>
              <w:rPr>
                <w:rFonts w:hint="default" w:ascii="Times New Roman" w:hAnsi="Times New Roman" w:cs="Times New Roman"/>
                <w:color w:val="auto"/>
                <w:sz w:val="21"/>
                <w:szCs w:val="21"/>
                <w:highlight w:val="none"/>
              </w:rPr>
              <w:t>。</w:t>
            </w:r>
          </w:p>
          <w:p w14:paraId="251016CD">
            <w:pPr>
              <w:adjustRightInd w:val="0"/>
              <w:snapToGrid w:val="0"/>
              <w:spacing w:line="360" w:lineRule="auto"/>
              <w:ind w:firstLine="420" w:firstLineChars="200"/>
              <w:rPr>
                <w:rFonts w:hint="default" w:eastAsia="宋体"/>
                <w:color w:val="auto"/>
                <w:highlight w:val="none"/>
                <w:lang w:val="en-US" w:eastAsia="zh-CN"/>
              </w:rPr>
            </w:pPr>
            <w:r>
              <w:rPr>
                <w:rFonts w:hint="default" w:ascii="Times New Roman" w:hAnsi="Times New Roman" w:cs="Times New Roman"/>
                <w:color w:val="auto"/>
                <w:highlight w:val="none"/>
              </w:rPr>
              <w:t>②</w:t>
            </w:r>
            <w:r>
              <w:rPr>
                <w:rFonts w:hint="eastAsia" w:cs="Times New Roman"/>
                <w:color w:val="auto"/>
                <w:spacing w:val="-2"/>
                <w:kern w:val="0"/>
                <w:highlight w:val="none"/>
                <w:lang w:val="en-US" w:eastAsia="zh-CN"/>
              </w:rPr>
              <w:t>原料溶解和定容用水：本项目原料溶解和定容工序原料与水的比例为1:0.6，原料用量为2600t/a，则原料溶解和定容用水量为1560</w:t>
            </w:r>
            <w:r>
              <w:rPr>
                <w:rFonts w:hint="default" w:ascii="Times New Roman" w:hAnsi="Times New Roman" w:cs="Times New Roman"/>
                <w:color w:val="auto"/>
                <w:kern w:val="24"/>
                <w:sz w:val="21"/>
                <w:szCs w:val="21"/>
                <w:highlight w:val="none"/>
              </w:rPr>
              <w:t>m</w:t>
            </w:r>
            <w:r>
              <w:rPr>
                <w:rFonts w:hint="default" w:ascii="Times New Roman" w:hAnsi="Times New Roman" w:cs="Times New Roman"/>
                <w:color w:val="auto"/>
                <w:kern w:val="24"/>
                <w:sz w:val="21"/>
                <w:szCs w:val="21"/>
                <w:highlight w:val="none"/>
                <w:vertAlign w:val="superscript"/>
              </w:rPr>
              <w:t>3</w:t>
            </w:r>
            <w:r>
              <w:rPr>
                <w:rFonts w:hint="default" w:ascii="Times New Roman" w:hAnsi="Times New Roman" w:cs="Times New Roman"/>
                <w:color w:val="auto"/>
                <w:kern w:val="24"/>
                <w:sz w:val="21"/>
                <w:szCs w:val="21"/>
                <w:highlight w:val="none"/>
              </w:rPr>
              <w:t>/a</w:t>
            </w:r>
            <w:r>
              <w:rPr>
                <w:rFonts w:hint="eastAsia" w:ascii="Times New Roman" w:hAnsi="Times New Roman" w:cs="Times New Roman"/>
                <w:color w:val="auto"/>
                <w:kern w:val="24"/>
                <w:sz w:val="21"/>
                <w:szCs w:val="21"/>
                <w:highlight w:val="none"/>
                <w:lang w:eastAsia="zh-CN"/>
              </w:rPr>
              <w:t>，</w:t>
            </w:r>
            <w:r>
              <w:rPr>
                <w:rFonts w:hint="eastAsia" w:ascii="Times New Roman" w:hAnsi="Times New Roman" w:cs="Times New Roman"/>
                <w:color w:val="auto"/>
                <w:kern w:val="24"/>
                <w:sz w:val="21"/>
                <w:szCs w:val="21"/>
                <w:highlight w:val="none"/>
                <w:lang w:val="en-US" w:eastAsia="zh-CN"/>
              </w:rPr>
              <w:t>来源于蒸汽冷凝水（</w:t>
            </w:r>
            <w:r>
              <w:rPr>
                <w:rFonts w:hint="eastAsia" w:cs="Times New Roman"/>
                <w:color w:val="auto"/>
                <w:kern w:val="24"/>
                <w:sz w:val="21"/>
                <w:szCs w:val="21"/>
                <w:highlight w:val="none"/>
                <w:lang w:val="en-US" w:eastAsia="zh-CN"/>
              </w:rPr>
              <w:t>180</w:t>
            </w:r>
            <w:r>
              <w:rPr>
                <w:rFonts w:hint="default" w:ascii="Times New Roman" w:hAnsi="Times New Roman" w:cs="Times New Roman"/>
                <w:color w:val="auto"/>
                <w:kern w:val="24"/>
                <w:sz w:val="21"/>
                <w:szCs w:val="21"/>
                <w:highlight w:val="none"/>
              </w:rPr>
              <w:t>m</w:t>
            </w:r>
            <w:r>
              <w:rPr>
                <w:rFonts w:hint="default" w:ascii="Times New Roman" w:hAnsi="Times New Roman" w:cs="Times New Roman"/>
                <w:color w:val="auto"/>
                <w:kern w:val="24"/>
                <w:sz w:val="21"/>
                <w:szCs w:val="21"/>
                <w:highlight w:val="none"/>
                <w:vertAlign w:val="superscript"/>
              </w:rPr>
              <w:t>3</w:t>
            </w:r>
            <w:r>
              <w:rPr>
                <w:rFonts w:hint="default" w:ascii="Times New Roman" w:hAnsi="Times New Roman" w:cs="Times New Roman"/>
                <w:color w:val="auto"/>
                <w:kern w:val="24"/>
                <w:sz w:val="21"/>
                <w:szCs w:val="21"/>
                <w:highlight w:val="none"/>
              </w:rPr>
              <w:t>/a</w:t>
            </w:r>
            <w:r>
              <w:rPr>
                <w:rFonts w:hint="eastAsia" w:ascii="Times New Roman" w:hAnsi="Times New Roman" w:cs="Times New Roman"/>
                <w:color w:val="auto"/>
                <w:kern w:val="24"/>
                <w:sz w:val="21"/>
                <w:szCs w:val="21"/>
                <w:highlight w:val="none"/>
                <w:lang w:val="en-US" w:eastAsia="zh-CN"/>
              </w:rPr>
              <w:t>）、蒸发冷凝水（</w:t>
            </w:r>
            <w:r>
              <w:rPr>
                <w:rFonts w:hint="eastAsia" w:cs="Times New Roman"/>
                <w:color w:val="auto"/>
                <w:kern w:val="24"/>
                <w:sz w:val="21"/>
                <w:szCs w:val="21"/>
                <w:highlight w:val="none"/>
                <w:lang w:val="en-US" w:eastAsia="zh-CN"/>
              </w:rPr>
              <w:t>1380</w:t>
            </w:r>
            <w:r>
              <w:rPr>
                <w:rFonts w:hint="default" w:ascii="Times New Roman" w:hAnsi="Times New Roman" w:cs="Times New Roman"/>
                <w:color w:val="auto"/>
                <w:kern w:val="24"/>
                <w:sz w:val="21"/>
                <w:szCs w:val="21"/>
                <w:highlight w:val="none"/>
              </w:rPr>
              <w:t>m</w:t>
            </w:r>
            <w:r>
              <w:rPr>
                <w:rFonts w:hint="default" w:ascii="Times New Roman" w:hAnsi="Times New Roman" w:cs="Times New Roman"/>
                <w:color w:val="auto"/>
                <w:kern w:val="24"/>
                <w:sz w:val="21"/>
                <w:szCs w:val="21"/>
                <w:highlight w:val="none"/>
                <w:vertAlign w:val="superscript"/>
              </w:rPr>
              <w:t>3</w:t>
            </w:r>
            <w:r>
              <w:rPr>
                <w:rFonts w:hint="default" w:ascii="Times New Roman" w:hAnsi="Times New Roman" w:cs="Times New Roman"/>
                <w:color w:val="auto"/>
                <w:kern w:val="24"/>
                <w:sz w:val="21"/>
                <w:szCs w:val="21"/>
                <w:highlight w:val="none"/>
              </w:rPr>
              <w:t>/a</w:t>
            </w:r>
            <w:r>
              <w:rPr>
                <w:rFonts w:hint="eastAsia" w:ascii="Times New Roman" w:hAnsi="Times New Roman" w:cs="Times New Roman"/>
                <w:color w:val="auto"/>
                <w:kern w:val="24"/>
                <w:sz w:val="21"/>
                <w:szCs w:val="21"/>
                <w:highlight w:val="none"/>
                <w:lang w:val="en-US" w:eastAsia="zh-CN"/>
              </w:rPr>
              <w:t>）。</w:t>
            </w:r>
          </w:p>
          <w:p w14:paraId="029D5D88">
            <w:pPr>
              <w:adjustRightInd w:val="0"/>
              <w:snapToGrid w:val="0"/>
              <w:spacing w:line="360" w:lineRule="auto"/>
              <w:ind w:firstLine="420" w:firstLineChars="200"/>
              <w:rPr>
                <w:rFonts w:hint="default" w:ascii="Times New Roman" w:hAnsi="Times New Roman" w:eastAsia="宋体" w:cs="Times New Roman"/>
                <w:color w:val="auto"/>
                <w:highlight w:val="none"/>
                <w:lang w:val="en-US" w:eastAsia="zh-CN"/>
              </w:rPr>
            </w:pPr>
            <w:r>
              <w:rPr>
                <w:rFonts w:hint="eastAsia" w:ascii="宋体" w:hAnsi="宋体" w:eastAsia="宋体" w:cs="宋体"/>
                <w:color w:val="auto"/>
                <w:highlight w:val="none"/>
                <w:lang w:eastAsia="zh-CN"/>
              </w:rPr>
              <w:t>④</w:t>
            </w:r>
            <w:r>
              <w:rPr>
                <w:rFonts w:hint="eastAsia" w:cs="Times New Roman"/>
                <w:color w:val="auto"/>
                <w:highlight w:val="none"/>
                <w:lang w:val="en-US" w:eastAsia="zh-CN"/>
              </w:rPr>
              <w:t>预热分离用水：本项目分为一次预热分离和二次预热分离，一次预热分离和</w:t>
            </w:r>
            <w:r>
              <w:rPr>
                <w:rFonts w:hint="eastAsia" w:cs="Times New Roman"/>
                <w:color w:val="auto"/>
                <w:kern w:val="24"/>
                <w:sz w:val="21"/>
                <w:szCs w:val="21"/>
                <w:highlight w:val="none"/>
                <w:lang w:val="en-US" w:eastAsia="zh-CN"/>
              </w:rPr>
              <w:t>二次预热分离</w:t>
            </w:r>
            <w:r>
              <w:rPr>
                <w:rFonts w:hint="eastAsia" w:cs="Times New Roman"/>
                <w:color w:val="auto"/>
                <w:highlight w:val="none"/>
                <w:lang w:val="en-US" w:eastAsia="zh-CN"/>
              </w:rPr>
              <w:t>需加纯水量均为2000</w:t>
            </w:r>
            <w:r>
              <w:rPr>
                <w:rFonts w:hint="default" w:ascii="Times New Roman" w:hAnsi="Times New Roman" w:cs="Times New Roman"/>
                <w:color w:val="auto"/>
                <w:kern w:val="24"/>
                <w:sz w:val="21"/>
                <w:szCs w:val="21"/>
                <w:highlight w:val="none"/>
              </w:rPr>
              <w:t>m</w:t>
            </w:r>
            <w:r>
              <w:rPr>
                <w:rFonts w:hint="default" w:ascii="Times New Roman" w:hAnsi="Times New Roman" w:cs="Times New Roman"/>
                <w:color w:val="auto"/>
                <w:kern w:val="24"/>
                <w:sz w:val="21"/>
                <w:szCs w:val="21"/>
                <w:highlight w:val="none"/>
                <w:vertAlign w:val="superscript"/>
              </w:rPr>
              <w:t>3</w:t>
            </w:r>
            <w:r>
              <w:rPr>
                <w:rFonts w:hint="default" w:ascii="Times New Roman" w:hAnsi="Times New Roman" w:cs="Times New Roman"/>
                <w:color w:val="auto"/>
                <w:kern w:val="24"/>
                <w:sz w:val="21"/>
                <w:szCs w:val="21"/>
                <w:highlight w:val="none"/>
              </w:rPr>
              <w:t>/a</w:t>
            </w:r>
            <w:r>
              <w:rPr>
                <w:rFonts w:hint="eastAsia" w:cs="Times New Roman"/>
                <w:color w:val="auto"/>
                <w:kern w:val="24"/>
                <w:sz w:val="21"/>
                <w:szCs w:val="21"/>
                <w:highlight w:val="none"/>
                <w:lang w:eastAsia="zh-CN"/>
              </w:rPr>
              <w:t>，</w:t>
            </w:r>
            <w:r>
              <w:rPr>
                <w:rFonts w:hint="eastAsia" w:cs="Times New Roman"/>
                <w:color w:val="auto"/>
                <w:kern w:val="24"/>
                <w:sz w:val="21"/>
                <w:szCs w:val="21"/>
                <w:highlight w:val="none"/>
                <w:lang w:val="en-US" w:eastAsia="zh-CN"/>
              </w:rPr>
              <w:t>总计4000</w:t>
            </w:r>
            <w:r>
              <w:rPr>
                <w:rFonts w:hint="default" w:ascii="Times New Roman" w:hAnsi="Times New Roman" w:cs="Times New Roman"/>
                <w:color w:val="auto"/>
                <w:kern w:val="24"/>
                <w:sz w:val="21"/>
                <w:szCs w:val="21"/>
                <w:highlight w:val="none"/>
              </w:rPr>
              <w:t>m</w:t>
            </w:r>
            <w:r>
              <w:rPr>
                <w:rFonts w:hint="default" w:ascii="Times New Roman" w:hAnsi="Times New Roman" w:cs="Times New Roman"/>
                <w:color w:val="auto"/>
                <w:kern w:val="24"/>
                <w:sz w:val="21"/>
                <w:szCs w:val="21"/>
                <w:highlight w:val="none"/>
                <w:vertAlign w:val="superscript"/>
              </w:rPr>
              <w:t>3</w:t>
            </w:r>
            <w:r>
              <w:rPr>
                <w:rFonts w:hint="default" w:ascii="Times New Roman" w:hAnsi="Times New Roman" w:cs="Times New Roman"/>
                <w:color w:val="auto"/>
                <w:kern w:val="24"/>
                <w:sz w:val="21"/>
                <w:szCs w:val="21"/>
                <w:highlight w:val="none"/>
              </w:rPr>
              <w:t>/a</w:t>
            </w:r>
            <w:r>
              <w:rPr>
                <w:rFonts w:hint="eastAsia" w:cs="Times New Roman"/>
                <w:color w:val="auto"/>
                <w:kern w:val="24"/>
                <w:sz w:val="21"/>
                <w:szCs w:val="21"/>
                <w:highlight w:val="none"/>
                <w:lang w:eastAsia="zh-CN"/>
              </w:rPr>
              <w:t>，</w:t>
            </w:r>
            <w:r>
              <w:rPr>
                <w:rFonts w:hint="eastAsia" w:cs="Times New Roman"/>
                <w:color w:val="auto"/>
                <w:kern w:val="24"/>
                <w:sz w:val="21"/>
                <w:szCs w:val="21"/>
                <w:highlight w:val="none"/>
                <w:lang w:val="en-US" w:eastAsia="zh-CN"/>
              </w:rPr>
              <w:t>来源于</w:t>
            </w:r>
            <w:r>
              <w:rPr>
                <w:rFonts w:hint="eastAsia" w:ascii="Times New Roman" w:hAnsi="Times New Roman" w:cs="Times New Roman"/>
                <w:color w:val="auto"/>
                <w:kern w:val="24"/>
                <w:sz w:val="21"/>
                <w:szCs w:val="21"/>
                <w:highlight w:val="none"/>
                <w:lang w:val="en-US" w:eastAsia="zh-CN"/>
              </w:rPr>
              <w:t>蒸发冷凝水（</w:t>
            </w:r>
            <w:r>
              <w:rPr>
                <w:rFonts w:hint="eastAsia" w:cs="Times New Roman"/>
                <w:color w:val="auto"/>
                <w:kern w:val="24"/>
                <w:sz w:val="21"/>
                <w:szCs w:val="21"/>
                <w:highlight w:val="none"/>
                <w:lang w:val="en-US" w:eastAsia="zh-CN"/>
              </w:rPr>
              <w:t>2766.9</w:t>
            </w:r>
            <w:r>
              <w:rPr>
                <w:rFonts w:hint="default" w:ascii="Times New Roman" w:hAnsi="Times New Roman" w:cs="Times New Roman"/>
                <w:color w:val="auto"/>
                <w:kern w:val="24"/>
                <w:sz w:val="21"/>
                <w:szCs w:val="21"/>
                <w:highlight w:val="none"/>
              </w:rPr>
              <w:t>m</w:t>
            </w:r>
            <w:r>
              <w:rPr>
                <w:rFonts w:hint="default" w:ascii="Times New Roman" w:hAnsi="Times New Roman" w:cs="Times New Roman"/>
                <w:color w:val="auto"/>
                <w:kern w:val="24"/>
                <w:sz w:val="21"/>
                <w:szCs w:val="21"/>
                <w:highlight w:val="none"/>
                <w:vertAlign w:val="superscript"/>
              </w:rPr>
              <w:t>3</w:t>
            </w:r>
            <w:r>
              <w:rPr>
                <w:rFonts w:hint="default" w:ascii="Times New Roman" w:hAnsi="Times New Roman" w:cs="Times New Roman"/>
                <w:color w:val="auto"/>
                <w:kern w:val="24"/>
                <w:sz w:val="21"/>
                <w:szCs w:val="21"/>
                <w:highlight w:val="none"/>
              </w:rPr>
              <w:t>/a</w:t>
            </w:r>
            <w:r>
              <w:rPr>
                <w:rFonts w:hint="eastAsia" w:ascii="Times New Roman" w:hAnsi="Times New Roman" w:cs="Times New Roman"/>
                <w:color w:val="auto"/>
                <w:kern w:val="24"/>
                <w:sz w:val="21"/>
                <w:szCs w:val="21"/>
                <w:highlight w:val="none"/>
                <w:lang w:val="en-US" w:eastAsia="zh-CN"/>
              </w:rPr>
              <w:t>）</w:t>
            </w:r>
            <w:r>
              <w:rPr>
                <w:rFonts w:hint="eastAsia" w:cs="Times New Roman"/>
                <w:color w:val="auto"/>
                <w:kern w:val="24"/>
                <w:sz w:val="21"/>
                <w:szCs w:val="21"/>
                <w:highlight w:val="none"/>
                <w:lang w:val="en-US" w:eastAsia="zh-CN"/>
              </w:rPr>
              <w:t>和多效蒸发器蒸发冷凝水（1233.1</w:t>
            </w:r>
            <w:r>
              <w:rPr>
                <w:rFonts w:hint="default" w:ascii="Times New Roman" w:hAnsi="Times New Roman" w:cs="Times New Roman"/>
                <w:color w:val="auto"/>
                <w:kern w:val="24"/>
                <w:sz w:val="21"/>
                <w:szCs w:val="21"/>
                <w:highlight w:val="none"/>
              </w:rPr>
              <w:t>m</w:t>
            </w:r>
            <w:r>
              <w:rPr>
                <w:rFonts w:hint="default" w:ascii="Times New Roman" w:hAnsi="Times New Roman" w:cs="Times New Roman"/>
                <w:color w:val="auto"/>
                <w:kern w:val="24"/>
                <w:sz w:val="21"/>
                <w:szCs w:val="21"/>
                <w:highlight w:val="none"/>
                <w:vertAlign w:val="superscript"/>
              </w:rPr>
              <w:t>3</w:t>
            </w:r>
            <w:r>
              <w:rPr>
                <w:rFonts w:hint="default" w:ascii="Times New Roman" w:hAnsi="Times New Roman" w:cs="Times New Roman"/>
                <w:color w:val="auto"/>
                <w:kern w:val="24"/>
                <w:sz w:val="21"/>
                <w:szCs w:val="21"/>
                <w:highlight w:val="none"/>
              </w:rPr>
              <w:t>/a</w:t>
            </w:r>
            <w:r>
              <w:rPr>
                <w:rFonts w:hint="eastAsia" w:cs="Times New Roman"/>
                <w:color w:val="auto"/>
                <w:kern w:val="24"/>
                <w:sz w:val="21"/>
                <w:szCs w:val="21"/>
                <w:highlight w:val="none"/>
                <w:lang w:val="en-US" w:eastAsia="zh-CN"/>
              </w:rPr>
              <w:t>）。</w:t>
            </w:r>
          </w:p>
          <w:p w14:paraId="6BFEB503">
            <w:pPr>
              <w:adjustRightInd w:val="0"/>
              <w:snapToGrid w:val="0"/>
              <w:spacing w:line="360" w:lineRule="auto"/>
              <w:ind w:firstLine="420" w:firstLineChars="200"/>
              <w:rPr>
                <w:rFonts w:hint="eastAsia"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③</w:t>
            </w:r>
            <w:r>
              <w:rPr>
                <w:rFonts w:hint="eastAsia" w:cs="Times New Roman"/>
                <w:color w:val="auto"/>
                <w:spacing w:val="-2"/>
                <w:kern w:val="0"/>
                <w:highlight w:val="none"/>
                <w:lang w:val="en-US" w:eastAsia="zh-CN"/>
              </w:rPr>
              <w:t>水喷淋+酸雾吸收塔用水：</w:t>
            </w:r>
            <w:r>
              <w:rPr>
                <w:rFonts w:hint="eastAsia"/>
                <w:color w:val="auto"/>
                <w:highlight w:val="none"/>
                <w:lang w:val="en-US" w:eastAsia="zh-CN"/>
              </w:rPr>
              <w:t>本项目建设一座</w:t>
            </w:r>
            <w:r>
              <w:rPr>
                <w:rFonts w:hint="eastAsia" w:cs="Times New Roman"/>
                <w:color w:val="auto"/>
                <w:spacing w:val="-2"/>
                <w:kern w:val="0"/>
                <w:highlight w:val="none"/>
                <w:lang w:val="en-US" w:eastAsia="zh-CN"/>
              </w:rPr>
              <w:t>水喷淋+酸雾吸收塔</w:t>
            </w:r>
            <w:r>
              <w:rPr>
                <w:rFonts w:hint="eastAsia"/>
                <w:color w:val="auto"/>
                <w:highlight w:val="none"/>
                <w:lang w:val="en-US" w:eastAsia="zh-CN"/>
              </w:rPr>
              <w:t>，生产过程中产生的氯化氢气体经</w:t>
            </w:r>
            <w:r>
              <w:rPr>
                <w:rFonts w:hint="eastAsia" w:cs="Times New Roman"/>
                <w:color w:val="auto"/>
                <w:spacing w:val="-2"/>
                <w:kern w:val="0"/>
                <w:highlight w:val="none"/>
                <w:lang w:val="en-US" w:eastAsia="zh-CN"/>
              </w:rPr>
              <w:t>水喷淋+酸雾吸收塔</w:t>
            </w:r>
            <w:r>
              <w:rPr>
                <w:rFonts w:hint="eastAsia"/>
                <w:color w:val="auto"/>
                <w:highlight w:val="none"/>
                <w:lang w:val="en-US" w:eastAsia="zh-CN"/>
              </w:rPr>
              <w:t>处理后有组织排放，水喷淋塔填充量为2t，每10天更换一次，更换水量约为60</w:t>
            </w:r>
            <w:r>
              <w:rPr>
                <w:rFonts w:hint="eastAsia"/>
                <w:color w:val="auto"/>
                <w:kern w:val="24"/>
                <w:sz w:val="21"/>
                <w:szCs w:val="21"/>
                <w:highlight w:val="none"/>
              </w:rPr>
              <w:t>m</w:t>
            </w:r>
            <w:r>
              <w:rPr>
                <w:color w:val="auto"/>
                <w:kern w:val="24"/>
                <w:sz w:val="21"/>
                <w:szCs w:val="21"/>
                <w:highlight w:val="none"/>
                <w:vertAlign w:val="superscript"/>
              </w:rPr>
              <w:t>3</w:t>
            </w:r>
            <w:r>
              <w:rPr>
                <w:color w:val="auto"/>
                <w:kern w:val="24"/>
                <w:sz w:val="21"/>
                <w:szCs w:val="21"/>
                <w:highlight w:val="none"/>
              </w:rPr>
              <w:t>/a</w:t>
            </w:r>
            <w:r>
              <w:rPr>
                <w:rFonts w:hint="eastAsia"/>
                <w:color w:val="auto"/>
                <w:highlight w:val="none"/>
                <w:lang w:val="en-US" w:eastAsia="zh-CN"/>
              </w:rPr>
              <w:t>，酸雾吸收塔中主要为氢氧化钠溶液，浓度约为25%，填充量为2t，循环使用，每10天更换一次，用水量约为45</w:t>
            </w:r>
            <w:r>
              <w:rPr>
                <w:rFonts w:hint="eastAsia"/>
                <w:color w:val="auto"/>
                <w:kern w:val="24"/>
                <w:sz w:val="21"/>
                <w:szCs w:val="21"/>
                <w:highlight w:val="none"/>
              </w:rPr>
              <w:t>m</w:t>
            </w:r>
            <w:r>
              <w:rPr>
                <w:color w:val="auto"/>
                <w:kern w:val="24"/>
                <w:sz w:val="21"/>
                <w:szCs w:val="21"/>
                <w:highlight w:val="none"/>
                <w:vertAlign w:val="superscript"/>
              </w:rPr>
              <w:t>3</w:t>
            </w:r>
            <w:r>
              <w:rPr>
                <w:color w:val="auto"/>
                <w:kern w:val="24"/>
                <w:sz w:val="21"/>
                <w:szCs w:val="21"/>
                <w:highlight w:val="none"/>
              </w:rPr>
              <w:t>/a</w:t>
            </w:r>
            <w:r>
              <w:rPr>
                <w:rFonts w:hint="default" w:ascii="Times New Roman" w:hAnsi="Times New Roman" w:cs="Times New Roman"/>
                <w:bCs/>
                <w:color w:val="auto"/>
                <w:highlight w:val="none"/>
                <w:lang w:eastAsia="zh-CN"/>
              </w:rPr>
              <w:t>，来源于</w:t>
            </w:r>
            <w:r>
              <w:rPr>
                <w:rFonts w:hint="eastAsia" w:ascii="Times New Roman" w:hAnsi="Times New Roman" w:cs="Times New Roman"/>
                <w:bCs/>
                <w:color w:val="auto"/>
                <w:highlight w:val="none"/>
                <w:lang w:val="en-US" w:eastAsia="zh-CN"/>
              </w:rPr>
              <w:t>蒸汽冷凝水</w:t>
            </w:r>
            <w:r>
              <w:rPr>
                <w:rFonts w:hint="eastAsia" w:ascii="Times New Roman" w:hAnsi="Times New Roman" w:cs="Times New Roman"/>
                <w:color w:val="auto"/>
                <w:highlight w:val="none"/>
                <w:lang w:eastAsia="zh-CN"/>
              </w:rPr>
              <w:t>。</w:t>
            </w:r>
          </w:p>
          <w:p w14:paraId="703E4A5E">
            <w:pPr>
              <w:adjustRightInd w:val="0"/>
              <w:snapToGrid w:val="0"/>
              <w:spacing w:line="360" w:lineRule="auto"/>
              <w:ind w:firstLine="420" w:firstLineChars="200"/>
              <w:rPr>
                <w:rFonts w:hint="eastAsia"/>
                <w:color w:val="auto"/>
                <w:kern w:val="24"/>
                <w:sz w:val="21"/>
                <w:szCs w:val="21"/>
                <w:highlight w:val="none"/>
                <w:lang w:eastAsia="zh-CN"/>
              </w:rPr>
            </w:pPr>
            <w:r>
              <w:rPr>
                <w:rFonts w:hint="eastAsia" w:ascii="Times New Roman" w:hAnsi="Times New Roman" w:eastAsia="宋体" w:cs="Times New Roman"/>
                <w:color w:val="auto"/>
                <w:highlight w:val="none"/>
                <w:lang w:eastAsia="zh-CN"/>
              </w:rPr>
              <w:t>④</w:t>
            </w:r>
            <w:r>
              <w:rPr>
                <w:rFonts w:hint="eastAsia" w:cs="Times New Roman"/>
                <w:bCs/>
                <w:color w:val="auto"/>
                <w:highlight w:val="none"/>
                <w:lang w:val="en-US" w:eastAsia="zh-CN"/>
              </w:rPr>
              <w:t>地面清扫用水：本项目车间地面每天需进行冲洗，</w:t>
            </w:r>
            <w:r>
              <w:rPr>
                <w:rFonts w:hint="default" w:ascii="Times New Roman" w:hAnsi="Times New Roman" w:cs="Times New Roman"/>
                <w:color w:val="auto"/>
                <w:highlight w:val="none"/>
              </w:rPr>
              <w:t>用水量取0.2L/m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·d计，</w:t>
            </w:r>
            <w:r>
              <w:rPr>
                <w:rFonts w:hint="default" w:ascii="Times New Roman" w:hAnsi="Times New Roman" w:cs="Times New Roman"/>
                <w:color w:val="auto"/>
                <w:highlight w:val="none"/>
                <w:lang w:val="en-US" w:eastAsia="zh-CN"/>
              </w:rPr>
              <w:t>车间总</w:t>
            </w:r>
            <w:r>
              <w:rPr>
                <w:rFonts w:hint="default" w:ascii="Times New Roman" w:hAnsi="Times New Roman" w:cs="Times New Roman"/>
                <w:color w:val="auto"/>
                <w:highlight w:val="none"/>
              </w:rPr>
              <w:t>面积约为</w:t>
            </w:r>
            <w:r>
              <w:rPr>
                <w:rFonts w:hint="eastAsia" w:ascii="Times New Roman" w:hAnsi="Times New Roman" w:cs="Times New Roman"/>
                <w:color w:val="auto"/>
                <w:highlight w:val="none"/>
                <w:lang w:val="en-US" w:eastAsia="zh-CN"/>
              </w:rPr>
              <w:t>11500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需</w:t>
            </w:r>
            <w:r>
              <w:rPr>
                <w:rFonts w:hint="eastAsia" w:cs="Times New Roman"/>
                <w:bCs/>
                <w:color w:val="auto"/>
                <w:highlight w:val="none"/>
                <w:lang w:val="en-US" w:eastAsia="zh-CN"/>
              </w:rPr>
              <w:t>冲洗</w:t>
            </w:r>
            <w:r>
              <w:rPr>
                <w:rFonts w:hint="default" w:ascii="Times New Roman" w:hAnsi="Times New Roman" w:cs="Times New Roman"/>
                <w:color w:val="auto"/>
                <w:highlight w:val="none"/>
                <w:lang w:val="en-US" w:eastAsia="zh-CN"/>
              </w:rPr>
              <w:t>面积按</w:t>
            </w:r>
            <w:r>
              <w:rPr>
                <w:rFonts w:hint="eastAsia" w:ascii="Times New Roman" w:hAnsi="Times New Roman" w:cs="Times New Roman"/>
                <w:color w:val="auto"/>
                <w:highlight w:val="none"/>
                <w:lang w:val="en-US" w:eastAsia="zh-CN"/>
              </w:rPr>
              <w:t>8</w:t>
            </w:r>
            <w:r>
              <w:rPr>
                <w:rFonts w:hint="default" w:ascii="Times New Roman" w:hAnsi="Times New Roman" w:cs="Times New Roman"/>
                <w:color w:val="auto"/>
                <w:highlight w:val="none"/>
                <w:lang w:val="en-US" w:eastAsia="zh-CN"/>
              </w:rPr>
              <w:t>0%计，</w:t>
            </w:r>
            <w:r>
              <w:rPr>
                <w:rFonts w:hint="default" w:ascii="Times New Roman" w:hAnsi="Times New Roman" w:cs="Times New Roman"/>
                <w:color w:val="auto"/>
                <w:highlight w:val="none"/>
              </w:rPr>
              <w:t>则</w:t>
            </w:r>
            <w:r>
              <w:rPr>
                <w:rFonts w:hint="default" w:ascii="Times New Roman" w:hAnsi="Times New Roman" w:cs="Times New Roman"/>
                <w:color w:val="auto"/>
                <w:highlight w:val="none"/>
                <w:lang w:val="en-US" w:eastAsia="zh-CN"/>
              </w:rPr>
              <w:t>车间</w:t>
            </w:r>
            <w:r>
              <w:rPr>
                <w:rFonts w:hint="eastAsia" w:cs="Times New Roman"/>
                <w:bCs/>
                <w:color w:val="auto"/>
                <w:highlight w:val="none"/>
                <w:lang w:val="en-US" w:eastAsia="zh-CN"/>
              </w:rPr>
              <w:t>地面清扫用水</w:t>
            </w:r>
            <w:r>
              <w:rPr>
                <w:rFonts w:hint="default" w:ascii="Times New Roman" w:hAnsi="Times New Roman" w:cs="Times New Roman"/>
                <w:color w:val="auto"/>
                <w:highlight w:val="none"/>
              </w:rPr>
              <w:t>量为</w:t>
            </w:r>
            <w:r>
              <w:rPr>
                <w:rFonts w:hint="eastAsia" w:ascii="Times New Roman" w:hAnsi="Times New Roman" w:cs="Times New Roman"/>
                <w:color w:val="auto"/>
                <w:highlight w:val="none"/>
                <w:lang w:val="en-US" w:eastAsia="zh-CN"/>
              </w:rPr>
              <w:t>552</w:t>
            </w:r>
            <w:r>
              <w:rPr>
                <w:rFonts w:hint="default" w:ascii="Times New Roman" w:hAnsi="Times New Roman" w:cs="Times New Roman"/>
                <w:bCs/>
                <w:color w:val="auto"/>
                <w:highlight w:val="none"/>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/a</w:t>
            </w:r>
            <w:r>
              <w:rPr>
                <w:rFonts w:hint="default" w:ascii="Times New Roman" w:hAnsi="Times New Roman" w:cs="Times New Roman"/>
                <w:bCs/>
                <w:color w:val="auto"/>
                <w:highlight w:val="none"/>
                <w:lang w:eastAsia="zh-CN"/>
              </w:rPr>
              <w:t>，来源于</w:t>
            </w:r>
            <w:r>
              <w:rPr>
                <w:rFonts w:hint="eastAsia" w:ascii="Times New Roman" w:hAnsi="Times New Roman" w:cs="Times New Roman"/>
                <w:bCs/>
                <w:color w:val="auto"/>
                <w:highlight w:val="none"/>
                <w:lang w:val="en-US" w:eastAsia="zh-CN"/>
              </w:rPr>
              <w:t>新鲜水</w:t>
            </w:r>
            <w:r>
              <w:rPr>
                <w:rFonts w:hint="eastAsia" w:cs="Times New Roman"/>
                <w:color w:val="auto"/>
                <w:kern w:val="24"/>
                <w:sz w:val="21"/>
                <w:szCs w:val="21"/>
                <w:highlight w:val="none"/>
                <w:lang w:val="en-US" w:eastAsia="zh-CN"/>
              </w:rPr>
              <w:t>（207.348</w:t>
            </w:r>
            <w:r>
              <w:rPr>
                <w:rFonts w:hint="default" w:ascii="Times New Roman" w:hAnsi="Times New Roman" w:cs="Times New Roman"/>
                <w:color w:val="auto"/>
                <w:kern w:val="24"/>
                <w:sz w:val="21"/>
                <w:szCs w:val="21"/>
                <w:highlight w:val="none"/>
              </w:rPr>
              <w:t>m</w:t>
            </w:r>
            <w:r>
              <w:rPr>
                <w:rFonts w:hint="default" w:ascii="Times New Roman" w:hAnsi="Times New Roman" w:cs="Times New Roman"/>
                <w:color w:val="auto"/>
                <w:kern w:val="24"/>
                <w:sz w:val="21"/>
                <w:szCs w:val="21"/>
                <w:highlight w:val="none"/>
                <w:vertAlign w:val="superscript"/>
              </w:rPr>
              <w:t>3</w:t>
            </w:r>
            <w:r>
              <w:rPr>
                <w:rFonts w:hint="default" w:ascii="Times New Roman" w:hAnsi="Times New Roman" w:cs="Times New Roman"/>
                <w:color w:val="auto"/>
                <w:kern w:val="24"/>
                <w:sz w:val="21"/>
                <w:szCs w:val="21"/>
                <w:highlight w:val="none"/>
              </w:rPr>
              <w:t>/a</w:t>
            </w:r>
            <w:r>
              <w:rPr>
                <w:rFonts w:hint="eastAsia" w:cs="Times New Roman"/>
                <w:color w:val="auto"/>
                <w:kern w:val="24"/>
                <w:sz w:val="21"/>
                <w:szCs w:val="21"/>
                <w:highlight w:val="none"/>
                <w:lang w:val="en-US" w:eastAsia="zh-CN"/>
              </w:rPr>
              <w:t>）和多效蒸发器蒸发冷凝水（344.652</w:t>
            </w:r>
            <w:r>
              <w:rPr>
                <w:rFonts w:hint="default" w:ascii="Times New Roman" w:hAnsi="Times New Roman" w:cs="Times New Roman"/>
                <w:color w:val="auto"/>
                <w:kern w:val="24"/>
                <w:sz w:val="21"/>
                <w:szCs w:val="21"/>
                <w:highlight w:val="none"/>
              </w:rPr>
              <w:t>m</w:t>
            </w:r>
            <w:r>
              <w:rPr>
                <w:rFonts w:hint="default" w:ascii="Times New Roman" w:hAnsi="Times New Roman" w:cs="Times New Roman"/>
                <w:color w:val="auto"/>
                <w:kern w:val="24"/>
                <w:sz w:val="21"/>
                <w:szCs w:val="21"/>
                <w:highlight w:val="none"/>
                <w:vertAlign w:val="superscript"/>
              </w:rPr>
              <w:t>3</w:t>
            </w:r>
            <w:r>
              <w:rPr>
                <w:rFonts w:hint="default" w:ascii="Times New Roman" w:hAnsi="Times New Roman" w:cs="Times New Roman"/>
                <w:color w:val="auto"/>
                <w:kern w:val="24"/>
                <w:sz w:val="21"/>
                <w:szCs w:val="21"/>
                <w:highlight w:val="none"/>
              </w:rPr>
              <w:t>/a</w:t>
            </w:r>
            <w:r>
              <w:rPr>
                <w:rFonts w:hint="eastAsia" w:cs="Times New Roman"/>
                <w:color w:val="auto"/>
                <w:kern w:val="24"/>
                <w:sz w:val="21"/>
                <w:szCs w:val="21"/>
                <w:highlight w:val="none"/>
                <w:lang w:val="en-US" w:eastAsia="zh-CN"/>
              </w:rPr>
              <w:t>）</w:t>
            </w:r>
            <w:r>
              <w:rPr>
                <w:rFonts w:hint="eastAsia"/>
                <w:color w:val="auto"/>
                <w:kern w:val="24"/>
                <w:sz w:val="21"/>
                <w:szCs w:val="21"/>
                <w:highlight w:val="none"/>
                <w:lang w:eastAsia="zh-CN"/>
              </w:rPr>
              <w:t>。</w:t>
            </w:r>
          </w:p>
          <w:p w14:paraId="4E776E05">
            <w:pPr>
              <w:pStyle w:val="8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0" w:firstLineChars="200"/>
              <w:jc w:val="both"/>
              <w:textAlignment w:val="auto"/>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（2）排水</w:t>
            </w:r>
          </w:p>
          <w:p w14:paraId="2591A247">
            <w:pPr>
              <w:pStyle w:val="8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rFonts w:hint="default"/>
                <w:color w:val="auto"/>
                <w:sz w:val="21"/>
                <w:szCs w:val="21"/>
                <w:lang w:val="en-US"/>
              </w:rPr>
            </w:pPr>
            <w:r>
              <w:rPr>
                <w:rFonts w:hint="eastAsia"/>
                <w:color w:val="auto"/>
                <w:sz w:val="21"/>
                <w:szCs w:val="21"/>
                <w:highlight w:val="none"/>
                <w:lang w:val="en-US" w:eastAsia="zh-CN"/>
              </w:rPr>
              <w:t>本</w:t>
            </w:r>
            <w:r>
              <w:rPr>
                <w:color w:val="auto"/>
                <w:sz w:val="21"/>
                <w:szCs w:val="21"/>
                <w:highlight w:val="none"/>
              </w:rPr>
              <w:t>项目产生的废水主要为职工生活污水</w:t>
            </w:r>
            <w:r>
              <w:rPr>
                <w:rFonts w:hint="eastAsia"/>
                <w:color w:val="auto"/>
                <w:sz w:val="21"/>
                <w:szCs w:val="21"/>
                <w:highlight w:val="none"/>
              </w:rPr>
              <w:t>、</w:t>
            </w:r>
            <w:r>
              <w:rPr>
                <w:rFonts w:hint="eastAsia"/>
                <w:color w:val="auto"/>
                <w:sz w:val="21"/>
                <w:szCs w:val="21"/>
                <w:highlight w:val="none"/>
                <w:lang w:val="en-US" w:eastAsia="zh-CN"/>
              </w:rPr>
              <w:t>离心废水、</w:t>
            </w:r>
            <w:r>
              <w:rPr>
                <w:rFonts w:hint="eastAsia"/>
                <w:color w:val="auto"/>
                <w:sz w:val="21"/>
                <w:szCs w:val="21"/>
                <w:highlight w:val="none"/>
                <w:lang w:eastAsia="zh-CN"/>
              </w:rPr>
              <w:t>酸雾吸收废水</w:t>
            </w:r>
            <w:r>
              <w:rPr>
                <w:rFonts w:hint="eastAsia"/>
                <w:color w:val="auto"/>
                <w:sz w:val="21"/>
                <w:szCs w:val="21"/>
                <w:highlight w:val="none"/>
                <w:lang w:val="en-US" w:eastAsia="zh-CN"/>
              </w:rPr>
              <w:t>、蒸汽冷凝水、蒸发冷凝水。</w:t>
            </w:r>
            <w:r>
              <w:rPr>
                <w:rFonts w:hint="default" w:ascii="Times New Roman" w:hAnsi="Times New Roman" w:eastAsia="宋体" w:cs="Times New Roman"/>
                <w:color w:val="auto"/>
                <w:sz w:val="21"/>
                <w:szCs w:val="21"/>
                <w:highlight w:val="none"/>
                <w:lang w:val="en-US" w:eastAsia="zh-CN"/>
              </w:rPr>
              <w:t>生活污水经化粪池暂存后由环卫部门定期清运，</w:t>
            </w:r>
            <w:r>
              <w:rPr>
                <w:rFonts w:hint="default" w:ascii="Times New Roman" w:hAnsi="Times New Roman" w:eastAsia="宋体" w:cs="Times New Roman"/>
                <w:color w:val="auto"/>
                <w:sz w:val="21"/>
                <w:szCs w:val="21"/>
                <w:highlight w:val="none"/>
                <w:lang w:eastAsia="zh-CN"/>
              </w:rPr>
              <w:t>蒸汽冷凝水、蒸发冷凝水回用于原料溶解用水、酸雾吸收塔用水。离心废水、酸雾吸收废水经厂内</w:t>
            </w:r>
            <w:r>
              <w:rPr>
                <w:rFonts w:hint="default" w:ascii="Times New Roman" w:hAnsi="Times New Roman" w:eastAsia="宋体" w:cs="Times New Roman"/>
                <w:color w:val="auto"/>
                <w:sz w:val="21"/>
                <w:szCs w:val="21"/>
                <w:highlight w:val="none"/>
                <w:lang w:val="en-US" w:eastAsia="zh-CN"/>
              </w:rPr>
              <w:t>污水处理站中和、多效蒸发器蒸发出来的蒸汽经冷凝后回用于预热分离用水和地面清扫用水，地面清扫用水</w:t>
            </w:r>
            <w:r>
              <w:rPr>
                <w:rFonts w:hint="eastAsia" w:ascii="Times New Roman" w:hAnsi="Times New Roman" w:eastAsia="宋体" w:cs="Times New Roman"/>
                <w:color w:val="auto"/>
                <w:sz w:val="21"/>
                <w:szCs w:val="21"/>
                <w:highlight w:val="none"/>
                <w:lang w:val="en-US" w:eastAsia="zh-CN"/>
              </w:rPr>
              <w:t>蒸发损耗，</w:t>
            </w:r>
            <w:r>
              <w:rPr>
                <w:rFonts w:hint="default" w:ascii="Times New Roman" w:hAnsi="Times New Roman" w:eastAsia="宋体" w:cs="Times New Roman"/>
                <w:color w:val="auto"/>
                <w:sz w:val="21"/>
                <w:szCs w:val="21"/>
                <w:highlight w:val="none"/>
                <w:lang w:val="en-US" w:eastAsia="zh-CN"/>
              </w:rPr>
              <w:t>不外排。</w:t>
            </w:r>
          </w:p>
          <w:p w14:paraId="1F12149A">
            <w:pPr>
              <w:pStyle w:val="8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b/>
                <w:color w:val="auto"/>
                <w:sz w:val="21"/>
                <w:szCs w:val="21"/>
              </w:rPr>
            </w:pPr>
            <w:r>
              <w:rPr>
                <w:rFonts w:hint="default" w:ascii="Times New Roman" w:hAnsi="Times New Roman" w:cs="Times New Roman"/>
                <w:color w:val="auto"/>
                <w:kern w:val="24"/>
                <w:sz w:val="21"/>
                <w:szCs w:val="21"/>
                <w:highlight w:val="none"/>
              </w:rPr>
              <w:t>①</w:t>
            </w:r>
            <w:r>
              <w:rPr>
                <w:rFonts w:hint="eastAsia"/>
                <w:color w:val="auto"/>
                <w:sz w:val="21"/>
                <w:szCs w:val="21"/>
                <w:lang w:val="en-US" w:eastAsia="zh-CN"/>
              </w:rPr>
              <w:t>生活污水：</w:t>
            </w:r>
            <w:r>
              <w:rPr>
                <w:color w:val="auto"/>
                <w:sz w:val="21"/>
                <w:szCs w:val="21"/>
              </w:rPr>
              <w:t>生活污水产生量按用水量的80%计，为</w:t>
            </w:r>
            <w:r>
              <w:rPr>
                <w:rFonts w:hint="eastAsia"/>
                <w:color w:val="auto"/>
                <w:sz w:val="21"/>
                <w:szCs w:val="21"/>
                <w:lang w:val="en-US" w:eastAsia="zh-CN"/>
              </w:rPr>
              <w:t>192</w:t>
            </w:r>
            <w:r>
              <w:rPr>
                <w:color w:val="auto"/>
                <w:sz w:val="21"/>
                <w:szCs w:val="21"/>
              </w:rPr>
              <w:t>m</w:t>
            </w:r>
            <w:r>
              <w:rPr>
                <w:color w:val="auto"/>
                <w:sz w:val="21"/>
                <w:szCs w:val="21"/>
                <w:vertAlign w:val="superscript"/>
              </w:rPr>
              <w:t>3</w:t>
            </w:r>
            <w:r>
              <w:rPr>
                <w:color w:val="auto"/>
                <w:sz w:val="21"/>
                <w:szCs w:val="21"/>
              </w:rPr>
              <w:t>/a。生活污水</w:t>
            </w:r>
            <w:r>
              <w:rPr>
                <w:rFonts w:hint="eastAsia"/>
                <w:color w:val="auto"/>
                <w:sz w:val="21"/>
                <w:szCs w:val="21"/>
                <w:lang w:eastAsia="zh-CN"/>
              </w:rPr>
              <w:t>经化粪池暂存后由环卫部门定期清运</w:t>
            </w:r>
            <w:r>
              <w:rPr>
                <w:color w:val="auto"/>
                <w:sz w:val="21"/>
                <w:szCs w:val="21"/>
              </w:rPr>
              <w:t>。</w:t>
            </w:r>
          </w:p>
          <w:p w14:paraId="03E97D1C">
            <w:pPr>
              <w:keepNext w:val="0"/>
              <w:keepLines w:val="0"/>
              <w:pageBreakBefore w:val="0"/>
              <w:widowControl w:val="0"/>
              <w:tabs>
                <w:tab w:val="left" w:pos="1800"/>
              </w:tabs>
              <w:kinsoku/>
              <w:wordWrap/>
              <w:overflowPunct/>
              <w:topLinePunct w:val="0"/>
              <w:autoSpaceDE/>
              <w:autoSpaceDN/>
              <w:bidi w:val="0"/>
              <w:adjustRightInd w:val="0"/>
              <w:snapToGrid w:val="0"/>
              <w:spacing w:line="360" w:lineRule="auto"/>
              <w:ind w:firstLine="420" w:firstLineChars="200"/>
              <w:textAlignment w:val="auto"/>
              <w:rPr>
                <w:rFonts w:hint="default"/>
                <w:color w:val="auto"/>
                <w:highlight w:val="yellow"/>
                <w:lang w:val="en-US"/>
              </w:rPr>
            </w:pPr>
            <w:r>
              <w:rPr>
                <w:rFonts w:hint="default" w:ascii="Times New Roman" w:hAnsi="Times New Roman" w:cs="Times New Roman"/>
                <w:color w:val="auto"/>
                <w:highlight w:val="none"/>
              </w:rPr>
              <w:t>②</w:t>
            </w:r>
            <w:r>
              <w:rPr>
                <w:rFonts w:hint="eastAsia"/>
                <w:color w:val="auto"/>
                <w:sz w:val="21"/>
                <w:szCs w:val="21"/>
                <w:highlight w:val="none"/>
                <w:lang w:val="en-US" w:eastAsia="zh-CN"/>
              </w:rPr>
              <w:t>蒸发冷凝水：原料经萃取、</w:t>
            </w:r>
            <w:r>
              <w:rPr>
                <w:rFonts w:hint="eastAsia" w:cs="Times New Roman"/>
                <w:color w:val="auto"/>
                <w:highlight w:val="none"/>
                <w:lang w:val="en-US" w:eastAsia="zh-CN"/>
              </w:rPr>
              <w:t>一次预热分离和二次预热分离</w:t>
            </w:r>
            <w:r>
              <w:rPr>
                <w:rFonts w:hint="eastAsia"/>
                <w:color w:val="auto"/>
                <w:sz w:val="21"/>
                <w:szCs w:val="21"/>
                <w:highlight w:val="none"/>
                <w:lang w:val="en-US" w:eastAsia="zh-CN"/>
              </w:rPr>
              <w:t>后的氧氯化锆溶液和氧氯化铪溶液进入钛材加热器进行蒸发结晶，原料溶解和定容用水量为1560m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w:t>
            </w:r>
            <w:r>
              <w:rPr>
                <w:rFonts w:hint="eastAsia" w:cs="Times New Roman"/>
                <w:color w:val="auto"/>
                <w:highlight w:val="none"/>
                <w:lang w:val="en-US" w:eastAsia="zh-CN"/>
              </w:rPr>
              <w:t>一次预热分离和二次预热分离纯水总用量为4000</w:t>
            </w:r>
            <w:r>
              <w:rPr>
                <w:rFonts w:hint="eastAsia"/>
                <w:color w:val="auto"/>
                <w:sz w:val="21"/>
                <w:szCs w:val="21"/>
                <w:highlight w:val="none"/>
                <w:lang w:val="en-US" w:eastAsia="zh-CN"/>
              </w:rPr>
              <w:t>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w:t>
            </w:r>
            <w:r>
              <w:rPr>
                <w:rFonts w:hint="eastAsia" w:cs="Times New Roman"/>
                <w:color w:val="auto"/>
                <w:highlight w:val="none"/>
                <w:lang w:val="en-US" w:eastAsia="zh-CN"/>
              </w:rPr>
              <w:t>，</w:t>
            </w:r>
            <w:r>
              <w:rPr>
                <w:rFonts w:hint="eastAsia"/>
                <w:color w:val="auto"/>
                <w:sz w:val="21"/>
                <w:szCs w:val="21"/>
                <w:highlight w:val="none"/>
                <w:lang w:val="en-US" w:eastAsia="zh-CN"/>
              </w:rPr>
              <w:t>原料含水率为26%，自带游离水676m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/a，总计6236m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/a。其中70%的水（4365.2m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/a）在蒸发结晶工序蒸发，其中95%的水蒸气经自带冷凝器收集后（4146.9m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/a）回用于原料溶解和定容工序、</w:t>
            </w:r>
            <w:r>
              <w:rPr>
                <w:rFonts w:hint="eastAsia" w:cs="Times New Roman"/>
                <w:color w:val="auto"/>
                <w:highlight w:val="none"/>
                <w:lang w:val="en-US" w:eastAsia="zh-CN"/>
              </w:rPr>
              <w:t>一次预热分离和二次预热分离工序</w:t>
            </w:r>
            <w:r>
              <w:rPr>
                <w:rFonts w:hint="eastAsia"/>
                <w:color w:val="auto"/>
                <w:sz w:val="21"/>
                <w:szCs w:val="21"/>
                <w:highlight w:val="none"/>
                <w:lang w:val="en-US" w:eastAsia="zh-CN"/>
              </w:rPr>
              <w:t>，5%（218.3m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/a）蒸发损耗和进入产品。</w:t>
            </w:r>
          </w:p>
          <w:p w14:paraId="4D9BB9D5">
            <w:pPr>
              <w:keepNext w:val="0"/>
              <w:keepLines w:val="0"/>
              <w:pageBreakBefore w:val="0"/>
              <w:widowControl w:val="0"/>
              <w:tabs>
                <w:tab w:val="left" w:pos="1800"/>
              </w:tabs>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③</w:t>
            </w:r>
            <w:r>
              <w:rPr>
                <w:rFonts w:hint="eastAsia"/>
                <w:color w:val="auto"/>
                <w:sz w:val="21"/>
                <w:szCs w:val="21"/>
                <w:highlight w:val="none"/>
                <w:lang w:val="en-US" w:eastAsia="zh-CN"/>
              </w:rPr>
              <w:t>蒸汽冷凝水：本项目蒸汽用量为300t/a，蒸汽经冷凝后用于</w:t>
            </w:r>
            <w:r>
              <w:rPr>
                <w:rFonts w:hint="eastAsia" w:cs="Times New Roman"/>
                <w:color w:val="auto"/>
                <w:spacing w:val="-2"/>
                <w:kern w:val="0"/>
                <w:highlight w:val="none"/>
                <w:lang w:val="en-US" w:eastAsia="zh-CN"/>
              </w:rPr>
              <w:t>酸雾吸收塔用水和原料溶解用水，冷凝率为95%，则</w:t>
            </w:r>
            <w:r>
              <w:rPr>
                <w:rFonts w:hint="eastAsia"/>
                <w:color w:val="auto"/>
                <w:sz w:val="21"/>
                <w:szCs w:val="21"/>
                <w:highlight w:val="none"/>
                <w:lang w:val="en-US" w:eastAsia="zh-CN"/>
              </w:rPr>
              <w:t>5%（5m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/a）蒸发损耗，蒸汽冷凝水产生量为285m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/a，回用于原料溶解工序、水喷淋和</w:t>
            </w:r>
            <w:r>
              <w:rPr>
                <w:rFonts w:hint="eastAsia" w:cs="Times New Roman"/>
                <w:color w:val="auto"/>
                <w:spacing w:val="-2"/>
                <w:kern w:val="0"/>
                <w:highlight w:val="none"/>
                <w:lang w:val="en-US" w:eastAsia="zh-CN"/>
              </w:rPr>
              <w:t>酸雾吸收塔用水</w:t>
            </w:r>
            <w:r>
              <w:rPr>
                <w:rFonts w:hint="eastAsia"/>
                <w:color w:val="auto"/>
                <w:sz w:val="21"/>
                <w:szCs w:val="21"/>
                <w:highlight w:val="none"/>
                <w:lang w:val="en-US" w:eastAsia="zh-CN"/>
              </w:rPr>
              <w:t>。</w:t>
            </w:r>
          </w:p>
          <w:p w14:paraId="2FC40FBD">
            <w:pPr>
              <w:keepNext w:val="0"/>
              <w:keepLines w:val="0"/>
              <w:pageBreakBefore w:val="0"/>
              <w:widowControl w:val="0"/>
              <w:tabs>
                <w:tab w:val="left" w:pos="1800"/>
              </w:tabs>
              <w:kinsoku/>
              <w:wordWrap/>
              <w:overflowPunct/>
              <w:topLinePunct w:val="0"/>
              <w:autoSpaceDE/>
              <w:autoSpaceDN/>
              <w:bidi w:val="0"/>
              <w:adjustRightInd w:val="0"/>
              <w:snapToGrid w:val="0"/>
              <w:spacing w:line="360" w:lineRule="auto"/>
              <w:ind w:firstLine="420" w:firstLineChars="200"/>
              <w:textAlignment w:val="auto"/>
              <w:rPr>
                <w:rFonts w:hint="eastAsia"/>
                <w:color w:val="auto"/>
                <w:sz w:val="21"/>
                <w:szCs w:val="21"/>
                <w:highlight w:val="none"/>
                <w:lang w:val="en-US" w:eastAsia="zh-CN"/>
              </w:rPr>
            </w:pPr>
            <w:r>
              <w:rPr>
                <w:rFonts w:hint="eastAsia" w:ascii="Times New Roman" w:hAnsi="Times New Roman" w:eastAsia="宋体" w:cs="Times New Roman"/>
                <w:color w:val="auto"/>
                <w:highlight w:val="none"/>
                <w:lang w:eastAsia="zh-CN"/>
              </w:rPr>
              <w:t>④</w:t>
            </w:r>
            <w:r>
              <w:rPr>
                <w:rFonts w:hint="eastAsia"/>
                <w:color w:val="auto"/>
                <w:sz w:val="21"/>
                <w:szCs w:val="21"/>
                <w:highlight w:val="none"/>
                <w:lang w:val="en-US" w:eastAsia="zh-CN"/>
              </w:rPr>
              <w:t>离心废水：本项目原料溶解和定容用水、</w:t>
            </w:r>
            <w:r>
              <w:rPr>
                <w:rFonts w:hint="eastAsia" w:cs="Times New Roman"/>
                <w:color w:val="auto"/>
                <w:highlight w:val="none"/>
                <w:lang w:val="en-US" w:eastAsia="zh-CN"/>
              </w:rPr>
              <w:t>一次预热分离和二次预热分离用水</w:t>
            </w:r>
            <w:r>
              <w:rPr>
                <w:rFonts w:hint="eastAsia"/>
                <w:color w:val="auto"/>
                <w:sz w:val="21"/>
                <w:szCs w:val="21"/>
                <w:highlight w:val="none"/>
                <w:lang w:val="en-US" w:eastAsia="zh-CN"/>
              </w:rPr>
              <w:t>及产品自带水70%（4365.2m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/a）经蒸发结晶工序蒸发，剩余30%（1870.8m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/a）进入离心机离心，离心机分离效率一般为95%-99.5%，本次取值99%，则离心废水产生量为1852.1m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w:t>
            </w:r>
            <w:r>
              <w:rPr>
                <w:rFonts w:hint="eastAsia" w:cs="Times New Roman"/>
                <w:color w:val="auto"/>
                <w:sz w:val="21"/>
                <w:szCs w:val="18"/>
                <w:highlight w:val="none"/>
                <w:lang w:val="en-US" w:eastAsia="zh-CN"/>
              </w:rPr>
              <w:t>根据企业提供资料，</w:t>
            </w:r>
            <w:r>
              <w:rPr>
                <w:rFonts w:hint="eastAsia" w:cs="Times New Roman"/>
                <w:color w:val="auto"/>
                <w:sz w:val="21"/>
                <w:szCs w:val="21"/>
                <w:highlight w:val="none"/>
                <w:lang w:val="en-US" w:eastAsia="zh-CN"/>
              </w:rPr>
              <w:t>经蒸发结晶后的高纯氧氯化锆溶液为</w:t>
            </w:r>
            <w:r>
              <w:rPr>
                <w:rFonts w:hint="eastAsia" w:cs="Times New Roman"/>
                <w:color w:val="auto"/>
                <w:sz w:val="21"/>
                <w:szCs w:val="18"/>
                <w:highlight w:val="none"/>
                <w:lang w:val="en-US" w:eastAsia="zh-CN"/>
              </w:rPr>
              <w:t>2500t/a，粗品氧氯化铪溶液为1310.8t/a，游离的氯化氢含量在0.1%，离心过程中</w:t>
            </w:r>
            <w:r>
              <w:rPr>
                <w:rFonts w:hint="eastAsia" w:cs="Times New Roman"/>
                <w:color w:val="auto"/>
                <w:sz w:val="21"/>
                <w:szCs w:val="21"/>
                <w:highlight w:val="none"/>
                <w:lang w:val="en-US" w:eastAsia="zh-CN"/>
              </w:rPr>
              <w:t>氯化氢按10%进入废气，10%进入产品，剩余80%进入废水中，则废水中氯化氢含量为3.049t/a，</w:t>
            </w:r>
            <w:r>
              <w:rPr>
                <w:rFonts w:hint="eastAsia"/>
                <w:color w:val="auto"/>
                <w:sz w:val="21"/>
                <w:szCs w:val="21"/>
                <w:highlight w:val="none"/>
                <w:lang w:val="en-US" w:eastAsia="zh-CN"/>
              </w:rPr>
              <w:t>与</w:t>
            </w:r>
            <w:r>
              <w:rPr>
                <w:rFonts w:hint="eastAsia"/>
                <w:color w:val="auto"/>
                <w:sz w:val="21"/>
                <w:szCs w:val="21"/>
                <w:highlight w:val="none"/>
                <w:lang w:eastAsia="zh-CN"/>
              </w:rPr>
              <w:t>酸雾吸收废水（</w:t>
            </w:r>
            <w:r>
              <w:rPr>
                <w:rFonts w:hint="eastAsia"/>
                <w:color w:val="auto"/>
                <w:sz w:val="21"/>
                <w:szCs w:val="21"/>
                <w:highlight w:val="none"/>
                <w:lang w:val="en-US" w:eastAsia="zh-CN"/>
              </w:rPr>
              <w:t>119.331m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w:t>
            </w:r>
            <w:r>
              <w:rPr>
                <w:rFonts w:hint="eastAsia"/>
                <w:color w:val="auto"/>
                <w:sz w:val="21"/>
                <w:szCs w:val="21"/>
                <w:highlight w:val="none"/>
                <w:lang w:eastAsia="zh-CN"/>
              </w:rPr>
              <w:t>）</w:t>
            </w:r>
            <w:r>
              <w:rPr>
                <w:rFonts w:hint="eastAsia"/>
                <w:color w:val="auto"/>
                <w:sz w:val="21"/>
                <w:szCs w:val="21"/>
                <w:highlight w:val="none"/>
                <w:lang w:val="en-US" w:eastAsia="zh-CN"/>
              </w:rPr>
              <w:t>、氢氧化钠（0.759t/a）中和、多效蒸发器蒸发后，80%冷凝后（1577.752m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/a）回用于预热分离用水和地面清扫用水，15%（295.828m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/a）进入废盐中，5%（98.61m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/a）蒸发损耗。</w:t>
            </w:r>
          </w:p>
          <w:p w14:paraId="5758E80D">
            <w:pPr>
              <w:keepNext w:val="0"/>
              <w:keepLines w:val="0"/>
              <w:pageBreakBefore w:val="0"/>
              <w:widowControl w:val="0"/>
              <w:tabs>
                <w:tab w:val="left" w:pos="1800"/>
              </w:tabs>
              <w:kinsoku/>
              <w:wordWrap/>
              <w:overflowPunct/>
              <w:topLinePunct w:val="0"/>
              <w:autoSpaceDE/>
              <w:autoSpaceDN/>
              <w:bidi w:val="0"/>
              <w:adjustRightInd w:val="0"/>
              <w:snapToGrid w:val="0"/>
              <w:spacing w:line="360" w:lineRule="auto"/>
              <w:ind w:firstLine="420" w:firstLineChars="200"/>
              <w:textAlignment w:val="auto"/>
              <w:rPr>
                <w:rFonts w:hint="eastAsia"/>
                <w:color w:val="auto"/>
                <w:sz w:val="21"/>
                <w:szCs w:val="21"/>
                <w:highlight w:val="none"/>
                <w:lang w:eastAsia="zh-CN"/>
              </w:rPr>
            </w:pPr>
            <w:r>
              <w:rPr>
                <w:rFonts w:hint="eastAsia" w:ascii="宋体" w:hAnsi="宋体" w:eastAsia="宋体" w:cs="宋体"/>
                <w:color w:val="auto"/>
                <w:sz w:val="21"/>
                <w:szCs w:val="21"/>
                <w:highlight w:val="none"/>
                <w:lang w:val="en-US" w:eastAsia="zh-CN"/>
              </w:rPr>
              <w:t>⑤</w:t>
            </w:r>
            <w:r>
              <w:rPr>
                <w:rFonts w:hint="eastAsia"/>
                <w:color w:val="auto"/>
                <w:sz w:val="21"/>
                <w:szCs w:val="21"/>
                <w:highlight w:val="none"/>
                <w:lang w:eastAsia="zh-CN"/>
              </w:rPr>
              <w:t>酸雾吸收废水</w:t>
            </w:r>
            <w:r>
              <w:rPr>
                <w:rFonts w:hint="eastAsia"/>
                <w:color w:val="auto"/>
                <w:sz w:val="21"/>
                <w:szCs w:val="21"/>
                <w:highlight w:val="none"/>
                <w:lang w:val="en-US" w:eastAsia="zh-CN"/>
              </w:rPr>
              <w:t>：水喷淋</w:t>
            </w:r>
            <w:r>
              <w:rPr>
                <w:rFonts w:hint="eastAsia" w:cs="Times New Roman"/>
                <w:color w:val="auto"/>
                <w:spacing w:val="-2"/>
                <w:kern w:val="0"/>
                <w:highlight w:val="none"/>
                <w:lang w:val="en-US" w:eastAsia="zh-CN"/>
              </w:rPr>
              <w:t>塔</w:t>
            </w:r>
            <w:r>
              <w:rPr>
                <w:rFonts w:hint="eastAsia"/>
                <w:color w:val="auto"/>
                <w:highlight w:val="none"/>
                <w:lang w:val="en-US" w:eastAsia="zh-CN"/>
              </w:rPr>
              <w:t>填充量为2t，</w:t>
            </w:r>
            <w:r>
              <w:rPr>
                <w:rFonts w:hint="eastAsia" w:cs="Times New Roman"/>
                <w:color w:val="auto"/>
                <w:spacing w:val="-2"/>
                <w:kern w:val="0"/>
                <w:highlight w:val="none"/>
                <w:lang w:val="en-US" w:eastAsia="zh-CN"/>
              </w:rPr>
              <w:t>酸雾吸收塔用水</w:t>
            </w:r>
            <w:r>
              <w:rPr>
                <w:rFonts w:hint="eastAsia"/>
                <w:color w:val="auto"/>
                <w:highlight w:val="none"/>
                <w:lang w:val="en-US" w:eastAsia="zh-CN"/>
              </w:rPr>
              <w:t>填充量为2t，循环使用，每10天更换一次，其中10%蒸发损耗，其余（108</w:t>
            </w:r>
            <w:r>
              <w:rPr>
                <w:rFonts w:hint="eastAsia"/>
                <w:color w:val="auto"/>
                <w:sz w:val="21"/>
                <w:szCs w:val="21"/>
                <w:highlight w:val="none"/>
                <w:lang w:val="en-US" w:eastAsia="zh-CN"/>
              </w:rPr>
              <w:t>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w:t>
            </w:r>
            <w:r>
              <w:rPr>
                <w:rFonts w:hint="eastAsia"/>
                <w:color w:val="auto"/>
                <w:highlight w:val="none"/>
                <w:lang w:val="en-US" w:eastAsia="zh-CN"/>
              </w:rPr>
              <w:t>）进入</w:t>
            </w:r>
            <w:r>
              <w:rPr>
                <w:rFonts w:hint="eastAsia"/>
                <w:color w:val="auto"/>
                <w:sz w:val="21"/>
                <w:szCs w:val="21"/>
                <w:highlight w:val="none"/>
                <w:lang w:eastAsia="zh-CN"/>
              </w:rPr>
              <w:t>酸雾吸收废水</w:t>
            </w:r>
            <w:r>
              <w:rPr>
                <w:rFonts w:hint="eastAsia"/>
                <w:color w:val="auto"/>
                <w:sz w:val="21"/>
                <w:szCs w:val="21"/>
                <w:highlight w:val="none"/>
                <w:lang w:val="en-US" w:eastAsia="zh-CN"/>
              </w:rPr>
              <w:t>，本项目吸收氯化氢11.331t/a，则</w:t>
            </w:r>
            <w:r>
              <w:rPr>
                <w:rFonts w:hint="eastAsia"/>
                <w:color w:val="auto"/>
                <w:sz w:val="21"/>
                <w:szCs w:val="21"/>
                <w:highlight w:val="none"/>
                <w:lang w:eastAsia="zh-CN"/>
              </w:rPr>
              <w:t>酸雾吸收废水</w:t>
            </w:r>
            <w:r>
              <w:rPr>
                <w:rFonts w:hint="eastAsia"/>
                <w:color w:val="auto"/>
                <w:sz w:val="21"/>
                <w:szCs w:val="21"/>
                <w:highlight w:val="none"/>
                <w:lang w:val="en-US" w:eastAsia="zh-CN"/>
              </w:rPr>
              <w:t>产生量为119.331m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/a，与离心废水中和、加氢氧化钠（0.759t/a）再次中和、多效蒸发器蒸发后，70%冷凝后回用于预热分离用水和地面清扫用水，15%进入废盐中，5%蒸发损耗</w:t>
            </w:r>
            <w:r>
              <w:rPr>
                <w:rFonts w:hint="eastAsia"/>
                <w:color w:val="auto"/>
                <w:sz w:val="21"/>
                <w:szCs w:val="21"/>
                <w:highlight w:val="none"/>
                <w:lang w:eastAsia="zh-CN"/>
              </w:rPr>
              <w:t>。</w:t>
            </w:r>
          </w:p>
          <w:p w14:paraId="48D374BF">
            <w:pPr>
              <w:keepNext w:val="0"/>
              <w:keepLines w:val="0"/>
              <w:pageBreakBefore w:val="0"/>
              <w:widowControl w:val="0"/>
              <w:tabs>
                <w:tab w:val="left" w:pos="1800"/>
              </w:tabs>
              <w:kinsoku/>
              <w:wordWrap/>
              <w:overflowPunct/>
              <w:topLinePunct w:val="0"/>
              <w:autoSpaceDE/>
              <w:autoSpaceDN/>
              <w:bidi w:val="0"/>
              <w:adjustRightInd w:val="0"/>
              <w:snapToGrid w:val="0"/>
              <w:spacing w:line="360" w:lineRule="auto"/>
              <w:textAlignment w:val="auto"/>
              <w:rPr>
                <w:rFonts w:hint="eastAsia"/>
                <w:color w:val="auto"/>
                <w:sz w:val="21"/>
                <w:szCs w:val="21"/>
                <w:highlight w:val="none"/>
                <w:lang w:val="en-US" w:eastAsia="zh-CN"/>
              </w:rPr>
            </w:pPr>
            <w:r>
              <w:rPr>
                <w:rFonts w:hint="eastAsia"/>
                <w:color w:val="auto"/>
                <w:sz w:val="21"/>
                <w:szCs w:val="21"/>
                <w:highlight w:val="none"/>
                <w:lang w:val="en-US" w:eastAsia="zh-CN"/>
              </w:rPr>
              <w:object>
                <v:shape id="_x0000_i1027" o:spt="75" type="#_x0000_t75" style="height:247.05pt;width:420.35pt;" o:ole="t" filled="f" o:preferrelative="t" stroked="f" coordsize="21600,21600">
                  <v:path/>
                  <v:fill on="f" focussize="0,0"/>
                  <v:stroke on="f"/>
                  <v:imagedata r:id="rId15" o:title=""/>
                  <o:lock v:ext="edit" aspectratio="f"/>
                  <w10:wrap type="none"/>
                  <w10:anchorlock/>
                </v:shape>
                <o:OLEObject Type="Embed" ProgID="Visio.Drawing.15" ShapeID="_x0000_i1027" DrawAspect="Content" ObjectID="_1468075727" r:id="rId14">
                  <o:LockedField>false</o:LockedField>
                </o:OLEObject>
              </w:object>
            </w:r>
          </w:p>
          <w:p w14:paraId="2EB81A26">
            <w:pPr>
              <w:pStyle w:val="82"/>
              <w:ind w:left="0" w:leftChars="0"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图2-</w:t>
            </w:r>
            <w:r>
              <w:rPr>
                <w:rFonts w:hint="eastAsia" w:cs="Times New Roman"/>
                <w:b/>
                <w:bCs/>
                <w:color w:val="auto"/>
                <w:sz w:val="21"/>
                <w:szCs w:val="21"/>
                <w:highlight w:val="none"/>
                <w:lang w:val="en-US" w:eastAsia="zh-CN"/>
              </w:rPr>
              <w:t>3</w:t>
            </w:r>
            <w:r>
              <w:rPr>
                <w:rFonts w:hint="default" w:ascii="Times New Roman" w:hAnsi="Times New Roman" w:eastAsia="宋体" w:cs="Times New Roman"/>
                <w:b/>
                <w:bCs/>
                <w:color w:val="auto"/>
                <w:sz w:val="21"/>
                <w:szCs w:val="21"/>
                <w:highlight w:val="none"/>
                <w:lang w:val="en-US" w:eastAsia="zh-CN"/>
              </w:rPr>
              <w:t>本项目</w:t>
            </w:r>
            <w:r>
              <w:rPr>
                <w:rFonts w:hint="default" w:ascii="Times New Roman" w:hAnsi="Times New Roman" w:eastAsia="宋体" w:cs="Times New Roman"/>
                <w:b/>
                <w:bCs/>
                <w:color w:val="auto"/>
                <w:sz w:val="21"/>
                <w:szCs w:val="21"/>
                <w:highlight w:val="none"/>
              </w:rPr>
              <w:t>用水水平衡图 单位m</w:t>
            </w:r>
            <w:r>
              <w:rPr>
                <w:rFonts w:hint="default" w:ascii="Times New Roman" w:hAnsi="Times New Roman" w:eastAsia="宋体" w:cs="Times New Roman"/>
                <w:b/>
                <w:bCs/>
                <w:color w:val="auto"/>
                <w:sz w:val="21"/>
                <w:szCs w:val="21"/>
                <w:highlight w:val="none"/>
                <w:vertAlign w:val="superscript"/>
              </w:rPr>
              <w:t>3</w:t>
            </w:r>
            <w:r>
              <w:rPr>
                <w:rFonts w:hint="default" w:ascii="Times New Roman" w:hAnsi="Times New Roman" w:eastAsia="宋体" w:cs="Times New Roman"/>
                <w:b/>
                <w:bCs/>
                <w:color w:val="auto"/>
                <w:sz w:val="21"/>
                <w:szCs w:val="21"/>
                <w:highlight w:val="none"/>
              </w:rPr>
              <w:t>/a</w:t>
            </w:r>
          </w:p>
          <w:p w14:paraId="4D80B5D6">
            <w:pPr>
              <w:tabs>
                <w:tab w:val="left" w:pos="1800"/>
              </w:tabs>
              <w:adjustRightInd w:val="0"/>
              <w:snapToGrid w:val="0"/>
              <w:spacing w:line="360" w:lineRule="auto"/>
              <w:ind w:firstLine="460" w:firstLineChars="200"/>
              <w:rPr>
                <w:rFonts w:hint="default" w:ascii="Times New Roman" w:hAnsi="Times New Roman" w:cs="Times New Roman"/>
                <w:color w:val="auto"/>
                <w:spacing w:val="10"/>
                <w:szCs w:val="21"/>
                <w:highlight w:val="none"/>
              </w:rPr>
            </w:pPr>
            <w:r>
              <w:rPr>
                <w:rFonts w:hint="default" w:ascii="Times New Roman" w:hAnsi="Times New Roman" w:cs="Times New Roman"/>
                <w:color w:val="auto"/>
                <w:spacing w:val="10"/>
                <w:szCs w:val="21"/>
                <w:highlight w:val="none"/>
              </w:rPr>
              <w:t>（3）供电：本项目用电</w:t>
            </w:r>
            <w:r>
              <w:rPr>
                <w:rFonts w:hint="default" w:ascii="Times New Roman" w:hAnsi="Times New Roman" w:cs="Times New Roman"/>
                <w:color w:val="auto"/>
                <w:spacing w:val="10"/>
                <w:szCs w:val="21"/>
                <w:highlight w:val="none"/>
                <w:lang w:eastAsia="zh-CN"/>
              </w:rPr>
              <w:t>由</w:t>
            </w:r>
            <w:r>
              <w:rPr>
                <w:rFonts w:hint="eastAsia" w:cs="Times New Roman"/>
                <w:color w:val="auto"/>
                <w:spacing w:val="10"/>
                <w:szCs w:val="21"/>
                <w:highlight w:val="none"/>
                <w:lang w:eastAsia="zh-CN"/>
              </w:rPr>
              <w:t>龙泉镇</w:t>
            </w:r>
            <w:r>
              <w:rPr>
                <w:rFonts w:hint="default" w:ascii="Times New Roman" w:hAnsi="Times New Roman" w:cs="Times New Roman"/>
                <w:color w:val="auto"/>
                <w:spacing w:val="10"/>
                <w:szCs w:val="21"/>
                <w:highlight w:val="none"/>
                <w:lang w:eastAsia="zh-CN"/>
              </w:rPr>
              <w:t>供电所</w:t>
            </w:r>
            <w:r>
              <w:rPr>
                <w:rFonts w:hint="default" w:ascii="Times New Roman" w:hAnsi="Times New Roman" w:cs="Times New Roman"/>
                <w:color w:val="auto"/>
                <w:spacing w:val="10"/>
                <w:szCs w:val="21"/>
                <w:highlight w:val="none"/>
              </w:rPr>
              <w:t>线路接入供给，</w:t>
            </w:r>
            <w:r>
              <w:rPr>
                <w:rFonts w:hint="default" w:ascii="Times New Roman" w:hAnsi="Times New Roman" w:cs="Times New Roman"/>
                <w:color w:val="auto"/>
                <w:spacing w:val="10"/>
                <w:szCs w:val="21"/>
                <w:highlight w:val="none"/>
                <w:lang w:val="en-US" w:eastAsia="zh-CN"/>
              </w:rPr>
              <w:t>新增</w:t>
            </w:r>
            <w:r>
              <w:rPr>
                <w:rFonts w:hint="default" w:ascii="Times New Roman" w:hAnsi="Times New Roman" w:cs="Times New Roman"/>
                <w:color w:val="auto"/>
                <w:spacing w:val="10"/>
                <w:szCs w:val="21"/>
                <w:highlight w:val="none"/>
              </w:rPr>
              <w:t>用电量约为</w:t>
            </w:r>
            <w:r>
              <w:rPr>
                <w:rFonts w:hint="eastAsia" w:cs="Times New Roman"/>
                <w:color w:val="auto"/>
                <w:spacing w:val="10"/>
                <w:szCs w:val="21"/>
                <w:highlight w:val="none"/>
                <w:lang w:val="en-US" w:eastAsia="zh-CN"/>
              </w:rPr>
              <w:t>80</w:t>
            </w:r>
            <w:r>
              <w:rPr>
                <w:rFonts w:hint="default" w:ascii="Times New Roman" w:hAnsi="Times New Roman" w:cs="Times New Roman"/>
                <w:color w:val="auto"/>
                <w:spacing w:val="10"/>
                <w:szCs w:val="21"/>
                <w:highlight w:val="none"/>
              </w:rPr>
              <w:t>万kWh/a。</w:t>
            </w:r>
          </w:p>
          <w:p w14:paraId="291BB3C6">
            <w:pPr>
              <w:tabs>
                <w:tab w:val="left" w:pos="1800"/>
              </w:tabs>
              <w:adjustRightInd w:val="0"/>
              <w:snapToGrid w:val="0"/>
              <w:spacing w:line="360" w:lineRule="auto"/>
              <w:ind w:firstLine="460" w:firstLineChars="200"/>
              <w:rPr>
                <w:rFonts w:hint="default" w:ascii="Times New Roman" w:hAnsi="Times New Roman" w:cs="Times New Roman"/>
                <w:color w:val="auto"/>
                <w:spacing w:val="10"/>
                <w:szCs w:val="21"/>
                <w:highlight w:val="none"/>
              </w:rPr>
            </w:pPr>
            <w:r>
              <w:rPr>
                <w:rFonts w:hint="default" w:ascii="Times New Roman" w:hAnsi="Times New Roman" w:cs="Times New Roman"/>
                <w:color w:val="auto"/>
                <w:spacing w:val="10"/>
                <w:szCs w:val="21"/>
                <w:highlight w:val="none"/>
              </w:rPr>
              <w:t>（4）供热：该项目厂区内不设燃煤锅炉，</w:t>
            </w:r>
            <w:r>
              <w:rPr>
                <w:rFonts w:hint="eastAsia" w:cs="Times New Roman"/>
                <w:color w:val="auto"/>
                <w:spacing w:val="10"/>
                <w:szCs w:val="21"/>
                <w:highlight w:val="none"/>
                <w:lang w:eastAsia="zh-CN"/>
              </w:rPr>
              <w:t>办公楼</w:t>
            </w:r>
            <w:r>
              <w:rPr>
                <w:rFonts w:hint="default" w:ascii="Times New Roman" w:hAnsi="Times New Roman" w:cs="Times New Roman"/>
                <w:color w:val="auto"/>
                <w:spacing w:val="10"/>
                <w:szCs w:val="21"/>
                <w:highlight w:val="none"/>
              </w:rPr>
              <w:t>冬季取暖使用空调。</w:t>
            </w:r>
          </w:p>
          <w:p w14:paraId="273E8EB7">
            <w:pPr>
              <w:spacing w:line="360" w:lineRule="auto"/>
              <w:ind w:firstLine="422" w:firstLineChars="200"/>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12、总平面布置</w:t>
            </w:r>
          </w:p>
          <w:p w14:paraId="0BDD0962">
            <w:pPr>
              <w:pStyle w:val="1389"/>
              <w:ind w:firstLine="440"/>
              <w:rPr>
                <w:color w:val="auto"/>
              </w:rPr>
            </w:pPr>
            <w:r>
              <w:rPr>
                <w:rFonts w:hint="default" w:ascii="Times New Roman" w:hAnsi="Times New Roman" w:cs="Times New Roman" w:eastAsiaTheme="minorEastAsia"/>
                <w:color w:val="auto"/>
                <w:highlight w:val="none"/>
              </w:rPr>
              <w:t>本项目</w:t>
            </w:r>
            <w:r>
              <w:rPr>
                <w:rFonts w:hint="default" w:ascii="Times New Roman" w:hAnsi="Times New Roman" w:cs="Times New Roman" w:eastAsiaTheme="minorEastAsia"/>
                <w:color w:val="auto"/>
                <w:highlight w:val="none"/>
                <w:lang w:val="en-US" w:eastAsia="zh-CN"/>
              </w:rPr>
              <w:t>主要包括</w:t>
            </w:r>
            <w:r>
              <w:rPr>
                <w:rFonts w:hint="eastAsia" w:cs="Times New Roman" w:eastAsiaTheme="minorEastAsia"/>
                <w:color w:val="auto"/>
                <w:highlight w:val="none"/>
                <w:lang w:val="en-US" w:eastAsia="zh-CN"/>
              </w:rPr>
              <w:t>2个办公楼</w:t>
            </w:r>
            <w:r>
              <w:rPr>
                <w:rFonts w:hint="default" w:ascii="Times New Roman" w:hAnsi="Times New Roman" w:cs="Times New Roman" w:eastAsiaTheme="minorEastAsia"/>
                <w:color w:val="auto"/>
                <w:highlight w:val="none"/>
                <w:lang w:val="en-US" w:eastAsia="zh-CN"/>
              </w:rPr>
              <w:t>、</w:t>
            </w:r>
            <w:r>
              <w:rPr>
                <w:rFonts w:hint="eastAsia" w:cs="Times New Roman" w:eastAsiaTheme="minorEastAsia"/>
                <w:color w:val="auto"/>
                <w:highlight w:val="none"/>
                <w:lang w:val="en-US" w:eastAsia="zh-CN"/>
              </w:rPr>
              <w:t>1个生产车间</w:t>
            </w:r>
            <w:r>
              <w:rPr>
                <w:rFonts w:hint="default" w:ascii="Times New Roman" w:hAnsi="Times New Roman" w:cs="Times New Roman" w:eastAsiaTheme="minorEastAsia"/>
                <w:color w:val="auto"/>
                <w:highlight w:val="none"/>
                <w:lang w:val="en-US" w:eastAsia="zh-CN"/>
              </w:rPr>
              <w:t>，其中</w:t>
            </w:r>
            <w:r>
              <w:rPr>
                <w:rFonts w:hint="eastAsia" w:cs="Times New Roman" w:eastAsiaTheme="minorEastAsia"/>
                <w:color w:val="auto"/>
                <w:highlight w:val="none"/>
                <w:lang w:val="en-US" w:eastAsia="zh-CN"/>
              </w:rPr>
              <w:t>办公楼</w:t>
            </w:r>
            <w:r>
              <w:rPr>
                <w:rFonts w:hint="default" w:ascii="Times New Roman" w:hAnsi="Times New Roman" w:cs="Times New Roman" w:eastAsiaTheme="minorEastAsia"/>
                <w:color w:val="auto"/>
                <w:highlight w:val="none"/>
                <w:lang w:val="en-US" w:eastAsia="zh-CN"/>
              </w:rPr>
              <w:t>位于</w:t>
            </w:r>
            <w:r>
              <w:rPr>
                <w:rFonts w:hint="eastAsia" w:cs="Times New Roman" w:eastAsiaTheme="minorEastAsia"/>
                <w:color w:val="auto"/>
                <w:highlight w:val="none"/>
                <w:lang w:val="en-US" w:eastAsia="zh-CN"/>
              </w:rPr>
              <w:t>厂区的西南侧</w:t>
            </w:r>
            <w:r>
              <w:rPr>
                <w:rFonts w:hint="default" w:ascii="Times New Roman" w:hAnsi="Times New Roman" w:cs="Times New Roman" w:eastAsiaTheme="minorEastAsia"/>
                <w:color w:val="auto"/>
                <w:highlight w:val="none"/>
                <w:lang w:val="en-US" w:eastAsia="zh-CN"/>
              </w:rPr>
              <w:t>，</w:t>
            </w:r>
            <w:r>
              <w:rPr>
                <w:rFonts w:hint="eastAsia" w:cs="Times New Roman" w:eastAsiaTheme="minorEastAsia"/>
                <w:color w:val="auto"/>
                <w:highlight w:val="none"/>
                <w:lang w:val="en-US" w:eastAsia="zh-CN"/>
              </w:rPr>
              <w:t>生产车间位于厂区中部，大门位于厂区的东南角</w:t>
            </w:r>
            <w:r>
              <w:rPr>
                <w:rFonts w:hint="default" w:ascii="Times New Roman" w:hAnsi="Times New Roman" w:cs="Times New Roman" w:eastAsiaTheme="minorEastAsia"/>
                <w:color w:val="auto"/>
                <w:highlight w:val="none"/>
              </w:rPr>
              <w:t>，在保证各项废气治理措施的情况下，生产区大气污染物对办公区域的影响较小。项目生产总平面布置较好的满足了工艺流程的顺畅性，体现了物料输送的便捷性，使物料的输送简单化，方便了生产，厂区平面布置基本合理。厂区平面布置图详见附图</w:t>
            </w:r>
            <w:r>
              <w:rPr>
                <w:rFonts w:hint="eastAsia" w:cs="Times New Roman" w:eastAsiaTheme="minorEastAsia"/>
                <w:color w:val="auto"/>
                <w:highlight w:val="none"/>
                <w:lang w:val="en-US" w:eastAsia="zh-CN"/>
              </w:rPr>
              <w:t>3</w:t>
            </w:r>
            <w:r>
              <w:rPr>
                <w:rFonts w:hint="default" w:ascii="Times New Roman" w:hAnsi="Times New Roman" w:cs="Times New Roman" w:eastAsiaTheme="minorEastAsia"/>
                <w:color w:val="auto"/>
                <w:highlight w:val="none"/>
              </w:rPr>
              <w:t>。</w:t>
            </w:r>
          </w:p>
        </w:tc>
      </w:tr>
      <w:tr w14:paraId="52AA70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3" w:type="dxa"/>
            <w:vAlign w:val="center"/>
          </w:tcPr>
          <w:p w14:paraId="7B221CDF">
            <w:pPr>
              <w:pStyle w:val="77"/>
              <w:adjustRightInd w:val="0"/>
              <w:snapToGrid w:val="0"/>
              <w:spacing w:before="0" w:beforeAutospacing="0" w:after="0" w:afterAutospacing="0" w:line="420" w:lineRule="exact"/>
              <w:jc w:val="center"/>
              <w:rPr>
                <w:rFonts w:ascii="Times New Roman" w:hAnsi="Times New Roman"/>
                <w:color w:val="auto"/>
                <w:sz w:val="21"/>
                <w:szCs w:val="21"/>
              </w:rPr>
            </w:pPr>
            <w:r>
              <w:rPr>
                <w:rFonts w:ascii="Times New Roman" w:hAnsi="Times New Roman"/>
                <w:color w:val="auto"/>
                <w:sz w:val="21"/>
                <w:szCs w:val="21"/>
              </w:rPr>
              <w:t>工艺流程和产排污环节</w:t>
            </w:r>
          </w:p>
        </w:tc>
        <w:tc>
          <w:tcPr>
            <w:tcW w:w="8427" w:type="dxa"/>
          </w:tcPr>
          <w:p w14:paraId="3DBCA00C">
            <w:pPr>
              <w:pStyle w:val="1042"/>
              <w:adjustRightInd w:val="0"/>
              <w:snapToGrid w:val="0"/>
              <w:spacing w:line="360" w:lineRule="auto"/>
              <w:rPr>
                <w:rFonts w:hint="default" w:ascii="Times New Roman" w:hAnsi="Times New Roman" w:eastAsia="宋体" w:cs="Times New Roman"/>
                <w:b/>
                <w:bCs/>
                <w:color w:val="auto"/>
                <w:szCs w:val="21"/>
                <w:lang w:val="de-DE"/>
              </w:rPr>
            </w:pPr>
            <w:r>
              <w:rPr>
                <w:rFonts w:hint="default" w:ascii="Times New Roman" w:hAnsi="Times New Roman" w:eastAsia="宋体" w:cs="Times New Roman"/>
                <w:b/>
                <w:bCs/>
                <w:color w:val="auto"/>
                <w:szCs w:val="21"/>
                <w:lang w:val="de-DE"/>
              </w:rPr>
              <w:t>一、工艺流程</w:t>
            </w:r>
          </w:p>
          <w:p w14:paraId="29D2E0C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w:t>
            </w:r>
            <w:r>
              <w:rPr>
                <w:rFonts w:hint="eastAsia" w:ascii="Times New Roman" w:hAnsi="Times New Roman" w:cs="Times New Roman"/>
                <w:color w:val="auto"/>
                <w:szCs w:val="21"/>
                <w:highlight w:val="none"/>
                <w:lang w:eastAsia="zh-CN"/>
              </w:rPr>
              <w:t>工艺流程</w:t>
            </w:r>
            <w:r>
              <w:rPr>
                <w:rFonts w:hint="default" w:ascii="Times New Roman" w:hAnsi="Times New Roman" w:cs="Times New Roman"/>
                <w:color w:val="auto"/>
                <w:szCs w:val="21"/>
                <w:highlight w:val="none"/>
              </w:rPr>
              <w:t>主要分为施工期和营运期。</w:t>
            </w:r>
          </w:p>
          <w:p w14:paraId="6E3C9F39">
            <w:pPr>
              <w:pStyle w:val="1042"/>
              <w:adjustRightInd w:val="0"/>
              <w:snapToGrid w:val="0"/>
              <w:spacing w:line="360" w:lineRule="auto"/>
              <w:rPr>
                <w:rFonts w:hint="default" w:ascii="Times New Roman" w:hAnsi="Times New Roman" w:eastAsia="宋体" w:cs="Times New Roman"/>
                <w:b/>
                <w:bCs/>
                <w:color w:val="auto"/>
                <w:szCs w:val="21"/>
                <w:highlight w:val="none"/>
                <w:lang w:val="de-DE"/>
              </w:rPr>
            </w:pPr>
            <w:r>
              <w:rPr>
                <w:rFonts w:hint="default" w:ascii="Times New Roman" w:hAnsi="Times New Roman" w:eastAsia="宋体" w:cs="Times New Roman"/>
                <w:b/>
                <w:bCs/>
                <w:color w:val="auto"/>
                <w:szCs w:val="21"/>
                <w:highlight w:val="none"/>
                <w:lang w:val="de-DE"/>
              </w:rPr>
              <w:t>1、施工期</w:t>
            </w:r>
          </w:p>
          <w:p w14:paraId="6CB35BB2">
            <w:pPr>
              <w:pStyle w:val="1391"/>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cs="Times New Roman"/>
                <w:bCs w:val="0"/>
                <w:color w:val="auto"/>
                <w:sz w:val="21"/>
                <w:highlight w:val="none"/>
              </w:rPr>
            </w:pPr>
            <w:r>
              <w:rPr>
                <w:rFonts w:hint="default" w:ascii="Times New Roman" w:hAnsi="Times New Roman" w:cs="Times New Roman"/>
                <w:bCs w:val="0"/>
                <w:color w:val="auto"/>
                <w:sz w:val="21"/>
              </w:rPr>
              <w:t>本项目</w:t>
            </w:r>
            <w:r>
              <w:rPr>
                <w:rFonts w:hint="default" w:ascii="Times New Roman" w:hAnsi="Times New Roman" w:cs="Times New Roman"/>
                <w:bCs w:val="0"/>
                <w:color w:val="auto"/>
                <w:sz w:val="21"/>
                <w:lang w:val="en-US" w:eastAsia="zh-CN"/>
              </w:rPr>
              <w:t>租赁现有</w:t>
            </w:r>
            <w:r>
              <w:rPr>
                <w:rFonts w:hint="default" w:ascii="Times New Roman" w:hAnsi="Times New Roman" w:cs="Times New Roman"/>
                <w:bCs w:val="0"/>
                <w:color w:val="auto"/>
                <w:sz w:val="21"/>
              </w:rPr>
              <w:t>厂房进行建设，施工期主要为设备安装及调试，故施工期的主要影响因素是设备调试运行时产生的机械噪声和设备安装时产生的少量固废，对周围环境影响较小，本</w:t>
            </w:r>
            <w:r>
              <w:rPr>
                <w:rFonts w:hint="default" w:ascii="Times New Roman" w:hAnsi="Times New Roman" w:cs="Times New Roman"/>
                <w:bCs w:val="0"/>
                <w:color w:val="auto"/>
                <w:sz w:val="21"/>
                <w:highlight w:val="none"/>
              </w:rPr>
              <w:t>环评不再对施工期进行环境影响分析。</w:t>
            </w:r>
          </w:p>
          <w:p w14:paraId="5A948BFA">
            <w:pPr>
              <w:pStyle w:val="1042"/>
              <w:adjustRightInd w:val="0"/>
              <w:snapToGrid w:val="0"/>
              <w:spacing w:line="360" w:lineRule="auto"/>
              <w:rPr>
                <w:rFonts w:hint="default" w:ascii="Times New Roman" w:hAnsi="Times New Roman" w:eastAsia="宋体" w:cs="Times New Roman"/>
                <w:b/>
                <w:bCs/>
                <w:color w:val="auto"/>
                <w:szCs w:val="21"/>
                <w:highlight w:val="none"/>
                <w:lang w:val="de-DE"/>
              </w:rPr>
            </w:pPr>
            <w:r>
              <w:rPr>
                <w:rFonts w:hint="default" w:ascii="Times New Roman" w:hAnsi="Times New Roman" w:eastAsia="宋体" w:cs="Times New Roman"/>
                <w:b/>
                <w:bCs/>
                <w:color w:val="auto"/>
                <w:szCs w:val="21"/>
                <w:highlight w:val="none"/>
                <w:lang w:val="de-DE"/>
              </w:rPr>
              <w:t xml:space="preserve"> 2、运营期</w:t>
            </w:r>
          </w:p>
          <w:p w14:paraId="4B30E0DB">
            <w:pPr>
              <w:pStyle w:val="1042"/>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（1）主要生产工艺</w:t>
            </w:r>
          </w:p>
          <w:p w14:paraId="4AF8F2CA">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Cs w:val="21"/>
                <w:highlight w:val="none"/>
                <w:lang w:val="de-DE"/>
              </w:rPr>
            </w:pPr>
            <w:r>
              <w:rPr>
                <w:rFonts w:hint="default" w:ascii="Times New Roman" w:hAnsi="Times New Roman" w:cs="Times New Roman"/>
                <w:color w:val="auto"/>
                <w:szCs w:val="21"/>
                <w:highlight w:val="none"/>
                <w:lang w:val="en-US" w:eastAsia="zh-CN"/>
              </w:rPr>
              <w:t>本项目</w:t>
            </w:r>
            <w:r>
              <w:rPr>
                <w:rFonts w:hint="default" w:ascii="Times New Roman" w:hAnsi="Times New Roman" w:cs="Times New Roman"/>
                <w:color w:val="auto"/>
                <w:szCs w:val="21"/>
                <w:highlight w:val="none"/>
              </w:rPr>
              <w:t>主要生产</w:t>
            </w:r>
            <w:r>
              <w:rPr>
                <w:rFonts w:hint="default" w:ascii="Times New Roman" w:hAnsi="Times New Roman" w:cs="Times New Roman"/>
                <w:color w:val="auto"/>
                <w:szCs w:val="21"/>
                <w:highlight w:val="none"/>
                <w:lang w:val="de-DE"/>
              </w:rPr>
              <w:t>工艺流程见图2-</w:t>
            </w:r>
            <w:r>
              <w:rPr>
                <w:rFonts w:hint="eastAsia" w:cs="Times New Roman"/>
                <w:color w:val="auto"/>
                <w:szCs w:val="21"/>
                <w:highlight w:val="none"/>
                <w:lang w:val="en-US" w:eastAsia="zh-CN"/>
              </w:rPr>
              <w:t>4</w:t>
            </w:r>
            <w:r>
              <w:rPr>
                <w:rFonts w:hint="default" w:ascii="Times New Roman" w:hAnsi="Times New Roman" w:cs="Times New Roman"/>
                <w:color w:val="auto"/>
                <w:szCs w:val="21"/>
                <w:highlight w:val="none"/>
                <w:lang w:val="de-DE"/>
              </w:rPr>
              <w:t>。</w:t>
            </w:r>
          </w:p>
          <w:p w14:paraId="213216B5">
            <w:pPr>
              <w:spacing w:line="360" w:lineRule="auto"/>
              <w:jc w:val="center"/>
              <w:rPr>
                <w:rFonts w:hint="default" w:ascii="Times New Roman" w:hAnsi="Times New Roman" w:eastAsia="宋体" w:cs="Times New Roman"/>
                <w:b/>
                <w:bCs/>
                <w:color w:val="auto"/>
                <w:highlight w:val="none"/>
                <w:lang w:val="de-DE"/>
              </w:rPr>
            </w:pPr>
            <w:r>
              <w:rPr>
                <w:rFonts w:hint="default" w:ascii="Times New Roman" w:hAnsi="Times New Roman" w:eastAsia="宋体" w:cs="Times New Roman"/>
                <w:b/>
                <w:bCs/>
                <w:color w:val="auto"/>
                <w:highlight w:val="none"/>
                <w:lang w:val="de-DE"/>
              </w:rPr>
              <w:object>
                <v:shape id="_x0000_i1028" o:spt="75" type="#_x0000_t75" style="height:531.25pt;width:379.5pt;" o:ole="t" filled="f" o:preferrelative="t" stroked="f" coordsize="21600,21600">
                  <v:path/>
                  <v:fill on="f" focussize="0,0"/>
                  <v:stroke on="f"/>
                  <v:imagedata r:id="rId17" o:title=""/>
                  <o:lock v:ext="edit" aspectratio="f"/>
                  <w10:wrap type="none"/>
                  <w10:anchorlock/>
                </v:shape>
                <o:OLEObject Type="Embed" ProgID="Visio.Drawing.15" ShapeID="_x0000_i1028" DrawAspect="Content" ObjectID="_1468075728" r:id="rId16">
                  <o:LockedField>false</o:LockedField>
                </o:OLEObject>
              </w:object>
            </w:r>
          </w:p>
          <w:p w14:paraId="2510F350">
            <w:pPr>
              <w:spacing w:line="360" w:lineRule="auto"/>
              <w:jc w:val="center"/>
              <w:rPr>
                <w:rFonts w:hint="default" w:ascii="Times New Roman" w:hAnsi="Times New Roman" w:eastAsia="宋体" w:cs="Times New Roman"/>
                <w:b/>
                <w:bCs/>
                <w:color w:val="auto"/>
                <w:highlight w:val="none"/>
                <w:lang w:val="de-DE"/>
              </w:rPr>
            </w:pPr>
            <w:r>
              <w:rPr>
                <w:rFonts w:hint="default" w:ascii="Times New Roman" w:hAnsi="Times New Roman" w:eastAsia="宋体" w:cs="Times New Roman"/>
                <w:b/>
                <w:bCs/>
                <w:color w:val="auto"/>
                <w:highlight w:val="none"/>
                <w:lang w:val="de-DE"/>
              </w:rPr>
              <w:t>图2-</w:t>
            </w:r>
            <w:r>
              <w:rPr>
                <w:rFonts w:hint="eastAsia" w:cs="Times New Roman"/>
                <w:b/>
                <w:bCs/>
                <w:color w:val="auto"/>
                <w:highlight w:val="none"/>
                <w:lang w:val="en-US" w:eastAsia="zh-CN"/>
              </w:rPr>
              <w:t>4</w:t>
            </w:r>
            <w:r>
              <w:rPr>
                <w:rFonts w:hint="default" w:ascii="Times New Roman" w:hAnsi="Times New Roman" w:eastAsia="宋体" w:cs="Times New Roman"/>
                <w:b/>
                <w:bCs/>
                <w:color w:val="auto"/>
                <w:highlight w:val="none"/>
                <w:lang w:val="de-DE"/>
              </w:rPr>
              <w:t>项目主要工艺流程及产污环节图</w:t>
            </w:r>
          </w:p>
          <w:p w14:paraId="0B1B7089">
            <w:pPr>
              <w:pStyle w:val="1042"/>
              <w:spacing w:line="360" w:lineRule="auto"/>
              <w:rPr>
                <w:rFonts w:hint="default" w:ascii="Times New Roman" w:hAnsi="Times New Roman" w:eastAsia="黑体" w:cs="Times New Roman"/>
                <w:bCs/>
                <w:color w:val="auto"/>
                <w:szCs w:val="21"/>
                <w:highlight w:val="none"/>
              </w:rPr>
            </w:pPr>
            <w:r>
              <w:rPr>
                <w:rFonts w:hint="default" w:ascii="Times New Roman" w:hAnsi="Times New Roman" w:eastAsia="黑体" w:cs="Times New Roman"/>
                <w:bCs/>
                <w:color w:val="auto"/>
                <w:szCs w:val="21"/>
                <w:highlight w:val="none"/>
              </w:rPr>
              <w:t>工艺简述：</w:t>
            </w:r>
          </w:p>
          <w:p w14:paraId="0BDF7849">
            <w:pPr>
              <w:pStyle w:val="1394"/>
              <w:adjustRightInd w:val="0"/>
              <w:snapToGrid w:val="0"/>
              <w:spacing w:before="0" w:beforeAutospacing="0" w:after="0"/>
              <w:ind w:left="0" w:leftChars="0" w:firstLine="422" w:firstLineChars="200"/>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b/>
                <w:bCs/>
                <w:color w:val="auto"/>
                <w:sz w:val="21"/>
                <w:szCs w:val="21"/>
                <w:highlight w:val="none"/>
                <w:lang w:val="en-US" w:eastAsia="zh-CN"/>
              </w:rPr>
              <w:t>溶解：</w:t>
            </w:r>
            <w:r>
              <w:rPr>
                <w:rFonts w:hint="eastAsia" w:ascii="Times New Roman" w:hAnsi="Times New Roman" w:cs="Times New Roman" w:eastAsiaTheme="minorEastAsia"/>
                <w:color w:val="auto"/>
                <w:sz w:val="21"/>
                <w:szCs w:val="21"/>
                <w:highlight w:val="none"/>
                <w:lang w:val="en-US" w:eastAsia="zh-CN"/>
              </w:rPr>
              <w:t>外购工业级氧氯化锆原料，加纯水进行溶解，配制成</w:t>
            </w:r>
            <w:r>
              <w:rPr>
                <w:rFonts w:hint="default" w:ascii="Times New Roman" w:hAnsi="Times New Roman" w:cs="Times New Roman" w:eastAsiaTheme="minorEastAsia"/>
                <w:color w:val="auto"/>
                <w:sz w:val="21"/>
                <w:szCs w:val="21"/>
                <w:highlight w:val="none"/>
                <w:lang w:val="en-US" w:eastAsia="zh-CN"/>
              </w:rPr>
              <w:t>特定的锆铪混合氯化溶液。</w:t>
            </w:r>
          </w:p>
          <w:p w14:paraId="2A4D1005">
            <w:pPr>
              <w:pStyle w:val="1394"/>
              <w:adjustRightInd w:val="0"/>
              <w:snapToGrid w:val="0"/>
              <w:spacing w:before="0" w:beforeAutospacing="0" w:after="0"/>
              <w:ind w:left="0" w:leftChars="0" w:firstLine="420" w:firstLineChars="20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产污环节：</w:t>
            </w:r>
            <w:r>
              <w:rPr>
                <w:rFonts w:hint="eastAsia" w:ascii="Times New Roman" w:hAnsi="Times New Roman" w:cs="Times New Roman" w:eastAsiaTheme="minorEastAsia"/>
                <w:color w:val="auto"/>
                <w:sz w:val="21"/>
                <w:szCs w:val="21"/>
                <w:highlight w:val="none"/>
                <w:lang w:val="en-US" w:eastAsia="zh-CN"/>
              </w:rPr>
              <w:t>溶解工序会产生G1废气、S1废包装袋。</w:t>
            </w:r>
          </w:p>
          <w:p w14:paraId="7FECE32D">
            <w:pPr>
              <w:pStyle w:val="1394"/>
              <w:adjustRightInd w:val="0"/>
              <w:snapToGrid w:val="0"/>
              <w:spacing w:before="0" w:beforeAutospacing="0" w:after="0"/>
              <w:ind w:left="0" w:leftChars="0" w:firstLine="422" w:firstLineChars="200"/>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b/>
                <w:bCs/>
                <w:color w:val="auto"/>
                <w:sz w:val="21"/>
                <w:szCs w:val="21"/>
                <w:highlight w:val="none"/>
                <w:lang w:val="en-US" w:eastAsia="zh-CN"/>
              </w:rPr>
              <w:t>板框压滤：</w:t>
            </w:r>
            <w:r>
              <w:rPr>
                <w:rFonts w:hint="eastAsia" w:ascii="Times New Roman" w:hAnsi="Times New Roman" w:cs="Times New Roman" w:eastAsiaTheme="minorEastAsia"/>
                <w:color w:val="auto"/>
                <w:sz w:val="21"/>
                <w:szCs w:val="21"/>
                <w:highlight w:val="none"/>
                <w:lang w:val="en-US" w:eastAsia="zh-CN"/>
              </w:rPr>
              <w:t>对溶解料液进行固液分离，去除原料中的不溶性固体杂质，得到澄清料液。</w:t>
            </w:r>
          </w:p>
          <w:p w14:paraId="7ABE5E20">
            <w:pPr>
              <w:pStyle w:val="1394"/>
              <w:adjustRightInd w:val="0"/>
              <w:snapToGrid w:val="0"/>
              <w:spacing w:before="0" w:beforeAutospacing="0" w:after="0"/>
              <w:ind w:left="0" w:leftChars="0" w:firstLine="420" w:firstLineChars="20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产污环节：</w:t>
            </w:r>
            <w:r>
              <w:rPr>
                <w:rFonts w:hint="eastAsia" w:ascii="Times New Roman" w:hAnsi="Times New Roman" w:cs="Times New Roman" w:eastAsiaTheme="minorEastAsia"/>
                <w:b w:val="0"/>
                <w:bCs w:val="0"/>
                <w:color w:val="auto"/>
                <w:sz w:val="21"/>
                <w:szCs w:val="21"/>
                <w:highlight w:val="none"/>
                <w:lang w:val="en-US" w:eastAsia="zh-CN"/>
              </w:rPr>
              <w:t>板框压滤</w:t>
            </w:r>
            <w:r>
              <w:rPr>
                <w:rFonts w:hint="eastAsia" w:ascii="Times New Roman" w:hAnsi="Times New Roman" w:cs="Times New Roman" w:eastAsiaTheme="minorEastAsia"/>
                <w:color w:val="auto"/>
                <w:sz w:val="21"/>
                <w:szCs w:val="21"/>
                <w:highlight w:val="none"/>
                <w:lang w:val="en-US" w:eastAsia="zh-CN"/>
              </w:rPr>
              <w:t>工序会产生G2废气、S2压滤杂质、N噪声。</w:t>
            </w:r>
          </w:p>
          <w:p w14:paraId="637EA2A1">
            <w:pPr>
              <w:pStyle w:val="1394"/>
              <w:adjustRightInd w:val="0"/>
              <w:snapToGrid w:val="0"/>
              <w:spacing w:before="0" w:beforeAutospacing="0" w:after="0"/>
              <w:ind w:left="0" w:leftChars="0" w:firstLine="422" w:firstLineChars="200"/>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b/>
                <w:bCs/>
                <w:color w:val="auto"/>
                <w:sz w:val="21"/>
                <w:szCs w:val="21"/>
                <w:highlight w:val="none"/>
                <w:lang w:val="en-US" w:eastAsia="zh-CN"/>
              </w:rPr>
              <w:t>定容：</w:t>
            </w:r>
            <w:r>
              <w:rPr>
                <w:rFonts w:hint="eastAsia" w:ascii="Times New Roman" w:hAnsi="Times New Roman" w:cs="Times New Roman" w:eastAsiaTheme="minorEastAsia"/>
                <w:color w:val="auto"/>
                <w:sz w:val="21"/>
                <w:szCs w:val="21"/>
                <w:highlight w:val="none"/>
                <w:lang w:val="en-US" w:eastAsia="zh-CN"/>
              </w:rPr>
              <w:t>对澄清料液加纯水进行定容标准化，以稳定后续的萃取条件。</w:t>
            </w:r>
          </w:p>
          <w:p w14:paraId="40EDDA0A">
            <w:pPr>
              <w:pStyle w:val="1394"/>
              <w:adjustRightInd w:val="0"/>
              <w:snapToGrid w:val="0"/>
              <w:spacing w:before="0" w:beforeAutospacing="0" w:after="0"/>
              <w:ind w:left="0" w:leftChars="0" w:firstLine="420" w:firstLineChars="20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产污环节：定容</w:t>
            </w:r>
            <w:r>
              <w:rPr>
                <w:rFonts w:hint="eastAsia" w:ascii="Times New Roman" w:hAnsi="Times New Roman" w:cs="Times New Roman" w:eastAsiaTheme="minorEastAsia"/>
                <w:color w:val="auto"/>
                <w:sz w:val="21"/>
                <w:szCs w:val="21"/>
                <w:highlight w:val="none"/>
                <w:lang w:val="en-US" w:eastAsia="zh-CN"/>
              </w:rPr>
              <w:t>工序会产生G3废气。</w:t>
            </w:r>
          </w:p>
          <w:p w14:paraId="35985EA6">
            <w:pPr>
              <w:pStyle w:val="1394"/>
              <w:adjustRightInd w:val="0"/>
              <w:snapToGrid w:val="0"/>
              <w:spacing w:before="0" w:beforeAutospacing="0" w:after="0"/>
              <w:ind w:left="0" w:leftChars="0" w:firstLine="422" w:firstLineChars="200"/>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b/>
                <w:bCs/>
                <w:color w:val="auto"/>
                <w:sz w:val="21"/>
                <w:szCs w:val="21"/>
                <w:highlight w:val="none"/>
                <w:lang w:val="en-US" w:eastAsia="zh-CN"/>
              </w:rPr>
              <w:t>萃取：</w:t>
            </w:r>
            <w:r>
              <w:rPr>
                <w:rFonts w:hint="eastAsia" w:ascii="Times New Roman" w:hAnsi="Times New Roman" w:cs="Times New Roman" w:eastAsiaTheme="minorEastAsia"/>
                <w:color w:val="auto"/>
                <w:sz w:val="21"/>
                <w:szCs w:val="21"/>
                <w:highlight w:val="none"/>
                <w:lang w:val="en-US" w:eastAsia="zh-CN"/>
              </w:rPr>
              <w:t>P204萃取液与料液逆流接触，3级逆流粗</w:t>
            </w:r>
            <w:r>
              <w:rPr>
                <w:rFonts w:hint="eastAsia" w:cs="Times New Roman" w:eastAsiaTheme="minorEastAsia"/>
                <w:color w:val="auto"/>
                <w:sz w:val="21"/>
                <w:szCs w:val="21"/>
                <w:highlight w:val="none"/>
                <w:lang w:val="en-US" w:eastAsia="zh-CN"/>
              </w:rPr>
              <w:t>萃取</w:t>
            </w:r>
            <w:r>
              <w:rPr>
                <w:rFonts w:hint="eastAsia" w:ascii="Times New Roman" w:hAnsi="Times New Roman" w:cs="Times New Roman" w:eastAsiaTheme="minorEastAsia"/>
                <w:color w:val="auto"/>
                <w:sz w:val="21"/>
                <w:szCs w:val="21"/>
                <w:highlight w:val="none"/>
                <w:lang w:val="en-US" w:eastAsia="zh-CN"/>
              </w:rPr>
              <w:t>分离，快速富集锆，铪初步分离，有机相负载富锆料液，水相富集氧氯化铪的粗品料液。</w:t>
            </w:r>
          </w:p>
          <w:p w14:paraId="47FC1C76">
            <w:pPr>
              <w:pStyle w:val="1394"/>
              <w:adjustRightInd w:val="0"/>
              <w:snapToGrid w:val="0"/>
              <w:spacing w:before="0" w:beforeAutospacing="0" w:after="0"/>
              <w:ind w:left="0" w:leftChars="0" w:firstLine="420" w:firstLineChars="20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产污环节：萃取</w:t>
            </w:r>
            <w:r>
              <w:rPr>
                <w:rFonts w:hint="eastAsia" w:ascii="Times New Roman" w:hAnsi="Times New Roman" w:cs="Times New Roman" w:eastAsiaTheme="minorEastAsia"/>
                <w:color w:val="auto"/>
                <w:sz w:val="21"/>
                <w:szCs w:val="21"/>
                <w:highlight w:val="none"/>
                <w:lang w:val="en-US" w:eastAsia="zh-CN"/>
              </w:rPr>
              <w:t>工序会产生G4废气、S3萃取剂废包装桶。</w:t>
            </w:r>
          </w:p>
          <w:p w14:paraId="7DF40DD8">
            <w:pPr>
              <w:pStyle w:val="1394"/>
              <w:adjustRightInd w:val="0"/>
              <w:snapToGrid w:val="0"/>
              <w:spacing w:before="0" w:beforeAutospacing="0" w:after="0"/>
              <w:ind w:left="0" w:leftChars="0" w:firstLine="422" w:firstLineChars="200"/>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b/>
                <w:bCs/>
                <w:color w:val="auto"/>
                <w:sz w:val="21"/>
                <w:szCs w:val="21"/>
                <w:highlight w:val="none"/>
                <w:lang w:val="en-US" w:eastAsia="zh-CN"/>
              </w:rPr>
              <w:t>预热分离：</w:t>
            </w:r>
            <w:r>
              <w:rPr>
                <w:rFonts w:hint="eastAsia" w:ascii="Times New Roman" w:hAnsi="Times New Roman" w:cs="Times New Roman" w:eastAsiaTheme="minorEastAsia"/>
                <w:color w:val="auto"/>
                <w:sz w:val="21"/>
                <w:szCs w:val="21"/>
                <w:highlight w:val="none"/>
                <w:lang w:val="en-US" w:eastAsia="zh-CN"/>
              </w:rPr>
              <w:t>有机相负载富锆料液</w:t>
            </w:r>
            <w:r>
              <w:rPr>
                <w:rFonts w:hint="eastAsia" w:cs="Times New Roman" w:eastAsiaTheme="minorEastAsia"/>
                <w:color w:val="auto"/>
                <w:sz w:val="21"/>
                <w:szCs w:val="21"/>
                <w:highlight w:val="none"/>
                <w:lang w:val="en-US" w:eastAsia="zh-CN"/>
              </w:rPr>
              <w:t>加纯水</w:t>
            </w:r>
            <w:r>
              <w:rPr>
                <w:rFonts w:hint="eastAsia" w:ascii="Times New Roman" w:hAnsi="Times New Roman" w:cs="Times New Roman" w:eastAsiaTheme="minorEastAsia"/>
                <w:color w:val="auto"/>
                <w:sz w:val="21"/>
                <w:szCs w:val="21"/>
                <w:highlight w:val="none"/>
                <w:lang w:val="en-US" w:eastAsia="zh-CN"/>
              </w:rPr>
              <w:t>在钛材加热器（电加热）中进行预热混合，温度在60-80℃，同时进行搅拌混合，达到反萃平衡，停止搅拌后，静置分相30min，经过3-4级逆流操作后，将含锆液水相进行收集，P204萃取液回收至萃取槽循环使用。</w:t>
            </w:r>
          </w:p>
          <w:p w14:paraId="64FC2E46">
            <w:pPr>
              <w:pStyle w:val="1394"/>
              <w:adjustRightInd w:val="0"/>
              <w:snapToGrid w:val="0"/>
              <w:spacing w:before="0" w:beforeAutospacing="0" w:after="0"/>
              <w:ind w:left="0" w:leftChars="0" w:firstLine="420" w:firstLineChars="20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产污环节：</w:t>
            </w:r>
            <w:r>
              <w:rPr>
                <w:rFonts w:hint="eastAsia" w:ascii="Times New Roman" w:hAnsi="Times New Roman" w:cs="Times New Roman" w:eastAsiaTheme="minorEastAsia"/>
                <w:color w:val="auto"/>
                <w:sz w:val="21"/>
                <w:szCs w:val="21"/>
                <w:highlight w:val="none"/>
                <w:lang w:val="en-US" w:eastAsia="zh-CN"/>
              </w:rPr>
              <w:t>预热分离工序会产生G5废气。</w:t>
            </w:r>
          </w:p>
          <w:p w14:paraId="2EF99D64">
            <w:pPr>
              <w:pStyle w:val="1394"/>
              <w:adjustRightInd w:val="0"/>
              <w:snapToGrid w:val="0"/>
              <w:spacing w:before="0" w:beforeAutospacing="0" w:after="0"/>
              <w:ind w:left="0" w:leftChars="0" w:firstLine="422" w:firstLineChars="200"/>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b/>
                <w:bCs/>
                <w:color w:val="auto"/>
                <w:sz w:val="21"/>
                <w:szCs w:val="21"/>
                <w:highlight w:val="none"/>
                <w:lang w:val="en-US" w:eastAsia="zh-CN"/>
              </w:rPr>
              <w:t>二次萃取：</w:t>
            </w:r>
            <w:r>
              <w:rPr>
                <w:rFonts w:hint="eastAsia" w:ascii="Times New Roman" w:hAnsi="Times New Roman" w:cs="Times New Roman" w:eastAsiaTheme="minorEastAsia"/>
                <w:color w:val="auto"/>
                <w:sz w:val="21"/>
                <w:szCs w:val="21"/>
                <w:highlight w:val="none"/>
                <w:lang w:val="en-US" w:eastAsia="zh-CN"/>
              </w:rPr>
              <w:t>对含锆液水相进行二次萃取，使用P507萃取液与含锆液水相逆流接触，3级逆流粗分离，得到有机相负载高纯氧氯化锆，水相为富集氧氯化铪的粗品料液。</w:t>
            </w:r>
          </w:p>
          <w:p w14:paraId="19CB1DEF">
            <w:pPr>
              <w:pStyle w:val="1394"/>
              <w:adjustRightInd w:val="0"/>
              <w:snapToGrid w:val="0"/>
              <w:spacing w:before="0" w:beforeAutospacing="0" w:after="0"/>
              <w:ind w:left="0" w:leftChars="0" w:firstLine="420" w:firstLineChars="20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产污环节：</w:t>
            </w:r>
            <w:r>
              <w:rPr>
                <w:rFonts w:hint="eastAsia" w:ascii="Times New Roman" w:hAnsi="Times New Roman" w:cs="Times New Roman" w:eastAsiaTheme="minorEastAsia"/>
                <w:color w:val="auto"/>
                <w:sz w:val="21"/>
                <w:szCs w:val="21"/>
                <w:highlight w:val="none"/>
                <w:lang w:val="en-US" w:eastAsia="zh-CN"/>
              </w:rPr>
              <w:t>二次</w:t>
            </w:r>
            <w:r>
              <w:rPr>
                <w:rFonts w:hint="default" w:ascii="Times New Roman" w:hAnsi="Times New Roman" w:cs="Times New Roman" w:eastAsiaTheme="minorEastAsia"/>
                <w:color w:val="auto"/>
                <w:sz w:val="21"/>
                <w:szCs w:val="21"/>
                <w:highlight w:val="none"/>
                <w:lang w:val="en-US" w:eastAsia="zh-CN"/>
              </w:rPr>
              <w:t>萃取</w:t>
            </w:r>
            <w:r>
              <w:rPr>
                <w:rFonts w:hint="eastAsia" w:ascii="Times New Roman" w:hAnsi="Times New Roman" w:cs="Times New Roman" w:eastAsiaTheme="minorEastAsia"/>
                <w:color w:val="auto"/>
                <w:sz w:val="21"/>
                <w:szCs w:val="21"/>
                <w:highlight w:val="none"/>
                <w:lang w:val="en-US" w:eastAsia="zh-CN"/>
              </w:rPr>
              <w:t>工序会产生G6废气、S4萃取剂废包装桶。</w:t>
            </w:r>
          </w:p>
          <w:p w14:paraId="5E251782">
            <w:pPr>
              <w:pStyle w:val="1394"/>
              <w:adjustRightInd w:val="0"/>
              <w:snapToGrid w:val="0"/>
              <w:spacing w:before="0" w:beforeAutospacing="0" w:after="0"/>
              <w:ind w:left="0" w:leftChars="0" w:firstLine="422" w:firstLineChars="200"/>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b/>
                <w:bCs/>
                <w:color w:val="auto"/>
                <w:sz w:val="21"/>
                <w:szCs w:val="21"/>
                <w:highlight w:val="none"/>
                <w:lang w:val="en-US" w:eastAsia="zh-CN"/>
              </w:rPr>
              <w:t>二次预热分离：</w:t>
            </w:r>
            <w:r>
              <w:rPr>
                <w:rFonts w:hint="eastAsia" w:ascii="Times New Roman" w:hAnsi="Times New Roman" w:cs="Times New Roman" w:eastAsiaTheme="minorEastAsia"/>
                <w:color w:val="auto"/>
                <w:sz w:val="21"/>
                <w:szCs w:val="21"/>
                <w:highlight w:val="none"/>
                <w:lang w:val="en-US" w:eastAsia="zh-CN"/>
              </w:rPr>
              <w:t>有机相负载富锆料液</w:t>
            </w:r>
            <w:r>
              <w:rPr>
                <w:rFonts w:hint="eastAsia" w:cs="Times New Roman" w:eastAsiaTheme="minorEastAsia"/>
                <w:color w:val="auto"/>
                <w:sz w:val="21"/>
                <w:szCs w:val="21"/>
                <w:highlight w:val="none"/>
                <w:lang w:val="en-US" w:eastAsia="zh-CN"/>
              </w:rPr>
              <w:t>加纯水</w:t>
            </w:r>
            <w:r>
              <w:rPr>
                <w:rFonts w:hint="eastAsia" w:ascii="Times New Roman" w:hAnsi="Times New Roman" w:cs="Times New Roman" w:eastAsiaTheme="minorEastAsia"/>
                <w:color w:val="auto"/>
                <w:sz w:val="21"/>
                <w:szCs w:val="21"/>
                <w:highlight w:val="none"/>
                <w:lang w:val="en-US" w:eastAsia="zh-CN"/>
              </w:rPr>
              <w:t>在钛材加热器（电加热）中进行预热混合，温度在60-80℃，同时进行搅拌混合，达到反萃平衡，停止搅拌后，静置分相30min，经过3-4级逆流操作后，将含高纯氧氯化锆的水相进行收集，P507萃取液回收至萃取槽循环使用。</w:t>
            </w:r>
          </w:p>
          <w:p w14:paraId="042DCAE9">
            <w:pPr>
              <w:pStyle w:val="1394"/>
              <w:adjustRightInd w:val="0"/>
              <w:snapToGrid w:val="0"/>
              <w:spacing w:before="0" w:beforeAutospacing="0" w:after="0"/>
              <w:ind w:left="0" w:leftChars="0" w:firstLine="420" w:firstLineChars="20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产污环节：</w:t>
            </w:r>
            <w:r>
              <w:rPr>
                <w:rFonts w:hint="eastAsia" w:ascii="Times New Roman" w:hAnsi="Times New Roman" w:cs="Times New Roman" w:eastAsiaTheme="minorEastAsia"/>
                <w:color w:val="auto"/>
                <w:sz w:val="21"/>
                <w:szCs w:val="21"/>
                <w:highlight w:val="none"/>
                <w:lang w:val="en-US" w:eastAsia="zh-CN"/>
              </w:rPr>
              <w:t>二次预热分离工序会产生G7废气。</w:t>
            </w:r>
          </w:p>
          <w:p w14:paraId="317B4F7B">
            <w:pPr>
              <w:pStyle w:val="1394"/>
              <w:adjustRightInd w:val="0"/>
              <w:snapToGrid w:val="0"/>
              <w:spacing w:before="0" w:beforeAutospacing="0" w:after="0"/>
              <w:ind w:left="0" w:leftChars="0" w:firstLine="422" w:firstLineChars="200"/>
              <w:rPr>
                <w:rFonts w:hint="default" w:ascii="Times New Roman" w:hAnsi="Times New Roman" w:cs="Times New Roman" w:eastAsiaTheme="minorEastAsia"/>
                <w:b/>
                <w:bCs/>
                <w:color w:val="auto"/>
                <w:sz w:val="21"/>
                <w:szCs w:val="21"/>
                <w:highlight w:val="none"/>
                <w:lang w:val="en-US" w:eastAsia="zh-CN"/>
              </w:rPr>
            </w:pPr>
            <w:r>
              <w:rPr>
                <w:rFonts w:hint="eastAsia" w:ascii="Times New Roman" w:hAnsi="Times New Roman" w:cs="Times New Roman" w:eastAsiaTheme="minorEastAsia"/>
                <w:b/>
                <w:bCs/>
                <w:color w:val="auto"/>
                <w:sz w:val="21"/>
                <w:szCs w:val="21"/>
                <w:highlight w:val="none"/>
                <w:lang w:val="en-US" w:eastAsia="zh-CN"/>
              </w:rPr>
              <w:t>精密过滤：</w:t>
            </w:r>
            <w:r>
              <w:rPr>
                <w:rFonts w:hint="eastAsia" w:ascii="Times New Roman" w:hAnsi="Times New Roman" w:cs="Times New Roman" w:eastAsiaTheme="minorEastAsia"/>
                <w:color w:val="auto"/>
                <w:sz w:val="21"/>
                <w:szCs w:val="21"/>
                <w:highlight w:val="none"/>
                <w:lang w:val="en-US" w:eastAsia="zh-CN"/>
              </w:rPr>
              <w:t>使用精密过滤器对萃取后的高纯氧氯化锆水相、富集氧氯化铪的料液分别进行精密过滤，去除微小的固体颗粒</w:t>
            </w:r>
            <w:r>
              <w:rPr>
                <w:rFonts w:hint="eastAsia" w:cs="Times New Roman" w:eastAsiaTheme="minorEastAsia"/>
                <w:color w:val="auto"/>
                <w:sz w:val="21"/>
                <w:szCs w:val="21"/>
                <w:highlight w:val="none"/>
                <w:lang w:val="en-US" w:eastAsia="zh-CN"/>
              </w:rPr>
              <w:t>杂质</w:t>
            </w:r>
            <w:r>
              <w:rPr>
                <w:rFonts w:hint="eastAsia" w:ascii="Times New Roman" w:hAnsi="Times New Roman" w:cs="Times New Roman" w:eastAsiaTheme="minorEastAsia"/>
                <w:color w:val="auto"/>
                <w:sz w:val="21"/>
                <w:szCs w:val="21"/>
                <w:highlight w:val="none"/>
                <w:lang w:val="en-US" w:eastAsia="zh-CN"/>
              </w:rPr>
              <w:t>。</w:t>
            </w:r>
          </w:p>
          <w:p w14:paraId="47ECB38C">
            <w:pPr>
              <w:pStyle w:val="1394"/>
              <w:adjustRightInd w:val="0"/>
              <w:snapToGrid w:val="0"/>
              <w:spacing w:before="0" w:beforeAutospacing="0" w:after="0"/>
              <w:ind w:left="0" w:leftChars="0" w:firstLine="420" w:firstLineChars="20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产污环节：</w:t>
            </w:r>
            <w:r>
              <w:rPr>
                <w:rFonts w:hint="eastAsia" w:ascii="Times New Roman" w:hAnsi="Times New Roman" w:cs="Times New Roman" w:eastAsiaTheme="minorEastAsia"/>
                <w:color w:val="auto"/>
                <w:sz w:val="21"/>
                <w:szCs w:val="21"/>
                <w:highlight w:val="none"/>
                <w:lang w:val="en-US" w:eastAsia="zh-CN"/>
              </w:rPr>
              <w:t>精密过滤工序会产生G8废气、S3杂质、N噪声。</w:t>
            </w:r>
          </w:p>
          <w:p w14:paraId="2A7423D3">
            <w:pPr>
              <w:pStyle w:val="1394"/>
              <w:adjustRightInd w:val="0"/>
              <w:snapToGrid w:val="0"/>
              <w:spacing w:before="0" w:beforeAutospacing="0" w:after="0"/>
              <w:ind w:left="0" w:leftChars="0" w:firstLine="422" w:firstLineChars="200"/>
              <w:rPr>
                <w:rFonts w:hint="default"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b/>
                <w:bCs/>
                <w:color w:val="auto"/>
                <w:sz w:val="21"/>
                <w:szCs w:val="21"/>
                <w:highlight w:val="none"/>
                <w:lang w:val="en-US" w:eastAsia="zh-CN"/>
              </w:rPr>
              <w:t>蒸发结晶：</w:t>
            </w:r>
            <w:r>
              <w:rPr>
                <w:rFonts w:hint="eastAsia" w:ascii="Times New Roman" w:hAnsi="Times New Roman" w:cs="Times New Roman" w:eastAsiaTheme="minorEastAsia"/>
                <w:color w:val="auto"/>
                <w:sz w:val="21"/>
                <w:szCs w:val="21"/>
                <w:highlight w:val="none"/>
                <w:lang w:val="en-US" w:eastAsia="zh-CN"/>
              </w:rPr>
              <w:t>分别将高纯氧氯化锆溶液、富集氧氯化铪的料液送至采用真空蒸发浓缩至过饱和后冷却结晶，蒸发采用蒸汽进行加热，蒸发过程需控制真空度-0.08～-0.095MPa、蒸发温度60-80℃，蒸发时间2-4小时，蒸汽冷凝水和蒸发冷凝水经收集后回用于原料溶解工序和酸雾吸收塔用水。</w:t>
            </w:r>
          </w:p>
          <w:p w14:paraId="5F5E9378">
            <w:pPr>
              <w:pStyle w:val="1394"/>
              <w:adjustRightInd w:val="0"/>
              <w:snapToGrid w:val="0"/>
              <w:spacing w:before="0" w:beforeAutospacing="0" w:after="0"/>
              <w:ind w:left="0" w:leftChars="0" w:firstLine="420" w:firstLineChars="20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产污环节：蒸发结晶</w:t>
            </w:r>
            <w:r>
              <w:rPr>
                <w:rFonts w:hint="eastAsia" w:ascii="Times New Roman" w:hAnsi="Times New Roman" w:cs="Times New Roman" w:eastAsiaTheme="minorEastAsia"/>
                <w:color w:val="auto"/>
                <w:sz w:val="21"/>
                <w:szCs w:val="21"/>
                <w:highlight w:val="none"/>
                <w:lang w:val="en-US" w:eastAsia="zh-CN"/>
              </w:rPr>
              <w:t>工序会产生G9和G12废气，W1蒸汽冷凝水，W2和W4蒸发冷凝水。</w:t>
            </w:r>
          </w:p>
          <w:p w14:paraId="59E1A65A">
            <w:pPr>
              <w:pStyle w:val="1394"/>
              <w:adjustRightInd w:val="0"/>
              <w:snapToGrid w:val="0"/>
              <w:spacing w:before="0" w:beforeAutospacing="0" w:after="0"/>
              <w:ind w:left="0" w:leftChars="0" w:firstLine="422" w:firstLineChars="200"/>
              <w:rPr>
                <w:rFonts w:hint="eastAsia" w:ascii="Times New Roman" w:hAnsi="Times New Roman" w:cs="Times New Roman" w:eastAsiaTheme="minorEastAsia"/>
                <w:color w:val="auto"/>
                <w:sz w:val="21"/>
                <w:szCs w:val="21"/>
                <w:highlight w:val="none"/>
                <w:lang w:val="en-US" w:eastAsia="zh-CN"/>
              </w:rPr>
            </w:pPr>
            <w:r>
              <w:rPr>
                <w:rFonts w:hint="eastAsia" w:ascii="Times New Roman" w:hAnsi="Times New Roman" w:cs="Times New Roman" w:eastAsiaTheme="minorEastAsia"/>
                <w:b/>
                <w:bCs/>
                <w:color w:val="auto"/>
                <w:sz w:val="21"/>
                <w:szCs w:val="21"/>
                <w:highlight w:val="none"/>
                <w:lang w:val="en-US" w:eastAsia="zh-CN"/>
              </w:rPr>
              <w:t>离心、包装：</w:t>
            </w:r>
            <w:r>
              <w:rPr>
                <w:rFonts w:hint="eastAsia" w:ascii="Times New Roman" w:hAnsi="Times New Roman" w:cs="Times New Roman" w:eastAsiaTheme="minorEastAsia"/>
                <w:color w:val="auto"/>
                <w:sz w:val="21"/>
                <w:szCs w:val="21"/>
                <w:highlight w:val="none"/>
                <w:lang w:val="en-US" w:eastAsia="zh-CN"/>
              </w:rPr>
              <w:t>采用离心机分别将蒸发结晶后的高纯氧氯化锆、氧氯化铪进行固液分离，包装即为高纯氧氯化锆、氧氯化铪产品。</w:t>
            </w:r>
          </w:p>
          <w:p w14:paraId="751AA325">
            <w:pPr>
              <w:pStyle w:val="1394"/>
              <w:snapToGrid w:val="0"/>
              <w:spacing w:before="0" w:beforeAutospacing="0" w:after="0"/>
              <w:ind w:left="0" w:leftChars="0" w:firstLine="420" w:firstLineChars="200"/>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lang w:val="en-US" w:eastAsia="zh-CN"/>
              </w:rPr>
              <w:t>产污环节：离心</w:t>
            </w:r>
            <w:r>
              <w:rPr>
                <w:rFonts w:hint="eastAsia" w:ascii="Times New Roman" w:hAnsi="Times New Roman" w:cs="Times New Roman" w:eastAsiaTheme="minorEastAsia"/>
                <w:color w:val="auto"/>
                <w:sz w:val="21"/>
                <w:szCs w:val="21"/>
                <w:highlight w:val="none"/>
                <w:lang w:val="en-US" w:eastAsia="zh-CN"/>
              </w:rPr>
              <w:t>工序会产生G10和G13废气，W3和W5离心废水、N噪声；包装工序会产生G11和G14废气</w:t>
            </w:r>
            <w:r>
              <w:rPr>
                <w:rFonts w:hint="default" w:ascii="Times New Roman" w:hAnsi="Times New Roman" w:cs="Times New Roman" w:eastAsiaTheme="minorEastAsia"/>
                <w:color w:val="auto"/>
                <w:sz w:val="21"/>
                <w:szCs w:val="21"/>
                <w:highlight w:val="none"/>
                <w:lang w:val="en-US" w:eastAsia="zh-CN"/>
              </w:rPr>
              <w:t>。</w:t>
            </w:r>
          </w:p>
          <w:p w14:paraId="58F8F68D">
            <w:pPr>
              <w:pStyle w:val="1394"/>
              <w:snapToGrid w:val="0"/>
              <w:spacing w:before="0" w:beforeAutospacing="0" w:after="0"/>
              <w:ind w:firstLine="0"/>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（2）废气治理</w:t>
            </w:r>
          </w:p>
          <w:p w14:paraId="193DE3A2">
            <w:pPr>
              <w:pStyle w:val="82"/>
              <w:adjustRightInd w:val="0"/>
              <w:snapToGrid w:val="0"/>
              <w:spacing w:after="0" w:line="360" w:lineRule="auto"/>
              <w:ind w:left="0" w:leftChars="0"/>
              <w:rPr>
                <w:rFonts w:hint="default" w:ascii="Times New Roman" w:hAnsi="Times New Roman" w:eastAsia="宋体"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溶解、定容、萃取、预热分离、二次萃取、二次预热分离、蒸发结晶、离心工序产生的废气经管道收集，板框压滤、精密过滤、包装工序产生的废气经集气罩收集，水喷淋+酸雾吸收塔+除雾器+二级活性炭吸附装置处理后由15m高排气筒（P1）有组织排放</w:t>
            </w:r>
            <w:r>
              <w:rPr>
                <w:rFonts w:hint="eastAsia" w:ascii="Times New Roman" w:hAnsi="Times New Roman" w:eastAsia="宋体" w:cs="Times New Roman"/>
                <w:color w:val="auto"/>
                <w:kern w:val="2"/>
                <w:sz w:val="21"/>
                <w:szCs w:val="24"/>
                <w:highlight w:val="none"/>
                <w:lang w:val="en-US" w:eastAsia="zh-CN" w:bidi="ar-SA"/>
              </w:rPr>
              <w:t>。</w:t>
            </w:r>
          </w:p>
          <w:p w14:paraId="1A4E137C">
            <w:pPr>
              <w:pStyle w:val="82"/>
              <w:adjustRightInd w:val="0"/>
              <w:snapToGrid w:val="0"/>
              <w:spacing w:after="0" w:line="360" w:lineRule="auto"/>
              <w:ind w:left="0" w:leftChars="0"/>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本项目废气产污工序及废气治理走向图见图2-3。</w:t>
            </w:r>
          </w:p>
          <w:p w14:paraId="7647A8A4">
            <w:pPr>
              <w:spacing w:line="36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object>
                <v:shape id="_x0000_i1029" o:spt="75" type="#_x0000_t75" style="height:103.55pt;width:422.95pt;" o:ole="t" filled="f" o:preferrelative="t" stroked="f" coordsize="21600,21600">
                  <v:path/>
                  <v:fill on="f" focussize="0,0"/>
                  <v:stroke on="f"/>
                  <v:imagedata r:id="rId19" o:title=""/>
                  <o:lock v:ext="edit" aspectratio="f"/>
                  <w10:wrap type="none"/>
                  <w10:anchorlock/>
                </v:shape>
                <o:OLEObject Type="Embed" ProgID="Visio.Drawing.15" ShapeID="_x0000_i1029" DrawAspect="Content" ObjectID="_1468075729" r:id="rId18">
                  <o:LockedField>false</o:LockedField>
                </o:OLEObject>
              </w:object>
            </w:r>
            <w:r>
              <w:rPr>
                <w:rFonts w:hint="default" w:ascii="Times New Roman" w:hAnsi="Times New Roman" w:eastAsia="宋体" w:cs="Times New Roman"/>
                <w:b/>
                <w:bCs/>
                <w:color w:val="auto"/>
                <w:highlight w:val="none"/>
                <w:lang w:val="en-US" w:eastAsia="zh-CN"/>
              </w:rPr>
              <w:t>图2-</w:t>
            </w:r>
            <w:r>
              <w:rPr>
                <w:rFonts w:hint="eastAsia" w:cs="Times New Roman"/>
                <w:b/>
                <w:bCs/>
                <w:color w:val="auto"/>
                <w:highlight w:val="none"/>
                <w:lang w:val="en-US" w:eastAsia="zh-CN"/>
              </w:rPr>
              <w:t>5</w:t>
            </w:r>
            <w:r>
              <w:rPr>
                <w:rFonts w:hint="default" w:ascii="Times New Roman" w:hAnsi="Times New Roman" w:eastAsia="宋体" w:cs="Times New Roman"/>
                <w:b/>
                <w:bCs/>
                <w:color w:val="auto"/>
                <w:highlight w:val="none"/>
                <w:lang w:val="en-US" w:eastAsia="zh-CN"/>
              </w:rPr>
              <w:t>本项目废气产污工序及废气治理走向图</w:t>
            </w:r>
          </w:p>
          <w:p w14:paraId="096FCE8E">
            <w:pPr>
              <w:pStyle w:val="1042"/>
              <w:spacing w:line="360" w:lineRule="auto"/>
              <w:rPr>
                <w:rFonts w:hint="default" w:ascii="Times New Roman" w:hAnsi="Times New Roman" w:eastAsia="宋体" w:cs="Times New Roman"/>
                <w:b/>
                <w:bCs w:val="0"/>
                <w:color w:val="auto"/>
                <w:szCs w:val="21"/>
                <w:highlight w:val="none"/>
              </w:rPr>
            </w:pPr>
            <w:r>
              <w:rPr>
                <w:rFonts w:hint="default" w:ascii="Times New Roman" w:hAnsi="Times New Roman" w:eastAsia="宋体" w:cs="Times New Roman"/>
                <w:b/>
                <w:bCs w:val="0"/>
                <w:color w:val="auto"/>
                <w:szCs w:val="21"/>
                <w:highlight w:val="none"/>
              </w:rPr>
              <w:t>二、主要产排污环节</w:t>
            </w:r>
          </w:p>
          <w:p w14:paraId="7A83688C">
            <w:pPr>
              <w:pStyle w:val="1042"/>
              <w:spacing w:line="360" w:lineRule="auto"/>
              <w:rPr>
                <w:rFonts w:hint="default" w:ascii="Times New Roman" w:hAnsi="Times New Roman" w:eastAsia="宋体" w:cs="Times New Roman"/>
                <w:b/>
                <w:bCs w:val="0"/>
                <w:color w:val="auto"/>
                <w:szCs w:val="21"/>
                <w:highlight w:val="none"/>
              </w:rPr>
            </w:pPr>
            <w:r>
              <w:rPr>
                <w:rFonts w:hint="default" w:ascii="Times New Roman" w:hAnsi="Times New Roman" w:eastAsia="宋体" w:cs="Times New Roman"/>
                <w:b/>
                <w:bCs w:val="0"/>
                <w:color w:val="auto"/>
                <w:szCs w:val="21"/>
                <w:highlight w:val="none"/>
              </w:rPr>
              <w:t>（1）大气污染物</w:t>
            </w:r>
          </w:p>
          <w:p w14:paraId="3F3012BF">
            <w:pPr>
              <w:spacing w:line="360" w:lineRule="auto"/>
              <w:ind w:firstLine="42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w:t>
            </w:r>
            <w:r>
              <w:rPr>
                <w:rFonts w:hint="eastAsia" w:cs="Times New Roman"/>
                <w:color w:val="auto"/>
                <w:highlight w:val="none"/>
                <w:lang w:val="en-US" w:eastAsia="zh-CN"/>
              </w:rPr>
              <w:t>产生的</w:t>
            </w:r>
            <w:r>
              <w:rPr>
                <w:rFonts w:hint="default" w:ascii="Times New Roman" w:hAnsi="Times New Roman" w:cs="Times New Roman"/>
                <w:color w:val="auto"/>
                <w:highlight w:val="none"/>
                <w:lang w:val="en-US" w:eastAsia="zh-CN"/>
              </w:rPr>
              <w:t>废气主要包括</w:t>
            </w:r>
            <w:r>
              <w:rPr>
                <w:rFonts w:hint="eastAsia" w:cs="Times New Roman"/>
                <w:color w:val="auto"/>
                <w:highlight w:val="none"/>
                <w:lang w:val="en-US" w:eastAsia="zh-CN"/>
              </w:rPr>
              <w:t>溶解废气（G1），板框压滤废气（G2），定容废气（G3），萃取废气（G4），预热分离废气（G5），二次萃取废气（G6），二次预热分离废气（G7），精密过滤废气（G8），蒸发结晶废气（G9、G12）、离心废气（G10、G13）、包装废气（G11、G14）。</w:t>
            </w:r>
          </w:p>
          <w:p w14:paraId="1D664A58">
            <w:pPr>
              <w:pStyle w:val="1042"/>
              <w:spacing w:line="360" w:lineRule="auto"/>
              <w:rPr>
                <w:rFonts w:hint="default" w:ascii="Times New Roman" w:hAnsi="Times New Roman" w:eastAsia="宋体" w:cs="Times New Roman"/>
                <w:b/>
                <w:bCs w:val="0"/>
                <w:color w:val="auto"/>
                <w:szCs w:val="21"/>
                <w:highlight w:val="none"/>
              </w:rPr>
            </w:pPr>
            <w:r>
              <w:rPr>
                <w:rFonts w:hint="default" w:ascii="Times New Roman" w:hAnsi="Times New Roman" w:eastAsia="宋体" w:cs="Times New Roman"/>
                <w:b/>
                <w:bCs w:val="0"/>
                <w:color w:val="auto"/>
                <w:szCs w:val="21"/>
                <w:highlight w:val="none"/>
              </w:rPr>
              <w:t>（2）废水</w:t>
            </w:r>
          </w:p>
          <w:p w14:paraId="6D151651">
            <w:pPr>
              <w:tabs>
                <w:tab w:val="left" w:pos="1800"/>
              </w:tabs>
              <w:adjustRightInd w:val="0"/>
              <w:snapToGrid w:val="0"/>
              <w:spacing w:line="360" w:lineRule="auto"/>
              <w:ind w:firstLine="420" w:firstLineChars="200"/>
              <w:rPr>
                <w:rFonts w:hint="eastAsia" w:ascii="Times New Roman" w:hAnsi="Times New Roman" w:eastAsia="宋体" w:cs="Times New Roman"/>
                <w:color w:val="auto"/>
                <w:kern w:val="24"/>
                <w:szCs w:val="21"/>
                <w:highlight w:val="none"/>
                <w:lang w:val="en-US" w:eastAsia="zh-CN"/>
              </w:rPr>
            </w:pPr>
            <w:r>
              <w:rPr>
                <w:rFonts w:hint="default" w:ascii="Times New Roman" w:hAnsi="Times New Roman" w:cs="Times New Roman"/>
                <w:bCs/>
                <w:color w:val="auto"/>
                <w:highlight w:val="none"/>
              </w:rPr>
              <w:t>项目</w:t>
            </w:r>
            <w:r>
              <w:rPr>
                <w:rFonts w:hint="default" w:ascii="Times New Roman" w:hAnsi="Times New Roman" w:cs="Times New Roman"/>
                <w:color w:val="auto"/>
                <w:kern w:val="24"/>
                <w:highlight w:val="none"/>
              </w:rPr>
              <w:t>废水为</w:t>
            </w:r>
            <w:r>
              <w:rPr>
                <w:color w:val="auto"/>
                <w:sz w:val="21"/>
                <w:szCs w:val="21"/>
                <w:highlight w:val="none"/>
              </w:rPr>
              <w:t>职工生活污水</w:t>
            </w:r>
            <w:r>
              <w:rPr>
                <w:rFonts w:hint="eastAsia"/>
                <w:color w:val="auto"/>
                <w:sz w:val="21"/>
                <w:szCs w:val="21"/>
                <w:highlight w:val="none"/>
                <w:lang w:eastAsia="zh-CN"/>
              </w:rPr>
              <w:t>（</w:t>
            </w:r>
            <w:r>
              <w:rPr>
                <w:rFonts w:hint="eastAsia"/>
                <w:color w:val="auto"/>
                <w:sz w:val="21"/>
                <w:szCs w:val="21"/>
                <w:highlight w:val="none"/>
                <w:lang w:val="en-US" w:eastAsia="zh-CN"/>
              </w:rPr>
              <w:t>W7</w:t>
            </w:r>
            <w:r>
              <w:rPr>
                <w:rFonts w:hint="eastAsia"/>
                <w:color w:val="auto"/>
                <w:sz w:val="21"/>
                <w:szCs w:val="21"/>
                <w:highlight w:val="none"/>
                <w:lang w:eastAsia="zh-CN"/>
              </w:rPr>
              <w:t>）</w:t>
            </w:r>
            <w:r>
              <w:rPr>
                <w:rFonts w:hint="eastAsia"/>
                <w:color w:val="auto"/>
                <w:sz w:val="21"/>
                <w:szCs w:val="21"/>
                <w:highlight w:val="none"/>
              </w:rPr>
              <w:t>、</w:t>
            </w:r>
            <w:r>
              <w:rPr>
                <w:rFonts w:hint="eastAsia"/>
                <w:color w:val="auto"/>
                <w:sz w:val="21"/>
                <w:szCs w:val="21"/>
                <w:highlight w:val="none"/>
                <w:lang w:val="en-US" w:eastAsia="zh-CN"/>
              </w:rPr>
              <w:t>离心废水（W3、W5）、</w:t>
            </w:r>
            <w:r>
              <w:rPr>
                <w:rFonts w:hint="eastAsia"/>
                <w:color w:val="auto"/>
                <w:sz w:val="21"/>
                <w:szCs w:val="21"/>
                <w:highlight w:val="none"/>
                <w:lang w:eastAsia="zh-CN"/>
              </w:rPr>
              <w:t>酸雾吸收废水（</w:t>
            </w:r>
            <w:r>
              <w:rPr>
                <w:rFonts w:hint="eastAsia"/>
                <w:color w:val="auto"/>
                <w:sz w:val="21"/>
                <w:szCs w:val="21"/>
                <w:highlight w:val="none"/>
                <w:lang w:val="en-US" w:eastAsia="zh-CN"/>
              </w:rPr>
              <w:t>W6</w:t>
            </w:r>
            <w:r>
              <w:rPr>
                <w:rFonts w:hint="eastAsia"/>
                <w:color w:val="auto"/>
                <w:sz w:val="21"/>
                <w:szCs w:val="21"/>
                <w:highlight w:val="none"/>
                <w:lang w:eastAsia="zh-CN"/>
              </w:rPr>
              <w:t>）</w:t>
            </w:r>
            <w:r>
              <w:rPr>
                <w:rFonts w:hint="eastAsia"/>
                <w:color w:val="auto"/>
                <w:sz w:val="21"/>
                <w:szCs w:val="21"/>
                <w:highlight w:val="none"/>
                <w:lang w:val="en-US" w:eastAsia="zh-CN"/>
              </w:rPr>
              <w:t>、蒸汽冷凝水（W1）、蒸发冷凝水（W2、W4）。</w:t>
            </w:r>
            <w:r>
              <w:rPr>
                <w:rFonts w:hint="default" w:ascii="Times New Roman" w:hAnsi="Times New Roman" w:eastAsia="宋体" w:cs="Times New Roman"/>
                <w:color w:val="auto"/>
                <w:sz w:val="21"/>
                <w:szCs w:val="21"/>
                <w:highlight w:val="none"/>
                <w:lang w:val="en-US" w:eastAsia="zh-CN"/>
              </w:rPr>
              <w:t>生活污水经化粪池暂存后由环卫部门定期清运，</w:t>
            </w:r>
            <w:r>
              <w:rPr>
                <w:rFonts w:hint="default" w:ascii="Times New Roman" w:hAnsi="Times New Roman" w:eastAsia="宋体" w:cs="Times New Roman"/>
                <w:color w:val="auto"/>
                <w:sz w:val="21"/>
                <w:szCs w:val="21"/>
                <w:highlight w:val="none"/>
                <w:lang w:eastAsia="zh-CN"/>
              </w:rPr>
              <w:t>蒸汽冷凝水、蒸发冷凝水回用于原料溶解用水、酸雾吸收塔用水。离心废水、酸雾吸收废水经厂内</w:t>
            </w:r>
            <w:r>
              <w:rPr>
                <w:rFonts w:hint="default" w:ascii="Times New Roman" w:hAnsi="Times New Roman" w:eastAsia="宋体" w:cs="Times New Roman"/>
                <w:color w:val="auto"/>
                <w:sz w:val="21"/>
                <w:szCs w:val="21"/>
                <w:highlight w:val="none"/>
                <w:lang w:val="en-US" w:eastAsia="zh-CN"/>
              </w:rPr>
              <w:t>污水处理站中和、多效蒸发器蒸发出来的蒸汽经冷凝后回用于预热分离用水和地面清扫用水，不外排</w:t>
            </w:r>
            <w:r>
              <w:rPr>
                <w:rFonts w:hint="eastAsia"/>
                <w:color w:val="auto"/>
                <w:sz w:val="21"/>
                <w:szCs w:val="21"/>
                <w:highlight w:val="none"/>
                <w:lang w:eastAsia="zh-CN"/>
              </w:rPr>
              <w:t>。</w:t>
            </w:r>
          </w:p>
          <w:p w14:paraId="64244B22">
            <w:pPr>
              <w:pStyle w:val="1042"/>
              <w:spacing w:line="360" w:lineRule="auto"/>
              <w:rPr>
                <w:rFonts w:hint="default" w:ascii="Times New Roman" w:hAnsi="Times New Roman" w:eastAsia="宋体" w:cs="Times New Roman"/>
                <w:b/>
                <w:bCs w:val="0"/>
                <w:color w:val="auto"/>
                <w:szCs w:val="21"/>
                <w:highlight w:val="none"/>
              </w:rPr>
            </w:pPr>
            <w:r>
              <w:rPr>
                <w:rFonts w:hint="default" w:ascii="Times New Roman" w:hAnsi="Times New Roman" w:eastAsia="宋体" w:cs="Times New Roman"/>
                <w:b/>
                <w:bCs w:val="0"/>
                <w:color w:val="auto"/>
                <w:szCs w:val="21"/>
                <w:highlight w:val="none"/>
              </w:rPr>
              <w:t>（3）噪声</w:t>
            </w:r>
          </w:p>
          <w:p w14:paraId="4F48870F">
            <w:pPr>
              <w:tabs>
                <w:tab w:val="left" w:pos="1800"/>
              </w:tabs>
              <w:adjustRightInd w:val="0"/>
              <w:snapToGrid w:val="0"/>
              <w:spacing w:line="360" w:lineRule="auto"/>
              <w:ind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本项目噪声主要为</w:t>
            </w:r>
            <w:r>
              <w:rPr>
                <w:rFonts w:hint="eastAsia" w:cs="Times New Roman"/>
                <w:bCs/>
                <w:color w:val="auto"/>
                <w:szCs w:val="21"/>
                <w:highlight w:val="none"/>
                <w:lang w:val="en-US" w:eastAsia="zh-CN"/>
              </w:rPr>
              <w:t>泵、离心机</w:t>
            </w:r>
            <w:r>
              <w:rPr>
                <w:rFonts w:hint="eastAsia" w:cs="Times New Roman"/>
                <w:bCs/>
                <w:color w:val="auto"/>
                <w:szCs w:val="21"/>
                <w:highlight w:val="none"/>
                <w:lang w:eastAsia="zh-CN"/>
              </w:rPr>
              <w:t>、风机</w:t>
            </w:r>
            <w:r>
              <w:rPr>
                <w:rFonts w:hint="default" w:ascii="Times New Roman" w:hAnsi="Times New Roman" w:cs="Times New Roman"/>
                <w:bCs/>
                <w:color w:val="auto"/>
                <w:szCs w:val="21"/>
                <w:highlight w:val="none"/>
              </w:rPr>
              <w:t>等设备运行产生的噪声，其噪声级在</w:t>
            </w:r>
            <w:r>
              <w:rPr>
                <w:rFonts w:hint="eastAsia" w:cs="Times New Roman"/>
                <w:bCs/>
                <w:color w:val="auto"/>
                <w:szCs w:val="21"/>
                <w:highlight w:val="none"/>
                <w:lang w:val="en-US" w:eastAsia="zh-CN"/>
              </w:rPr>
              <w:t>80~85</w:t>
            </w:r>
            <w:r>
              <w:rPr>
                <w:rFonts w:hint="default" w:ascii="Times New Roman" w:hAnsi="Times New Roman" w:cs="Times New Roman"/>
                <w:bCs/>
                <w:color w:val="auto"/>
                <w:szCs w:val="21"/>
                <w:highlight w:val="none"/>
              </w:rPr>
              <w:t>dB</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A</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之间。</w:t>
            </w:r>
          </w:p>
          <w:p w14:paraId="49B9B464">
            <w:pPr>
              <w:pStyle w:val="1042"/>
              <w:spacing w:line="360" w:lineRule="auto"/>
              <w:rPr>
                <w:rFonts w:hint="default" w:ascii="Times New Roman" w:hAnsi="Times New Roman" w:eastAsia="宋体" w:cs="Times New Roman"/>
                <w:b/>
                <w:bCs w:val="0"/>
                <w:color w:val="auto"/>
                <w:szCs w:val="21"/>
                <w:highlight w:val="none"/>
              </w:rPr>
            </w:pPr>
            <w:r>
              <w:rPr>
                <w:rFonts w:hint="default" w:ascii="Times New Roman" w:hAnsi="Times New Roman" w:eastAsia="宋体" w:cs="Times New Roman"/>
                <w:b/>
                <w:bCs w:val="0"/>
                <w:color w:val="auto"/>
                <w:szCs w:val="21"/>
                <w:highlight w:val="none"/>
              </w:rPr>
              <w:t>（4）固废</w:t>
            </w:r>
          </w:p>
          <w:p w14:paraId="34ECFC78">
            <w:pPr>
              <w:tabs>
                <w:tab w:val="left" w:pos="1800"/>
              </w:tabs>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snapToGrid w:val="0"/>
                <w:color w:val="auto"/>
                <w:kern w:val="0"/>
                <w:sz w:val="21"/>
                <w:szCs w:val="21"/>
                <w:highlight w:val="none"/>
              </w:rPr>
              <w:t>根据《固体废物鉴别标准通则》（GB34330-20</w:t>
            </w:r>
            <w:r>
              <w:rPr>
                <w:rFonts w:hint="eastAsia" w:ascii="Times New Roman" w:hAnsi="Times New Roman" w:cs="Times New Roman"/>
                <w:snapToGrid w:val="0"/>
                <w:color w:val="auto"/>
                <w:kern w:val="0"/>
                <w:sz w:val="21"/>
                <w:szCs w:val="21"/>
                <w:highlight w:val="none"/>
                <w:lang w:val="en-US" w:eastAsia="zh-CN"/>
              </w:rPr>
              <w:t>25</w:t>
            </w:r>
            <w:r>
              <w:rPr>
                <w:rFonts w:hint="default" w:ascii="Times New Roman" w:hAnsi="Times New Roman" w:cs="Times New Roman"/>
                <w:snapToGrid w:val="0"/>
                <w:color w:val="auto"/>
                <w:kern w:val="0"/>
                <w:sz w:val="21"/>
                <w:szCs w:val="21"/>
                <w:highlight w:val="none"/>
              </w:rPr>
              <w:t>）</w:t>
            </w:r>
            <w:r>
              <w:rPr>
                <w:rFonts w:hint="eastAsia" w:cs="Times New Roman"/>
                <w:snapToGrid w:val="0"/>
                <w:color w:val="auto"/>
                <w:kern w:val="0"/>
                <w:sz w:val="21"/>
                <w:szCs w:val="21"/>
                <w:highlight w:val="none"/>
                <w:lang w:val="en-US" w:eastAsia="zh-CN"/>
              </w:rPr>
              <w:t>中</w:t>
            </w:r>
            <w:r>
              <w:rPr>
                <w:rFonts w:hint="default" w:ascii="Times New Roman" w:hAnsi="Times New Roman" w:cs="Times New Roman"/>
                <w:snapToGrid w:val="0"/>
                <w:color w:val="auto"/>
                <w:kern w:val="0"/>
                <w:sz w:val="21"/>
                <w:szCs w:val="21"/>
                <w:highlight w:val="none"/>
              </w:rPr>
              <w:t>4.2.2销售、流通和使用过程中的下列物质：b） 不需要任何修复、加工，或存在功能缺陷但已恢复其原有使用功能的耐久性消费品（包含机电产品及零部件、元器件、生产装置、总成、容器）。销售、流通过程中该类物质还应同时满足以下所有条件：1） 具备完整的使用功能；2） 跨境销售、流通中，还应符合接收国家、地区对此类物品功能更新换代的要求，具有市场需求且未被淘汰；3） 满足后续使用对外观、性能和完整性的要求；4） 成批销售的物品需根据销售要求清洁、分类、包装，不属于固体废物。</w:t>
            </w:r>
            <w:r>
              <w:rPr>
                <w:rFonts w:hint="eastAsia" w:ascii="Times New Roman" w:hAnsi="Times New Roman" w:cs="Times New Roman"/>
                <w:color w:val="auto"/>
                <w:highlight w:val="none"/>
                <w:lang w:val="en-US" w:eastAsia="zh-CN"/>
              </w:rPr>
              <w:t>萃取剂包装桶（S</w:t>
            </w:r>
            <w:r>
              <w:rPr>
                <w:rFonts w:hint="eastAsia" w:cs="Times New Roman"/>
                <w:color w:val="auto"/>
                <w:highlight w:val="none"/>
                <w:lang w:val="en-US" w:eastAsia="zh-CN"/>
              </w:rPr>
              <w:t>3</w:t>
            </w:r>
            <w:r>
              <w:rPr>
                <w:rFonts w:hint="eastAsia" w:ascii="Times New Roman" w:hAnsi="Times New Roman" w:cs="Times New Roman"/>
                <w:color w:val="auto"/>
                <w:highlight w:val="none"/>
                <w:lang w:val="en-US" w:eastAsia="zh-CN"/>
              </w:rPr>
              <w:t>、S</w:t>
            </w:r>
            <w:r>
              <w:rPr>
                <w:rFonts w:hint="eastAsia" w:cs="Times New Roman"/>
                <w:color w:val="auto"/>
                <w:highlight w:val="none"/>
                <w:lang w:val="en-US" w:eastAsia="zh-CN"/>
              </w:rPr>
              <w:t>4</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sz w:val="21"/>
                <w:szCs w:val="21"/>
                <w:highlight w:val="none"/>
              </w:rPr>
              <w:t>由生产厂家回收用作原始用途，不作为固体废物</w:t>
            </w:r>
            <w:r>
              <w:rPr>
                <w:rFonts w:hint="default" w:ascii="Times New Roman" w:hAnsi="Times New Roman" w:cs="Times New Roman"/>
                <w:color w:val="auto"/>
                <w:sz w:val="21"/>
                <w:szCs w:val="21"/>
                <w:highlight w:val="none"/>
                <w:lang w:val="en-US" w:eastAsia="zh-CN"/>
              </w:rPr>
              <w:t>处置</w:t>
            </w:r>
            <w:r>
              <w:rPr>
                <w:rFonts w:hint="eastAsia" w:ascii="Times New Roman" w:hAnsi="Times New Roman" w:cs="Times New Roman"/>
                <w:color w:val="auto"/>
                <w:sz w:val="21"/>
                <w:szCs w:val="21"/>
                <w:highlight w:val="none"/>
                <w:lang w:val="en-US" w:eastAsia="zh-CN"/>
              </w:rPr>
              <w:t>。</w:t>
            </w:r>
          </w:p>
          <w:p w14:paraId="476D4FAC">
            <w:pPr>
              <w:adjustRightInd w:val="0"/>
              <w:snapToGrid w:val="0"/>
              <w:spacing w:line="360" w:lineRule="auto"/>
              <w:ind w:firstLine="420" w:firstLineChars="200"/>
              <w:rPr>
                <w:rFonts w:hint="eastAsia"/>
                <w:color w:val="auto"/>
                <w:highlight w:val="none"/>
                <w:lang w:eastAsia="zh-CN"/>
              </w:rPr>
            </w:pPr>
            <w:r>
              <w:rPr>
                <w:rFonts w:hint="default" w:ascii="Times New Roman" w:hAnsi="Times New Roman" w:cs="Times New Roman"/>
                <w:bCs/>
                <w:color w:val="auto"/>
                <w:szCs w:val="21"/>
                <w:highlight w:val="none"/>
              </w:rPr>
              <w:t>本项目产生的固体废物主要为</w:t>
            </w:r>
            <w:r>
              <w:rPr>
                <w:rFonts w:hint="eastAsia" w:cs="Times New Roman"/>
                <w:bCs/>
                <w:color w:val="auto"/>
                <w:szCs w:val="21"/>
                <w:highlight w:val="none"/>
                <w:lang w:val="en-US" w:eastAsia="zh-CN"/>
              </w:rPr>
              <w:t>废包装袋（S1）、压滤和过滤杂质（S2、S5）、废盐（S6）、废活性炭（S7）、废机油（S8）、废机油桶（S9）、生活垃圾（S10）</w:t>
            </w:r>
            <w:r>
              <w:rPr>
                <w:rFonts w:hint="eastAsia"/>
                <w:color w:val="auto"/>
                <w:highlight w:val="none"/>
                <w:lang w:eastAsia="zh-CN"/>
              </w:rPr>
              <w:t>。</w:t>
            </w:r>
          </w:p>
          <w:p w14:paraId="5EAA65C9">
            <w:pPr>
              <w:spacing w:line="360" w:lineRule="auto"/>
              <w:jc w:val="center"/>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表2-</w:t>
            </w:r>
            <w:r>
              <w:rPr>
                <w:rFonts w:hint="eastAsia" w:ascii="Times New Roman" w:hAnsi="Times New Roman" w:eastAsia="宋体" w:cs="Times New Roman"/>
                <w:b/>
                <w:bCs/>
                <w:color w:val="auto"/>
                <w:highlight w:val="none"/>
                <w:lang w:val="en-US" w:eastAsia="zh-CN"/>
              </w:rPr>
              <w:t>6</w:t>
            </w:r>
            <w:r>
              <w:rPr>
                <w:rFonts w:hint="default" w:ascii="Times New Roman" w:hAnsi="Times New Roman" w:eastAsia="宋体" w:cs="Times New Roman"/>
                <w:b/>
                <w:bCs/>
                <w:color w:val="auto"/>
                <w:highlight w:val="none"/>
                <w:lang w:val="en-US" w:eastAsia="zh-CN"/>
              </w:rPr>
              <w:t>产污环节一览表</w:t>
            </w:r>
          </w:p>
          <w:tbl>
            <w:tblPr>
              <w:tblStyle w:val="8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29"/>
              <w:gridCol w:w="538"/>
              <w:gridCol w:w="2487"/>
              <w:gridCol w:w="1613"/>
              <w:gridCol w:w="3242"/>
            </w:tblGrid>
            <w:tr w14:paraId="28E43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30" w:type="dxa"/>
                  <w:vAlign w:val="center"/>
                </w:tcPr>
                <w:p w14:paraId="6463026E">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类别</w:t>
                  </w:r>
                </w:p>
              </w:tc>
              <w:tc>
                <w:tcPr>
                  <w:tcW w:w="3025" w:type="dxa"/>
                  <w:gridSpan w:val="2"/>
                  <w:vAlign w:val="center"/>
                </w:tcPr>
                <w:p w14:paraId="424E5BCC">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产污环节</w:t>
                  </w:r>
                </w:p>
              </w:tc>
              <w:tc>
                <w:tcPr>
                  <w:tcW w:w="1613" w:type="dxa"/>
                  <w:vAlign w:val="center"/>
                </w:tcPr>
                <w:p w14:paraId="5D3A8E74">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污染物</w:t>
                  </w:r>
                </w:p>
              </w:tc>
              <w:tc>
                <w:tcPr>
                  <w:tcW w:w="3242" w:type="dxa"/>
                  <w:vAlign w:val="center"/>
                </w:tcPr>
                <w:p w14:paraId="787A1C8F">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治理措施</w:t>
                  </w:r>
                </w:p>
              </w:tc>
            </w:tr>
            <w:tr w14:paraId="55659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2" w:hRule="atLeast"/>
                <w:jc w:val="center"/>
              </w:trPr>
              <w:tc>
                <w:tcPr>
                  <w:tcW w:w="530" w:type="dxa"/>
                  <w:vMerge w:val="restart"/>
                  <w:vAlign w:val="center"/>
                </w:tcPr>
                <w:p w14:paraId="3178795A">
                  <w:pPr>
                    <w:jc w:val="center"/>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lang w:val="en-US" w:eastAsia="zh-CN"/>
                    </w:rPr>
                    <w:t>废气</w:t>
                  </w:r>
                </w:p>
              </w:tc>
              <w:tc>
                <w:tcPr>
                  <w:tcW w:w="538" w:type="dxa"/>
                  <w:vMerge w:val="restart"/>
                  <w:vAlign w:val="center"/>
                </w:tcPr>
                <w:p w14:paraId="0F07AF5B">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运营期</w:t>
                  </w:r>
                </w:p>
              </w:tc>
              <w:tc>
                <w:tcPr>
                  <w:tcW w:w="2487" w:type="dxa"/>
                  <w:shd w:val="clear" w:color="auto" w:fill="auto"/>
                  <w:vAlign w:val="center"/>
                </w:tcPr>
                <w:p w14:paraId="1BC5BF7B">
                  <w:pPr>
                    <w:jc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kern w:val="2"/>
                      <w:sz w:val="18"/>
                      <w:szCs w:val="18"/>
                      <w:lang w:val="en-US" w:eastAsia="zh-CN" w:bidi="ar-SA"/>
                    </w:rPr>
                    <w:t>溶解废气（G1）</w:t>
                  </w:r>
                </w:p>
              </w:tc>
              <w:tc>
                <w:tcPr>
                  <w:tcW w:w="1613" w:type="dxa"/>
                  <w:shd w:val="clear" w:color="auto" w:fill="auto"/>
                  <w:vAlign w:val="center"/>
                </w:tcPr>
                <w:p w14:paraId="77AB5DA6">
                  <w:pPr>
                    <w:jc w:val="center"/>
                    <w:rPr>
                      <w:rFonts w:hint="eastAsia" w:ascii="Times New Roman" w:hAnsi="Times New Roman" w:cs="Times New Roman" w:eastAsiaTheme="minorEastAsia"/>
                      <w:color w:val="auto"/>
                      <w:kern w:val="2"/>
                      <w:sz w:val="18"/>
                      <w:szCs w:val="18"/>
                      <w:lang w:val="en-US" w:eastAsia="zh-CN" w:bidi="ar-SA"/>
                    </w:rPr>
                  </w:pPr>
                  <w:r>
                    <w:rPr>
                      <w:rFonts w:hint="eastAsia" w:ascii="Times New Roman" w:hAnsi="Times New Roman" w:cs="Times New Roman" w:eastAsiaTheme="minorEastAsia"/>
                      <w:color w:val="auto"/>
                      <w:sz w:val="18"/>
                      <w:szCs w:val="18"/>
                      <w:lang w:val="en-US" w:eastAsia="zh-CN"/>
                    </w:rPr>
                    <w:t>HCl</w:t>
                  </w:r>
                </w:p>
              </w:tc>
              <w:tc>
                <w:tcPr>
                  <w:tcW w:w="3242" w:type="dxa"/>
                  <w:vMerge w:val="restart"/>
                  <w:shd w:val="clear" w:color="auto" w:fill="auto"/>
                  <w:vAlign w:val="center"/>
                </w:tcPr>
                <w:p w14:paraId="79BF9F13">
                  <w:pPr>
                    <w:jc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kern w:val="2"/>
                      <w:sz w:val="18"/>
                      <w:szCs w:val="18"/>
                      <w:lang w:val="en-US" w:eastAsia="zh-CN" w:bidi="ar-SA"/>
                    </w:rPr>
                    <w:t>经</w:t>
                  </w:r>
                  <w:r>
                    <w:rPr>
                      <w:rFonts w:hint="eastAsia" w:cs="Times New Roman" w:eastAsiaTheme="minorEastAsia"/>
                      <w:color w:val="auto"/>
                      <w:kern w:val="2"/>
                      <w:sz w:val="18"/>
                      <w:szCs w:val="18"/>
                      <w:lang w:val="en-US" w:eastAsia="zh-CN" w:bidi="ar-SA"/>
                    </w:rPr>
                    <w:t>水喷淋+酸雾吸收塔+除雾器+二级活性炭吸附装置</w:t>
                  </w:r>
                  <w:r>
                    <w:rPr>
                      <w:rFonts w:hint="default" w:ascii="Times New Roman" w:hAnsi="Times New Roman" w:cs="Times New Roman" w:eastAsiaTheme="minorEastAsia"/>
                      <w:color w:val="auto"/>
                      <w:kern w:val="2"/>
                      <w:sz w:val="18"/>
                      <w:szCs w:val="18"/>
                      <w:lang w:val="en-US" w:eastAsia="zh-CN" w:bidi="ar-SA"/>
                    </w:rPr>
                    <w:t>处理后由15m高排气筒（P1）有组织排放</w:t>
                  </w:r>
                </w:p>
              </w:tc>
            </w:tr>
            <w:tr w14:paraId="47D14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6CE533CF">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361BB7B4">
                  <w:pPr>
                    <w:jc w:val="center"/>
                    <w:rPr>
                      <w:rFonts w:hint="default" w:ascii="Times New Roman" w:hAnsi="Times New Roman" w:cs="Times New Roman" w:eastAsiaTheme="minorEastAsia"/>
                      <w:color w:val="auto"/>
                      <w:sz w:val="18"/>
                      <w:szCs w:val="18"/>
                    </w:rPr>
                  </w:pPr>
                </w:p>
              </w:tc>
              <w:tc>
                <w:tcPr>
                  <w:tcW w:w="2487" w:type="dxa"/>
                  <w:vAlign w:val="center"/>
                </w:tcPr>
                <w:p w14:paraId="103097F0">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板框压滤废气（G2）</w:t>
                  </w:r>
                </w:p>
              </w:tc>
              <w:tc>
                <w:tcPr>
                  <w:tcW w:w="1613" w:type="dxa"/>
                  <w:vAlign w:val="center"/>
                </w:tcPr>
                <w:p w14:paraId="0590162E">
                  <w:pPr>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HCl</w:t>
                  </w:r>
                </w:p>
              </w:tc>
              <w:tc>
                <w:tcPr>
                  <w:tcW w:w="3242" w:type="dxa"/>
                  <w:vMerge w:val="continue"/>
                  <w:vAlign w:val="center"/>
                </w:tcPr>
                <w:p w14:paraId="3075B20A">
                  <w:pPr>
                    <w:jc w:val="center"/>
                    <w:rPr>
                      <w:rFonts w:hint="eastAsia" w:cs="Times New Roman" w:eastAsiaTheme="minorEastAsia"/>
                      <w:color w:val="auto"/>
                      <w:sz w:val="18"/>
                      <w:szCs w:val="18"/>
                      <w:lang w:eastAsia="zh-CN"/>
                    </w:rPr>
                  </w:pPr>
                </w:p>
              </w:tc>
            </w:tr>
            <w:tr w14:paraId="24A34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35481D27">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3405CB72">
                  <w:pPr>
                    <w:jc w:val="center"/>
                    <w:rPr>
                      <w:rFonts w:hint="default" w:ascii="Times New Roman" w:hAnsi="Times New Roman" w:cs="Times New Roman" w:eastAsiaTheme="minorEastAsia"/>
                      <w:color w:val="auto"/>
                      <w:sz w:val="18"/>
                      <w:szCs w:val="18"/>
                    </w:rPr>
                  </w:pPr>
                </w:p>
              </w:tc>
              <w:tc>
                <w:tcPr>
                  <w:tcW w:w="2487" w:type="dxa"/>
                  <w:vAlign w:val="center"/>
                </w:tcPr>
                <w:p w14:paraId="70D34259">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定容废气（G3）</w:t>
                  </w:r>
                </w:p>
              </w:tc>
              <w:tc>
                <w:tcPr>
                  <w:tcW w:w="1613" w:type="dxa"/>
                  <w:vAlign w:val="center"/>
                </w:tcPr>
                <w:p w14:paraId="02871EFD">
                  <w:pPr>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HCl</w:t>
                  </w:r>
                </w:p>
              </w:tc>
              <w:tc>
                <w:tcPr>
                  <w:tcW w:w="3242" w:type="dxa"/>
                  <w:vMerge w:val="continue"/>
                  <w:vAlign w:val="center"/>
                </w:tcPr>
                <w:p w14:paraId="477BBA2B">
                  <w:pPr>
                    <w:jc w:val="center"/>
                    <w:rPr>
                      <w:rFonts w:hint="eastAsia" w:cs="Times New Roman" w:eastAsiaTheme="minorEastAsia"/>
                      <w:color w:val="auto"/>
                      <w:sz w:val="18"/>
                      <w:szCs w:val="18"/>
                      <w:lang w:eastAsia="zh-CN"/>
                    </w:rPr>
                  </w:pPr>
                </w:p>
              </w:tc>
            </w:tr>
            <w:tr w14:paraId="595FCC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jc w:val="center"/>
              </w:trPr>
              <w:tc>
                <w:tcPr>
                  <w:tcW w:w="530" w:type="dxa"/>
                  <w:vMerge w:val="continue"/>
                  <w:vAlign w:val="center"/>
                </w:tcPr>
                <w:p w14:paraId="65358538">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204E4A11">
                  <w:pPr>
                    <w:jc w:val="center"/>
                    <w:rPr>
                      <w:rFonts w:hint="default" w:ascii="Times New Roman" w:hAnsi="Times New Roman" w:cs="Times New Roman" w:eastAsiaTheme="minorEastAsia"/>
                      <w:color w:val="auto"/>
                      <w:sz w:val="18"/>
                      <w:szCs w:val="18"/>
                    </w:rPr>
                  </w:pPr>
                </w:p>
              </w:tc>
              <w:tc>
                <w:tcPr>
                  <w:tcW w:w="2487" w:type="dxa"/>
                  <w:vAlign w:val="center"/>
                </w:tcPr>
                <w:p w14:paraId="4A771BEA">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lang w:val="en-US" w:eastAsia="zh-CN"/>
                    </w:rPr>
                    <w:t>萃取废气（G4）</w:t>
                  </w:r>
                </w:p>
              </w:tc>
              <w:tc>
                <w:tcPr>
                  <w:tcW w:w="1613" w:type="dxa"/>
                  <w:vAlign w:val="center"/>
                </w:tcPr>
                <w:p w14:paraId="3082ADF1">
                  <w:pPr>
                    <w:jc w:val="center"/>
                    <w:rPr>
                      <w:rFonts w:hint="default" w:ascii="Times New Roman" w:hAnsi="Times New Roman" w:cs="Times New Roman" w:eastAsiaTheme="minorEastAsia"/>
                      <w:color w:val="auto"/>
                      <w:sz w:val="18"/>
                      <w:szCs w:val="18"/>
                      <w:lang w:val="en-US"/>
                    </w:rPr>
                  </w:pPr>
                  <w:r>
                    <w:rPr>
                      <w:rFonts w:hint="eastAsia" w:ascii="Times New Roman" w:hAnsi="Times New Roman" w:cs="Times New Roman" w:eastAsiaTheme="minorEastAsia"/>
                      <w:color w:val="auto"/>
                      <w:sz w:val="18"/>
                      <w:szCs w:val="18"/>
                      <w:lang w:val="en-US" w:eastAsia="zh-CN"/>
                    </w:rPr>
                    <w:t>HCl、VOCs</w:t>
                  </w:r>
                </w:p>
              </w:tc>
              <w:tc>
                <w:tcPr>
                  <w:tcW w:w="3242" w:type="dxa"/>
                  <w:vMerge w:val="continue"/>
                  <w:vAlign w:val="center"/>
                </w:tcPr>
                <w:p w14:paraId="12BE3585">
                  <w:pPr>
                    <w:jc w:val="center"/>
                    <w:rPr>
                      <w:rFonts w:hint="eastAsia" w:cs="Times New Roman" w:eastAsiaTheme="minorEastAsia"/>
                      <w:color w:val="auto"/>
                      <w:sz w:val="18"/>
                      <w:szCs w:val="18"/>
                      <w:lang w:eastAsia="zh-CN"/>
                    </w:rPr>
                  </w:pPr>
                </w:p>
              </w:tc>
            </w:tr>
            <w:tr w14:paraId="08035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583B1B6C">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235C674C">
                  <w:pPr>
                    <w:jc w:val="center"/>
                    <w:rPr>
                      <w:rFonts w:hint="default" w:ascii="Times New Roman" w:hAnsi="Times New Roman" w:cs="Times New Roman" w:eastAsiaTheme="minorEastAsia"/>
                      <w:color w:val="auto"/>
                      <w:sz w:val="18"/>
                      <w:szCs w:val="18"/>
                    </w:rPr>
                  </w:pPr>
                </w:p>
              </w:tc>
              <w:tc>
                <w:tcPr>
                  <w:tcW w:w="2487" w:type="dxa"/>
                  <w:vAlign w:val="center"/>
                </w:tcPr>
                <w:p w14:paraId="3403D03C">
                  <w:pPr>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预热分离废气（G5）</w:t>
                  </w:r>
                </w:p>
              </w:tc>
              <w:tc>
                <w:tcPr>
                  <w:tcW w:w="1613" w:type="dxa"/>
                  <w:vAlign w:val="center"/>
                </w:tcPr>
                <w:p w14:paraId="7AEA869A">
                  <w:pPr>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HCl、VOCs</w:t>
                  </w:r>
                </w:p>
              </w:tc>
              <w:tc>
                <w:tcPr>
                  <w:tcW w:w="3242" w:type="dxa"/>
                  <w:vMerge w:val="continue"/>
                  <w:vAlign w:val="center"/>
                </w:tcPr>
                <w:p w14:paraId="1525C024">
                  <w:pPr>
                    <w:jc w:val="center"/>
                    <w:rPr>
                      <w:rFonts w:hint="eastAsia" w:cs="Times New Roman" w:eastAsiaTheme="minorEastAsia"/>
                      <w:color w:val="auto"/>
                      <w:sz w:val="18"/>
                      <w:szCs w:val="18"/>
                      <w:lang w:eastAsia="zh-CN"/>
                    </w:rPr>
                  </w:pPr>
                </w:p>
              </w:tc>
            </w:tr>
            <w:tr w14:paraId="15E2B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093433F8">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6CC9A434">
                  <w:pPr>
                    <w:jc w:val="center"/>
                    <w:rPr>
                      <w:rFonts w:hint="default" w:ascii="Times New Roman" w:hAnsi="Times New Roman" w:cs="Times New Roman" w:eastAsiaTheme="minorEastAsia"/>
                      <w:color w:val="auto"/>
                      <w:sz w:val="18"/>
                      <w:szCs w:val="18"/>
                    </w:rPr>
                  </w:pPr>
                </w:p>
              </w:tc>
              <w:tc>
                <w:tcPr>
                  <w:tcW w:w="2487" w:type="dxa"/>
                  <w:vAlign w:val="center"/>
                </w:tcPr>
                <w:p w14:paraId="0FB83512">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二次萃取废气（G6）</w:t>
                  </w:r>
                </w:p>
              </w:tc>
              <w:tc>
                <w:tcPr>
                  <w:tcW w:w="1613" w:type="dxa"/>
                  <w:vAlign w:val="center"/>
                </w:tcPr>
                <w:p w14:paraId="478FD11C">
                  <w:pPr>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HCl、VOCs</w:t>
                  </w:r>
                </w:p>
              </w:tc>
              <w:tc>
                <w:tcPr>
                  <w:tcW w:w="3242" w:type="dxa"/>
                  <w:vMerge w:val="continue"/>
                  <w:vAlign w:val="center"/>
                </w:tcPr>
                <w:p w14:paraId="45D36F15">
                  <w:pPr>
                    <w:jc w:val="center"/>
                    <w:rPr>
                      <w:rFonts w:hint="eastAsia" w:cs="Times New Roman" w:eastAsiaTheme="minorEastAsia"/>
                      <w:color w:val="auto"/>
                      <w:sz w:val="18"/>
                      <w:szCs w:val="18"/>
                      <w:lang w:eastAsia="zh-CN"/>
                    </w:rPr>
                  </w:pPr>
                </w:p>
              </w:tc>
            </w:tr>
            <w:tr w14:paraId="068E0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3038AC26">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11ACB6F7">
                  <w:pPr>
                    <w:jc w:val="center"/>
                    <w:rPr>
                      <w:rFonts w:hint="default" w:ascii="Times New Roman" w:hAnsi="Times New Roman" w:cs="Times New Roman" w:eastAsiaTheme="minorEastAsia"/>
                      <w:color w:val="auto"/>
                      <w:sz w:val="18"/>
                      <w:szCs w:val="18"/>
                    </w:rPr>
                  </w:pPr>
                </w:p>
              </w:tc>
              <w:tc>
                <w:tcPr>
                  <w:tcW w:w="2487" w:type="dxa"/>
                  <w:vAlign w:val="center"/>
                </w:tcPr>
                <w:p w14:paraId="0A68858C">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lang w:val="en-US" w:eastAsia="zh-CN"/>
                    </w:rPr>
                    <w:t>二次预热分离废气（G7）</w:t>
                  </w:r>
                </w:p>
              </w:tc>
              <w:tc>
                <w:tcPr>
                  <w:tcW w:w="1613" w:type="dxa"/>
                  <w:vAlign w:val="center"/>
                </w:tcPr>
                <w:p w14:paraId="707A2E2D">
                  <w:pPr>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HCl、VOCs</w:t>
                  </w:r>
                </w:p>
              </w:tc>
              <w:tc>
                <w:tcPr>
                  <w:tcW w:w="3242" w:type="dxa"/>
                  <w:vMerge w:val="continue"/>
                  <w:vAlign w:val="center"/>
                </w:tcPr>
                <w:p w14:paraId="1CAD26F8">
                  <w:pPr>
                    <w:jc w:val="center"/>
                    <w:rPr>
                      <w:rFonts w:hint="eastAsia" w:cs="Times New Roman" w:eastAsiaTheme="minorEastAsia"/>
                      <w:color w:val="auto"/>
                      <w:sz w:val="18"/>
                      <w:szCs w:val="18"/>
                      <w:lang w:eastAsia="zh-CN"/>
                    </w:rPr>
                  </w:pPr>
                </w:p>
              </w:tc>
            </w:tr>
            <w:tr w14:paraId="4D2D80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7271F358">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50A431F4">
                  <w:pPr>
                    <w:jc w:val="center"/>
                    <w:rPr>
                      <w:rFonts w:hint="default" w:ascii="Times New Roman" w:hAnsi="Times New Roman" w:cs="Times New Roman" w:eastAsiaTheme="minorEastAsia"/>
                      <w:color w:val="auto"/>
                      <w:sz w:val="18"/>
                      <w:szCs w:val="18"/>
                    </w:rPr>
                  </w:pPr>
                </w:p>
              </w:tc>
              <w:tc>
                <w:tcPr>
                  <w:tcW w:w="2487" w:type="dxa"/>
                  <w:vAlign w:val="center"/>
                </w:tcPr>
                <w:p w14:paraId="35D8FBF7">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lang w:val="en-US" w:eastAsia="zh-CN"/>
                    </w:rPr>
                    <w:t>精密过滤废气（G8）</w:t>
                  </w:r>
                </w:p>
              </w:tc>
              <w:tc>
                <w:tcPr>
                  <w:tcW w:w="1613" w:type="dxa"/>
                  <w:vAlign w:val="center"/>
                </w:tcPr>
                <w:p w14:paraId="114F63D7">
                  <w:pPr>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HCl</w:t>
                  </w:r>
                </w:p>
              </w:tc>
              <w:tc>
                <w:tcPr>
                  <w:tcW w:w="3242" w:type="dxa"/>
                  <w:vMerge w:val="continue"/>
                  <w:vAlign w:val="center"/>
                </w:tcPr>
                <w:p w14:paraId="50B558D5">
                  <w:pPr>
                    <w:jc w:val="center"/>
                    <w:rPr>
                      <w:rFonts w:hint="eastAsia" w:cs="Times New Roman" w:eastAsiaTheme="minorEastAsia"/>
                      <w:color w:val="auto"/>
                      <w:sz w:val="18"/>
                      <w:szCs w:val="18"/>
                      <w:lang w:eastAsia="zh-CN"/>
                    </w:rPr>
                  </w:pPr>
                </w:p>
              </w:tc>
            </w:tr>
            <w:tr w14:paraId="474377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60BE85A5">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4A3465DC">
                  <w:pPr>
                    <w:jc w:val="center"/>
                    <w:rPr>
                      <w:rFonts w:hint="default" w:ascii="Times New Roman" w:hAnsi="Times New Roman" w:cs="Times New Roman" w:eastAsiaTheme="minorEastAsia"/>
                      <w:color w:val="auto"/>
                      <w:sz w:val="18"/>
                      <w:szCs w:val="18"/>
                    </w:rPr>
                  </w:pPr>
                </w:p>
              </w:tc>
              <w:tc>
                <w:tcPr>
                  <w:tcW w:w="2487" w:type="dxa"/>
                  <w:vAlign w:val="center"/>
                </w:tcPr>
                <w:p w14:paraId="4BE16B18">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lang w:val="en-US" w:eastAsia="zh-CN"/>
                    </w:rPr>
                    <w:t>蒸发结晶废气（G9、G12）</w:t>
                  </w:r>
                </w:p>
              </w:tc>
              <w:tc>
                <w:tcPr>
                  <w:tcW w:w="1613" w:type="dxa"/>
                  <w:vAlign w:val="center"/>
                </w:tcPr>
                <w:p w14:paraId="33B87D4D">
                  <w:pPr>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HCl</w:t>
                  </w:r>
                </w:p>
              </w:tc>
              <w:tc>
                <w:tcPr>
                  <w:tcW w:w="3242" w:type="dxa"/>
                  <w:vMerge w:val="continue"/>
                  <w:vAlign w:val="center"/>
                </w:tcPr>
                <w:p w14:paraId="44AE9332">
                  <w:pPr>
                    <w:jc w:val="center"/>
                    <w:rPr>
                      <w:rFonts w:hint="eastAsia" w:cs="Times New Roman" w:eastAsiaTheme="minorEastAsia"/>
                      <w:color w:val="auto"/>
                      <w:sz w:val="18"/>
                      <w:szCs w:val="18"/>
                      <w:lang w:eastAsia="zh-CN"/>
                    </w:rPr>
                  </w:pPr>
                </w:p>
              </w:tc>
            </w:tr>
            <w:tr w14:paraId="3B822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6C506C32">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2B372923">
                  <w:pPr>
                    <w:jc w:val="center"/>
                    <w:rPr>
                      <w:rFonts w:hint="default" w:ascii="Times New Roman" w:hAnsi="Times New Roman" w:cs="Times New Roman" w:eastAsiaTheme="minorEastAsia"/>
                      <w:color w:val="auto"/>
                      <w:sz w:val="18"/>
                      <w:szCs w:val="18"/>
                    </w:rPr>
                  </w:pPr>
                </w:p>
              </w:tc>
              <w:tc>
                <w:tcPr>
                  <w:tcW w:w="2487" w:type="dxa"/>
                  <w:vAlign w:val="center"/>
                </w:tcPr>
                <w:p w14:paraId="7775944E">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lang w:val="en-US" w:eastAsia="zh-CN"/>
                    </w:rPr>
                    <w:t>离心废气（G10、G13）</w:t>
                  </w:r>
                </w:p>
              </w:tc>
              <w:tc>
                <w:tcPr>
                  <w:tcW w:w="1613" w:type="dxa"/>
                  <w:vAlign w:val="center"/>
                </w:tcPr>
                <w:p w14:paraId="3F788037">
                  <w:pPr>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HCl</w:t>
                  </w:r>
                </w:p>
              </w:tc>
              <w:tc>
                <w:tcPr>
                  <w:tcW w:w="3242" w:type="dxa"/>
                  <w:vMerge w:val="continue"/>
                  <w:vAlign w:val="center"/>
                </w:tcPr>
                <w:p w14:paraId="677623E2">
                  <w:pPr>
                    <w:jc w:val="center"/>
                    <w:rPr>
                      <w:rFonts w:hint="eastAsia" w:cs="Times New Roman" w:eastAsiaTheme="minorEastAsia"/>
                      <w:color w:val="auto"/>
                      <w:sz w:val="18"/>
                      <w:szCs w:val="18"/>
                      <w:lang w:eastAsia="zh-CN"/>
                    </w:rPr>
                  </w:pPr>
                </w:p>
              </w:tc>
            </w:tr>
            <w:tr w14:paraId="3EAC0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619907C6">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22B04597">
                  <w:pPr>
                    <w:jc w:val="center"/>
                    <w:rPr>
                      <w:rFonts w:hint="default" w:ascii="Times New Roman" w:hAnsi="Times New Roman" w:cs="Times New Roman" w:eastAsiaTheme="minorEastAsia"/>
                      <w:color w:val="auto"/>
                      <w:sz w:val="18"/>
                      <w:szCs w:val="18"/>
                    </w:rPr>
                  </w:pPr>
                </w:p>
              </w:tc>
              <w:tc>
                <w:tcPr>
                  <w:tcW w:w="2487" w:type="dxa"/>
                  <w:vAlign w:val="center"/>
                </w:tcPr>
                <w:p w14:paraId="1EF72904">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包装废气（G11、G14）</w:t>
                  </w:r>
                </w:p>
              </w:tc>
              <w:tc>
                <w:tcPr>
                  <w:tcW w:w="1613" w:type="dxa"/>
                  <w:vAlign w:val="center"/>
                </w:tcPr>
                <w:p w14:paraId="78862591">
                  <w:pPr>
                    <w:jc w:val="center"/>
                    <w:rPr>
                      <w:rFonts w:hint="default"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val="en-US" w:eastAsia="zh-CN"/>
                    </w:rPr>
                    <w:t>HCl</w:t>
                  </w:r>
                </w:p>
              </w:tc>
              <w:tc>
                <w:tcPr>
                  <w:tcW w:w="3242" w:type="dxa"/>
                  <w:vMerge w:val="continue"/>
                  <w:vAlign w:val="center"/>
                </w:tcPr>
                <w:p w14:paraId="6B335296">
                  <w:pPr>
                    <w:jc w:val="center"/>
                    <w:rPr>
                      <w:rFonts w:hint="eastAsia" w:cs="Times New Roman" w:eastAsiaTheme="minorEastAsia"/>
                      <w:color w:val="auto"/>
                      <w:sz w:val="18"/>
                      <w:szCs w:val="18"/>
                      <w:lang w:eastAsia="zh-CN"/>
                    </w:rPr>
                  </w:pPr>
                </w:p>
              </w:tc>
            </w:tr>
            <w:tr w14:paraId="0AAC9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restart"/>
                  <w:vAlign w:val="center"/>
                </w:tcPr>
                <w:p w14:paraId="586FDC5E">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废水</w:t>
                  </w:r>
                </w:p>
              </w:tc>
              <w:tc>
                <w:tcPr>
                  <w:tcW w:w="538" w:type="dxa"/>
                  <w:vMerge w:val="restart"/>
                  <w:vAlign w:val="center"/>
                </w:tcPr>
                <w:p w14:paraId="04C1AEE9">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运营期</w:t>
                  </w:r>
                </w:p>
              </w:tc>
              <w:tc>
                <w:tcPr>
                  <w:tcW w:w="2487" w:type="dxa"/>
                  <w:shd w:val="clear" w:color="auto" w:fill="auto"/>
                  <w:vAlign w:val="center"/>
                </w:tcPr>
                <w:p w14:paraId="48A549FF">
                  <w:pPr>
                    <w:jc w:val="center"/>
                    <w:rPr>
                      <w:rFonts w:hint="eastAsia"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lang w:val="en-US" w:eastAsia="zh-CN"/>
                    </w:rPr>
                    <w:t>蒸汽冷凝水</w:t>
                  </w:r>
                  <w:r>
                    <w:rPr>
                      <w:rFonts w:hint="eastAsia" w:ascii="Times New Roman" w:hAnsi="Times New Roman" w:cs="Times New Roman" w:eastAsiaTheme="minorEastAsia"/>
                      <w:color w:val="auto"/>
                      <w:sz w:val="18"/>
                      <w:szCs w:val="18"/>
                      <w:lang w:val="en-US" w:eastAsia="zh-CN"/>
                    </w:rPr>
                    <w:t>（W1）</w:t>
                  </w:r>
                </w:p>
              </w:tc>
              <w:tc>
                <w:tcPr>
                  <w:tcW w:w="1613" w:type="dxa"/>
                  <w:shd w:val="clear" w:color="auto" w:fill="auto"/>
                  <w:vAlign w:val="center"/>
                </w:tcPr>
                <w:p w14:paraId="22777255">
                  <w:pPr>
                    <w:jc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COD、氨氮</w:t>
                  </w:r>
                </w:p>
              </w:tc>
              <w:tc>
                <w:tcPr>
                  <w:tcW w:w="3242" w:type="dxa"/>
                  <w:vMerge w:val="restart"/>
                  <w:shd w:val="clear" w:color="auto" w:fill="auto"/>
                  <w:vAlign w:val="center"/>
                </w:tcPr>
                <w:p w14:paraId="0D814D7B">
                  <w:pPr>
                    <w:jc w:val="center"/>
                    <w:rPr>
                      <w:rFonts w:hint="eastAsia" w:ascii="Times New Roman" w:hAnsi="Times New Roman" w:cs="Times New Roman" w:eastAsiaTheme="minorEastAsia"/>
                      <w:color w:val="auto"/>
                      <w:kern w:val="2"/>
                      <w:sz w:val="18"/>
                      <w:szCs w:val="18"/>
                      <w:highlight w:val="none"/>
                      <w:lang w:val="en-US" w:eastAsia="zh-CN" w:bidi="ar-SA"/>
                    </w:rPr>
                  </w:pPr>
                  <w:r>
                    <w:rPr>
                      <w:rFonts w:hint="eastAsia" w:ascii="Times New Roman" w:hAnsi="Times New Roman" w:cs="Times New Roman" w:eastAsiaTheme="minorEastAsia"/>
                      <w:color w:val="auto"/>
                      <w:kern w:val="2"/>
                      <w:sz w:val="18"/>
                      <w:szCs w:val="18"/>
                      <w:highlight w:val="none"/>
                      <w:lang w:val="en-US" w:eastAsia="zh-CN" w:bidi="ar-SA"/>
                    </w:rPr>
                    <w:t>回用于原料溶解用水、酸雾吸收塔用水</w:t>
                  </w:r>
                </w:p>
              </w:tc>
            </w:tr>
            <w:tr w14:paraId="46962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0854D755">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6C890B42">
                  <w:pPr>
                    <w:jc w:val="center"/>
                    <w:rPr>
                      <w:rFonts w:hint="default" w:ascii="Times New Roman" w:hAnsi="Times New Roman" w:cs="Times New Roman" w:eastAsiaTheme="minorEastAsia"/>
                      <w:color w:val="auto"/>
                      <w:sz w:val="18"/>
                      <w:szCs w:val="18"/>
                    </w:rPr>
                  </w:pPr>
                </w:p>
              </w:tc>
              <w:tc>
                <w:tcPr>
                  <w:tcW w:w="2487" w:type="dxa"/>
                  <w:shd w:val="clear" w:color="auto" w:fill="auto"/>
                  <w:vAlign w:val="center"/>
                </w:tcPr>
                <w:p w14:paraId="3FF9F55A">
                  <w:pPr>
                    <w:jc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lang w:val="en-US" w:eastAsia="zh-CN"/>
                    </w:rPr>
                    <w:t>蒸发冷凝水</w:t>
                  </w:r>
                  <w:r>
                    <w:rPr>
                      <w:rFonts w:hint="eastAsia" w:ascii="Times New Roman" w:hAnsi="Times New Roman" w:cs="Times New Roman" w:eastAsiaTheme="minorEastAsia"/>
                      <w:color w:val="auto"/>
                      <w:sz w:val="18"/>
                      <w:szCs w:val="18"/>
                      <w:lang w:val="en-US" w:eastAsia="zh-CN"/>
                    </w:rPr>
                    <w:t>（W2、W4）</w:t>
                  </w:r>
                </w:p>
              </w:tc>
              <w:tc>
                <w:tcPr>
                  <w:tcW w:w="1613" w:type="dxa"/>
                  <w:shd w:val="clear" w:color="auto" w:fill="auto"/>
                  <w:vAlign w:val="center"/>
                </w:tcPr>
                <w:p w14:paraId="291BC872">
                  <w:pPr>
                    <w:jc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COD、氨氮</w:t>
                  </w:r>
                </w:p>
              </w:tc>
              <w:tc>
                <w:tcPr>
                  <w:tcW w:w="3242" w:type="dxa"/>
                  <w:vMerge w:val="continue"/>
                  <w:shd w:val="clear" w:color="auto" w:fill="auto"/>
                  <w:vAlign w:val="center"/>
                </w:tcPr>
                <w:p w14:paraId="56A55837">
                  <w:pPr>
                    <w:jc w:val="center"/>
                    <w:rPr>
                      <w:rFonts w:hint="eastAsia" w:ascii="Times New Roman" w:hAnsi="Times New Roman" w:cs="Times New Roman" w:eastAsiaTheme="minorEastAsia"/>
                      <w:color w:val="auto"/>
                      <w:kern w:val="2"/>
                      <w:sz w:val="18"/>
                      <w:szCs w:val="18"/>
                      <w:highlight w:val="none"/>
                      <w:lang w:val="en-US" w:eastAsia="zh-CN" w:bidi="ar-SA"/>
                    </w:rPr>
                  </w:pPr>
                </w:p>
              </w:tc>
            </w:tr>
            <w:tr w14:paraId="348CCA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6C8B300C">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42223744">
                  <w:pPr>
                    <w:jc w:val="center"/>
                    <w:rPr>
                      <w:rFonts w:hint="default" w:ascii="Times New Roman" w:hAnsi="Times New Roman" w:cs="Times New Roman" w:eastAsiaTheme="minorEastAsia"/>
                      <w:color w:val="auto"/>
                      <w:sz w:val="18"/>
                      <w:szCs w:val="18"/>
                    </w:rPr>
                  </w:pPr>
                </w:p>
              </w:tc>
              <w:tc>
                <w:tcPr>
                  <w:tcW w:w="2487" w:type="dxa"/>
                  <w:shd w:val="clear" w:color="auto" w:fill="auto"/>
                  <w:vAlign w:val="center"/>
                </w:tcPr>
                <w:p w14:paraId="7CCD534D">
                  <w:pPr>
                    <w:jc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lang w:val="en-US" w:eastAsia="zh-CN"/>
                    </w:rPr>
                    <w:t>离心废水</w:t>
                  </w:r>
                  <w:r>
                    <w:rPr>
                      <w:rFonts w:hint="eastAsia" w:ascii="Times New Roman" w:hAnsi="Times New Roman" w:cs="Times New Roman" w:eastAsiaTheme="minorEastAsia"/>
                      <w:color w:val="auto"/>
                      <w:sz w:val="18"/>
                      <w:szCs w:val="18"/>
                      <w:lang w:val="en-US" w:eastAsia="zh-CN"/>
                    </w:rPr>
                    <w:t>（W3、W5）</w:t>
                  </w:r>
                </w:p>
              </w:tc>
              <w:tc>
                <w:tcPr>
                  <w:tcW w:w="1613" w:type="dxa"/>
                  <w:shd w:val="clear" w:color="auto" w:fill="auto"/>
                  <w:vAlign w:val="center"/>
                </w:tcPr>
                <w:p w14:paraId="4D52CE17">
                  <w:pPr>
                    <w:jc w:val="center"/>
                    <w:rPr>
                      <w:rFonts w:hint="default" w:ascii="Times New Roman" w:hAnsi="Times New Roman" w:cs="Times New Roman" w:eastAsiaTheme="minorEastAsia"/>
                      <w:color w:val="auto"/>
                      <w:kern w:val="2"/>
                      <w:sz w:val="18"/>
                      <w:szCs w:val="18"/>
                      <w:lang w:val="en-US" w:eastAsia="zh-CN" w:bidi="ar-SA"/>
                    </w:rPr>
                  </w:pPr>
                  <w:r>
                    <w:rPr>
                      <w:color w:val="auto"/>
                      <w:sz w:val="18"/>
                      <w:szCs w:val="18"/>
                    </w:rPr>
                    <w:t>pH、COD、氨氮、BOD</w:t>
                  </w:r>
                  <w:r>
                    <w:rPr>
                      <w:color w:val="auto"/>
                      <w:sz w:val="18"/>
                      <w:szCs w:val="18"/>
                      <w:vertAlign w:val="subscript"/>
                    </w:rPr>
                    <w:t>5</w:t>
                  </w:r>
                  <w:r>
                    <w:rPr>
                      <w:color w:val="auto"/>
                      <w:sz w:val="18"/>
                      <w:szCs w:val="18"/>
                    </w:rPr>
                    <w:t>、悬浮物</w:t>
                  </w:r>
                  <w:r>
                    <w:rPr>
                      <w:rFonts w:hint="eastAsia"/>
                      <w:color w:val="auto"/>
                      <w:sz w:val="18"/>
                      <w:szCs w:val="18"/>
                      <w:lang w:eastAsia="zh-CN"/>
                    </w:rPr>
                    <w:t>、</w:t>
                  </w:r>
                  <w:r>
                    <w:rPr>
                      <w:rFonts w:hint="eastAsia"/>
                      <w:color w:val="auto"/>
                      <w:sz w:val="18"/>
                      <w:szCs w:val="18"/>
                      <w:lang w:val="en-US" w:eastAsia="zh-CN"/>
                    </w:rPr>
                    <w:t>全盐量</w:t>
                  </w:r>
                </w:p>
              </w:tc>
              <w:tc>
                <w:tcPr>
                  <w:tcW w:w="3242" w:type="dxa"/>
                  <w:vMerge w:val="restart"/>
                  <w:shd w:val="clear" w:color="auto" w:fill="auto"/>
                  <w:vAlign w:val="center"/>
                </w:tcPr>
                <w:p w14:paraId="5FD266B4">
                  <w:pPr>
                    <w:jc w:val="center"/>
                    <w:rPr>
                      <w:rFonts w:hint="eastAsia" w:ascii="Times New Roman" w:hAnsi="Times New Roman" w:cs="Times New Roman" w:eastAsiaTheme="minorEastAsia"/>
                      <w:color w:val="auto"/>
                      <w:kern w:val="2"/>
                      <w:sz w:val="18"/>
                      <w:szCs w:val="18"/>
                      <w:highlight w:val="none"/>
                      <w:lang w:val="en-US" w:eastAsia="zh-CN" w:bidi="ar-SA"/>
                    </w:rPr>
                  </w:pPr>
                  <w:r>
                    <w:rPr>
                      <w:rFonts w:hint="eastAsia" w:ascii="Times New Roman" w:hAnsi="Times New Roman" w:cs="Times New Roman" w:eastAsiaTheme="minorEastAsia"/>
                      <w:color w:val="auto"/>
                      <w:kern w:val="2"/>
                      <w:sz w:val="18"/>
                      <w:szCs w:val="18"/>
                      <w:highlight w:val="none"/>
                      <w:lang w:val="en-US" w:eastAsia="zh-CN" w:bidi="ar-SA"/>
                    </w:rPr>
                    <w:t>经厂内污水处理站中和、多效蒸发器蒸发出来的蒸汽经冷凝后回用于预热分离用水和地面清扫用水</w:t>
                  </w:r>
                </w:p>
              </w:tc>
            </w:tr>
            <w:tr w14:paraId="1140BE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5" w:hRule="atLeast"/>
                <w:jc w:val="center"/>
              </w:trPr>
              <w:tc>
                <w:tcPr>
                  <w:tcW w:w="530" w:type="dxa"/>
                  <w:vMerge w:val="continue"/>
                  <w:vAlign w:val="center"/>
                </w:tcPr>
                <w:p w14:paraId="371A8638">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6AD8474F">
                  <w:pPr>
                    <w:jc w:val="center"/>
                    <w:rPr>
                      <w:rFonts w:hint="default" w:ascii="Times New Roman" w:hAnsi="Times New Roman" w:cs="Times New Roman" w:eastAsiaTheme="minorEastAsia"/>
                      <w:color w:val="auto"/>
                      <w:sz w:val="18"/>
                      <w:szCs w:val="18"/>
                    </w:rPr>
                  </w:pPr>
                </w:p>
              </w:tc>
              <w:tc>
                <w:tcPr>
                  <w:tcW w:w="2487" w:type="dxa"/>
                  <w:shd w:val="clear" w:color="auto" w:fill="auto"/>
                  <w:vAlign w:val="center"/>
                </w:tcPr>
                <w:p w14:paraId="1ADB89F5">
                  <w:pPr>
                    <w:jc w:val="center"/>
                    <w:rPr>
                      <w:rFonts w:hint="default" w:ascii="Times New Roman" w:hAnsi="Times New Roman" w:cs="Times New Roman" w:eastAsiaTheme="minorEastAsia"/>
                      <w:color w:val="auto"/>
                      <w:kern w:val="2"/>
                      <w:sz w:val="18"/>
                      <w:szCs w:val="18"/>
                      <w:lang w:val="en-US" w:eastAsia="zh-CN" w:bidi="ar-SA"/>
                    </w:rPr>
                  </w:pPr>
                  <w:r>
                    <w:rPr>
                      <w:rFonts w:hint="eastAsia" w:cs="Times New Roman" w:eastAsiaTheme="minorEastAsia"/>
                      <w:color w:val="auto"/>
                      <w:sz w:val="18"/>
                      <w:szCs w:val="18"/>
                      <w:lang w:eastAsia="zh-CN"/>
                    </w:rPr>
                    <w:t>酸雾吸收废水</w:t>
                  </w:r>
                  <w:r>
                    <w:rPr>
                      <w:rFonts w:hint="eastAsia" w:ascii="Times New Roman" w:hAnsi="Times New Roman" w:cs="Times New Roman" w:eastAsiaTheme="minorEastAsia"/>
                      <w:color w:val="auto"/>
                      <w:sz w:val="18"/>
                      <w:szCs w:val="18"/>
                      <w:lang w:val="en-US" w:eastAsia="zh-CN"/>
                    </w:rPr>
                    <w:t>（W6）</w:t>
                  </w:r>
                </w:p>
              </w:tc>
              <w:tc>
                <w:tcPr>
                  <w:tcW w:w="1613" w:type="dxa"/>
                  <w:shd w:val="clear" w:color="auto" w:fill="auto"/>
                  <w:vAlign w:val="center"/>
                </w:tcPr>
                <w:p w14:paraId="2F7A6F38">
                  <w:pPr>
                    <w:jc w:val="center"/>
                    <w:rPr>
                      <w:rFonts w:hint="default" w:ascii="Times New Roman" w:hAnsi="Times New Roman" w:cs="Times New Roman" w:eastAsiaTheme="minorEastAsia"/>
                      <w:color w:val="auto"/>
                      <w:kern w:val="2"/>
                      <w:sz w:val="18"/>
                      <w:szCs w:val="18"/>
                      <w:lang w:val="en-US" w:eastAsia="zh-CN" w:bidi="ar-SA"/>
                    </w:rPr>
                  </w:pPr>
                  <w:r>
                    <w:rPr>
                      <w:color w:val="auto"/>
                      <w:sz w:val="18"/>
                      <w:szCs w:val="18"/>
                    </w:rPr>
                    <w:t>pH、COD、氨氮、BOD</w:t>
                  </w:r>
                  <w:r>
                    <w:rPr>
                      <w:color w:val="auto"/>
                      <w:sz w:val="18"/>
                      <w:szCs w:val="18"/>
                      <w:vertAlign w:val="subscript"/>
                    </w:rPr>
                    <w:t>5</w:t>
                  </w:r>
                  <w:r>
                    <w:rPr>
                      <w:color w:val="auto"/>
                      <w:sz w:val="18"/>
                      <w:szCs w:val="18"/>
                    </w:rPr>
                    <w:t>、悬浮物</w:t>
                  </w:r>
                  <w:r>
                    <w:rPr>
                      <w:rFonts w:hint="eastAsia"/>
                      <w:color w:val="auto"/>
                      <w:sz w:val="18"/>
                      <w:szCs w:val="18"/>
                      <w:lang w:eastAsia="zh-CN"/>
                    </w:rPr>
                    <w:t>、</w:t>
                  </w:r>
                  <w:r>
                    <w:rPr>
                      <w:rFonts w:hint="eastAsia"/>
                      <w:color w:val="auto"/>
                      <w:sz w:val="18"/>
                      <w:szCs w:val="18"/>
                      <w:lang w:val="en-US" w:eastAsia="zh-CN"/>
                    </w:rPr>
                    <w:t>全盐量</w:t>
                  </w:r>
                </w:p>
              </w:tc>
              <w:tc>
                <w:tcPr>
                  <w:tcW w:w="3242" w:type="dxa"/>
                  <w:vMerge w:val="continue"/>
                  <w:shd w:val="clear" w:color="auto" w:fill="auto"/>
                  <w:vAlign w:val="center"/>
                </w:tcPr>
                <w:p w14:paraId="1E55881B">
                  <w:pPr>
                    <w:jc w:val="center"/>
                    <w:rPr>
                      <w:rFonts w:hint="eastAsia" w:ascii="Times New Roman" w:hAnsi="Times New Roman" w:cs="Times New Roman" w:eastAsiaTheme="minorEastAsia"/>
                      <w:color w:val="auto"/>
                      <w:kern w:val="2"/>
                      <w:sz w:val="18"/>
                      <w:szCs w:val="18"/>
                      <w:lang w:val="en-US" w:eastAsia="zh-CN" w:bidi="ar-SA"/>
                    </w:rPr>
                  </w:pPr>
                </w:p>
              </w:tc>
            </w:tr>
            <w:tr w14:paraId="7CB4A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605E2832">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3014250B">
                  <w:pPr>
                    <w:jc w:val="center"/>
                    <w:rPr>
                      <w:rFonts w:hint="default" w:ascii="Times New Roman" w:hAnsi="Times New Roman" w:cs="Times New Roman" w:eastAsiaTheme="minorEastAsia"/>
                      <w:color w:val="auto"/>
                      <w:sz w:val="18"/>
                      <w:szCs w:val="18"/>
                    </w:rPr>
                  </w:pPr>
                </w:p>
              </w:tc>
              <w:tc>
                <w:tcPr>
                  <w:tcW w:w="2487" w:type="dxa"/>
                  <w:shd w:val="clear" w:color="auto" w:fill="auto"/>
                  <w:vAlign w:val="center"/>
                </w:tcPr>
                <w:p w14:paraId="41925509">
                  <w:pPr>
                    <w:jc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生活污水</w:t>
                  </w:r>
                  <w:r>
                    <w:rPr>
                      <w:rFonts w:hint="eastAsia" w:ascii="Times New Roman" w:hAnsi="Times New Roman" w:cs="Times New Roman" w:eastAsiaTheme="minorEastAsia"/>
                      <w:color w:val="auto"/>
                      <w:sz w:val="18"/>
                      <w:szCs w:val="18"/>
                      <w:lang w:eastAsia="zh-CN"/>
                    </w:rPr>
                    <w:t>（</w:t>
                  </w:r>
                  <w:r>
                    <w:rPr>
                      <w:rFonts w:hint="eastAsia" w:cs="Times New Roman" w:eastAsiaTheme="minorEastAsia"/>
                      <w:color w:val="auto"/>
                      <w:sz w:val="18"/>
                      <w:szCs w:val="18"/>
                      <w:lang w:val="en-US" w:eastAsia="zh-CN"/>
                    </w:rPr>
                    <w:t>W7</w:t>
                  </w:r>
                  <w:r>
                    <w:rPr>
                      <w:rFonts w:hint="eastAsia" w:ascii="Times New Roman" w:hAnsi="Times New Roman" w:cs="Times New Roman" w:eastAsiaTheme="minorEastAsia"/>
                      <w:color w:val="auto"/>
                      <w:sz w:val="18"/>
                      <w:szCs w:val="18"/>
                      <w:lang w:eastAsia="zh-CN"/>
                    </w:rPr>
                    <w:t>）</w:t>
                  </w:r>
                </w:p>
              </w:tc>
              <w:tc>
                <w:tcPr>
                  <w:tcW w:w="1613" w:type="dxa"/>
                  <w:shd w:val="clear" w:color="auto" w:fill="auto"/>
                  <w:vAlign w:val="center"/>
                </w:tcPr>
                <w:p w14:paraId="2050A28C">
                  <w:pPr>
                    <w:jc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COD、BOD</w:t>
                  </w:r>
                  <w:r>
                    <w:rPr>
                      <w:rFonts w:hint="default" w:ascii="Times New Roman" w:hAnsi="Times New Roman" w:cs="Times New Roman" w:eastAsiaTheme="minorEastAsia"/>
                      <w:color w:val="auto"/>
                      <w:sz w:val="18"/>
                      <w:szCs w:val="18"/>
                      <w:vertAlign w:val="subscript"/>
                    </w:rPr>
                    <w:t>5</w:t>
                  </w:r>
                  <w:r>
                    <w:rPr>
                      <w:rFonts w:hint="default" w:ascii="Times New Roman" w:hAnsi="Times New Roman" w:cs="Times New Roman" w:eastAsiaTheme="minorEastAsia"/>
                      <w:color w:val="auto"/>
                      <w:sz w:val="18"/>
                      <w:szCs w:val="18"/>
                    </w:rPr>
                    <w:t>、氨氮、总磷、SS</w:t>
                  </w:r>
                </w:p>
              </w:tc>
              <w:tc>
                <w:tcPr>
                  <w:tcW w:w="3242" w:type="dxa"/>
                  <w:shd w:val="clear" w:color="auto" w:fill="auto"/>
                  <w:vAlign w:val="center"/>
                </w:tcPr>
                <w:p w14:paraId="4C226652">
                  <w:pPr>
                    <w:jc w:val="center"/>
                    <w:rPr>
                      <w:rFonts w:hint="eastAsia" w:ascii="Times New Roman" w:hAnsi="Times New Roman" w:cs="Times New Roman" w:eastAsiaTheme="minorEastAsia"/>
                      <w:color w:val="auto"/>
                      <w:kern w:val="2"/>
                      <w:sz w:val="18"/>
                      <w:szCs w:val="18"/>
                      <w:lang w:val="en-US" w:eastAsia="zh-CN" w:bidi="ar-SA"/>
                    </w:rPr>
                  </w:pPr>
                  <w:r>
                    <w:rPr>
                      <w:rFonts w:hint="eastAsia" w:cs="Times New Roman" w:eastAsiaTheme="minorEastAsia"/>
                      <w:color w:val="auto"/>
                      <w:kern w:val="2"/>
                      <w:sz w:val="18"/>
                      <w:szCs w:val="18"/>
                      <w:lang w:val="en-US" w:eastAsia="zh-CN" w:bidi="ar-SA"/>
                    </w:rPr>
                    <w:t>经化粪池暂存后由环卫部门定期清运</w:t>
                  </w:r>
                </w:p>
              </w:tc>
            </w:tr>
            <w:tr w14:paraId="568F6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restart"/>
                  <w:vAlign w:val="center"/>
                </w:tcPr>
                <w:p w14:paraId="6701832E">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固废</w:t>
                  </w:r>
                </w:p>
              </w:tc>
              <w:tc>
                <w:tcPr>
                  <w:tcW w:w="538" w:type="dxa"/>
                  <w:vMerge w:val="restart"/>
                  <w:vAlign w:val="center"/>
                </w:tcPr>
                <w:p w14:paraId="32E5A653">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运营期</w:t>
                  </w:r>
                </w:p>
              </w:tc>
              <w:tc>
                <w:tcPr>
                  <w:tcW w:w="2487" w:type="dxa"/>
                  <w:shd w:val="clear" w:color="auto" w:fill="auto"/>
                  <w:vAlign w:val="center"/>
                </w:tcPr>
                <w:p w14:paraId="0A76E7B8">
                  <w:pPr>
                    <w:jc w:val="center"/>
                    <w:rPr>
                      <w:rFonts w:hint="default" w:ascii="Times New Roman" w:hAnsi="Times New Roman" w:cs="Times New Roman" w:eastAsiaTheme="minorEastAsia"/>
                      <w:bCs/>
                      <w:color w:val="auto"/>
                      <w:kern w:val="2"/>
                      <w:sz w:val="18"/>
                      <w:szCs w:val="18"/>
                      <w:lang w:val="en-US" w:eastAsia="zh-CN" w:bidi="ar-SA"/>
                    </w:rPr>
                  </w:pPr>
                  <w:r>
                    <w:rPr>
                      <w:rFonts w:hint="default" w:ascii="Times New Roman" w:hAnsi="Times New Roman" w:cs="Times New Roman" w:eastAsiaTheme="minorEastAsia"/>
                      <w:bCs/>
                      <w:color w:val="auto"/>
                      <w:kern w:val="2"/>
                      <w:sz w:val="18"/>
                      <w:szCs w:val="18"/>
                      <w:lang w:val="en-US" w:eastAsia="zh-CN" w:bidi="ar-SA"/>
                    </w:rPr>
                    <w:t>废包装袋（S1）</w:t>
                  </w:r>
                </w:p>
              </w:tc>
              <w:tc>
                <w:tcPr>
                  <w:tcW w:w="1613" w:type="dxa"/>
                  <w:shd w:val="clear" w:color="auto" w:fill="auto"/>
                  <w:vAlign w:val="center"/>
                </w:tcPr>
                <w:p w14:paraId="420358A9">
                  <w:pPr>
                    <w:jc w:val="center"/>
                    <w:rPr>
                      <w:rFonts w:hint="default" w:ascii="Times New Roman" w:hAnsi="Times New Roman" w:cs="Times New Roman" w:eastAsiaTheme="minorEastAsia"/>
                      <w:bCs/>
                      <w:color w:val="auto"/>
                      <w:kern w:val="2"/>
                      <w:sz w:val="18"/>
                      <w:szCs w:val="18"/>
                      <w:lang w:val="en-US" w:eastAsia="zh-CN" w:bidi="ar-SA"/>
                    </w:rPr>
                  </w:pPr>
                  <w:r>
                    <w:rPr>
                      <w:rFonts w:hint="eastAsia" w:cs="Times New Roman" w:eastAsiaTheme="minorEastAsia"/>
                      <w:bCs/>
                      <w:color w:val="auto"/>
                      <w:sz w:val="18"/>
                      <w:szCs w:val="18"/>
                      <w:lang w:val="en-US" w:eastAsia="zh-CN"/>
                    </w:rPr>
                    <w:t>沾染原料</w:t>
                  </w:r>
                </w:p>
              </w:tc>
              <w:tc>
                <w:tcPr>
                  <w:tcW w:w="3242" w:type="dxa"/>
                  <w:shd w:val="clear" w:color="auto" w:fill="auto"/>
                  <w:vAlign w:val="center"/>
                </w:tcPr>
                <w:p w14:paraId="05FD3B8C">
                  <w:pPr>
                    <w:jc w:val="center"/>
                    <w:rPr>
                      <w:rFonts w:hint="default" w:ascii="Times New Roman" w:hAnsi="Times New Roman" w:cs="Times New Roman" w:eastAsiaTheme="minorEastAsia"/>
                      <w:bCs/>
                      <w:color w:val="auto"/>
                      <w:kern w:val="2"/>
                      <w:sz w:val="18"/>
                      <w:szCs w:val="18"/>
                      <w:lang w:val="en-US" w:eastAsia="zh-CN" w:bidi="ar-SA"/>
                    </w:rPr>
                  </w:pPr>
                  <w:r>
                    <w:rPr>
                      <w:rFonts w:hint="eastAsia" w:cs="Times New Roman" w:eastAsiaTheme="minorEastAsia"/>
                      <w:bCs/>
                      <w:color w:val="auto"/>
                      <w:sz w:val="18"/>
                      <w:szCs w:val="18"/>
                      <w:lang w:val="en-US" w:eastAsia="zh-CN"/>
                    </w:rPr>
                    <w:t>暂存在一般固废暂存处，定期外卖</w:t>
                  </w:r>
                </w:p>
              </w:tc>
            </w:tr>
            <w:tr w14:paraId="0FDA2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6C4AC13A">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15F71717">
                  <w:pPr>
                    <w:jc w:val="center"/>
                    <w:rPr>
                      <w:rFonts w:hint="default" w:ascii="Times New Roman" w:hAnsi="Times New Roman" w:cs="Times New Roman" w:eastAsiaTheme="minorEastAsia"/>
                      <w:color w:val="auto"/>
                      <w:sz w:val="18"/>
                      <w:szCs w:val="18"/>
                    </w:rPr>
                  </w:pPr>
                </w:p>
              </w:tc>
              <w:tc>
                <w:tcPr>
                  <w:tcW w:w="2487" w:type="dxa"/>
                  <w:vAlign w:val="center"/>
                </w:tcPr>
                <w:p w14:paraId="0BF1A07C">
                  <w:pPr>
                    <w:jc w:val="center"/>
                    <w:rPr>
                      <w:rFonts w:hint="default" w:ascii="Times New Roman" w:hAnsi="Times New Roman" w:cs="Times New Roman" w:eastAsiaTheme="minorEastAsia"/>
                      <w:bCs/>
                      <w:color w:val="auto"/>
                      <w:sz w:val="18"/>
                      <w:szCs w:val="18"/>
                    </w:rPr>
                  </w:pPr>
                  <w:r>
                    <w:rPr>
                      <w:rFonts w:hint="default" w:ascii="Times New Roman" w:hAnsi="Times New Roman" w:cs="Times New Roman" w:eastAsiaTheme="minorEastAsia"/>
                      <w:bCs/>
                      <w:color w:val="auto"/>
                      <w:sz w:val="18"/>
                      <w:szCs w:val="18"/>
                      <w:lang w:val="en-US" w:eastAsia="zh-CN"/>
                    </w:rPr>
                    <w:t>压滤</w:t>
                  </w:r>
                  <w:r>
                    <w:rPr>
                      <w:rFonts w:hint="eastAsia" w:ascii="Times New Roman" w:hAnsi="Times New Roman" w:cs="Times New Roman" w:eastAsiaTheme="minorEastAsia"/>
                      <w:bCs/>
                      <w:color w:val="auto"/>
                      <w:sz w:val="18"/>
                      <w:szCs w:val="18"/>
                      <w:lang w:val="en-US" w:eastAsia="zh-CN"/>
                    </w:rPr>
                    <w:t>和过</w:t>
                  </w:r>
                  <w:r>
                    <w:rPr>
                      <w:rFonts w:hint="default" w:ascii="Times New Roman" w:hAnsi="Times New Roman" w:cs="Times New Roman" w:eastAsiaTheme="minorEastAsia"/>
                      <w:bCs/>
                      <w:color w:val="auto"/>
                      <w:sz w:val="18"/>
                      <w:szCs w:val="18"/>
                      <w:lang w:val="en-US" w:eastAsia="zh-CN"/>
                    </w:rPr>
                    <w:t>滤杂质（S2、S5）</w:t>
                  </w:r>
                </w:p>
              </w:tc>
              <w:tc>
                <w:tcPr>
                  <w:tcW w:w="1613" w:type="dxa"/>
                  <w:vAlign w:val="center"/>
                </w:tcPr>
                <w:p w14:paraId="006BDA77">
                  <w:pPr>
                    <w:jc w:val="center"/>
                    <w:rPr>
                      <w:rFonts w:hint="default" w:cs="Times New Roman" w:eastAsiaTheme="minorEastAsia"/>
                      <w:bCs/>
                      <w:color w:val="auto"/>
                      <w:kern w:val="2"/>
                      <w:sz w:val="18"/>
                      <w:szCs w:val="18"/>
                      <w:lang w:val="en-US" w:eastAsia="zh-CN" w:bidi="ar-SA"/>
                    </w:rPr>
                  </w:pPr>
                  <w:r>
                    <w:rPr>
                      <w:rFonts w:hint="eastAsia" w:cs="Times New Roman" w:eastAsiaTheme="minorEastAsia"/>
                      <w:bCs/>
                      <w:color w:val="auto"/>
                      <w:kern w:val="2"/>
                      <w:sz w:val="18"/>
                      <w:szCs w:val="18"/>
                      <w:lang w:val="en-US" w:eastAsia="zh-CN" w:bidi="ar-SA"/>
                    </w:rPr>
                    <w:t>杂质</w:t>
                  </w:r>
                </w:p>
              </w:tc>
              <w:tc>
                <w:tcPr>
                  <w:tcW w:w="3242" w:type="dxa"/>
                  <w:vAlign w:val="center"/>
                </w:tcPr>
                <w:p w14:paraId="2A807091">
                  <w:pPr>
                    <w:jc w:val="center"/>
                    <w:rPr>
                      <w:rFonts w:hint="default" w:ascii="Times New Roman" w:hAnsi="Times New Roman" w:cs="Times New Roman" w:eastAsiaTheme="minorEastAsia"/>
                      <w:bCs/>
                      <w:color w:val="auto"/>
                      <w:sz w:val="18"/>
                      <w:szCs w:val="18"/>
                    </w:rPr>
                  </w:pPr>
                  <w:r>
                    <w:rPr>
                      <w:rFonts w:hint="eastAsia" w:ascii="Times New Roman" w:hAnsi="Times New Roman" w:cs="Times New Roman" w:eastAsiaTheme="minorEastAsia"/>
                      <w:bCs/>
                      <w:color w:val="auto"/>
                      <w:sz w:val="18"/>
                      <w:szCs w:val="18"/>
                      <w:lang w:val="en-US" w:eastAsia="zh-CN"/>
                    </w:rPr>
                    <w:t>委托资质单位进行处理</w:t>
                  </w:r>
                </w:p>
              </w:tc>
            </w:tr>
            <w:tr w14:paraId="23177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3943D7C3">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68A52A48">
                  <w:pPr>
                    <w:jc w:val="center"/>
                    <w:rPr>
                      <w:rFonts w:hint="default" w:ascii="Times New Roman" w:hAnsi="Times New Roman" w:cs="Times New Roman" w:eastAsiaTheme="minorEastAsia"/>
                      <w:color w:val="auto"/>
                      <w:sz w:val="18"/>
                      <w:szCs w:val="18"/>
                    </w:rPr>
                  </w:pPr>
                </w:p>
              </w:tc>
              <w:tc>
                <w:tcPr>
                  <w:tcW w:w="2487" w:type="dxa"/>
                  <w:vAlign w:val="center"/>
                </w:tcPr>
                <w:p w14:paraId="1522D0B8">
                  <w:pPr>
                    <w:jc w:val="center"/>
                    <w:rPr>
                      <w:rFonts w:hint="default" w:ascii="Times New Roman" w:hAnsi="Times New Roman" w:cs="Times New Roman" w:eastAsiaTheme="minorEastAsia"/>
                      <w:bCs/>
                      <w:color w:val="auto"/>
                      <w:sz w:val="18"/>
                      <w:szCs w:val="18"/>
                      <w:lang w:val="en-US" w:eastAsia="zh-CN"/>
                    </w:rPr>
                  </w:pPr>
                  <w:r>
                    <w:rPr>
                      <w:rFonts w:hint="default" w:ascii="Times New Roman" w:hAnsi="Times New Roman" w:cs="Times New Roman" w:eastAsiaTheme="minorEastAsia"/>
                      <w:bCs/>
                      <w:color w:val="auto"/>
                      <w:sz w:val="18"/>
                      <w:szCs w:val="18"/>
                      <w:lang w:val="en-US" w:eastAsia="zh-CN"/>
                    </w:rPr>
                    <w:t>萃取剂废包装桶</w:t>
                  </w:r>
                  <w:r>
                    <w:rPr>
                      <w:rFonts w:hint="eastAsia" w:ascii="Times New Roman" w:hAnsi="Times New Roman" w:cs="Times New Roman" w:eastAsiaTheme="minorEastAsia"/>
                      <w:bCs/>
                      <w:color w:val="auto"/>
                      <w:sz w:val="18"/>
                      <w:szCs w:val="18"/>
                      <w:lang w:val="en-US" w:eastAsia="zh-CN"/>
                    </w:rPr>
                    <w:t>（S3、S4）</w:t>
                  </w:r>
                </w:p>
              </w:tc>
              <w:tc>
                <w:tcPr>
                  <w:tcW w:w="1613" w:type="dxa"/>
                  <w:vAlign w:val="center"/>
                </w:tcPr>
                <w:p w14:paraId="78B54098">
                  <w:pPr>
                    <w:jc w:val="center"/>
                    <w:rPr>
                      <w:rFonts w:hint="eastAsia" w:cs="Times New Roman" w:eastAsiaTheme="minorEastAsia"/>
                      <w:bCs/>
                      <w:color w:val="auto"/>
                      <w:kern w:val="2"/>
                      <w:sz w:val="18"/>
                      <w:szCs w:val="18"/>
                      <w:lang w:val="en-US" w:eastAsia="zh-CN" w:bidi="ar-SA"/>
                    </w:rPr>
                  </w:pPr>
                  <w:r>
                    <w:rPr>
                      <w:rFonts w:hint="eastAsia" w:cs="Times New Roman" w:eastAsiaTheme="minorEastAsia"/>
                      <w:bCs/>
                      <w:color w:val="auto"/>
                      <w:sz w:val="18"/>
                      <w:szCs w:val="18"/>
                      <w:lang w:val="en-US" w:eastAsia="zh-CN"/>
                    </w:rPr>
                    <w:t>沾染</w:t>
                  </w:r>
                  <w:r>
                    <w:rPr>
                      <w:rFonts w:hint="default" w:ascii="Times New Roman" w:hAnsi="Times New Roman" w:cs="Times New Roman" w:eastAsiaTheme="minorEastAsia"/>
                      <w:bCs/>
                      <w:color w:val="auto"/>
                      <w:sz w:val="18"/>
                      <w:szCs w:val="18"/>
                      <w:lang w:val="en-US" w:eastAsia="zh-CN"/>
                    </w:rPr>
                    <w:t>萃取剂</w:t>
                  </w:r>
                </w:p>
              </w:tc>
              <w:tc>
                <w:tcPr>
                  <w:tcW w:w="3242" w:type="dxa"/>
                  <w:vAlign w:val="center"/>
                </w:tcPr>
                <w:p w14:paraId="5B6432FF">
                  <w:pPr>
                    <w:jc w:val="center"/>
                    <w:rPr>
                      <w:rFonts w:hint="default" w:ascii="Times New Roman" w:hAnsi="Times New Roman" w:cs="Times New Roman" w:eastAsiaTheme="minorEastAsia"/>
                      <w:bCs/>
                      <w:color w:val="auto"/>
                      <w:sz w:val="18"/>
                      <w:szCs w:val="18"/>
                    </w:rPr>
                  </w:pPr>
                  <w:r>
                    <w:rPr>
                      <w:rFonts w:hint="eastAsia" w:ascii="Times New Roman" w:hAnsi="Times New Roman" w:cs="Times New Roman" w:eastAsiaTheme="minorEastAsia"/>
                      <w:bCs/>
                      <w:color w:val="auto"/>
                      <w:sz w:val="18"/>
                      <w:szCs w:val="18"/>
                      <w:lang w:val="en-US" w:eastAsia="zh-CN"/>
                    </w:rPr>
                    <w:t>委托资质单位进行处理</w:t>
                  </w:r>
                </w:p>
              </w:tc>
            </w:tr>
            <w:tr w14:paraId="17E9F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5A5BBD6B">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7E3D08D1">
                  <w:pPr>
                    <w:jc w:val="center"/>
                    <w:rPr>
                      <w:rFonts w:hint="default" w:ascii="Times New Roman" w:hAnsi="Times New Roman" w:cs="Times New Roman" w:eastAsiaTheme="minorEastAsia"/>
                      <w:color w:val="auto"/>
                      <w:sz w:val="18"/>
                      <w:szCs w:val="18"/>
                    </w:rPr>
                  </w:pPr>
                </w:p>
              </w:tc>
              <w:tc>
                <w:tcPr>
                  <w:tcW w:w="2487" w:type="dxa"/>
                  <w:shd w:val="clear" w:color="auto" w:fill="auto"/>
                  <w:vAlign w:val="center"/>
                </w:tcPr>
                <w:p w14:paraId="037B59DC">
                  <w:pPr>
                    <w:jc w:val="center"/>
                    <w:rPr>
                      <w:rFonts w:hint="default" w:ascii="Times New Roman" w:hAnsi="Times New Roman" w:cs="Times New Roman" w:eastAsiaTheme="minorEastAsia"/>
                      <w:bCs/>
                      <w:color w:val="auto"/>
                      <w:kern w:val="2"/>
                      <w:sz w:val="18"/>
                      <w:szCs w:val="18"/>
                      <w:lang w:val="en-US" w:eastAsia="zh-CN" w:bidi="ar-SA"/>
                    </w:rPr>
                  </w:pPr>
                  <w:r>
                    <w:rPr>
                      <w:rFonts w:hint="default" w:ascii="Times New Roman" w:hAnsi="Times New Roman" w:cs="Times New Roman" w:eastAsiaTheme="minorEastAsia"/>
                      <w:bCs/>
                      <w:color w:val="auto"/>
                      <w:kern w:val="2"/>
                      <w:sz w:val="18"/>
                      <w:szCs w:val="18"/>
                      <w:lang w:val="en-US" w:eastAsia="zh-CN" w:bidi="ar-SA"/>
                    </w:rPr>
                    <w:t>废盐（S</w:t>
                  </w:r>
                  <w:r>
                    <w:rPr>
                      <w:rFonts w:hint="eastAsia" w:ascii="Times New Roman" w:hAnsi="Times New Roman" w:cs="Times New Roman" w:eastAsiaTheme="minorEastAsia"/>
                      <w:bCs/>
                      <w:color w:val="auto"/>
                      <w:kern w:val="2"/>
                      <w:sz w:val="18"/>
                      <w:szCs w:val="18"/>
                      <w:lang w:val="en-US" w:eastAsia="zh-CN" w:bidi="ar-SA"/>
                    </w:rPr>
                    <w:t>6</w:t>
                  </w:r>
                  <w:r>
                    <w:rPr>
                      <w:rFonts w:hint="default" w:ascii="Times New Roman" w:hAnsi="Times New Roman" w:cs="Times New Roman" w:eastAsiaTheme="minorEastAsia"/>
                      <w:bCs/>
                      <w:color w:val="auto"/>
                      <w:kern w:val="2"/>
                      <w:sz w:val="18"/>
                      <w:szCs w:val="18"/>
                      <w:lang w:val="en-US" w:eastAsia="zh-CN" w:bidi="ar-SA"/>
                    </w:rPr>
                    <w:t>）</w:t>
                  </w:r>
                </w:p>
              </w:tc>
              <w:tc>
                <w:tcPr>
                  <w:tcW w:w="1613" w:type="dxa"/>
                  <w:shd w:val="clear" w:color="auto" w:fill="auto"/>
                  <w:vAlign w:val="center"/>
                </w:tcPr>
                <w:p w14:paraId="106BD004">
                  <w:pPr>
                    <w:jc w:val="center"/>
                    <w:rPr>
                      <w:rFonts w:hint="eastAsia" w:ascii="Times New Roman" w:hAnsi="Times New Roman" w:cs="Times New Roman" w:eastAsiaTheme="minorEastAsia"/>
                      <w:bCs/>
                      <w:color w:val="auto"/>
                      <w:kern w:val="2"/>
                      <w:sz w:val="18"/>
                      <w:szCs w:val="18"/>
                      <w:lang w:val="en-US" w:eastAsia="zh-CN" w:bidi="ar-SA"/>
                    </w:rPr>
                  </w:pPr>
                  <w:r>
                    <w:rPr>
                      <w:rFonts w:hint="eastAsia" w:cs="Times New Roman" w:eastAsiaTheme="minorEastAsia"/>
                      <w:bCs/>
                      <w:color w:val="auto"/>
                      <w:kern w:val="2"/>
                      <w:sz w:val="18"/>
                      <w:szCs w:val="18"/>
                      <w:lang w:val="en-US" w:eastAsia="zh-CN" w:bidi="ar-SA"/>
                    </w:rPr>
                    <w:t>NaCl</w:t>
                  </w:r>
                </w:p>
              </w:tc>
              <w:tc>
                <w:tcPr>
                  <w:tcW w:w="3242" w:type="dxa"/>
                  <w:shd w:val="clear" w:color="auto" w:fill="auto"/>
                  <w:vAlign w:val="center"/>
                </w:tcPr>
                <w:p w14:paraId="3028C893">
                  <w:pPr>
                    <w:jc w:val="center"/>
                    <w:rPr>
                      <w:rFonts w:hint="default" w:ascii="Times New Roman" w:hAnsi="Times New Roman" w:cs="Times New Roman" w:eastAsiaTheme="minorEastAsia"/>
                      <w:bCs/>
                      <w:color w:val="auto"/>
                      <w:kern w:val="2"/>
                      <w:sz w:val="18"/>
                      <w:szCs w:val="18"/>
                      <w:lang w:val="en-US" w:eastAsia="zh-CN" w:bidi="ar-SA"/>
                    </w:rPr>
                  </w:pPr>
                  <w:r>
                    <w:rPr>
                      <w:rFonts w:hint="default" w:ascii="Times New Roman" w:hAnsi="Times New Roman" w:cs="Times New Roman" w:eastAsiaTheme="minorEastAsia"/>
                      <w:bCs/>
                      <w:color w:val="auto"/>
                      <w:sz w:val="18"/>
                      <w:szCs w:val="18"/>
                      <w:lang w:val="en-US" w:eastAsia="zh-CN"/>
                    </w:rPr>
                    <w:t>对废盐进行危废鉴定，若鉴定为一般固体废物，则废盐属于一般固体废物，收集后暂存于一般工业固体仓库，定期外卖；若鉴定为危险废物，则暂存于危险暂存间，交有资质单位进行处置</w:t>
                  </w:r>
                </w:p>
              </w:tc>
            </w:tr>
            <w:tr w14:paraId="09EF2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6668781D">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75EB8C19">
                  <w:pPr>
                    <w:jc w:val="center"/>
                    <w:rPr>
                      <w:rFonts w:hint="default" w:ascii="Times New Roman" w:hAnsi="Times New Roman" w:cs="Times New Roman" w:eastAsiaTheme="minorEastAsia"/>
                      <w:color w:val="auto"/>
                      <w:sz w:val="18"/>
                      <w:szCs w:val="18"/>
                    </w:rPr>
                  </w:pPr>
                </w:p>
              </w:tc>
              <w:tc>
                <w:tcPr>
                  <w:tcW w:w="2487" w:type="dxa"/>
                  <w:vAlign w:val="center"/>
                </w:tcPr>
                <w:p w14:paraId="58B4A390">
                  <w:pPr>
                    <w:jc w:val="center"/>
                    <w:rPr>
                      <w:rFonts w:hint="default" w:ascii="Times New Roman" w:hAnsi="Times New Roman" w:cs="Times New Roman" w:eastAsiaTheme="minorEastAsia"/>
                      <w:bCs/>
                      <w:color w:val="auto"/>
                      <w:sz w:val="18"/>
                      <w:szCs w:val="18"/>
                    </w:rPr>
                  </w:pPr>
                  <w:r>
                    <w:rPr>
                      <w:rFonts w:hint="default" w:ascii="Times New Roman" w:hAnsi="Times New Roman" w:cs="Times New Roman" w:eastAsiaTheme="minorEastAsia"/>
                      <w:bCs/>
                      <w:color w:val="auto"/>
                      <w:sz w:val="18"/>
                      <w:szCs w:val="18"/>
                    </w:rPr>
                    <w:t>废活性炭（S7）</w:t>
                  </w:r>
                </w:p>
              </w:tc>
              <w:tc>
                <w:tcPr>
                  <w:tcW w:w="1613" w:type="dxa"/>
                  <w:vAlign w:val="center"/>
                </w:tcPr>
                <w:p w14:paraId="54891F75">
                  <w:pPr>
                    <w:jc w:val="center"/>
                    <w:rPr>
                      <w:rFonts w:hint="default" w:cs="Times New Roman" w:eastAsiaTheme="minorEastAsia"/>
                      <w:bCs/>
                      <w:color w:val="auto"/>
                      <w:kern w:val="2"/>
                      <w:sz w:val="18"/>
                      <w:szCs w:val="18"/>
                      <w:lang w:val="en-US" w:eastAsia="zh-CN" w:bidi="ar-SA"/>
                    </w:rPr>
                  </w:pPr>
                  <w:r>
                    <w:rPr>
                      <w:rFonts w:hint="default" w:ascii="Times New Roman" w:hAnsi="Times New Roman" w:cs="Times New Roman" w:eastAsiaTheme="minorEastAsia"/>
                      <w:bCs/>
                      <w:color w:val="auto"/>
                      <w:sz w:val="18"/>
                      <w:szCs w:val="18"/>
                    </w:rPr>
                    <w:t>活性炭</w:t>
                  </w:r>
                  <w:r>
                    <w:rPr>
                      <w:rFonts w:hint="eastAsia" w:cs="Times New Roman" w:eastAsiaTheme="minorEastAsia"/>
                      <w:bCs/>
                      <w:color w:val="auto"/>
                      <w:sz w:val="18"/>
                      <w:szCs w:val="18"/>
                      <w:lang w:eastAsia="zh-CN"/>
                    </w:rPr>
                    <w:t>、</w:t>
                  </w:r>
                  <w:r>
                    <w:rPr>
                      <w:rFonts w:hint="eastAsia" w:cs="Times New Roman" w:eastAsiaTheme="minorEastAsia"/>
                      <w:bCs/>
                      <w:color w:val="auto"/>
                      <w:sz w:val="18"/>
                      <w:szCs w:val="18"/>
                      <w:lang w:val="en-US" w:eastAsia="zh-CN"/>
                    </w:rPr>
                    <w:t>沾染VOCs</w:t>
                  </w:r>
                </w:p>
              </w:tc>
              <w:tc>
                <w:tcPr>
                  <w:tcW w:w="3242" w:type="dxa"/>
                  <w:vAlign w:val="center"/>
                </w:tcPr>
                <w:p w14:paraId="5E33A5B0">
                  <w:pPr>
                    <w:jc w:val="center"/>
                    <w:rPr>
                      <w:rFonts w:hint="default" w:ascii="Times New Roman" w:hAnsi="Times New Roman" w:cs="Times New Roman" w:eastAsiaTheme="minorEastAsia"/>
                      <w:bCs/>
                      <w:color w:val="auto"/>
                      <w:sz w:val="18"/>
                      <w:szCs w:val="18"/>
                    </w:rPr>
                  </w:pPr>
                  <w:r>
                    <w:rPr>
                      <w:rFonts w:hint="eastAsia" w:ascii="Times New Roman" w:hAnsi="Times New Roman" w:cs="Times New Roman" w:eastAsiaTheme="minorEastAsia"/>
                      <w:bCs/>
                      <w:color w:val="auto"/>
                      <w:sz w:val="18"/>
                      <w:szCs w:val="18"/>
                      <w:lang w:val="en-US" w:eastAsia="zh-CN"/>
                    </w:rPr>
                    <w:t>委托资质单位进行处理</w:t>
                  </w:r>
                </w:p>
              </w:tc>
            </w:tr>
            <w:tr w14:paraId="608C8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130F5284">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6445BF6C">
                  <w:pPr>
                    <w:jc w:val="center"/>
                    <w:rPr>
                      <w:rFonts w:hint="default" w:ascii="Times New Roman" w:hAnsi="Times New Roman" w:cs="Times New Roman" w:eastAsiaTheme="minorEastAsia"/>
                      <w:color w:val="auto"/>
                      <w:sz w:val="18"/>
                      <w:szCs w:val="18"/>
                    </w:rPr>
                  </w:pPr>
                </w:p>
              </w:tc>
              <w:tc>
                <w:tcPr>
                  <w:tcW w:w="2487" w:type="dxa"/>
                  <w:vAlign w:val="center"/>
                </w:tcPr>
                <w:p w14:paraId="41CB078B">
                  <w:pPr>
                    <w:jc w:val="center"/>
                    <w:rPr>
                      <w:rFonts w:hint="default" w:ascii="Times New Roman" w:hAnsi="Times New Roman" w:cs="Times New Roman" w:eastAsiaTheme="minorEastAsia"/>
                      <w:bCs/>
                      <w:color w:val="auto"/>
                      <w:sz w:val="18"/>
                      <w:szCs w:val="18"/>
                    </w:rPr>
                  </w:pPr>
                  <w:r>
                    <w:rPr>
                      <w:rFonts w:hint="default" w:ascii="Times New Roman" w:hAnsi="Times New Roman" w:cs="Times New Roman" w:eastAsiaTheme="minorEastAsia"/>
                      <w:bCs/>
                      <w:color w:val="auto"/>
                      <w:sz w:val="18"/>
                      <w:szCs w:val="18"/>
                    </w:rPr>
                    <w:t>废机油（S8）</w:t>
                  </w:r>
                </w:p>
              </w:tc>
              <w:tc>
                <w:tcPr>
                  <w:tcW w:w="1613" w:type="dxa"/>
                  <w:vAlign w:val="center"/>
                </w:tcPr>
                <w:p w14:paraId="3739A1E7">
                  <w:pPr>
                    <w:jc w:val="center"/>
                    <w:rPr>
                      <w:rFonts w:hint="default" w:cs="Times New Roman" w:eastAsiaTheme="minorEastAsia"/>
                      <w:bCs/>
                      <w:color w:val="auto"/>
                      <w:kern w:val="2"/>
                      <w:sz w:val="18"/>
                      <w:szCs w:val="18"/>
                      <w:lang w:val="en-US" w:eastAsia="zh-CN" w:bidi="ar-SA"/>
                    </w:rPr>
                  </w:pPr>
                  <w:r>
                    <w:rPr>
                      <w:rFonts w:hint="eastAsia" w:cs="Times New Roman" w:eastAsiaTheme="minorEastAsia"/>
                      <w:bCs/>
                      <w:color w:val="auto"/>
                      <w:kern w:val="2"/>
                      <w:sz w:val="18"/>
                      <w:szCs w:val="18"/>
                      <w:lang w:val="en-US" w:eastAsia="zh-CN" w:bidi="ar-SA"/>
                    </w:rPr>
                    <w:t>废矿物油</w:t>
                  </w:r>
                </w:p>
              </w:tc>
              <w:tc>
                <w:tcPr>
                  <w:tcW w:w="3242" w:type="dxa"/>
                  <w:vAlign w:val="center"/>
                </w:tcPr>
                <w:p w14:paraId="1CEE89DD">
                  <w:pPr>
                    <w:jc w:val="center"/>
                    <w:rPr>
                      <w:rFonts w:hint="default" w:ascii="Times New Roman" w:hAnsi="Times New Roman" w:cs="Times New Roman" w:eastAsiaTheme="minorEastAsia"/>
                      <w:bCs/>
                      <w:color w:val="auto"/>
                      <w:sz w:val="18"/>
                      <w:szCs w:val="18"/>
                    </w:rPr>
                  </w:pPr>
                  <w:r>
                    <w:rPr>
                      <w:rFonts w:hint="eastAsia" w:ascii="Times New Roman" w:hAnsi="Times New Roman" w:cs="Times New Roman" w:eastAsiaTheme="minorEastAsia"/>
                      <w:bCs/>
                      <w:color w:val="auto"/>
                      <w:sz w:val="18"/>
                      <w:szCs w:val="18"/>
                      <w:lang w:val="en-US" w:eastAsia="zh-CN"/>
                    </w:rPr>
                    <w:t>委托资质单位进行处理</w:t>
                  </w:r>
                </w:p>
              </w:tc>
            </w:tr>
            <w:tr w14:paraId="39B24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4CA30906">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4E053FF6">
                  <w:pPr>
                    <w:jc w:val="center"/>
                    <w:rPr>
                      <w:rFonts w:hint="default" w:ascii="Times New Roman" w:hAnsi="Times New Roman" w:cs="Times New Roman" w:eastAsiaTheme="minorEastAsia"/>
                      <w:color w:val="auto"/>
                      <w:sz w:val="18"/>
                      <w:szCs w:val="18"/>
                    </w:rPr>
                  </w:pPr>
                </w:p>
              </w:tc>
              <w:tc>
                <w:tcPr>
                  <w:tcW w:w="2487" w:type="dxa"/>
                  <w:vAlign w:val="center"/>
                </w:tcPr>
                <w:p w14:paraId="578B4B8F">
                  <w:pPr>
                    <w:jc w:val="center"/>
                    <w:rPr>
                      <w:rFonts w:hint="default" w:ascii="Times New Roman" w:hAnsi="Times New Roman" w:cs="Times New Roman" w:eastAsiaTheme="minorEastAsia"/>
                      <w:bCs/>
                      <w:color w:val="auto"/>
                      <w:sz w:val="18"/>
                      <w:szCs w:val="18"/>
                    </w:rPr>
                  </w:pPr>
                  <w:r>
                    <w:rPr>
                      <w:rFonts w:hint="default" w:ascii="Times New Roman" w:hAnsi="Times New Roman" w:cs="Times New Roman" w:eastAsiaTheme="minorEastAsia"/>
                      <w:bCs/>
                      <w:color w:val="auto"/>
                      <w:sz w:val="18"/>
                      <w:szCs w:val="18"/>
                    </w:rPr>
                    <w:t>废机油桶（S9）</w:t>
                  </w:r>
                </w:p>
              </w:tc>
              <w:tc>
                <w:tcPr>
                  <w:tcW w:w="1613" w:type="dxa"/>
                  <w:vAlign w:val="center"/>
                </w:tcPr>
                <w:p w14:paraId="2C4F4E5C">
                  <w:pPr>
                    <w:jc w:val="center"/>
                    <w:rPr>
                      <w:rFonts w:hint="eastAsia" w:cs="Times New Roman" w:eastAsiaTheme="minorEastAsia"/>
                      <w:bCs/>
                      <w:color w:val="auto"/>
                      <w:kern w:val="2"/>
                      <w:sz w:val="18"/>
                      <w:szCs w:val="18"/>
                      <w:lang w:val="en-US" w:eastAsia="zh-CN" w:bidi="ar-SA"/>
                    </w:rPr>
                  </w:pPr>
                  <w:r>
                    <w:rPr>
                      <w:rFonts w:hint="eastAsia" w:cs="Times New Roman" w:eastAsiaTheme="minorEastAsia"/>
                      <w:bCs/>
                      <w:color w:val="auto"/>
                      <w:sz w:val="18"/>
                      <w:szCs w:val="18"/>
                      <w:lang w:val="en-US" w:eastAsia="zh-CN"/>
                    </w:rPr>
                    <w:t>沾染</w:t>
                  </w:r>
                  <w:r>
                    <w:rPr>
                      <w:rFonts w:hint="eastAsia" w:cs="Times New Roman" w:eastAsiaTheme="minorEastAsia"/>
                      <w:bCs/>
                      <w:color w:val="auto"/>
                      <w:kern w:val="2"/>
                      <w:sz w:val="18"/>
                      <w:szCs w:val="18"/>
                      <w:lang w:val="en-US" w:eastAsia="zh-CN" w:bidi="ar-SA"/>
                    </w:rPr>
                    <w:t>废矿物油</w:t>
                  </w:r>
                </w:p>
              </w:tc>
              <w:tc>
                <w:tcPr>
                  <w:tcW w:w="3242" w:type="dxa"/>
                  <w:vAlign w:val="center"/>
                </w:tcPr>
                <w:p w14:paraId="648F06FB">
                  <w:pPr>
                    <w:jc w:val="center"/>
                    <w:rPr>
                      <w:rFonts w:hint="default" w:ascii="Times New Roman" w:hAnsi="Times New Roman" w:cs="Times New Roman" w:eastAsiaTheme="minorEastAsia"/>
                      <w:bCs/>
                      <w:color w:val="auto"/>
                      <w:sz w:val="18"/>
                      <w:szCs w:val="18"/>
                      <w:lang w:val="en-US" w:eastAsia="zh-CN"/>
                    </w:rPr>
                  </w:pPr>
                  <w:r>
                    <w:rPr>
                      <w:rFonts w:hint="eastAsia" w:ascii="Times New Roman" w:hAnsi="Times New Roman" w:cs="Times New Roman" w:eastAsiaTheme="minorEastAsia"/>
                      <w:bCs/>
                      <w:color w:val="auto"/>
                      <w:sz w:val="18"/>
                      <w:szCs w:val="18"/>
                      <w:lang w:val="en-US" w:eastAsia="zh-CN"/>
                    </w:rPr>
                    <w:t>委托资质单位进行处理</w:t>
                  </w:r>
                </w:p>
              </w:tc>
            </w:tr>
            <w:tr w14:paraId="42326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Merge w:val="continue"/>
                  <w:vAlign w:val="center"/>
                </w:tcPr>
                <w:p w14:paraId="036B134E">
                  <w:pPr>
                    <w:jc w:val="center"/>
                    <w:rPr>
                      <w:rFonts w:hint="default" w:ascii="Times New Roman" w:hAnsi="Times New Roman" w:cs="Times New Roman" w:eastAsiaTheme="minorEastAsia"/>
                      <w:color w:val="auto"/>
                      <w:sz w:val="18"/>
                      <w:szCs w:val="18"/>
                    </w:rPr>
                  </w:pPr>
                </w:p>
              </w:tc>
              <w:tc>
                <w:tcPr>
                  <w:tcW w:w="538" w:type="dxa"/>
                  <w:vMerge w:val="continue"/>
                  <w:vAlign w:val="center"/>
                </w:tcPr>
                <w:p w14:paraId="7AAC85E4">
                  <w:pPr>
                    <w:jc w:val="center"/>
                    <w:rPr>
                      <w:rFonts w:hint="default" w:ascii="Times New Roman" w:hAnsi="Times New Roman" w:cs="Times New Roman" w:eastAsiaTheme="minorEastAsia"/>
                      <w:color w:val="auto"/>
                      <w:sz w:val="18"/>
                      <w:szCs w:val="18"/>
                    </w:rPr>
                  </w:pPr>
                </w:p>
              </w:tc>
              <w:tc>
                <w:tcPr>
                  <w:tcW w:w="2487" w:type="dxa"/>
                  <w:vAlign w:val="center"/>
                </w:tcPr>
                <w:p w14:paraId="4C927F9D">
                  <w:pPr>
                    <w:jc w:val="center"/>
                    <w:rPr>
                      <w:rFonts w:hint="default" w:ascii="Times New Roman" w:hAnsi="Times New Roman" w:cs="Times New Roman" w:eastAsiaTheme="minorEastAsia"/>
                      <w:bCs/>
                      <w:color w:val="auto"/>
                      <w:kern w:val="2"/>
                      <w:sz w:val="18"/>
                      <w:szCs w:val="18"/>
                      <w:lang w:val="en-US" w:eastAsia="zh-CN" w:bidi="ar-SA"/>
                    </w:rPr>
                  </w:pPr>
                  <w:r>
                    <w:rPr>
                      <w:rFonts w:hint="default" w:ascii="Times New Roman" w:hAnsi="Times New Roman" w:cs="Times New Roman" w:eastAsiaTheme="minorEastAsia"/>
                      <w:bCs/>
                      <w:color w:val="auto"/>
                      <w:kern w:val="2"/>
                      <w:sz w:val="18"/>
                      <w:szCs w:val="18"/>
                      <w:lang w:val="en-US" w:eastAsia="zh-CN" w:bidi="ar-SA"/>
                    </w:rPr>
                    <w:t>生活垃圾（S1</w:t>
                  </w:r>
                  <w:r>
                    <w:rPr>
                      <w:rFonts w:hint="eastAsia" w:cs="Times New Roman" w:eastAsiaTheme="minorEastAsia"/>
                      <w:bCs/>
                      <w:color w:val="auto"/>
                      <w:kern w:val="2"/>
                      <w:sz w:val="18"/>
                      <w:szCs w:val="18"/>
                      <w:lang w:val="en-US" w:eastAsia="zh-CN" w:bidi="ar-SA"/>
                    </w:rPr>
                    <w:t>0</w:t>
                  </w:r>
                  <w:r>
                    <w:rPr>
                      <w:rFonts w:hint="default" w:ascii="Times New Roman" w:hAnsi="Times New Roman" w:cs="Times New Roman" w:eastAsiaTheme="minorEastAsia"/>
                      <w:bCs/>
                      <w:color w:val="auto"/>
                      <w:kern w:val="2"/>
                      <w:sz w:val="18"/>
                      <w:szCs w:val="18"/>
                      <w:lang w:val="en-US" w:eastAsia="zh-CN" w:bidi="ar-SA"/>
                    </w:rPr>
                    <w:t>）</w:t>
                  </w:r>
                </w:p>
              </w:tc>
              <w:tc>
                <w:tcPr>
                  <w:tcW w:w="1613" w:type="dxa"/>
                  <w:vAlign w:val="center"/>
                </w:tcPr>
                <w:p w14:paraId="613C4F46">
                  <w:pPr>
                    <w:jc w:val="center"/>
                    <w:rPr>
                      <w:rFonts w:hint="default" w:ascii="Times New Roman" w:hAnsi="Times New Roman" w:cs="Times New Roman" w:eastAsiaTheme="minorEastAsia"/>
                      <w:bCs/>
                      <w:color w:val="auto"/>
                      <w:kern w:val="2"/>
                      <w:sz w:val="18"/>
                      <w:szCs w:val="18"/>
                      <w:lang w:val="en-US" w:eastAsia="zh-CN" w:bidi="ar-SA"/>
                    </w:rPr>
                  </w:pPr>
                  <w:r>
                    <w:rPr>
                      <w:rFonts w:hint="eastAsia" w:cs="Times New Roman" w:eastAsiaTheme="minorEastAsia"/>
                      <w:bCs/>
                      <w:color w:val="auto"/>
                      <w:kern w:val="2"/>
                      <w:sz w:val="18"/>
                      <w:szCs w:val="18"/>
                      <w:lang w:val="en-US" w:eastAsia="zh-CN" w:bidi="ar-SA"/>
                    </w:rPr>
                    <w:t>果皮纸屑等</w:t>
                  </w:r>
                </w:p>
              </w:tc>
              <w:tc>
                <w:tcPr>
                  <w:tcW w:w="3242" w:type="dxa"/>
                  <w:vAlign w:val="center"/>
                </w:tcPr>
                <w:p w14:paraId="22C78409">
                  <w:pPr>
                    <w:jc w:val="center"/>
                    <w:rPr>
                      <w:rFonts w:hint="default" w:ascii="Times New Roman" w:hAnsi="Times New Roman" w:cs="Times New Roman" w:eastAsiaTheme="minorEastAsia"/>
                      <w:bCs/>
                      <w:color w:val="auto"/>
                      <w:kern w:val="2"/>
                      <w:sz w:val="18"/>
                      <w:szCs w:val="18"/>
                      <w:lang w:val="en-US" w:eastAsia="zh-CN" w:bidi="ar-SA"/>
                    </w:rPr>
                  </w:pPr>
                  <w:r>
                    <w:rPr>
                      <w:rFonts w:hint="default" w:ascii="Times New Roman" w:hAnsi="Times New Roman" w:cs="Times New Roman" w:eastAsiaTheme="minorEastAsia"/>
                      <w:bCs/>
                      <w:color w:val="auto"/>
                      <w:sz w:val="18"/>
                      <w:szCs w:val="18"/>
                    </w:rPr>
                    <w:t>由环卫定期清运</w:t>
                  </w:r>
                </w:p>
              </w:tc>
            </w:tr>
            <w:tr w14:paraId="6D62B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0" w:type="dxa"/>
                  <w:vAlign w:val="center"/>
                </w:tcPr>
                <w:p w14:paraId="0DCD9D03">
                  <w:pPr>
                    <w:jc w:val="center"/>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噪声</w:t>
                  </w:r>
                </w:p>
              </w:tc>
              <w:tc>
                <w:tcPr>
                  <w:tcW w:w="538" w:type="dxa"/>
                  <w:vAlign w:val="center"/>
                </w:tcPr>
                <w:p w14:paraId="24A74397">
                  <w:pPr>
                    <w:jc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运营期</w:t>
                  </w:r>
                </w:p>
              </w:tc>
              <w:tc>
                <w:tcPr>
                  <w:tcW w:w="2487" w:type="dxa"/>
                  <w:vAlign w:val="center"/>
                </w:tcPr>
                <w:p w14:paraId="3B41ADA7">
                  <w:pPr>
                    <w:jc w:val="center"/>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生产设备及风机运行噪声（N）</w:t>
                  </w:r>
                </w:p>
              </w:tc>
              <w:tc>
                <w:tcPr>
                  <w:tcW w:w="1613" w:type="dxa"/>
                  <w:vAlign w:val="center"/>
                </w:tcPr>
                <w:p w14:paraId="779DE926">
                  <w:pPr>
                    <w:jc w:val="center"/>
                    <w:rPr>
                      <w:rFonts w:hint="default" w:ascii="Times New Roman" w:hAnsi="Times New Roman" w:cs="Times New Roman" w:eastAsiaTheme="minorEastAsia"/>
                      <w:bCs/>
                      <w:color w:val="auto"/>
                      <w:kern w:val="2"/>
                      <w:sz w:val="18"/>
                      <w:szCs w:val="18"/>
                      <w:lang w:val="en-US" w:eastAsia="zh-CN" w:bidi="ar-SA"/>
                    </w:rPr>
                  </w:pPr>
                  <w:r>
                    <w:rPr>
                      <w:rFonts w:hint="default" w:ascii="Times New Roman" w:hAnsi="Times New Roman" w:cs="Times New Roman" w:eastAsiaTheme="minorEastAsia"/>
                      <w:bCs/>
                      <w:color w:val="auto"/>
                      <w:sz w:val="18"/>
                      <w:szCs w:val="18"/>
                    </w:rPr>
                    <w:t>噪声</w:t>
                  </w:r>
                </w:p>
              </w:tc>
              <w:tc>
                <w:tcPr>
                  <w:tcW w:w="3242" w:type="dxa"/>
                  <w:vAlign w:val="center"/>
                </w:tcPr>
                <w:p w14:paraId="6C708CAF">
                  <w:pPr>
                    <w:jc w:val="center"/>
                    <w:rPr>
                      <w:rFonts w:hint="default" w:ascii="Times New Roman" w:hAnsi="Times New Roman" w:cs="Times New Roman" w:eastAsiaTheme="minorEastAsia"/>
                      <w:bCs/>
                      <w:color w:val="auto"/>
                      <w:kern w:val="2"/>
                      <w:sz w:val="18"/>
                      <w:szCs w:val="18"/>
                      <w:lang w:val="en-US" w:eastAsia="zh-CN" w:bidi="ar-SA"/>
                    </w:rPr>
                  </w:pPr>
                  <w:r>
                    <w:rPr>
                      <w:rFonts w:hint="default" w:ascii="Times New Roman" w:hAnsi="Times New Roman" w:cs="Times New Roman" w:eastAsiaTheme="minorEastAsia"/>
                      <w:bCs/>
                      <w:color w:val="auto"/>
                      <w:sz w:val="18"/>
                      <w:szCs w:val="18"/>
                    </w:rPr>
                    <w:t>隔声、减振、消声</w:t>
                  </w:r>
                </w:p>
              </w:tc>
            </w:tr>
          </w:tbl>
          <w:p w14:paraId="1A4F01AB">
            <w:pPr>
              <w:adjustRightInd w:val="0"/>
              <w:snapToGrid w:val="0"/>
              <w:spacing w:line="360" w:lineRule="auto"/>
              <w:ind w:firstLine="420" w:firstLineChars="200"/>
              <w:rPr>
                <w:rFonts w:hint="eastAsia"/>
                <w:color w:val="auto"/>
                <w:highlight w:val="none"/>
                <w:lang w:eastAsia="zh-CN"/>
              </w:rPr>
            </w:pPr>
          </w:p>
          <w:p w14:paraId="574B973C">
            <w:pPr>
              <w:adjustRightInd w:val="0"/>
              <w:snapToGrid w:val="0"/>
              <w:spacing w:line="360" w:lineRule="auto"/>
              <w:ind w:firstLine="420" w:firstLineChars="200"/>
              <w:rPr>
                <w:rFonts w:hint="eastAsia" w:eastAsia="宋体"/>
                <w:color w:val="auto"/>
                <w:lang w:eastAsia="zh-CN"/>
              </w:rPr>
            </w:pPr>
          </w:p>
        </w:tc>
      </w:tr>
      <w:tr w14:paraId="4738C0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66" w:hRule="atLeast"/>
          <w:jc w:val="center"/>
        </w:trPr>
        <w:tc>
          <w:tcPr>
            <w:tcW w:w="633" w:type="dxa"/>
            <w:vAlign w:val="center"/>
          </w:tcPr>
          <w:p w14:paraId="357254BA">
            <w:pPr>
              <w:pStyle w:val="77"/>
              <w:adjustRightInd w:val="0"/>
              <w:snapToGrid w:val="0"/>
              <w:spacing w:before="0" w:beforeAutospacing="0" w:after="0" w:afterAutospacing="0" w:line="360" w:lineRule="auto"/>
              <w:rPr>
                <w:rFonts w:ascii="Times New Roman" w:hAnsi="Times New Roman"/>
                <w:color w:val="auto"/>
                <w:sz w:val="21"/>
                <w:szCs w:val="21"/>
              </w:rPr>
            </w:pPr>
            <w:r>
              <w:rPr>
                <w:rFonts w:hint="default" w:ascii="Times New Roman" w:hAnsi="Times New Roman" w:cs="Times New Roman"/>
                <w:bCs/>
                <w:color w:val="auto"/>
                <w:kern w:val="2"/>
                <w:sz w:val="21"/>
                <w:szCs w:val="21"/>
              </w:rPr>
              <w:t>与项目有关的原有环境污染问题</w:t>
            </w:r>
          </w:p>
        </w:tc>
        <w:tc>
          <w:tcPr>
            <w:tcW w:w="8427" w:type="dxa"/>
            <w:vAlign w:val="center"/>
          </w:tcPr>
          <w:p w14:paraId="1F83E6E1">
            <w:pPr>
              <w:pStyle w:val="43"/>
              <w:snapToGrid w:val="0"/>
              <w:spacing w:line="360" w:lineRule="auto"/>
              <w:ind w:firstLine="420" w:firstLineChars="200"/>
              <w:jc w:val="both"/>
              <w:rPr>
                <w:rFonts w:hint="default" w:ascii="Times New Roman" w:hAnsi="Times New Roman" w:cs="Times New Roman"/>
                <w:color w:val="auto"/>
                <w:lang w:eastAsia="zh-CN"/>
              </w:rPr>
            </w:pPr>
            <w:r>
              <w:rPr>
                <w:rFonts w:hint="default" w:ascii="Times New Roman" w:hAnsi="Times New Roman" w:cs="Times New Roman"/>
                <w:color w:val="auto"/>
                <w:sz w:val="21"/>
                <w:szCs w:val="21"/>
                <w:highlight w:val="none"/>
              </w:rPr>
              <w:t>本项目为新建项目，不存在与本项目有关的原有污染及主要环境问题</w:t>
            </w:r>
            <w:r>
              <w:rPr>
                <w:rFonts w:hint="default" w:ascii="Times New Roman" w:hAnsi="Times New Roman" w:cs="Times New Roman"/>
                <w:color w:val="auto"/>
                <w:lang w:eastAsia="zh-CN"/>
              </w:rPr>
              <w:t>。</w:t>
            </w:r>
          </w:p>
          <w:p w14:paraId="115E9F73">
            <w:pPr>
              <w:adjustRightInd w:val="0"/>
              <w:snapToGrid w:val="0"/>
              <w:spacing w:line="360" w:lineRule="auto"/>
              <w:jc w:val="center"/>
              <w:rPr>
                <w:color w:val="auto"/>
              </w:rPr>
            </w:pPr>
          </w:p>
        </w:tc>
      </w:tr>
    </w:tbl>
    <w:p w14:paraId="1B5EC07F">
      <w:pPr>
        <w:pStyle w:val="77"/>
        <w:spacing w:line="420" w:lineRule="exact"/>
        <w:jc w:val="center"/>
        <w:rPr>
          <w:rFonts w:ascii="Times New Roman" w:hAnsi="Times New Roman" w:eastAsia="黑体"/>
          <w:snapToGrid w:val="0"/>
          <w:color w:val="auto"/>
          <w:sz w:val="36"/>
          <w:szCs w:val="36"/>
        </w:rPr>
        <w:sectPr>
          <w:pgSz w:w="11906" w:h="16838"/>
          <w:pgMar w:top="1701" w:right="1531" w:bottom="1701" w:left="1531" w:header="851" w:footer="1361" w:gutter="0"/>
          <w:cols w:space="720" w:num="1"/>
          <w:docGrid w:linePitch="312" w:charSpace="0"/>
        </w:sectPr>
      </w:pPr>
    </w:p>
    <w:p w14:paraId="2D00FCFA">
      <w:pPr>
        <w:pStyle w:val="77"/>
        <w:spacing w:line="420" w:lineRule="exact"/>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t>三、区域环境质量现状、环境保护目标及评价标准</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0"/>
      </w:tblGrid>
      <w:tr w14:paraId="7D56D3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00" w:type="dxa"/>
            <w:vAlign w:val="center"/>
          </w:tcPr>
          <w:p w14:paraId="4CAF56DA">
            <w:pPr>
              <w:adjustRightInd w:val="0"/>
              <w:snapToGrid w:val="0"/>
              <w:spacing w:line="420" w:lineRule="exact"/>
              <w:jc w:val="center"/>
              <w:rPr>
                <w:color w:val="auto"/>
                <w:kern w:val="0"/>
              </w:rPr>
            </w:pPr>
            <w:r>
              <w:rPr>
                <w:color w:val="auto"/>
                <w:kern w:val="0"/>
              </w:rPr>
              <w:t>区域</w:t>
            </w:r>
          </w:p>
          <w:p w14:paraId="361DC849">
            <w:pPr>
              <w:adjustRightInd w:val="0"/>
              <w:snapToGrid w:val="0"/>
              <w:spacing w:line="420" w:lineRule="exact"/>
              <w:jc w:val="center"/>
              <w:rPr>
                <w:color w:val="auto"/>
                <w:kern w:val="0"/>
              </w:rPr>
            </w:pPr>
            <w:r>
              <w:rPr>
                <w:color w:val="auto"/>
                <w:kern w:val="0"/>
              </w:rPr>
              <w:t>环境</w:t>
            </w:r>
          </w:p>
          <w:p w14:paraId="544A14EC">
            <w:pPr>
              <w:adjustRightInd w:val="0"/>
              <w:snapToGrid w:val="0"/>
              <w:spacing w:line="420" w:lineRule="exact"/>
              <w:jc w:val="center"/>
              <w:rPr>
                <w:color w:val="auto"/>
                <w:kern w:val="0"/>
              </w:rPr>
            </w:pPr>
            <w:r>
              <w:rPr>
                <w:color w:val="auto"/>
                <w:kern w:val="0"/>
              </w:rPr>
              <w:t>质量</w:t>
            </w:r>
          </w:p>
          <w:p w14:paraId="51340BE5">
            <w:pPr>
              <w:adjustRightInd w:val="0"/>
              <w:snapToGrid w:val="0"/>
              <w:spacing w:line="420" w:lineRule="exact"/>
              <w:jc w:val="center"/>
              <w:rPr>
                <w:color w:val="auto"/>
                <w:kern w:val="0"/>
              </w:rPr>
            </w:pPr>
            <w:r>
              <w:rPr>
                <w:color w:val="auto"/>
                <w:kern w:val="0"/>
              </w:rPr>
              <w:t>现状</w:t>
            </w:r>
          </w:p>
        </w:tc>
        <w:tc>
          <w:tcPr>
            <w:tcW w:w="8190" w:type="dxa"/>
            <w:vAlign w:val="center"/>
          </w:tcPr>
          <w:p w14:paraId="5D002F3C">
            <w:pPr>
              <w:widowControl/>
              <w:adjustRightInd w:val="0"/>
              <w:snapToGrid w:val="0"/>
              <w:spacing w:line="360" w:lineRule="auto"/>
              <w:jc w:val="left"/>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一、环境功能区划</w:t>
            </w:r>
          </w:p>
          <w:p w14:paraId="44D34F19">
            <w:pPr>
              <w:adjustRightInd w:val="0"/>
              <w:snapToGrid w:val="0"/>
              <w:spacing w:line="360" w:lineRule="auto"/>
              <w:ind w:firstLine="420" w:firstLineChars="200"/>
              <w:rPr>
                <w:color w:val="auto"/>
              </w:rPr>
            </w:pPr>
            <w:r>
              <w:rPr>
                <w:rFonts w:hint="default" w:ascii="Times New Roman" w:hAnsi="Times New Roman" w:cs="Times New Roman"/>
                <w:color w:val="auto"/>
                <w:szCs w:val="21"/>
                <w:highlight w:val="none"/>
              </w:rPr>
              <w:t>根据《淄博市城区环境空气质量功能区管理规定的通知》（淄政发[1999]113号）、</w:t>
            </w:r>
            <w:r>
              <w:rPr>
                <w:color w:val="auto"/>
              </w:rPr>
              <w:t>《关于印发淄博市声环境功能区划方案的通知（淄政办发〔2025〕5 号）》</w:t>
            </w:r>
            <w:r>
              <w:rPr>
                <w:rFonts w:hint="default" w:ascii="Times New Roman" w:hAnsi="Times New Roman" w:cs="Times New Roman"/>
                <w:color w:val="auto"/>
                <w:szCs w:val="21"/>
                <w:highlight w:val="none"/>
              </w:rPr>
              <w:t>及淄博市水资源管理</w:t>
            </w:r>
            <w:r>
              <w:rPr>
                <w:rFonts w:hint="eastAsia" w:cs="Times New Roman"/>
                <w:color w:val="auto"/>
                <w:szCs w:val="21"/>
                <w:highlight w:val="none"/>
                <w:lang w:eastAsia="zh-CN"/>
              </w:rPr>
              <w:t>办公楼</w:t>
            </w:r>
            <w:r>
              <w:rPr>
                <w:rFonts w:hint="default" w:ascii="Times New Roman" w:hAnsi="Times New Roman" w:cs="Times New Roman"/>
                <w:color w:val="auto"/>
                <w:szCs w:val="21"/>
                <w:highlight w:val="none"/>
              </w:rPr>
              <w:t>、淄博市水文局发布的《淄博市水功能区划》（2012.2），项目所在区域属于《环境空气质量标准》（GB3095-2012）及其修改单二级标准适用区；区域噪声执行《声环境质量标准》（GB3096-2008）的</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rPr>
              <w:t>类标准；根据《淄博市地下水功能区划分及保护现状评价》，项目所在区的地下水环境执行《地下水质量标准》（GB/T14848-2017）Ⅲ类标准；区域地表水执行《地表水环境质量标准》（GB3838-2002）V类标准</w:t>
            </w:r>
            <w:r>
              <w:rPr>
                <w:color w:val="auto"/>
              </w:rPr>
              <w:t>。</w:t>
            </w:r>
          </w:p>
          <w:p w14:paraId="1832A49C">
            <w:pPr>
              <w:widowControl/>
              <w:adjustRightInd w:val="0"/>
              <w:snapToGrid w:val="0"/>
              <w:spacing w:line="360" w:lineRule="auto"/>
              <w:jc w:val="left"/>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二、环境质量现状</w:t>
            </w:r>
          </w:p>
          <w:p w14:paraId="52AD84C2">
            <w:pPr>
              <w:widowControl/>
              <w:adjustRightInd w:val="0"/>
              <w:snapToGrid w:val="0"/>
              <w:spacing w:line="360" w:lineRule="auto"/>
              <w:ind w:firstLine="422" w:firstLineChars="200"/>
              <w:jc w:val="left"/>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1、环境空气质量</w:t>
            </w:r>
          </w:p>
          <w:p w14:paraId="1C45B985">
            <w:pPr>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根据淄博市生态环境局发布的《</w:t>
            </w:r>
            <w:r>
              <w:rPr>
                <w:rFonts w:hint="default" w:ascii="Times New Roman" w:hAnsi="Times New Roman" w:eastAsia="宋体" w:cs="Times New Roman"/>
                <w:color w:val="auto"/>
                <w:kern w:val="0"/>
                <w:sz w:val="21"/>
                <w:szCs w:val="21"/>
                <w:highlight w:val="none"/>
                <w:lang w:val="en-US" w:eastAsia="zh-CN" w:bidi="ar"/>
              </w:rPr>
              <w:t>2025</w:t>
            </w:r>
            <w:r>
              <w:rPr>
                <w:rFonts w:hint="eastAsia" w:ascii="宋体" w:hAnsi="宋体" w:eastAsia="宋体" w:cs="宋体"/>
                <w:color w:val="auto"/>
                <w:kern w:val="0"/>
                <w:sz w:val="21"/>
                <w:szCs w:val="21"/>
                <w:highlight w:val="none"/>
                <w:lang w:val="en-US" w:eastAsia="zh-CN" w:bidi="ar"/>
              </w:rPr>
              <w:t>年</w:t>
            </w:r>
            <w:r>
              <w:rPr>
                <w:rFonts w:hint="default" w:ascii="Times New Roman" w:hAnsi="Times New Roman" w:eastAsia="宋体" w:cs="Times New Roman"/>
                <w:color w:val="auto"/>
                <w:kern w:val="0"/>
                <w:sz w:val="21"/>
                <w:szCs w:val="21"/>
                <w:highlight w:val="none"/>
                <w:lang w:val="en-US" w:eastAsia="zh-CN" w:bidi="ar"/>
              </w:rPr>
              <w:t>12</w:t>
            </w:r>
            <w:r>
              <w:rPr>
                <w:rFonts w:hint="eastAsia" w:ascii="宋体" w:hAnsi="宋体" w:eastAsia="宋体" w:cs="宋体"/>
                <w:color w:val="auto"/>
                <w:kern w:val="0"/>
                <w:sz w:val="21"/>
                <w:szCs w:val="21"/>
                <w:highlight w:val="none"/>
                <w:lang w:val="en-US" w:eastAsia="zh-CN" w:bidi="ar"/>
              </w:rPr>
              <w:t>月份环境空气质量情况》（</w:t>
            </w:r>
            <w:r>
              <w:rPr>
                <w:rFonts w:hint="default" w:ascii="Times New Roman" w:hAnsi="Times New Roman" w:eastAsia="宋体" w:cs="Times New Roman"/>
                <w:color w:val="auto"/>
                <w:kern w:val="0"/>
                <w:sz w:val="21"/>
                <w:szCs w:val="21"/>
                <w:highlight w:val="none"/>
                <w:lang w:val="en-US" w:eastAsia="zh-CN" w:bidi="ar"/>
              </w:rPr>
              <w:t>2026</w:t>
            </w:r>
            <w:r>
              <w:rPr>
                <w:rFonts w:hint="eastAsia" w:ascii="宋体" w:hAnsi="宋体" w:eastAsia="宋体" w:cs="宋体"/>
                <w:color w:val="auto"/>
                <w:kern w:val="0"/>
                <w:sz w:val="21"/>
                <w:szCs w:val="21"/>
                <w:highlight w:val="none"/>
                <w:lang w:val="en-US" w:eastAsia="zh-CN" w:bidi="ar"/>
              </w:rPr>
              <w:t>年</w:t>
            </w:r>
            <w:r>
              <w:rPr>
                <w:rFonts w:hint="default" w:ascii="Times New Roman" w:hAnsi="Times New Roman" w:eastAsia="宋体" w:cs="Times New Roman"/>
                <w:color w:val="auto"/>
                <w:kern w:val="0"/>
                <w:sz w:val="21"/>
                <w:szCs w:val="21"/>
                <w:highlight w:val="none"/>
                <w:lang w:val="en-US" w:eastAsia="zh-CN" w:bidi="ar"/>
              </w:rPr>
              <w:t>1</w:t>
            </w:r>
            <w:r>
              <w:rPr>
                <w:rFonts w:hint="eastAsia" w:ascii="宋体" w:hAnsi="宋体" w:eastAsia="宋体" w:cs="宋体"/>
                <w:color w:val="auto"/>
                <w:kern w:val="0"/>
                <w:sz w:val="21"/>
                <w:szCs w:val="21"/>
                <w:highlight w:val="none"/>
                <w:lang w:val="en-US" w:eastAsia="zh-CN" w:bidi="ar"/>
              </w:rPr>
              <w:t>月</w:t>
            </w:r>
            <w:r>
              <w:rPr>
                <w:rFonts w:hint="default" w:ascii="Times New Roman" w:hAnsi="Times New Roman" w:eastAsia="宋体" w:cs="Times New Roman"/>
                <w:color w:val="auto"/>
                <w:kern w:val="0"/>
                <w:sz w:val="21"/>
                <w:szCs w:val="21"/>
                <w:highlight w:val="none"/>
                <w:lang w:val="en-US" w:eastAsia="zh-CN" w:bidi="ar"/>
              </w:rPr>
              <w:t>29</w:t>
            </w:r>
            <w:r>
              <w:rPr>
                <w:rFonts w:hint="eastAsia" w:ascii="宋体" w:hAnsi="宋体" w:eastAsia="宋体" w:cs="宋体"/>
                <w:color w:val="auto"/>
                <w:kern w:val="0"/>
                <w:sz w:val="21"/>
                <w:szCs w:val="21"/>
                <w:highlight w:val="none"/>
                <w:lang w:val="en-US" w:eastAsia="zh-CN" w:bidi="ar"/>
              </w:rPr>
              <w:t>日），</w:t>
            </w:r>
            <w:r>
              <w:rPr>
                <w:rFonts w:hint="default" w:ascii="Times New Roman" w:hAnsi="Times New Roman" w:eastAsia="宋体" w:cs="Times New Roman"/>
                <w:color w:val="auto"/>
                <w:kern w:val="0"/>
                <w:sz w:val="21"/>
                <w:szCs w:val="21"/>
                <w:highlight w:val="none"/>
                <w:lang w:val="en-US" w:eastAsia="zh-CN" w:bidi="ar"/>
              </w:rPr>
              <w:t>2025</w:t>
            </w:r>
            <w:r>
              <w:rPr>
                <w:rFonts w:hint="eastAsia" w:ascii="宋体" w:hAnsi="宋体" w:eastAsia="宋体" w:cs="宋体"/>
                <w:color w:val="auto"/>
                <w:kern w:val="0"/>
                <w:sz w:val="21"/>
                <w:szCs w:val="21"/>
                <w:highlight w:val="none"/>
                <w:lang w:val="en-US" w:eastAsia="zh-CN" w:bidi="ar"/>
              </w:rPr>
              <w:t>年</w:t>
            </w:r>
            <w:r>
              <w:rPr>
                <w:rFonts w:hint="default" w:ascii="Times New Roman" w:hAnsi="Times New Roman" w:eastAsia="宋体" w:cs="Times New Roman"/>
                <w:color w:val="auto"/>
                <w:kern w:val="0"/>
                <w:sz w:val="21"/>
                <w:szCs w:val="21"/>
                <w:highlight w:val="none"/>
                <w:lang w:val="en-US" w:eastAsia="zh-CN" w:bidi="ar"/>
              </w:rPr>
              <w:t>1-12</w:t>
            </w:r>
            <w:r>
              <w:rPr>
                <w:rFonts w:hint="eastAsia" w:ascii="宋体" w:hAnsi="宋体" w:eastAsia="宋体" w:cs="宋体"/>
                <w:color w:val="auto"/>
                <w:kern w:val="0"/>
                <w:sz w:val="21"/>
                <w:szCs w:val="21"/>
                <w:highlight w:val="none"/>
                <w:lang w:val="en-US" w:eastAsia="zh-CN" w:bidi="ar"/>
              </w:rPr>
              <w:t>月份，全市良好天数</w:t>
            </w:r>
            <w:r>
              <w:rPr>
                <w:rFonts w:hint="default" w:ascii="Times New Roman" w:hAnsi="Times New Roman" w:eastAsia="宋体" w:cs="Times New Roman"/>
                <w:color w:val="auto"/>
                <w:kern w:val="0"/>
                <w:sz w:val="21"/>
                <w:szCs w:val="21"/>
                <w:highlight w:val="none"/>
                <w:lang w:val="en-US" w:eastAsia="zh-CN" w:bidi="ar"/>
              </w:rPr>
              <w:t>278</w:t>
            </w:r>
            <w:r>
              <w:rPr>
                <w:rFonts w:hint="eastAsia" w:ascii="宋体" w:hAnsi="宋体" w:eastAsia="宋体" w:cs="宋体"/>
                <w:color w:val="auto"/>
                <w:kern w:val="0"/>
                <w:sz w:val="21"/>
                <w:szCs w:val="21"/>
                <w:highlight w:val="none"/>
                <w:lang w:val="en-US" w:eastAsia="zh-CN" w:bidi="ar"/>
              </w:rPr>
              <w:t>天（国控），同比增加</w:t>
            </w:r>
            <w:r>
              <w:rPr>
                <w:rFonts w:hint="default" w:ascii="Times New Roman" w:hAnsi="Times New Roman" w:eastAsia="宋体" w:cs="Times New Roman"/>
                <w:color w:val="auto"/>
                <w:kern w:val="0"/>
                <w:sz w:val="21"/>
                <w:szCs w:val="21"/>
                <w:highlight w:val="none"/>
                <w:lang w:val="en-US" w:eastAsia="zh-CN" w:bidi="ar"/>
              </w:rPr>
              <w:t>40</w:t>
            </w:r>
            <w:r>
              <w:rPr>
                <w:rFonts w:hint="eastAsia" w:ascii="宋体" w:hAnsi="宋体" w:eastAsia="宋体" w:cs="宋体"/>
                <w:color w:val="auto"/>
                <w:kern w:val="0"/>
                <w:sz w:val="21"/>
                <w:szCs w:val="21"/>
                <w:highlight w:val="none"/>
                <w:lang w:val="en-US" w:eastAsia="zh-CN" w:bidi="ar"/>
              </w:rPr>
              <w:t>天。优良率</w:t>
            </w:r>
            <w:r>
              <w:rPr>
                <w:rFonts w:hint="default" w:ascii="Times New Roman" w:hAnsi="Times New Roman" w:eastAsia="宋体" w:cs="Times New Roman"/>
                <w:color w:val="auto"/>
                <w:kern w:val="0"/>
                <w:sz w:val="21"/>
                <w:szCs w:val="21"/>
                <w:highlight w:val="none"/>
                <w:lang w:val="en-US" w:eastAsia="zh-CN" w:bidi="ar"/>
              </w:rPr>
              <w:t>76.2%</w:t>
            </w:r>
            <w:r>
              <w:rPr>
                <w:rFonts w:hint="eastAsia" w:ascii="宋体" w:hAnsi="宋体" w:eastAsia="宋体" w:cs="宋体"/>
                <w:color w:val="auto"/>
                <w:kern w:val="0"/>
                <w:sz w:val="21"/>
                <w:szCs w:val="21"/>
                <w:highlight w:val="none"/>
                <w:lang w:val="en-US" w:eastAsia="zh-CN" w:bidi="ar"/>
              </w:rPr>
              <w:t>，同比增加</w:t>
            </w:r>
            <w:r>
              <w:rPr>
                <w:rFonts w:hint="default" w:ascii="Times New Roman" w:hAnsi="Times New Roman" w:eastAsia="宋体" w:cs="Times New Roman"/>
                <w:color w:val="auto"/>
                <w:kern w:val="0"/>
                <w:sz w:val="21"/>
                <w:szCs w:val="21"/>
                <w:highlight w:val="none"/>
                <w:lang w:val="en-US" w:eastAsia="zh-CN" w:bidi="ar"/>
              </w:rPr>
              <w:t>11.2</w:t>
            </w:r>
            <w:r>
              <w:rPr>
                <w:rFonts w:hint="eastAsia" w:ascii="宋体" w:hAnsi="宋体" w:eastAsia="宋体" w:cs="宋体"/>
                <w:color w:val="auto"/>
                <w:kern w:val="0"/>
                <w:sz w:val="21"/>
                <w:szCs w:val="21"/>
                <w:highlight w:val="none"/>
                <w:lang w:val="en-US" w:eastAsia="zh-CN" w:bidi="ar"/>
              </w:rPr>
              <w:t>个百分点。重污染天数</w:t>
            </w:r>
            <w:r>
              <w:rPr>
                <w:rFonts w:hint="default" w:ascii="Times New Roman" w:hAnsi="Times New Roman" w:eastAsia="宋体" w:cs="Times New Roman"/>
                <w:color w:val="auto"/>
                <w:kern w:val="0"/>
                <w:sz w:val="21"/>
                <w:szCs w:val="21"/>
                <w:highlight w:val="none"/>
                <w:lang w:val="en-US" w:eastAsia="zh-CN" w:bidi="ar"/>
              </w:rPr>
              <w:t>1</w:t>
            </w:r>
            <w:r>
              <w:rPr>
                <w:rFonts w:hint="eastAsia" w:ascii="宋体" w:hAnsi="宋体" w:eastAsia="宋体" w:cs="宋体"/>
                <w:color w:val="auto"/>
                <w:kern w:val="0"/>
                <w:sz w:val="21"/>
                <w:szCs w:val="21"/>
                <w:highlight w:val="none"/>
                <w:lang w:val="en-US" w:eastAsia="zh-CN" w:bidi="ar"/>
              </w:rPr>
              <w:t>天，同比减少</w:t>
            </w:r>
            <w:r>
              <w:rPr>
                <w:rFonts w:hint="default" w:ascii="Times New Roman" w:hAnsi="Times New Roman" w:eastAsia="宋体" w:cs="Times New Roman"/>
                <w:color w:val="auto"/>
                <w:kern w:val="0"/>
                <w:sz w:val="21"/>
                <w:szCs w:val="21"/>
                <w:highlight w:val="none"/>
                <w:lang w:val="en-US" w:eastAsia="zh-CN" w:bidi="ar"/>
              </w:rPr>
              <w:t>3</w:t>
            </w:r>
            <w:r>
              <w:rPr>
                <w:rFonts w:hint="eastAsia" w:ascii="宋体" w:hAnsi="宋体" w:eastAsia="宋体" w:cs="宋体"/>
                <w:color w:val="auto"/>
                <w:kern w:val="0"/>
                <w:sz w:val="21"/>
                <w:szCs w:val="21"/>
                <w:highlight w:val="none"/>
                <w:lang w:val="en-US" w:eastAsia="zh-CN" w:bidi="ar"/>
              </w:rPr>
              <w:t>天。其中，二氧化硫（</w:t>
            </w:r>
            <w:r>
              <w:rPr>
                <w:rFonts w:hint="default" w:ascii="Times New Roman" w:hAnsi="Times New Roman" w:eastAsia="宋体" w:cs="Times New Roman"/>
                <w:color w:val="auto"/>
                <w:kern w:val="0"/>
                <w:sz w:val="21"/>
                <w:szCs w:val="21"/>
                <w:highlight w:val="none"/>
                <w:lang w:val="en-US" w:eastAsia="zh-CN" w:bidi="ar"/>
              </w:rPr>
              <w:t>SO</w:t>
            </w:r>
            <w:r>
              <w:rPr>
                <w:rFonts w:hint="default" w:ascii="Times New Roman" w:hAnsi="Times New Roman" w:eastAsia="宋体" w:cs="Times New Roman"/>
                <w:color w:val="auto"/>
                <w:kern w:val="0"/>
                <w:sz w:val="21"/>
                <w:szCs w:val="21"/>
                <w:highlight w:val="none"/>
                <w:vertAlign w:val="subscript"/>
                <w:lang w:val="en-US" w:eastAsia="zh-CN" w:bidi="ar"/>
              </w:rPr>
              <w:t>2</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11</w:t>
            </w:r>
            <w:r>
              <w:rPr>
                <w:rFonts w:hint="eastAsia" w:ascii="宋体" w:hAnsi="宋体" w:eastAsia="宋体" w:cs="宋体"/>
                <w:color w:val="auto"/>
                <w:kern w:val="0"/>
                <w:sz w:val="21"/>
                <w:szCs w:val="21"/>
                <w:highlight w:val="none"/>
                <w:lang w:val="en-US" w:eastAsia="zh-CN" w:bidi="ar"/>
              </w:rPr>
              <w:t>微克</w:t>
            </w:r>
            <w:r>
              <w:rPr>
                <w:rFonts w:hint="default" w:ascii="Times New Roman" w:hAnsi="Times New Roman" w:eastAsia="宋体" w:cs="Times New Roman"/>
                <w:color w:val="auto"/>
                <w:kern w:val="0"/>
                <w:sz w:val="21"/>
                <w:szCs w:val="21"/>
                <w:highlight w:val="none"/>
                <w:lang w:val="en-US" w:eastAsia="zh-CN" w:bidi="ar"/>
              </w:rPr>
              <w:t>/</w:t>
            </w:r>
            <w:r>
              <w:rPr>
                <w:rFonts w:hint="eastAsia" w:ascii="宋体" w:hAnsi="宋体" w:eastAsia="宋体" w:cs="宋体"/>
                <w:color w:val="auto"/>
                <w:kern w:val="0"/>
                <w:sz w:val="21"/>
                <w:szCs w:val="21"/>
                <w:highlight w:val="none"/>
                <w:lang w:val="en-US" w:eastAsia="zh-CN" w:bidi="ar"/>
              </w:rPr>
              <w:t>立方米，同比改善</w:t>
            </w:r>
            <w:r>
              <w:rPr>
                <w:rFonts w:hint="default" w:ascii="Times New Roman" w:hAnsi="Times New Roman" w:eastAsia="宋体" w:cs="Times New Roman"/>
                <w:color w:val="auto"/>
                <w:kern w:val="0"/>
                <w:sz w:val="21"/>
                <w:szCs w:val="21"/>
                <w:highlight w:val="none"/>
                <w:lang w:val="en-US" w:eastAsia="zh-CN" w:bidi="ar"/>
              </w:rPr>
              <w:t>15.4%</w:t>
            </w:r>
            <w:r>
              <w:rPr>
                <w:rFonts w:hint="eastAsia" w:ascii="宋体" w:hAnsi="宋体" w:eastAsia="宋体" w:cs="宋体"/>
                <w:color w:val="auto"/>
                <w:kern w:val="0"/>
                <w:sz w:val="21"/>
                <w:szCs w:val="21"/>
                <w:highlight w:val="none"/>
                <w:lang w:val="en-US" w:eastAsia="zh-CN" w:bidi="ar"/>
              </w:rPr>
              <w:t>；二氧化氮（</w:t>
            </w:r>
            <w:r>
              <w:rPr>
                <w:rFonts w:hint="default" w:ascii="Times New Roman" w:hAnsi="Times New Roman" w:eastAsia="宋体" w:cs="Times New Roman"/>
                <w:color w:val="auto"/>
                <w:kern w:val="0"/>
                <w:sz w:val="21"/>
                <w:szCs w:val="21"/>
                <w:highlight w:val="none"/>
                <w:lang w:val="en-US" w:eastAsia="zh-CN" w:bidi="ar"/>
              </w:rPr>
              <w:t>NO</w:t>
            </w:r>
            <w:r>
              <w:rPr>
                <w:rFonts w:hint="default" w:ascii="Times New Roman" w:hAnsi="Times New Roman" w:eastAsia="宋体" w:cs="Times New Roman"/>
                <w:color w:val="auto"/>
                <w:kern w:val="0"/>
                <w:sz w:val="21"/>
                <w:szCs w:val="21"/>
                <w:highlight w:val="none"/>
                <w:vertAlign w:val="subscript"/>
                <w:lang w:val="en-US" w:eastAsia="zh-CN" w:bidi="ar"/>
              </w:rPr>
              <w:t>2</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27</w:t>
            </w:r>
            <w:r>
              <w:rPr>
                <w:rFonts w:hint="eastAsia" w:ascii="宋体" w:hAnsi="宋体" w:eastAsia="宋体" w:cs="宋体"/>
                <w:color w:val="auto"/>
                <w:kern w:val="0"/>
                <w:sz w:val="21"/>
                <w:szCs w:val="21"/>
                <w:highlight w:val="none"/>
                <w:lang w:val="en-US" w:eastAsia="zh-CN" w:bidi="ar"/>
              </w:rPr>
              <w:t>微克</w:t>
            </w:r>
            <w:r>
              <w:rPr>
                <w:rFonts w:hint="default" w:ascii="Times New Roman" w:hAnsi="Times New Roman" w:eastAsia="宋体" w:cs="Times New Roman"/>
                <w:color w:val="auto"/>
                <w:kern w:val="0"/>
                <w:sz w:val="21"/>
                <w:szCs w:val="21"/>
                <w:highlight w:val="none"/>
                <w:lang w:val="en-US" w:eastAsia="zh-CN" w:bidi="ar"/>
              </w:rPr>
              <w:t>/</w:t>
            </w:r>
            <w:r>
              <w:rPr>
                <w:rFonts w:hint="eastAsia" w:ascii="宋体" w:hAnsi="宋体" w:eastAsia="宋体" w:cs="宋体"/>
                <w:color w:val="auto"/>
                <w:kern w:val="0"/>
                <w:sz w:val="21"/>
                <w:szCs w:val="21"/>
                <w:highlight w:val="none"/>
                <w:lang w:val="en-US" w:eastAsia="zh-CN" w:bidi="ar"/>
              </w:rPr>
              <w:t>立方米，同比改善</w:t>
            </w:r>
            <w:r>
              <w:rPr>
                <w:rFonts w:hint="default" w:ascii="Times New Roman" w:hAnsi="Times New Roman" w:eastAsia="宋体" w:cs="Times New Roman"/>
                <w:color w:val="auto"/>
                <w:kern w:val="0"/>
                <w:sz w:val="21"/>
                <w:szCs w:val="21"/>
                <w:highlight w:val="none"/>
                <w:lang w:val="en-US" w:eastAsia="zh-CN" w:bidi="ar"/>
              </w:rPr>
              <w:t>18.2%</w:t>
            </w:r>
            <w:r>
              <w:rPr>
                <w:rFonts w:hint="eastAsia" w:ascii="宋体" w:hAnsi="宋体" w:eastAsia="宋体" w:cs="宋体"/>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可吸入颗粒物（PM</w:t>
            </w:r>
            <w:r>
              <w:rPr>
                <w:rFonts w:hint="default" w:ascii="Times New Roman" w:hAnsi="Times New Roman" w:eastAsia="宋体" w:cs="Times New Roman"/>
                <w:color w:val="auto"/>
                <w:kern w:val="0"/>
                <w:sz w:val="21"/>
                <w:szCs w:val="21"/>
                <w:highlight w:val="none"/>
                <w:vertAlign w:val="subscript"/>
                <w:lang w:val="en-US" w:eastAsia="zh-CN" w:bidi="ar"/>
              </w:rPr>
              <w:t>10</w:t>
            </w:r>
            <w:r>
              <w:rPr>
                <w:rFonts w:hint="default" w:ascii="Times New Roman" w:hAnsi="Times New Roman" w:eastAsia="宋体" w:cs="Times New Roman"/>
                <w:color w:val="auto"/>
                <w:kern w:val="0"/>
                <w:sz w:val="21"/>
                <w:szCs w:val="21"/>
                <w:highlight w:val="none"/>
                <w:lang w:val="en-US" w:eastAsia="zh-CN" w:bidi="ar"/>
              </w:rPr>
              <w:t>）59微克/立方米，同比改善14.5%；细颗粒物（PM</w:t>
            </w:r>
            <w:r>
              <w:rPr>
                <w:rFonts w:hint="default" w:ascii="Times New Roman" w:hAnsi="Times New Roman" w:eastAsia="宋体" w:cs="Times New Roman"/>
                <w:color w:val="auto"/>
                <w:kern w:val="0"/>
                <w:sz w:val="21"/>
                <w:szCs w:val="21"/>
                <w:highlight w:val="none"/>
                <w:vertAlign w:val="subscript"/>
                <w:lang w:val="en-US" w:eastAsia="zh-CN" w:bidi="ar"/>
              </w:rPr>
              <w:t>2.5</w:t>
            </w:r>
            <w:r>
              <w:rPr>
                <w:rFonts w:hint="default" w:ascii="Times New Roman" w:hAnsi="Times New Roman" w:eastAsia="宋体" w:cs="Times New Roman"/>
                <w:color w:val="auto"/>
                <w:kern w:val="0"/>
                <w:sz w:val="21"/>
                <w:szCs w:val="21"/>
                <w:highlight w:val="none"/>
                <w:lang w:val="en-US" w:eastAsia="zh-CN" w:bidi="ar"/>
              </w:rPr>
              <w:t>）35微克/立方米，同比改善12.5%；一氧化碳（CO）1.1毫克/立方米，同比改善8.3%；臭氧（O</w:t>
            </w:r>
            <w:r>
              <w:rPr>
                <w:rFonts w:hint="default" w:ascii="Times New Roman" w:hAnsi="Times New Roman" w:eastAsia="宋体" w:cs="Times New Roman"/>
                <w:color w:val="auto"/>
                <w:kern w:val="0"/>
                <w:sz w:val="21"/>
                <w:szCs w:val="21"/>
                <w:highlight w:val="none"/>
                <w:vertAlign w:val="subscript"/>
                <w:lang w:val="en-US" w:eastAsia="zh-CN" w:bidi="ar"/>
              </w:rPr>
              <w:t>3</w:t>
            </w:r>
            <w:r>
              <w:rPr>
                <w:rFonts w:hint="default" w:ascii="Times New Roman" w:hAnsi="Times New Roman" w:eastAsia="宋体" w:cs="Times New Roman"/>
                <w:color w:val="auto"/>
                <w:kern w:val="0"/>
                <w:sz w:val="21"/>
                <w:szCs w:val="21"/>
                <w:highlight w:val="none"/>
                <w:lang w:val="en-US" w:eastAsia="zh-CN" w:bidi="ar"/>
              </w:rPr>
              <w:t>）169微克/立方米，同比改善12.9%。全市综合指数为4.04，同比改善13.7%。</w:t>
            </w:r>
          </w:p>
          <w:p w14:paraId="01FB95E9">
            <w:pPr>
              <w:pStyle w:val="1393"/>
              <w:keepNext w:val="0"/>
              <w:keepLines w:val="0"/>
              <w:pageBreakBefore w:val="0"/>
              <w:widowControl w:val="0"/>
              <w:kinsoku/>
              <w:wordWrap/>
              <w:overflowPunct/>
              <w:topLinePunct w:val="0"/>
              <w:autoSpaceDE/>
              <w:autoSpaceDN/>
              <w:bidi w:val="0"/>
              <w:adjustRightInd w:val="0"/>
              <w:snapToGrid w:val="0"/>
              <w:spacing w:line="360" w:lineRule="auto"/>
              <w:ind w:left="0" w:right="0" w:firstLine="482"/>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highlight w:val="none"/>
                <w:lang w:eastAsia="zh-CN"/>
              </w:rPr>
              <w:t>项目所在</w:t>
            </w:r>
            <w:r>
              <w:rPr>
                <w:rFonts w:hint="default" w:ascii="Times New Roman" w:hAnsi="Times New Roman" w:cs="Times New Roman"/>
                <w:color w:val="auto"/>
                <w:sz w:val="21"/>
                <w:szCs w:val="21"/>
                <w:highlight w:val="none"/>
                <w:lang w:val="en-US" w:eastAsia="zh-CN"/>
              </w:rPr>
              <w:t>区域环境空气进行达标判断，</w:t>
            </w:r>
            <w:r>
              <w:rPr>
                <w:rFonts w:hint="default" w:ascii="Times New Roman" w:hAnsi="Times New Roman" w:eastAsia="宋体" w:cs="Times New Roman"/>
                <w:color w:val="auto"/>
                <w:sz w:val="21"/>
                <w:szCs w:val="21"/>
                <w:highlight w:val="none"/>
              </w:rPr>
              <w:t>数据统计及评价情况见表3-1</w:t>
            </w:r>
            <w:r>
              <w:rPr>
                <w:rFonts w:hint="default" w:ascii="Times New Roman" w:hAnsi="Times New Roman" w:cs="Times New Roman"/>
                <w:color w:val="auto"/>
                <w:sz w:val="21"/>
                <w:szCs w:val="21"/>
                <w:highlight w:val="none"/>
              </w:rPr>
              <w:t>。</w:t>
            </w:r>
          </w:p>
          <w:p w14:paraId="5C851DAB">
            <w:pPr>
              <w:pStyle w:val="578"/>
              <w:keepNext w:val="0"/>
              <w:keepLines w:val="0"/>
              <w:pageBreakBefore w:val="0"/>
              <w:widowControl w:val="0"/>
              <w:tabs>
                <w:tab w:val="left" w:pos="377"/>
              </w:tabs>
              <w:kinsoku/>
              <w:wordWrap/>
              <w:overflowPunct/>
              <w:topLinePunct w:val="0"/>
              <w:autoSpaceDE/>
              <w:autoSpaceDN/>
              <w:bidi w:val="0"/>
              <w:adjustRightInd w:val="0"/>
              <w:snapToGrid w:val="0"/>
              <w:spacing w:before="0" w:afterLines="0" w:line="360" w:lineRule="auto"/>
              <w:ind w:left="0" w:right="0"/>
              <w:textAlignment w:val="auto"/>
              <w:rPr>
                <w:rFonts w:hint="default" w:ascii="Times New Roman" w:hAnsi="Times New Roman" w:eastAsia="宋体" w:cs="Times New Roman"/>
                <w:b/>
                <w:bCs w:val="0"/>
                <w:color w:val="auto"/>
                <w:sz w:val="21"/>
                <w:szCs w:val="21"/>
                <w:highlight w:val="none"/>
              </w:rPr>
            </w:pPr>
            <w:r>
              <w:rPr>
                <w:rFonts w:hint="default" w:ascii="Times New Roman" w:hAnsi="Times New Roman" w:eastAsia="宋体" w:cs="Times New Roman"/>
                <w:b/>
                <w:bCs w:val="0"/>
                <w:color w:val="auto"/>
                <w:sz w:val="21"/>
                <w:szCs w:val="21"/>
                <w:highlight w:val="none"/>
              </w:rPr>
              <w:t xml:space="preserve">表3-1 </w:t>
            </w:r>
            <w:r>
              <w:rPr>
                <w:rFonts w:hint="default" w:ascii="Times New Roman" w:hAnsi="Times New Roman" w:eastAsia="宋体" w:cs="Times New Roman"/>
                <w:b/>
                <w:bCs w:val="0"/>
                <w:color w:val="auto"/>
                <w:sz w:val="21"/>
                <w:szCs w:val="21"/>
                <w:highlight w:val="none"/>
                <w:lang w:val="en-US" w:eastAsia="zh-CN"/>
              </w:rPr>
              <w:t xml:space="preserve"> </w:t>
            </w:r>
            <w:r>
              <w:rPr>
                <w:rFonts w:hint="default" w:ascii="Times New Roman" w:hAnsi="Times New Roman" w:eastAsia="宋体" w:cs="Times New Roman"/>
                <w:b/>
                <w:bCs w:val="0"/>
                <w:color w:val="auto"/>
                <w:sz w:val="21"/>
                <w:szCs w:val="21"/>
                <w:highlight w:val="none"/>
              </w:rPr>
              <w:t>202</w:t>
            </w:r>
            <w:r>
              <w:rPr>
                <w:rFonts w:hint="default" w:ascii="Times New Roman" w:hAnsi="Times New Roman" w:eastAsia="宋体" w:cs="Times New Roman"/>
                <w:b/>
                <w:bCs w:val="0"/>
                <w:color w:val="auto"/>
                <w:sz w:val="21"/>
                <w:szCs w:val="21"/>
                <w:highlight w:val="none"/>
                <w:lang w:val="en-US" w:eastAsia="zh-CN"/>
              </w:rPr>
              <w:t>5</w:t>
            </w:r>
            <w:r>
              <w:rPr>
                <w:rFonts w:hint="default" w:ascii="Times New Roman" w:hAnsi="Times New Roman" w:eastAsia="宋体" w:cs="Times New Roman"/>
                <w:b/>
                <w:bCs w:val="0"/>
                <w:color w:val="auto"/>
                <w:sz w:val="21"/>
                <w:szCs w:val="21"/>
                <w:highlight w:val="none"/>
              </w:rPr>
              <w:t>年</w:t>
            </w:r>
            <w:r>
              <w:rPr>
                <w:rFonts w:hint="default" w:ascii="Times New Roman" w:hAnsi="Times New Roman" w:eastAsia="宋体" w:cs="Times New Roman"/>
                <w:b/>
                <w:bCs w:val="0"/>
                <w:color w:val="auto"/>
                <w:sz w:val="21"/>
                <w:szCs w:val="21"/>
                <w:highlight w:val="none"/>
                <w:lang w:eastAsia="zh-CN"/>
              </w:rPr>
              <w:t>项目</w:t>
            </w:r>
            <w:r>
              <w:rPr>
                <w:rFonts w:hint="default" w:ascii="Times New Roman" w:hAnsi="Times New Roman" w:eastAsia="宋体" w:cs="Times New Roman"/>
                <w:b/>
                <w:bCs w:val="0"/>
                <w:color w:val="auto"/>
                <w:sz w:val="21"/>
                <w:szCs w:val="21"/>
                <w:highlight w:val="none"/>
              </w:rPr>
              <w:t>区域空气质量现状评价结果一览表</w:t>
            </w:r>
          </w:p>
          <w:tbl>
            <w:tblPr>
              <w:tblStyle w:val="83"/>
              <w:tblW w:w="4998"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5"/>
              <w:gridCol w:w="838"/>
              <w:gridCol w:w="2643"/>
              <w:gridCol w:w="918"/>
              <w:gridCol w:w="918"/>
              <w:gridCol w:w="953"/>
              <w:gridCol w:w="896"/>
            </w:tblGrid>
            <w:tr w14:paraId="490C2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53BFCCB8">
                  <w:pPr>
                    <w:pStyle w:val="376"/>
                    <w:spacing w:line="240" w:lineRule="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污染物</w:t>
                  </w:r>
                </w:p>
              </w:tc>
              <w:tc>
                <w:tcPr>
                  <w:tcW w:w="526" w:type="pct"/>
                  <w:tcBorders>
                    <w:tl2br w:val="nil"/>
                    <w:tr2bl w:val="nil"/>
                  </w:tcBorders>
                  <w:noWrap w:val="0"/>
                  <w:vAlign w:val="center"/>
                </w:tcPr>
                <w:p w14:paraId="3A9554E9">
                  <w:pPr>
                    <w:pStyle w:val="376"/>
                    <w:spacing w:line="240" w:lineRule="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单位</w:t>
                  </w:r>
                </w:p>
              </w:tc>
              <w:tc>
                <w:tcPr>
                  <w:tcW w:w="1659" w:type="pct"/>
                  <w:tcBorders>
                    <w:tl2br w:val="nil"/>
                    <w:tr2bl w:val="nil"/>
                  </w:tcBorders>
                  <w:noWrap w:val="0"/>
                  <w:vAlign w:val="center"/>
                </w:tcPr>
                <w:p w14:paraId="333D14FE">
                  <w:pPr>
                    <w:pStyle w:val="376"/>
                    <w:spacing w:line="240" w:lineRule="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年评价指标</w:t>
                  </w:r>
                </w:p>
              </w:tc>
              <w:tc>
                <w:tcPr>
                  <w:tcW w:w="576" w:type="pct"/>
                  <w:tcBorders>
                    <w:tl2br w:val="nil"/>
                    <w:tr2bl w:val="nil"/>
                  </w:tcBorders>
                  <w:noWrap w:val="0"/>
                  <w:vAlign w:val="center"/>
                </w:tcPr>
                <w:p w14:paraId="2912D484">
                  <w:pPr>
                    <w:pStyle w:val="376"/>
                    <w:spacing w:line="240" w:lineRule="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现状浓度</w:t>
                  </w:r>
                </w:p>
              </w:tc>
              <w:tc>
                <w:tcPr>
                  <w:tcW w:w="576" w:type="pct"/>
                  <w:tcBorders>
                    <w:tl2br w:val="nil"/>
                    <w:tr2bl w:val="nil"/>
                  </w:tcBorders>
                  <w:noWrap w:val="0"/>
                  <w:vAlign w:val="center"/>
                </w:tcPr>
                <w:p w14:paraId="472C07E6">
                  <w:pPr>
                    <w:pStyle w:val="376"/>
                    <w:spacing w:line="240" w:lineRule="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评价标准</w:t>
                  </w:r>
                </w:p>
              </w:tc>
              <w:tc>
                <w:tcPr>
                  <w:tcW w:w="598" w:type="pct"/>
                  <w:tcBorders>
                    <w:tl2br w:val="nil"/>
                    <w:tr2bl w:val="nil"/>
                  </w:tcBorders>
                  <w:noWrap w:val="0"/>
                  <w:vAlign w:val="center"/>
                </w:tcPr>
                <w:p w14:paraId="43123F9D">
                  <w:pPr>
                    <w:pStyle w:val="376"/>
                    <w:spacing w:line="240" w:lineRule="auto"/>
                    <w:rPr>
                      <w:rFonts w:hint="default" w:ascii="Times New Roman" w:hAnsi="Times New Roman" w:eastAsia="宋体" w:cs="Times New Roman"/>
                      <w:b/>
                      <w:color w:val="auto"/>
                      <w:sz w:val="18"/>
                      <w:szCs w:val="18"/>
                      <w:highlight w:val="none"/>
                      <w:lang w:val="en-US" w:eastAsia="zh-CN"/>
                    </w:rPr>
                  </w:pPr>
                  <w:r>
                    <w:rPr>
                      <w:rFonts w:hint="default" w:ascii="Times New Roman" w:hAnsi="Times New Roman" w:cs="Times New Roman"/>
                      <w:b/>
                      <w:color w:val="auto"/>
                      <w:sz w:val="18"/>
                      <w:szCs w:val="18"/>
                      <w:highlight w:val="none"/>
                    </w:rPr>
                    <w:t>占标率</w:t>
                  </w:r>
                  <w:r>
                    <w:rPr>
                      <w:rFonts w:hint="default" w:ascii="Times New Roman" w:hAnsi="Times New Roman" w:cs="Times New Roman"/>
                      <w:b/>
                      <w:color w:val="auto"/>
                      <w:sz w:val="18"/>
                      <w:szCs w:val="18"/>
                      <w:highlight w:val="none"/>
                      <w:lang w:val="en-US" w:eastAsia="zh-CN"/>
                    </w:rPr>
                    <w:t>%</w:t>
                  </w:r>
                </w:p>
              </w:tc>
              <w:tc>
                <w:tcPr>
                  <w:tcW w:w="562" w:type="pct"/>
                  <w:tcBorders>
                    <w:tl2br w:val="nil"/>
                    <w:tr2bl w:val="nil"/>
                  </w:tcBorders>
                  <w:noWrap w:val="0"/>
                  <w:vAlign w:val="center"/>
                </w:tcPr>
                <w:p w14:paraId="2666C3D6">
                  <w:pPr>
                    <w:pStyle w:val="376"/>
                    <w:spacing w:line="240" w:lineRule="auto"/>
                    <w:rPr>
                      <w:rFonts w:hint="default" w:ascii="Times New Roman" w:hAnsi="Times New Roman" w:cs="Times New Roman"/>
                      <w:b/>
                      <w:color w:val="auto"/>
                      <w:sz w:val="18"/>
                      <w:szCs w:val="18"/>
                      <w:highlight w:val="none"/>
                    </w:rPr>
                  </w:pPr>
                  <w:r>
                    <w:rPr>
                      <w:rFonts w:hint="default" w:ascii="Times New Roman" w:hAnsi="Times New Roman" w:cs="Times New Roman"/>
                      <w:b/>
                      <w:color w:val="auto"/>
                      <w:sz w:val="18"/>
                      <w:szCs w:val="18"/>
                      <w:highlight w:val="none"/>
                    </w:rPr>
                    <w:t>达标情况</w:t>
                  </w:r>
                </w:p>
              </w:tc>
            </w:tr>
            <w:tr w14:paraId="360B6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415D3026">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SO</w:t>
                  </w:r>
                  <w:r>
                    <w:rPr>
                      <w:rFonts w:hint="default" w:ascii="Times New Roman" w:hAnsi="Times New Roman" w:cs="Times New Roman"/>
                      <w:color w:val="auto"/>
                      <w:sz w:val="18"/>
                      <w:szCs w:val="18"/>
                      <w:highlight w:val="none"/>
                      <w:vertAlign w:val="subscript"/>
                    </w:rPr>
                    <w:t>2</w:t>
                  </w:r>
                </w:p>
              </w:tc>
              <w:tc>
                <w:tcPr>
                  <w:tcW w:w="526" w:type="pct"/>
                  <w:tcBorders>
                    <w:tl2br w:val="nil"/>
                    <w:tr2bl w:val="nil"/>
                  </w:tcBorders>
                  <w:noWrap w:val="0"/>
                  <w:vAlign w:val="center"/>
                </w:tcPr>
                <w:p w14:paraId="5564D488">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μg/m</w:t>
                  </w:r>
                  <w:r>
                    <w:rPr>
                      <w:rFonts w:hint="default" w:ascii="Times New Roman" w:hAnsi="Times New Roman" w:cs="Times New Roman"/>
                      <w:color w:val="auto"/>
                      <w:sz w:val="18"/>
                      <w:szCs w:val="18"/>
                      <w:highlight w:val="none"/>
                      <w:vertAlign w:val="superscript"/>
                    </w:rPr>
                    <w:t>3</w:t>
                  </w:r>
                </w:p>
              </w:tc>
              <w:tc>
                <w:tcPr>
                  <w:tcW w:w="1659" w:type="pct"/>
                  <w:tcBorders>
                    <w:tl2br w:val="nil"/>
                    <w:tr2bl w:val="nil"/>
                  </w:tcBorders>
                  <w:noWrap w:val="0"/>
                  <w:vAlign w:val="center"/>
                </w:tcPr>
                <w:p w14:paraId="5CBBC41D">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年平均质量浓度</w:t>
                  </w:r>
                </w:p>
              </w:tc>
              <w:tc>
                <w:tcPr>
                  <w:tcW w:w="918" w:type="dxa"/>
                  <w:tcBorders>
                    <w:tl2br w:val="nil"/>
                    <w:tr2bl w:val="nil"/>
                  </w:tcBorders>
                  <w:noWrap w:val="0"/>
                  <w:vAlign w:val="center"/>
                </w:tcPr>
                <w:p w14:paraId="26ED15D3">
                  <w:pPr>
                    <w:keepNext w:val="0"/>
                    <w:keepLines w:val="0"/>
                    <w:pageBreakBefore w:val="0"/>
                    <w:widowControl w:val="0"/>
                    <w:kinsoku/>
                    <w:wordWrap/>
                    <w:overflowPunct/>
                    <w:topLinePunct w:val="0"/>
                    <w:autoSpaceDE/>
                    <w:autoSpaceDN/>
                    <w:bidi w:val="0"/>
                    <w:adjustRightInd/>
                    <w:snapToGrid/>
                    <w:spacing w:before="101" w:line="195"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pacing w:val="-8"/>
                      <w:sz w:val="18"/>
                      <w:szCs w:val="18"/>
                      <w:highlight w:val="none"/>
                    </w:rPr>
                    <w:t>1</w:t>
                  </w:r>
                  <w:r>
                    <w:rPr>
                      <w:rFonts w:hint="default" w:ascii="Times New Roman" w:hAnsi="Times New Roman" w:eastAsia="宋体" w:cs="Times New Roman"/>
                      <w:color w:val="auto"/>
                      <w:spacing w:val="-8"/>
                      <w:sz w:val="18"/>
                      <w:szCs w:val="18"/>
                      <w:highlight w:val="none"/>
                      <w:lang w:val="en-US" w:eastAsia="zh-CN"/>
                    </w:rPr>
                    <w:t>1</w:t>
                  </w:r>
                </w:p>
              </w:tc>
              <w:tc>
                <w:tcPr>
                  <w:tcW w:w="918" w:type="dxa"/>
                  <w:tcBorders>
                    <w:tl2br w:val="nil"/>
                    <w:tr2bl w:val="nil"/>
                  </w:tcBorders>
                  <w:noWrap w:val="0"/>
                  <w:vAlign w:val="center"/>
                </w:tcPr>
                <w:p w14:paraId="2A2A490D">
                  <w:pPr>
                    <w:keepNext w:val="0"/>
                    <w:keepLines w:val="0"/>
                    <w:pageBreakBefore w:val="0"/>
                    <w:widowControl w:val="0"/>
                    <w:kinsoku/>
                    <w:wordWrap/>
                    <w:overflowPunct/>
                    <w:topLinePunct w:val="0"/>
                    <w:autoSpaceDE/>
                    <w:autoSpaceDN/>
                    <w:bidi w:val="0"/>
                    <w:adjustRightInd/>
                    <w:snapToGrid/>
                    <w:spacing w:before="101" w:line="195"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60</w:t>
                  </w:r>
                </w:p>
              </w:tc>
              <w:tc>
                <w:tcPr>
                  <w:tcW w:w="977" w:type="dxa"/>
                  <w:tcBorders>
                    <w:tl2br w:val="nil"/>
                    <w:tr2bl w:val="nil"/>
                  </w:tcBorders>
                  <w:noWrap w:val="0"/>
                  <w:vAlign w:val="center"/>
                </w:tcPr>
                <w:p w14:paraId="0F2D996A">
                  <w:pPr>
                    <w:keepNext w:val="0"/>
                    <w:keepLines w:val="0"/>
                    <w:pageBreakBefore w:val="0"/>
                    <w:widowControl w:val="0"/>
                    <w:kinsoku/>
                    <w:wordWrap/>
                    <w:overflowPunct/>
                    <w:topLinePunct w:val="0"/>
                    <w:autoSpaceDE/>
                    <w:autoSpaceDN/>
                    <w:bidi w:val="0"/>
                    <w:adjustRightInd/>
                    <w:snapToGrid/>
                    <w:spacing w:before="101" w:line="195"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18.3</w:t>
                  </w:r>
                </w:p>
              </w:tc>
              <w:tc>
                <w:tcPr>
                  <w:tcW w:w="562" w:type="pct"/>
                  <w:tcBorders>
                    <w:tl2br w:val="nil"/>
                    <w:tr2bl w:val="nil"/>
                  </w:tcBorders>
                  <w:noWrap w:val="0"/>
                  <w:vAlign w:val="center"/>
                </w:tcPr>
                <w:p w14:paraId="4B7D7808">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r w14:paraId="2701B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09817314">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NO</w:t>
                  </w:r>
                  <w:r>
                    <w:rPr>
                      <w:rFonts w:hint="default" w:ascii="Times New Roman" w:hAnsi="Times New Roman" w:cs="Times New Roman"/>
                      <w:color w:val="auto"/>
                      <w:sz w:val="18"/>
                      <w:szCs w:val="18"/>
                      <w:highlight w:val="none"/>
                      <w:vertAlign w:val="subscript"/>
                    </w:rPr>
                    <w:t>2</w:t>
                  </w:r>
                </w:p>
              </w:tc>
              <w:tc>
                <w:tcPr>
                  <w:tcW w:w="526" w:type="pct"/>
                  <w:tcBorders>
                    <w:tl2br w:val="nil"/>
                    <w:tr2bl w:val="nil"/>
                  </w:tcBorders>
                  <w:noWrap w:val="0"/>
                  <w:vAlign w:val="center"/>
                </w:tcPr>
                <w:p w14:paraId="388E5A23">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μg/m</w:t>
                  </w:r>
                  <w:r>
                    <w:rPr>
                      <w:rFonts w:hint="default" w:ascii="Times New Roman" w:hAnsi="Times New Roman" w:cs="Times New Roman"/>
                      <w:color w:val="auto"/>
                      <w:sz w:val="18"/>
                      <w:szCs w:val="18"/>
                      <w:highlight w:val="none"/>
                      <w:vertAlign w:val="superscript"/>
                    </w:rPr>
                    <w:t>3</w:t>
                  </w:r>
                </w:p>
              </w:tc>
              <w:tc>
                <w:tcPr>
                  <w:tcW w:w="1659" w:type="pct"/>
                  <w:tcBorders>
                    <w:tl2br w:val="nil"/>
                    <w:tr2bl w:val="nil"/>
                  </w:tcBorders>
                  <w:noWrap w:val="0"/>
                  <w:vAlign w:val="center"/>
                </w:tcPr>
                <w:p w14:paraId="3281B73F">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年平均质量浓度</w:t>
                  </w:r>
                </w:p>
              </w:tc>
              <w:tc>
                <w:tcPr>
                  <w:tcW w:w="918" w:type="dxa"/>
                  <w:tcBorders>
                    <w:tl2br w:val="nil"/>
                    <w:tr2bl w:val="nil"/>
                  </w:tcBorders>
                  <w:noWrap w:val="0"/>
                  <w:vAlign w:val="center"/>
                </w:tcPr>
                <w:p w14:paraId="0600FA4D">
                  <w:pPr>
                    <w:keepNext w:val="0"/>
                    <w:keepLines w:val="0"/>
                    <w:pageBreakBefore w:val="0"/>
                    <w:widowControl w:val="0"/>
                    <w:kinsoku/>
                    <w:wordWrap/>
                    <w:overflowPunct/>
                    <w:topLinePunct w:val="0"/>
                    <w:autoSpaceDE/>
                    <w:autoSpaceDN/>
                    <w:bidi w:val="0"/>
                    <w:adjustRightInd/>
                    <w:snapToGrid/>
                    <w:spacing w:before="102" w:line="195"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ascii="Times New Roman" w:hAnsi="Times New Roman" w:eastAsia="Times New Roman" w:cs="Times New Roman"/>
                      <w:color w:val="auto"/>
                      <w:spacing w:val="2"/>
                      <w:sz w:val="18"/>
                      <w:szCs w:val="18"/>
                      <w:highlight w:val="none"/>
                    </w:rPr>
                    <w:t>2</w:t>
                  </w:r>
                  <w:r>
                    <w:rPr>
                      <w:rFonts w:hint="eastAsia" w:eastAsia="宋体" w:cs="Times New Roman"/>
                      <w:color w:val="auto"/>
                      <w:spacing w:val="2"/>
                      <w:sz w:val="18"/>
                      <w:szCs w:val="18"/>
                      <w:highlight w:val="none"/>
                      <w:lang w:val="en-US" w:eastAsia="zh-CN"/>
                    </w:rPr>
                    <w:t>7</w:t>
                  </w:r>
                </w:p>
              </w:tc>
              <w:tc>
                <w:tcPr>
                  <w:tcW w:w="918" w:type="dxa"/>
                  <w:tcBorders>
                    <w:tl2br w:val="nil"/>
                    <w:tr2bl w:val="nil"/>
                  </w:tcBorders>
                  <w:noWrap w:val="0"/>
                  <w:vAlign w:val="center"/>
                </w:tcPr>
                <w:p w14:paraId="4516F470">
                  <w:pPr>
                    <w:keepNext w:val="0"/>
                    <w:keepLines w:val="0"/>
                    <w:pageBreakBefore w:val="0"/>
                    <w:widowControl w:val="0"/>
                    <w:kinsoku/>
                    <w:wordWrap/>
                    <w:overflowPunct/>
                    <w:topLinePunct w:val="0"/>
                    <w:autoSpaceDE/>
                    <w:autoSpaceDN/>
                    <w:bidi w:val="0"/>
                    <w:adjustRightInd/>
                    <w:snapToGrid/>
                    <w:spacing w:before="102" w:line="195"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ascii="Times New Roman" w:hAnsi="Times New Roman" w:eastAsia="Times New Roman" w:cs="Times New Roman"/>
                      <w:color w:val="auto"/>
                      <w:spacing w:val="3"/>
                      <w:sz w:val="18"/>
                      <w:szCs w:val="18"/>
                      <w:highlight w:val="none"/>
                    </w:rPr>
                    <w:t>40</w:t>
                  </w:r>
                </w:p>
              </w:tc>
              <w:tc>
                <w:tcPr>
                  <w:tcW w:w="977" w:type="dxa"/>
                  <w:tcBorders>
                    <w:tl2br w:val="nil"/>
                    <w:tr2bl w:val="nil"/>
                  </w:tcBorders>
                  <w:noWrap w:val="0"/>
                  <w:vAlign w:val="center"/>
                </w:tcPr>
                <w:p w14:paraId="4485D14B">
                  <w:pPr>
                    <w:keepNext w:val="0"/>
                    <w:keepLines w:val="0"/>
                    <w:pageBreakBefore w:val="0"/>
                    <w:widowControl w:val="0"/>
                    <w:kinsoku/>
                    <w:wordWrap/>
                    <w:overflowPunct/>
                    <w:topLinePunct w:val="0"/>
                    <w:autoSpaceDE/>
                    <w:autoSpaceDN/>
                    <w:bidi w:val="0"/>
                    <w:adjustRightInd/>
                    <w:snapToGrid/>
                    <w:spacing w:before="102" w:line="195"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ascii="Times New Roman" w:hAnsi="Times New Roman" w:eastAsia="Times New Roman" w:cs="Times New Roman"/>
                      <w:color w:val="auto"/>
                      <w:spacing w:val="2"/>
                      <w:sz w:val="18"/>
                      <w:szCs w:val="18"/>
                      <w:highlight w:val="none"/>
                    </w:rPr>
                    <w:t>6</w:t>
                  </w:r>
                  <w:r>
                    <w:rPr>
                      <w:rFonts w:hint="eastAsia" w:eastAsia="宋体" w:cs="Times New Roman"/>
                      <w:color w:val="auto"/>
                      <w:spacing w:val="2"/>
                      <w:sz w:val="18"/>
                      <w:szCs w:val="18"/>
                      <w:highlight w:val="none"/>
                      <w:lang w:val="en-US" w:eastAsia="zh-CN"/>
                    </w:rPr>
                    <w:t>7.5</w:t>
                  </w:r>
                </w:p>
              </w:tc>
              <w:tc>
                <w:tcPr>
                  <w:tcW w:w="562" w:type="pct"/>
                  <w:tcBorders>
                    <w:tl2br w:val="nil"/>
                    <w:tr2bl w:val="nil"/>
                  </w:tcBorders>
                  <w:noWrap w:val="0"/>
                  <w:vAlign w:val="center"/>
                </w:tcPr>
                <w:p w14:paraId="15BDC88C">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r w14:paraId="6DF0F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29CDEA01">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PM</w:t>
                  </w:r>
                  <w:r>
                    <w:rPr>
                      <w:rFonts w:hint="default" w:ascii="Times New Roman" w:hAnsi="Times New Roman" w:cs="Times New Roman"/>
                      <w:color w:val="auto"/>
                      <w:sz w:val="18"/>
                      <w:szCs w:val="18"/>
                      <w:highlight w:val="none"/>
                      <w:vertAlign w:val="subscript"/>
                    </w:rPr>
                    <w:t>10</w:t>
                  </w:r>
                </w:p>
              </w:tc>
              <w:tc>
                <w:tcPr>
                  <w:tcW w:w="526" w:type="pct"/>
                  <w:tcBorders>
                    <w:tl2br w:val="nil"/>
                    <w:tr2bl w:val="nil"/>
                  </w:tcBorders>
                  <w:noWrap w:val="0"/>
                  <w:vAlign w:val="center"/>
                </w:tcPr>
                <w:p w14:paraId="218BBDF4">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μg/m</w:t>
                  </w:r>
                  <w:r>
                    <w:rPr>
                      <w:rFonts w:hint="default" w:ascii="Times New Roman" w:hAnsi="Times New Roman" w:cs="Times New Roman"/>
                      <w:color w:val="auto"/>
                      <w:sz w:val="18"/>
                      <w:szCs w:val="18"/>
                      <w:highlight w:val="none"/>
                      <w:vertAlign w:val="superscript"/>
                    </w:rPr>
                    <w:t>3</w:t>
                  </w:r>
                </w:p>
              </w:tc>
              <w:tc>
                <w:tcPr>
                  <w:tcW w:w="1659" w:type="pct"/>
                  <w:tcBorders>
                    <w:tl2br w:val="nil"/>
                    <w:tr2bl w:val="nil"/>
                  </w:tcBorders>
                  <w:noWrap w:val="0"/>
                  <w:vAlign w:val="center"/>
                </w:tcPr>
                <w:p w14:paraId="40C5D7C8">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年平均质量浓度</w:t>
                  </w:r>
                </w:p>
              </w:tc>
              <w:tc>
                <w:tcPr>
                  <w:tcW w:w="918" w:type="dxa"/>
                  <w:tcBorders>
                    <w:tl2br w:val="nil"/>
                    <w:tr2bl w:val="nil"/>
                  </w:tcBorders>
                  <w:noWrap w:val="0"/>
                  <w:vAlign w:val="center"/>
                </w:tcPr>
                <w:p w14:paraId="5170B94C">
                  <w:pPr>
                    <w:keepNext w:val="0"/>
                    <w:keepLines w:val="0"/>
                    <w:pageBreakBefore w:val="0"/>
                    <w:widowControl w:val="0"/>
                    <w:kinsoku/>
                    <w:wordWrap/>
                    <w:overflowPunct/>
                    <w:topLinePunct w:val="0"/>
                    <w:autoSpaceDE/>
                    <w:autoSpaceDN/>
                    <w:bidi w:val="0"/>
                    <w:adjustRightInd/>
                    <w:snapToGrid/>
                    <w:spacing w:before="104" w:line="195"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59</w:t>
                  </w:r>
                </w:p>
              </w:tc>
              <w:tc>
                <w:tcPr>
                  <w:tcW w:w="918" w:type="dxa"/>
                  <w:tcBorders>
                    <w:tl2br w:val="nil"/>
                    <w:tr2bl w:val="nil"/>
                  </w:tcBorders>
                  <w:noWrap w:val="0"/>
                  <w:vAlign w:val="center"/>
                </w:tcPr>
                <w:p w14:paraId="4D64AACA">
                  <w:pPr>
                    <w:keepNext w:val="0"/>
                    <w:keepLines w:val="0"/>
                    <w:pageBreakBefore w:val="0"/>
                    <w:widowControl w:val="0"/>
                    <w:kinsoku/>
                    <w:wordWrap/>
                    <w:overflowPunct/>
                    <w:topLinePunct w:val="0"/>
                    <w:autoSpaceDE/>
                    <w:autoSpaceDN/>
                    <w:bidi w:val="0"/>
                    <w:adjustRightInd/>
                    <w:snapToGrid/>
                    <w:spacing w:before="104" w:line="195"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ascii="Times New Roman" w:hAnsi="Times New Roman" w:eastAsia="Times New Roman" w:cs="Times New Roman"/>
                      <w:color w:val="auto"/>
                      <w:spacing w:val="1"/>
                      <w:sz w:val="18"/>
                      <w:szCs w:val="18"/>
                      <w:highlight w:val="none"/>
                    </w:rPr>
                    <w:t>70</w:t>
                  </w:r>
                </w:p>
              </w:tc>
              <w:tc>
                <w:tcPr>
                  <w:tcW w:w="977" w:type="dxa"/>
                  <w:tcBorders>
                    <w:tl2br w:val="nil"/>
                    <w:tr2bl w:val="nil"/>
                  </w:tcBorders>
                  <w:noWrap w:val="0"/>
                  <w:vAlign w:val="center"/>
                </w:tcPr>
                <w:p w14:paraId="4A1605B0">
                  <w:pPr>
                    <w:keepNext w:val="0"/>
                    <w:keepLines w:val="0"/>
                    <w:pageBreakBefore w:val="0"/>
                    <w:widowControl w:val="0"/>
                    <w:kinsoku/>
                    <w:wordWrap/>
                    <w:overflowPunct/>
                    <w:topLinePunct w:val="0"/>
                    <w:autoSpaceDE/>
                    <w:autoSpaceDN/>
                    <w:bidi w:val="0"/>
                    <w:adjustRightInd/>
                    <w:snapToGrid/>
                    <w:spacing w:before="104" w:line="195"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ascii="Times New Roman" w:hAnsi="Times New Roman" w:eastAsia="Times New Roman" w:cs="Times New Roman"/>
                      <w:color w:val="auto"/>
                      <w:spacing w:val="2"/>
                      <w:sz w:val="18"/>
                      <w:szCs w:val="18"/>
                      <w:highlight w:val="none"/>
                    </w:rPr>
                    <w:t>8</w:t>
                  </w:r>
                  <w:r>
                    <w:rPr>
                      <w:rFonts w:hint="eastAsia" w:eastAsia="宋体" w:cs="Times New Roman"/>
                      <w:color w:val="auto"/>
                      <w:spacing w:val="2"/>
                      <w:sz w:val="18"/>
                      <w:szCs w:val="18"/>
                      <w:highlight w:val="none"/>
                      <w:lang w:val="en-US" w:eastAsia="zh-CN"/>
                    </w:rPr>
                    <w:t>4.3</w:t>
                  </w:r>
                </w:p>
              </w:tc>
              <w:tc>
                <w:tcPr>
                  <w:tcW w:w="562" w:type="pct"/>
                  <w:tcBorders>
                    <w:tl2br w:val="nil"/>
                    <w:tr2bl w:val="nil"/>
                  </w:tcBorders>
                  <w:noWrap w:val="0"/>
                  <w:vAlign w:val="center"/>
                </w:tcPr>
                <w:p w14:paraId="11063F91">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r w14:paraId="26776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14F6F931">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PM</w:t>
                  </w:r>
                  <w:r>
                    <w:rPr>
                      <w:rFonts w:hint="default" w:ascii="Times New Roman" w:hAnsi="Times New Roman" w:cs="Times New Roman"/>
                      <w:color w:val="auto"/>
                      <w:sz w:val="18"/>
                      <w:szCs w:val="18"/>
                      <w:highlight w:val="none"/>
                      <w:vertAlign w:val="subscript"/>
                    </w:rPr>
                    <w:t>2.5</w:t>
                  </w:r>
                </w:p>
              </w:tc>
              <w:tc>
                <w:tcPr>
                  <w:tcW w:w="526" w:type="pct"/>
                  <w:tcBorders>
                    <w:tl2br w:val="nil"/>
                    <w:tr2bl w:val="nil"/>
                  </w:tcBorders>
                  <w:noWrap w:val="0"/>
                  <w:vAlign w:val="center"/>
                </w:tcPr>
                <w:p w14:paraId="13DD94BE">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μg/m</w:t>
                  </w:r>
                  <w:r>
                    <w:rPr>
                      <w:rFonts w:hint="default" w:ascii="Times New Roman" w:hAnsi="Times New Roman" w:cs="Times New Roman"/>
                      <w:color w:val="auto"/>
                      <w:sz w:val="18"/>
                      <w:szCs w:val="18"/>
                      <w:highlight w:val="none"/>
                      <w:vertAlign w:val="superscript"/>
                    </w:rPr>
                    <w:t>3</w:t>
                  </w:r>
                </w:p>
              </w:tc>
              <w:tc>
                <w:tcPr>
                  <w:tcW w:w="1659" w:type="pct"/>
                  <w:tcBorders>
                    <w:tl2br w:val="nil"/>
                    <w:tr2bl w:val="nil"/>
                  </w:tcBorders>
                  <w:noWrap w:val="0"/>
                  <w:vAlign w:val="center"/>
                </w:tcPr>
                <w:p w14:paraId="2732A79E">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年平均质量浓度</w:t>
                  </w:r>
                </w:p>
              </w:tc>
              <w:tc>
                <w:tcPr>
                  <w:tcW w:w="918" w:type="dxa"/>
                  <w:tcBorders>
                    <w:tl2br w:val="nil"/>
                    <w:tr2bl w:val="nil"/>
                  </w:tcBorders>
                  <w:noWrap w:val="0"/>
                  <w:vAlign w:val="center"/>
                </w:tcPr>
                <w:p w14:paraId="28AE0553">
                  <w:pPr>
                    <w:keepNext w:val="0"/>
                    <w:keepLines w:val="0"/>
                    <w:pageBreakBefore w:val="0"/>
                    <w:widowControl w:val="0"/>
                    <w:kinsoku/>
                    <w:wordWrap/>
                    <w:overflowPunct/>
                    <w:topLinePunct w:val="0"/>
                    <w:autoSpaceDE/>
                    <w:autoSpaceDN/>
                    <w:bidi w:val="0"/>
                    <w:adjustRightInd/>
                    <w:snapToGrid/>
                    <w:spacing w:before="105" w:line="195"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ascii="Times New Roman" w:hAnsi="Times New Roman" w:eastAsia="Times New Roman" w:cs="Times New Roman"/>
                      <w:color w:val="auto"/>
                      <w:sz w:val="18"/>
                      <w:szCs w:val="18"/>
                      <w:highlight w:val="none"/>
                    </w:rPr>
                    <w:t>3</w:t>
                  </w:r>
                  <w:r>
                    <w:rPr>
                      <w:rFonts w:hint="eastAsia" w:eastAsia="宋体" w:cs="Times New Roman"/>
                      <w:color w:val="auto"/>
                      <w:sz w:val="18"/>
                      <w:szCs w:val="18"/>
                      <w:highlight w:val="none"/>
                      <w:lang w:val="en-US" w:eastAsia="zh-CN"/>
                    </w:rPr>
                    <w:t>5</w:t>
                  </w:r>
                </w:p>
              </w:tc>
              <w:tc>
                <w:tcPr>
                  <w:tcW w:w="918" w:type="dxa"/>
                  <w:tcBorders>
                    <w:tl2br w:val="nil"/>
                    <w:tr2bl w:val="nil"/>
                  </w:tcBorders>
                  <w:noWrap w:val="0"/>
                  <w:vAlign w:val="center"/>
                </w:tcPr>
                <w:p w14:paraId="714D1EAC">
                  <w:pPr>
                    <w:keepNext w:val="0"/>
                    <w:keepLines w:val="0"/>
                    <w:pageBreakBefore w:val="0"/>
                    <w:widowControl w:val="0"/>
                    <w:kinsoku/>
                    <w:wordWrap/>
                    <w:overflowPunct/>
                    <w:topLinePunct w:val="0"/>
                    <w:autoSpaceDE/>
                    <w:autoSpaceDN/>
                    <w:bidi w:val="0"/>
                    <w:adjustRightInd/>
                    <w:snapToGrid/>
                    <w:spacing w:before="105" w:line="195"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ascii="Times New Roman" w:hAnsi="Times New Roman" w:eastAsia="Times New Roman" w:cs="Times New Roman"/>
                      <w:color w:val="auto"/>
                      <w:sz w:val="18"/>
                      <w:szCs w:val="18"/>
                      <w:highlight w:val="none"/>
                    </w:rPr>
                    <w:t>35</w:t>
                  </w:r>
                </w:p>
              </w:tc>
              <w:tc>
                <w:tcPr>
                  <w:tcW w:w="977" w:type="dxa"/>
                  <w:tcBorders>
                    <w:tl2br w:val="nil"/>
                    <w:tr2bl w:val="nil"/>
                  </w:tcBorders>
                  <w:noWrap w:val="0"/>
                  <w:vAlign w:val="center"/>
                </w:tcPr>
                <w:p w14:paraId="4CB8F670">
                  <w:pPr>
                    <w:keepNext w:val="0"/>
                    <w:keepLines w:val="0"/>
                    <w:pageBreakBefore w:val="0"/>
                    <w:widowControl w:val="0"/>
                    <w:kinsoku/>
                    <w:wordWrap/>
                    <w:overflowPunct/>
                    <w:topLinePunct w:val="0"/>
                    <w:autoSpaceDE/>
                    <w:autoSpaceDN/>
                    <w:bidi w:val="0"/>
                    <w:adjustRightInd/>
                    <w:snapToGrid/>
                    <w:spacing w:before="105" w:line="195"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ascii="Times New Roman" w:hAnsi="Times New Roman" w:eastAsia="Times New Roman" w:cs="Times New Roman"/>
                      <w:color w:val="auto"/>
                      <w:sz w:val="18"/>
                      <w:szCs w:val="18"/>
                      <w:highlight w:val="none"/>
                    </w:rPr>
                    <w:t>10</w:t>
                  </w:r>
                  <w:r>
                    <w:rPr>
                      <w:rFonts w:hint="eastAsia" w:eastAsia="宋体" w:cs="Times New Roman"/>
                      <w:color w:val="auto"/>
                      <w:sz w:val="18"/>
                      <w:szCs w:val="18"/>
                      <w:highlight w:val="none"/>
                      <w:lang w:val="en-US" w:eastAsia="zh-CN"/>
                    </w:rPr>
                    <w:t>0.0</w:t>
                  </w:r>
                </w:p>
              </w:tc>
              <w:tc>
                <w:tcPr>
                  <w:tcW w:w="562" w:type="pct"/>
                  <w:tcBorders>
                    <w:tl2br w:val="nil"/>
                    <w:tr2bl w:val="nil"/>
                  </w:tcBorders>
                  <w:noWrap w:val="0"/>
                  <w:vAlign w:val="center"/>
                </w:tcPr>
                <w:p w14:paraId="44E6CEB0">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r w14:paraId="1760D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5E88D597">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CO</w:t>
                  </w:r>
                </w:p>
              </w:tc>
              <w:tc>
                <w:tcPr>
                  <w:tcW w:w="526" w:type="pct"/>
                  <w:tcBorders>
                    <w:tl2br w:val="nil"/>
                    <w:tr2bl w:val="nil"/>
                  </w:tcBorders>
                  <w:noWrap w:val="0"/>
                  <w:vAlign w:val="center"/>
                </w:tcPr>
                <w:p w14:paraId="373AC5D7">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mg/m</w:t>
                  </w:r>
                  <w:r>
                    <w:rPr>
                      <w:rFonts w:hint="default" w:ascii="Times New Roman" w:hAnsi="Times New Roman" w:cs="Times New Roman"/>
                      <w:color w:val="auto"/>
                      <w:sz w:val="18"/>
                      <w:szCs w:val="18"/>
                      <w:highlight w:val="none"/>
                      <w:vertAlign w:val="superscript"/>
                    </w:rPr>
                    <w:t>3</w:t>
                  </w:r>
                </w:p>
              </w:tc>
              <w:tc>
                <w:tcPr>
                  <w:tcW w:w="1659" w:type="pct"/>
                  <w:tcBorders>
                    <w:tl2br w:val="nil"/>
                    <w:tr2bl w:val="nil"/>
                  </w:tcBorders>
                  <w:noWrap w:val="0"/>
                  <w:vAlign w:val="center"/>
                </w:tcPr>
                <w:p w14:paraId="12C3D650">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95%保证率日平均浓度</w:t>
                  </w:r>
                </w:p>
              </w:tc>
              <w:tc>
                <w:tcPr>
                  <w:tcW w:w="918" w:type="dxa"/>
                  <w:tcBorders>
                    <w:tl2br w:val="nil"/>
                    <w:tr2bl w:val="nil"/>
                  </w:tcBorders>
                  <w:noWrap w:val="0"/>
                  <w:vAlign w:val="center"/>
                </w:tcPr>
                <w:p w14:paraId="2917DA1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ascii="Times New Roman" w:hAnsi="Times New Roman" w:eastAsia="Times New Roman" w:cs="Times New Roman"/>
                      <w:color w:val="auto"/>
                      <w:spacing w:val="-6"/>
                      <w:sz w:val="18"/>
                      <w:szCs w:val="18"/>
                      <w:highlight w:val="none"/>
                    </w:rPr>
                    <w:t>1.</w:t>
                  </w:r>
                  <w:r>
                    <w:rPr>
                      <w:rFonts w:ascii="Times New Roman" w:hAnsi="Times New Roman" w:eastAsia="Times New Roman" w:cs="Times New Roman"/>
                      <w:color w:val="auto"/>
                      <w:spacing w:val="-25"/>
                      <w:sz w:val="18"/>
                      <w:szCs w:val="18"/>
                      <w:highlight w:val="none"/>
                    </w:rPr>
                    <w:t xml:space="preserve"> </w:t>
                  </w:r>
                  <w:r>
                    <w:rPr>
                      <w:rFonts w:ascii="Times New Roman" w:hAnsi="Times New Roman" w:eastAsia="Times New Roman" w:cs="Times New Roman"/>
                      <w:color w:val="auto"/>
                      <w:spacing w:val="-6"/>
                      <w:sz w:val="18"/>
                      <w:szCs w:val="18"/>
                      <w:highlight w:val="none"/>
                    </w:rPr>
                    <w:t>1</w:t>
                  </w:r>
                </w:p>
              </w:tc>
              <w:tc>
                <w:tcPr>
                  <w:tcW w:w="918" w:type="dxa"/>
                  <w:tcBorders>
                    <w:tl2br w:val="nil"/>
                    <w:tr2bl w:val="nil"/>
                  </w:tcBorders>
                  <w:noWrap w:val="0"/>
                  <w:vAlign w:val="center"/>
                </w:tcPr>
                <w:p w14:paraId="72CA8933">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ascii="Times New Roman" w:hAnsi="Times New Roman" w:eastAsia="Times New Roman" w:cs="Times New Roman"/>
                      <w:color w:val="auto"/>
                      <w:spacing w:val="1"/>
                      <w:sz w:val="18"/>
                      <w:szCs w:val="18"/>
                      <w:highlight w:val="none"/>
                    </w:rPr>
                    <w:t>4</w:t>
                  </w:r>
                </w:p>
              </w:tc>
              <w:tc>
                <w:tcPr>
                  <w:tcW w:w="977" w:type="dxa"/>
                  <w:tcBorders>
                    <w:tl2br w:val="nil"/>
                    <w:tr2bl w:val="nil"/>
                  </w:tcBorders>
                  <w:noWrap w:val="0"/>
                  <w:vAlign w:val="center"/>
                </w:tcPr>
                <w:p w14:paraId="6F8A7500">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ascii="Times New Roman" w:hAnsi="Times New Roman" w:eastAsia="Times New Roman" w:cs="Times New Roman"/>
                      <w:color w:val="auto"/>
                      <w:spacing w:val="4"/>
                      <w:sz w:val="18"/>
                      <w:szCs w:val="18"/>
                      <w:highlight w:val="none"/>
                    </w:rPr>
                    <w:t>27.5</w:t>
                  </w:r>
                </w:p>
              </w:tc>
              <w:tc>
                <w:tcPr>
                  <w:tcW w:w="562" w:type="pct"/>
                  <w:tcBorders>
                    <w:tl2br w:val="nil"/>
                    <w:tr2bl w:val="nil"/>
                  </w:tcBorders>
                  <w:noWrap w:val="0"/>
                  <w:vAlign w:val="center"/>
                </w:tcPr>
                <w:p w14:paraId="2E4C82BB">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达标</w:t>
                  </w:r>
                </w:p>
              </w:tc>
            </w:tr>
            <w:tr w14:paraId="7D673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271F7C3C">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O</w:t>
                  </w:r>
                  <w:r>
                    <w:rPr>
                      <w:rFonts w:hint="default" w:ascii="Times New Roman" w:hAnsi="Times New Roman" w:cs="Times New Roman"/>
                      <w:color w:val="auto"/>
                      <w:sz w:val="18"/>
                      <w:szCs w:val="18"/>
                      <w:highlight w:val="none"/>
                      <w:vertAlign w:val="subscript"/>
                    </w:rPr>
                    <w:t>3</w:t>
                  </w:r>
                </w:p>
              </w:tc>
              <w:tc>
                <w:tcPr>
                  <w:tcW w:w="526" w:type="pct"/>
                  <w:tcBorders>
                    <w:tl2br w:val="nil"/>
                    <w:tr2bl w:val="nil"/>
                  </w:tcBorders>
                  <w:noWrap w:val="0"/>
                  <w:vAlign w:val="center"/>
                </w:tcPr>
                <w:p w14:paraId="313A1D19">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μg/m</w:t>
                  </w:r>
                  <w:r>
                    <w:rPr>
                      <w:rFonts w:hint="default" w:ascii="Times New Roman" w:hAnsi="Times New Roman" w:cs="Times New Roman"/>
                      <w:color w:val="auto"/>
                      <w:sz w:val="18"/>
                      <w:szCs w:val="18"/>
                      <w:highlight w:val="none"/>
                      <w:vertAlign w:val="superscript"/>
                    </w:rPr>
                    <w:t>3</w:t>
                  </w:r>
                </w:p>
              </w:tc>
              <w:tc>
                <w:tcPr>
                  <w:tcW w:w="1659" w:type="pct"/>
                  <w:tcBorders>
                    <w:tl2br w:val="nil"/>
                    <w:tr2bl w:val="nil"/>
                  </w:tcBorders>
                  <w:noWrap w:val="0"/>
                  <w:vAlign w:val="center"/>
                </w:tcPr>
                <w:p w14:paraId="021D42D8">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90%保证率日最大8h滑动平均浓度</w:t>
                  </w:r>
                </w:p>
              </w:tc>
              <w:tc>
                <w:tcPr>
                  <w:tcW w:w="918" w:type="dxa"/>
                  <w:tcBorders>
                    <w:tl2br w:val="nil"/>
                    <w:tr2bl w:val="nil"/>
                  </w:tcBorders>
                  <w:noWrap w:val="0"/>
                  <w:vAlign w:val="center"/>
                </w:tcPr>
                <w:p w14:paraId="2EDB9387">
                  <w:pPr>
                    <w:keepNext w:val="0"/>
                    <w:keepLines w:val="0"/>
                    <w:pageBreakBefore w:val="0"/>
                    <w:widowControl w:val="0"/>
                    <w:kinsoku/>
                    <w:wordWrap/>
                    <w:overflowPunct/>
                    <w:topLinePunct w:val="0"/>
                    <w:autoSpaceDE/>
                    <w:autoSpaceDN/>
                    <w:bidi w:val="0"/>
                    <w:adjustRightInd/>
                    <w:snapToGrid/>
                    <w:spacing w:before="58" w:line="195"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ascii="Times New Roman" w:hAnsi="Times New Roman" w:eastAsia="Times New Roman" w:cs="Times New Roman"/>
                      <w:color w:val="auto"/>
                      <w:spacing w:val="-3"/>
                      <w:sz w:val="18"/>
                      <w:szCs w:val="18"/>
                      <w:highlight w:val="none"/>
                    </w:rPr>
                    <w:t>1</w:t>
                  </w:r>
                  <w:r>
                    <w:rPr>
                      <w:rFonts w:hint="eastAsia" w:eastAsia="宋体" w:cs="Times New Roman"/>
                      <w:color w:val="auto"/>
                      <w:spacing w:val="-3"/>
                      <w:sz w:val="18"/>
                      <w:szCs w:val="18"/>
                      <w:highlight w:val="none"/>
                      <w:lang w:val="en-US" w:eastAsia="zh-CN"/>
                    </w:rPr>
                    <w:t>69</w:t>
                  </w:r>
                </w:p>
              </w:tc>
              <w:tc>
                <w:tcPr>
                  <w:tcW w:w="918" w:type="dxa"/>
                  <w:tcBorders>
                    <w:tl2br w:val="nil"/>
                    <w:tr2bl w:val="nil"/>
                  </w:tcBorders>
                  <w:noWrap w:val="0"/>
                  <w:vAlign w:val="center"/>
                </w:tcPr>
                <w:p w14:paraId="5C06CC56">
                  <w:pPr>
                    <w:keepNext w:val="0"/>
                    <w:keepLines w:val="0"/>
                    <w:pageBreakBefore w:val="0"/>
                    <w:widowControl w:val="0"/>
                    <w:kinsoku/>
                    <w:wordWrap/>
                    <w:overflowPunct/>
                    <w:topLinePunct w:val="0"/>
                    <w:autoSpaceDE/>
                    <w:autoSpaceDN/>
                    <w:bidi w:val="0"/>
                    <w:adjustRightInd/>
                    <w:snapToGrid/>
                    <w:spacing w:before="58" w:line="195"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ascii="Times New Roman" w:hAnsi="Times New Roman" w:eastAsia="Times New Roman" w:cs="Times New Roman"/>
                      <w:color w:val="auto"/>
                      <w:spacing w:val="-3"/>
                      <w:sz w:val="18"/>
                      <w:szCs w:val="18"/>
                      <w:highlight w:val="none"/>
                    </w:rPr>
                    <w:t>160</w:t>
                  </w:r>
                </w:p>
              </w:tc>
              <w:tc>
                <w:tcPr>
                  <w:tcW w:w="977" w:type="dxa"/>
                  <w:tcBorders>
                    <w:tl2br w:val="nil"/>
                    <w:tr2bl w:val="nil"/>
                  </w:tcBorders>
                  <w:noWrap w:val="0"/>
                  <w:vAlign w:val="center"/>
                </w:tcPr>
                <w:p w14:paraId="5DDE00FE">
                  <w:pPr>
                    <w:keepNext w:val="0"/>
                    <w:keepLines w:val="0"/>
                    <w:pageBreakBefore w:val="0"/>
                    <w:widowControl w:val="0"/>
                    <w:kinsoku/>
                    <w:wordWrap/>
                    <w:overflowPunct/>
                    <w:topLinePunct w:val="0"/>
                    <w:autoSpaceDE/>
                    <w:autoSpaceDN/>
                    <w:bidi w:val="0"/>
                    <w:adjustRightInd/>
                    <w:snapToGrid/>
                    <w:spacing w:before="58" w:line="195"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ascii="Times New Roman" w:hAnsi="Times New Roman" w:eastAsia="Times New Roman" w:cs="Times New Roman"/>
                      <w:color w:val="auto"/>
                      <w:spacing w:val="-1"/>
                      <w:sz w:val="18"/>
                      <w:szCs w:val="18"/>
                      <w:highlight w:val="none"/>
                    </w:rPr>
                    <w:t>1</w:t>
                  </w:r>
                  <w:r>
                    <w:rPr>
                      <w:rFonts w:hint="eastAsia" w:eastAsia="宋体" w:cs="Times New Roman"/>
                      <w:color w:val="auto"/>
                      <w:spacing w:val="-1"/>
                      <w:sz w:val="18"/>
                      <w:szCs w:val="18"/>
                      <w:highlight w:val="none"/>
                      <w:lang w:val="en-US" w:eastAsia="zh-CN"/>
                    </w:rPr>
                    <w:t>05.6</w:t>
                  </w:r>
                </w:p>
              </w:tc>
              <w:tc>
                <w:tcPr>
                  <w:tcW w:w="562" w:type="pct"/>
                  <w:tcBorders>
                    <w:tl2br w:val="nil"/>
                    <w:tr2bl w:val="nil"/>
                  </w:tcBorders>
                  <w:noWrap w:val="0"/>
                  <w:vAlign w:val="center"/>
                </w:tcPr>
                <w:p w14:paraId="7913FD57">
                  <w:pPr>
                    <w:pStyle w:val="376"/>
                    <w:spacing w:line="240" w:lineRule="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超标</w:t>
                  </w:r>
                </w:p>
              </w:tc>
            </w:tr>
          </w:tbl>
          <w:p w14:paraId="7744C136">
            <w:pPr>
              <w:adjustRightInd w:val="0"/>
              <w:snapToGrid w:val="0"/>
              <w:spacing w:line="360" w:lineRule="auto"/>
              <w:ind w:firstLine="420" w:firstLineChars="20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根据上表，《环境空气质量标准》（GB3095-20</w:t>
            </w:r>
            <w:r>
              <w:rPr>
                <w:rFonts w:hint="default" w:ascii="Times New Roman" w:hAnsi="Times New Roman" w:cs="Times New Roman"/>
                <w:color w:val="auto"/>
                <w:kern w:val="0"/>
                <w:highlight w:val="none"/>
                <w:lang w:val="en-US" w:eastAsia="zh-CN"/>
              </w:rPr>
              <w:t>26</w:t>
            </w:r>
            <w:r>
              <w:rPr>
                <w:rFonts w:hint="default" w:ascii="Times New Roman" w:hAnsi="Times New Roman" w:cs="Times New Roman"/>
                <w:color w:val="auto"/>
                <w:kern w:val="0"/>
                <w:highlight w:val="none"/>
              </w:rPr>
              <w:t>）</w:t>
            </w:r>
            <w:r>
              <w:rPr>
                <w:rFonts w:hint="eastAsia" w:ascii="Times New Roman" w:hAnsi="Times New Roman" w:cs="Times New Roman"/>
                <w:color w:val="auto"/>
                <w:kern w:val="0"/>
                <w:highlight w:val="none"/>
                <w:lang w:val="en-US" w:eastAsia="zh-CN"/>
              </w:rPr>
              <w:t>为2026年3月1日实施，本</w:t>
            </w:r>
            <w:r>
              <w:rPr>
                <w:rFonts w:hint="eastAsia" w:cs="Times New Roman"/>
                <w:color w:val="auto"/>
                <w:kern w:val="0"/>
                <w:highlight w:val="none"/>
                <w:lang w:val="en-US" w:eastAsia="zh-CN"/>
              </w:rPr>
              <w:t>项目2025年项目区域空气质量按照</w:t>
            </w:r>
            <w:r>
              <w:rPr>
                <w:rFonts w:hint="default" w:ascii="Times New Roman" w:hAnsi="Times New Roman" w:cs="Times New Roman"/>
                <w:color w:val="auto"/>
                <w:kern w:val="0"/>
                <w:highlight w:val="none"/>
              </w:rPr>
              <w:t>《环境空气质量标准》</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GB3095-2012</w:t>
            </w:r>
            <w:r>
              <w:rPr>
                <w:rFonts w:hint="default" w:ascii="Times New Roman" w:hAnsi="Times New Roman" w:cs="Times New Roman"/>
                <w:color w:val="auto"/>
                <w:kern w:val="0"/>
                <w:highlight w:val="none"/>
                <w:lang w:eastAsia="zh-CN"/>
              </w:rPr>
              <w:t>）</w:t>
            </w:r>
            <w:r>
              <w:rPr>
                <w:rFonts w:hint="eastAsia" w:ascii="Times New Roman" w:hAnsi="Times New Roman" w:cs="Times New Roman"/>
                <w:color w:val="auto"/>
                <w:kern w:val="0"/>
                <w:highlight w:val="none"/>
                <w:lang w:val="en-US" w:eastAsia="zh-CN"/>
              </w:rPr>
              <w:t>及其修改单进行评价，由上表可知，</w:t>
            </w:r>
            <w:r>
              <w:rPr>
                <w:rFonts w:hint="eastAsia" w:cs="Times New Roman"/>
                <w:color w:val="auto"/>
                <w:kern w:val="0"/>
                <w:highlight w:val="none"/>
                <w:lang w:val="en-US" w:eastAsia="zh-CN"/>
              </w:rPr>
              <w:t>所在区域</w:t>
            </w:r>
            <w:r>
              <w:rPr>
                <w:rFonts w:hint="eastAsia" w:ascii="Times New Roman" w:hAnsi="Times New Roman" w:eastAsia="宋体" w:cs="Times New Roman"/>
                <w:color w:val="auto"/>
                <w:sz w:val="21"/>
                <w:szCs w:val="21"/>
                <w:highlight w:val="none"/>
                <w:shd w:val="clear" w:color="auto" w:fill="auto"/>
                <w:lang w:val="en-US" w:eastAsia="zh-CN"/>
              </w:rPr>
              <w:t>O</w:t>
            </w:r>
            <w:r>
              <w:rPr>
                <w:rFonts w:hint="eastAsia" w:ascii="Times New Roman" w:hAnsi="Times New Roman" w:eastAsia="宋体" w:cs="Times New Roman"/>
                <w:color w:val="auto"/>
                <w:sz w:val="21"/>
                <w:szCs w:val="21"/>
                <w:highlight w:val="none"/>
                <w:shd w:val="clear" w:color="auto" w:fill="auto"/>
                <w:vertAlign w:val="subscript"/>
                <w:lang w:val="en-US" w:eastAsia="zh-CN"/>
              </w:rPr>
              <w:t>3</w:t>
            </w:r>
            <w:r>
              <w:rPr>
                <w:rFonts w:hint="default" w:ascii="Times New Roman" w:hAnsi="Times New Roman" w:cs="Times New Roman"/>
                <w:color w:val="auto"/>
                <w:highlight w:val="none"/>
              </w:rPr>
              <w:t>浓度不</w:t>
            </w:r>
            <w:r>
              <w:rPr>
                <w:rFonts w:hint="default" w:ascii="Times New Roman" w:hAnsi="Times New Roman" w:cs="Times New Roman"/>
                <w:color w:val="auto"/>
                <w:kern w:val="0"/>
                <w:highlight w:val="none"/>
              </w:rPr>
              <w:t>满足《环境空气质量标准》</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GB3095-2012</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highlight w:val="none"/>
              </w:rPr>
              <w:t>及其修改单二级标准限值要求</w:t>
            </w:r>
            <w:r>
              <w:rPr>
                <w:rFonts w:hint="default" w:ascii="Times New Roman" w:hAnsi="Times New Roman" w:cs="Times New Roman"/>
                <w:color w:val="auto"/>
                <w:kern w:val="0"/>
                <w:highlight w:val="none"/>
              </w:rPr>
              <w:t>。</w:t>
            </w:r>
          </w:p>
          <w:p w14:paraId="29341D7A">
            <w:pPr>
              <w:adjustRightInd w:val="0"/>
              <w:snapToGrid w:val="0"/>
              <w:spacing w:line="360" w:lineRule="auto"/>
              <w:ind w:firstLine="420" w:firstLineChars="200"/>
              <w:rPr>
                <w:color w:val="auto"/>
              </w:rPr>
            </w:pPr>
            <w:r>
              <w:rPr>
                <w:color w:val="auto"/>
                <w:szCs w:val="21"/>
                <w:highlight w:val="none"/>
              </w:rPr>
              <w:t>根据《淄博市“十四五”生态环境保护规划》要求，以持续降低PM</w:t>
            </w:r>
            <w:r>
              <w:rPr>
                <w:color w:val="auto"/>
                <w:szCs w:val="21"/>
                <w:highlight w:val="none"/>
                <w:vertAlign w:val="subscript"/>
              </w:rPr>
              <w:t>2.5</w:t>
            </w:r>
            <w:r>
              <w:rPr>
                <w:color w:val="auto"/>
                <w:szCs w:val="21"/>
                <w:highlight w:val="none"/>
              </w:rPr>
              <w:t>浓度，不断提高空气质量优良天数比例，逐步消除重污染天气为目标任务，实施“六大减排工程”</w:t>
            </w:r>
            <w:r>
              <w:rPr>
                <w:rFonts w:hint="eastAsia"/>
                <w:color w:val="auto"/>
                <w:szCs w:val="21"/>
                <w:highlight w:val="none"/>
                <w:lang w:eastAsia="zh-CN"/>
              </w:rPr>
              <w:t>：</w:t>
            </w:r>
            <w:r>
              <w:rPr>
                <w:rFonts w:hint="eastAsia"/>
                <w:color w:val="auto"/>
                <w:szCs w:val="21"/>
                <w:highlight w:val="none"/>
                <w:lang w:val="en-US" w:eastAsia="zh-CN"/>
              </w:rPr>
              <w:t>①推动</w:t>
            </w:r>
            <w:r>
              <w:rPr>
                <w:color w:val="auto"/>
                <w:szCs w:val="21"/>
                <w:highlight w:val="none"/>
              </w:rPr>
              <w:t>产业结构升级</w:t>
            </w:r>
            <w:r>
              <w:rPr>
                <w:rFonts w:hint="eastAsia"/>
                <w:color w:val="auto"/>
                <w:szCs w:val="21"/>
                <w:highlight w:val="none"/>
                <w:lang w:val="en-US" w:eastAsia="zh-CN"/>
              </w:rPr>
              <w:t>减排</w:t>
            </w:r>
            <w:r>
              <w:rPr>
                <w:color w:val="auto"/>
                <w:szCs w:val="21"/>
                <w:highlight w:val="none"/>
              </w:rPr>
              <w:t>、</w:t>
            </w:r>
            <w:r>
              <w:rPr>
                <w:rFonts w:hint="eastAsia"/>
                <w:color w:val="auto"/>
                <w:szCs w:val="21"/>
                <w:highlight w:val="none"/>
                <w:lang w:val="en-US" w:eastAsia="zh-CN"/>
              </w:rPr>
              <w:t>②实施终端用能清洁化替代</w:t>
            </w:r>
            <w:r>
              <w:rPr>
                <w:color w:val="auto"/>
                <w:szCs w:val="21"/>
                <w:highlight w:val="none"/>
              </w:rPr>
              <w:t>、</w:t>
            </w:r>
            <w:r>
              <w:rPr>
                <w:rFonts w:hint="eastAsia"/>
                <w:color w:val="auto"/>
                <w:szCs w:val="21"/>
                <w:highlight w:val="none"/>
                <w:lang w:val="en-US" w:eastAsia="zh-CN"/>
              </w:rPr>
              <w:t>③构建高效集约绿色通道体系</w:t>
            </w:r>
            <w:r>
              <w:rPr>
                <w:color w:val="auto"/>
                <w:szCs w:val="21"/>
                <w:highlight w:val="none"/>
              </w:rPr>
              <w:t>、</w:t>
            </w:r>
            <w:r>
              <w:rPr>
                <w:rFonts w:hint="eastAsia"/>
                <w:color w:val="auto"/>
                <w:szCs w:val="21"/>
                <w:highlight w:val="none"/>
                <w:lang w:val="en-US" w:eastAsia="zh-CN"/>
              </w:rPr>
              <w:t>④全面加强</w:t>
            </w:r>
            <w:r>
              <w:rPr>
                <w:color w:val="auto"/>
                <w:szCs w:val="21"/>
                <w:highlight w:val="none"/>
              </w:rPr>
              <w:t>VOCs</w:t>
            </w:r>
            <w:r>
              <w:rPr>
                <w:rFonts w:hint="eastAsia"/>
                <w:color w:val="auto"/>
                <w:szCs w:val="21"/>
                <w:highlight w:val="none"/>
                <w:lang w:val="en-US" w:eastAsia="zh-CN"/>
              </w:rPr>
              <w:t>综合</w:t>
            </w:r>
            <w:r>
              <w:rPr>
                <w:color w:val="auto"/>
                <w:szCs w:val="21"/>
                <w:highlight w:val="none"/>
              </w:rPr>
              <w:t>治理、</w:t>
            </w:r>
            <w:r>
              <w:rPr>
                <w:rFonts w:hint="eastAsia"/>
                <w:color w:val="auto"/>
                <w:szCs w:val="21"/>
                <w:highlight w:val="none"/>
                <w:lang w:val="en-US" w:eastAsia="zh-CN"/>
              </w:rPr>
              <w:t>⑤推进</w:t>
            </w:r>
            <w:r>
              <w:rPr>
                <w:color w:val="auto"/>
                <w:szCs w:val="21"/>
                <w:highlight w:val="none"/>
              </w:rPr>
              <w:t>氮氧化物深度治理</w:t>
            </w:r>
            <w:r>
              <w:rPr>
                <w:rFonts w:hint="eastAsia"/>
                <w:color w:val="auto"/>
                <w:szCs w:val="21"/>
                <w:highlight w:val="none"/>
                <w:lang w:eastAsia="zh-CN"/>
              </w:rPr>
              <w:t>、</w:t>
            </w:r>
            <w:r>
              <w:rPr>
                <w:rFonts w:hint="eastAsia"/>
                <w:color w:val="auto"/>
                <w:szCs w:val="21"/>
                <w:highlight w:val="none"/>
                <w:lang w:val="en-US" w:eastAsia="zh-CN"/>
              </w:rPr>
              <w:t>⑥推进颗粒物精细化管控</w:t>
            </w:r>
            <w:r>
              <w:rPr>
                <w:color w:val="auto"/>
                <w:szCs w:val="21"/>
                <w:highlight w:val="none"/>
              </w:rPr>
              <w:t>，全面推进重点行业、重点领域的全流程污染治理，治理后环境空气质量将得到改善</w:t>
            </w:r>
            <w:r>
              <w:rPr>
                <w:rFonts w:hint="default" w:ascii="Times New Roman" w:hAnsi="Times New Roman" w:cs="Times New Roman"/>
                <w:color w:val="auto"/>
                <w:highlight w:val="none"/>
              </w:rPr>
              <w:t>。</w:t>
            </w:r>
          </w:p>
          <w:p w14:paraId="02D0592F">
            <w:pPr>
              <w:widowControl/>
              <w:adjustRightInd w:val="0"/>
              <w:snapToGrid w:val="0"/>
              <w:spacing w:line="360" w:lineRule="auto"/>
              <w:ind w:firstLine="420" w:firstLineChars="200"/>
              <w:jc w:val="left"/>
              <w:rPr>
                <w:rFonts w:hint="default" w:ascii="Times New Roman" w:hAnsi="Times New Roman" w:eastAsia="黑体" w:cs="Times New Roman"/>
                <w:color w:val="auto"/>
                <w:szCs w:val="21"/>
              </w:rPr>
            </w:pPr>
            <w:r>
              <w:rPr>
                <w:rFonts w:hint="default" w:ascii="Times New Roman" w:hAnsi="Times New Roman" w:eastAsia="黑体" w:cs="Times New Roman"/>
                <w:color w:val="auto"/>
                <w:szCs w:val="21"/>
              </w:rPr>
              <w:t>2、地表水环境质量</w:t>
            </w:r>
          </w:p>
          <w:p w14:paraId="0D9DA9A8">
            <w:pPr>
              <w:spacing w:line="360" w:lineRule="auto"/>
              <w:ind w:firstLine="420" w:firstLineChars="200"/>
              <w:rPr>
                <w:rFonts w:hint="default" w:ascii="Times New Roman" w:hAnsi="Times New Roman" w:cs="Times New Roman"/>
                <w:bCs/>
                <w:color w:val="auto"/>
                <w:szCs w:val="21"/>
                <w:highlight w:val="none"/>
                <w:lang w:bidi="ar"/>
              </w:rPr>
            </w:pPr>
            <w:r>
              <w:rPr>
                <w:color w:val="auto"/>
              </w:rPr>
              <w:t>该区域地表水为</w:t>
            </w:r>
            <w:r>
              <w:rPr>
                <w:rFonts w:hint="eastAsia"/>
                <w:color w:val="auto"/>
              </w:rPr>
              <w:t>般阳河（孝妇河支</w:t>
            </w:r>
            <w:r>
              <w:rPr>
                <w:rFonts w:hint="eastAsia"/>
                <w:color w:val="auto"/>
                <w:highlight w:val="none"/>
              </w:rPr>
              <w:t>流）</w:t>
            </w:r>
            <w:r>
              <w:rPr>
                <w:color w:val="auto"/>
                <w:highlight w:val="none"/>
              </w:rPr>
              <w:t>。</w:t>
            </w:r>
            <w:r>
              <w:rPr>
                <w:rFonts w:hint="default" w:ascii="Times New Roman" w:hAnsi="Times New Roman" w:cs="Times New Roman"/>
                <w:bCs/>
                <w:color w:val="auto"/>
                <w:szCs w:val="21"/>
                <w:highlight w:val="none"/>
                <w:lang w:bidi="ar"/>
              </w:rPr>
              <w:t>该段功能区划分为地表水V类。</w:t>
            </w:r>
            <w:r>
              <w:rPr>
                <w:rFonts w:hint="default" w:ascii="Times New Roman" w:hAnsi="Times New Roman" w:cs="Times New Roman"/>
                <w:color w:val="auto"/>
                <w:sz w:val="21"/>
                <w:szCs w:val="21"/>
                <w:highlight w:val="none"/>
                <w:lang w:val="zh-CN"/>
              </w:rPr>
              <w:t>根据淄博市生态环境局网站发布的《202</w:t>
            </w:r>
            <w:r>
              <w:rPr>
                <w:rFonts w:hint="eastAsia"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zh-CN"/>
              </w:rPr>
              <w:t>年1</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zh-CN"/>
              </w:rPr>
              <w:t>12月全市地表水环境质量状况》（202</w:t>
            </w:r>
            <w:r>
              <w:rPr>
                <w:rFonts w:hint="eastAsia" w:ascii="Times New Roman" w:hAnsi="Times New Roman"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zh-CN"/>
              </w:rPr>
              <w:t>年1月</w:t>
            </w:r>
            <w:r>
              <w:rPr>
                <w:rFonts w:hint="eastAsia" w:ascii="Times New Roman" w:hAnsi="Times New Roman" w:cs="Times New Roman"/>
                <w:color w:val="auto"/>
                <w:sz w:val="21"/>
                <w:szCs w:val="21"/>
                <w:highlight w:val="none"/>
                <w:lang w:val="en-US" w:eastAsia="zh-CN"/>
              </w:rPr>
              <w:t>30</w:t>
            </w:r>
            <w:r>
              <w:rPr>
                <w:rFonts w:hint="default" w:ascii="Times New Roman" w:hAnsi="Times New Roman" w:cs="Times New Roman"/>
                <w:color w:val="auto"/>
                <w:sz w:val="21"/>
                <w:szCs w:val="21"/>
                <w:highlight w:val="none"/>
                <w:lang w:val="zh-CN"/>
              </w:rPr>
              <w:t>日）数据可知：距离本项目最近的</w:t>
            </w:r>
            <w:r>
              <w:rPr>
                <w:rFonts w:hint="eastAsia" w:ascii="Times New Roman" w:hAnsi="Times New Roman" w:cs="Times New Roman"/>
                <w:color w:val="auto"/>
                <w:sz w:val="21"/>
                <w:szCs w:val="21"/>
                <w:highlight w:val="none"/>
                <w:lang w:val="en-US" w:eastAsia="zh-CN"/>
              </w:rPr>
              <w:t>淄川南外环</w:t>
            </w:r>
            <w:r>
              <w:rPr>
                <w:rFonts w:hint="default" w:ascii="Times New Roman" w:hAnsi="Times New Roman" w:cs="Times New Roman"/>
                <w:color w:val="auto"/>
                <w:sz w:val="21"/>
                <w:szCs w:val="21"/>
                <w:highlight w:val="none"/>
                <w:lang w:val="zh-CN"/>
              </w:rPr>
              <w:t>站点</w:t>
            </w:r>
            <w:r>
              <w:rPr>
                <w:rFonts w:hint="default" w:ascii="Times New Roman" w:hAnsi="Times New Roman" w:cs="Times New Roman"/>
                <w:color w:val="auto"/>
                <w:sz w:val="21"/>
                <w:szCs w:val="21"/>
                <w:highlight w:val="none"/>
                <w:lang w:val="en-US" w:eastAsia="zh-CN"/>
              </w:rPr>
              <w:t>为V</w:t>
            </w:r>
            <w:r>
              <w:rPr>
                <w:rFonts w:hint="default" w:ascii="Times New Roman" w:hAnsi="Times New Roman" w:cs="Times New Roman"/>
                <w:color w:val="auto"/>
                <w:sz w:val="21"/>
                <w:szCs w:val="21"/>
                <w:highlight w:val="none"/>
                <w:lang w:val="zh-CN"/>
              </w:rPr>
              <w:t>类水质，能够满足《地表水环境质量标准》（GB3838-2002）中的V类水体标准</w:t>
            </w:r>
            <w:r>
              <w:rPr>
                <w:rFonts w:hint="eastAsia" w:ascii="Times New Roman" w:hAnsi="Times New Roman" w:cs="Times New Roman"/>
                <w:color w:val="auto"/>
                <w:sz w:val="21"/>
                <w:szCs w:val="21"/>
                <w:highlight w:val="none"/>
                <w:lang w:val="zh-CN"/>
              </w:rPr>
              <w:t>。</w:t>
            </w:r>
          </w:p>
          <w:p w14:paraId="434BEF3A">
            <w:pPr>
              <w:widowControl/>
              <w:adjustRightInd w:val="0"/>
              <w:snapToGrid w:val="0"/>
              <w:spacing w:line="360" w:lineRule="auto"/>
              <w:ind w:firstLine="422" w:firstLineChars="200"/>
              <w:jc w:val="left"/>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3、声环境质量</w:t>
            </w:r>
          </w:p>
          <w:p w14:paraId="4A4F49C0">
            <w:pPr>
              <w:widowControl/>
              <w:spacing w:line="360" w:lineRule="auto"/>
              <w:ind w:firstLine="420" w:firstLineChars="200"/>
              <w:rPr>
                <w:rFonts w:hint="default" w:ascii="Times New Roman" w:hAnsi="Times New Roman" w:cs="Times New Roman"/>
                <w:color w:val="auto"/>
                <w:szCs w:val="21"/>
              </w:rPr>
            </w:pPr>
            <w:r>
              <w:rPr>
                <w:rFonts w:hint="default" w:ascii="Times New Roman" w:hAnsi="Times New Roman" w:cs="Times New Roman"/>
                <w:color w:val="auto"/>
                <w:highlight w:val="none"/>
                <w:lang w:val="zh-CN"/>
              </w:rPr>
              <w:t>根据《建设项目环境影响报告表编制技术指南（污染影响类）（试行）》，本项目厂界外周边50m范围内</w:t>
            </w:r>
            <w:r>
              <w:rPr>
                <w:rFonts w:hint="default" w:ascii="Times New Roman" w:hAnsi="Times New Roman" w:cs="Times New Roman"/>
                <w:color w:val="auto"/>
                <w:highlight w:val="none"/>
                <w:lang w:val="en-US" w:eastAsia="zh-CN"/>
              </w:rPr>
              <w:t>无</w:t>
            </w:r>
            <w:r>
              <w:rPr>
                <w:rFonts w:hint="default" w:ascii="Times New Roman" w:hAnsi="Times New Roman" w:cs="Times New Roman"/>
                <w:color w:val="auto"/>
                <w:highlight w:val="none"/>
                <w:lang w:val="zh-CN"/>
              </w:rPr>
              <w:t>声环境保护目标，</w:t>
            </w:r>
            <w:r>
              <w:rPr>
                <w:rFonts w:hint="default" w:ascii="Times New Roman" w:hAnsi="Times New Roman" w:cs="Times New Roman"/>
                <w:color w:val="auto"/>
                <w:highlight w:val="none"/>
                <w:lang w:val="en-US" w:eastAsia="zh-CN"/>
              </w:rPr>
              <w:t>无需</w:t>
            </w:r>
            <w:r>
              <w:rPr>
                <w:rFonts w:hint="default" w:ascii="Times New Roman" w:hAnsi="Times New Roman" w:cs="Times New Roman"/>
                <w:color w:val="auto"/>
                <w:highlight w:val="none"/>
                <w:lang w:val="zh-CN"/>
              </w:rPr>
              <w:t>开展声环境质量现状调查</w:t>
            </w:r>
            <w:r>
              <w:rPr>
                <w:rFonts w:hint="default" w:ascii="Times New Roman" w:hAnsi="Times New Roman" w:cs="Times New Roman"/>
                <w:color w:val="auto"/>
                <w:highlight w:val="none"/>
              </w:rPr>
              <w:t>。</w:t>
            </w:r>
          </w:p>
          <w:p w14:paraId="68CA2713">
            <w:pPr>
              <w:widowControl/>
              <w:adjustRightInd w:val="0"/>
              <w:snapToGrid w:val="0"/>
              <w:spacing w:line="360" w:lineRule="auto"/>
              <w:ind w:firstLine="422" w:firstLineChars="200"/>
              <w:jc w:val="left"/>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4、生态环境</w:t>
            </w:r>
          </w:p>
          <w:p w14:paraId="2BFC1F47">
            <w:pPr>
              <w:adjustRightInd w:val="0"/>
              <w:snapToGrid w:val="0"/>
              <w:spacing w:line="360" w:lineRule="auto"/>
              <w:ind w:firstLine="420" w:firstLineChars="200"/>
              <w:rPr>
                <w:color w:val="auto"/>
              </w:rPr>
            </w:pPr>
            <w:r>
              <w:rPr>
                <w:rFonts w:hint="default" w:ascii="Times New Roman" w:hAnsi="Times New Roman" w:cs="Times New Roman"/>
                <w:color w:val="auto"/>
                <w:lang w:eastAsia="zh-CN"/>
              </w:rPr>
              <w:t>本项目</w:t>
            </w:r>
            <w:r>
              <w:rPr>
                <w:rFonts w:hint="eastAsia" w:cs="Times New Roman"/>
                <w:color w:val="auto"/>
                <w:lang w:val="en-US" w:eastAsia="zh-CN"/>
              </w:rPr>
              <w:t>租赁</w:t>
            </w:r>
            <w:r>
              <w:rPr>
                <w:rFonts w:hint="default" w:ascii="Times New Roman" w:hAnsi="Times New Roman" w:cs="Times New Roman"/>
                <w:color w:val="auto"/>
              </w:rPr>
              <w:t>现有</w:t>
            </w:r>
            <w:r>
              <w:rPr>
                <w:rFonts w:hint="eastAsia" w:cs="Times New Roman"/>
                <w:color w:val="auto"/>
                <w:lang w:val="en-US" w:eastAsia="zh-CN"/>
              </w:rPr>
              <w:t>厂房</w:t>
            </w:r>
            <w:r>
              <w:rPr>
                <w:rFonts w:hint="default" w:ascii="Times New Roman" w:hAnsi="Times New Roman" w:cs="Times New Roman"/>
                <w:color w:val="auto"/>
                <w:lang w:val="en-US" w:eastAsia="zh-CN"/>
              </w:rPr>
              <w:t>生产</w:t>
            </w:r>
            <w:r>
              <w:rPr>
                <w:rFonts w:hint="default" w:ascii="Times New Roman" w:hAnsi="Times New Roman" w:cs="Times New Roman"/>
                <w:color w:val="auto"/>
              </w:rPr>
              <w:t>，不新增占地，用地范围内无生态环境保护目标，无需进行生态现状调查</w:t>
            </w:r>
            <w:r>
              <w:rPr>
                <w:color w:val="auto"/>
              </w:rPr>
              <w:t>。</w:t>
            </w:r>
          </w:p>
          <w:p w14:paraId="254BDDFF">
            <w:pPr>
              <w:widowControl/>
              <w:adjustRightInd w:val="0"/>
              <w:snapToGrid w:val="0"/>
              <w:spacing w:line="360" w:lineRule="auto"/>
              <w:ind w:firstLine="422" w:firstLineChars="200"/>
              <w:jc w:val="left"/>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5、电磁辐射</w:t>
            </w:r>
          </w:p>
          <w:p w14:paraId="7440F9B5">
            <w:pPr>
              <w:widowControl/>
              <w:adjustRightInd w:val="0"/>
              <w:snapToGrid w:val="0"/>
              <w:spacing w:line="360" w:lineRule="auto"/>
              <w:ind w:firstLine="420" w:firstLineChars="200"/>
              <w:rPr>
                <w:color w:val="auto"/>
              </w:rPr>
            </w:pPr>
            <w:r>
              <w:rPr>
                <w:color w:val="auto"/>
              </w:rPr>
              <w:t>项目不属于新建或改建、扩建广播电台、差转台、电视塔台、卫星地球上行站、雷达等电磁辐射类项目，无需对电磁辐射现状开展监测与评价。</w:t>
            </w:r>
          </w:p>
          <w:p w14:paraId="4D5755EC">
            <w:pPr>
              <w:widowControl/>
              <w:adjustRightInd w:val="0"/>
              <w:snapToGrid w:val="0"/>
              <w:spacing w:line="360" w:lineRule="auto"/>
              <w:ind w:firstLine="422" w:firstLineChars="200"/>
              <w:jc w:val="left"/>
              <w:rPr>
                <w:rFonts w:hint="default" w:ascii="Times New Roman" w:hAnsi="Times New Roman" w:eastAsia="宋体" w:cs="Times New Roman"/>
                <w:b/>
                <w:bCs/>
                <w:color w:val="auto"/>
              </w:rPr>
            </w:pPr>
            <w:r>
              <w:rPr>
                <w:rFonts w:hint="default" w:ascii="Times New Roman" w:hAnsi="Times New Roman" w:eastAsia="宋体" w:cs="Times New Roman"/>
                <w:b/>
                <w:bCs/>
                <w:color w:val="auto"/>
              </w:rPr>
              <w:t>6、</w:t>
            </w:r>
            <w:r>
              <w:rPr>
                <w:rFonts w:hint="default" w:ascii="Times New Roman" w:hAnsi="Times New Roman" w:eastAsia="宋体" w:cs="Times New Roman"/>
                <w:b/>
                <w:bCs/>
                <w:color w:val="auto"/>
                <w:szCs w:val="21"/>
              </w:rPr>
              <w:t>地下水、土壤</w:t>
            </w:r>
          </w:p>
          <w:p w14:paraId="3F3A526E">
            <w:pPr>
              <w:pStyle w:val="145"/>
              <w:ind w:firstLine="420"/>
              <w:rPr>
                <w:rFonts w:hint="eastAsia" w:ascii="Times New Roman" w:hAnsi="Times New Roman" w:eastAsia="宋体"/>
                <w:color w:val="auto"/>
                <w:lang w:eastAsia="zh-CN"/>
              </w:rPr>
            </w:pPr>
            <w:r>
              <w:rPr>
                <w:rFonts w:hint="eastAsia"/>
                <w:color w:val="auto"/>
                <w:sz w:val="21"/>
                <w:szCs w:val="21"/>
                <w:lang w:eastAsia="zh-CN"/>
              </w:rPr>
              <w:t>根据现场勘查，项目区周围为空地或其他企业，厂界外周边500米范围内无集中式饮用水水源和热水、矿泉水、温泉等特殊地下水资源。项目所在区域及周边土壤环境质量良好，本项目仅产生少量</w:t>
            </w:r>
            <w:r>
              <w:rPr>
                <w:rFonts w:hint="eastAsia"/>
                <w:color w:val="auto"/>
                <w:sz w:val="21"/>
                <w:szCs w:val="21"/>
                <w:lang w:val="en-US" w:eastAsia="zh-CN"/>
              </w:rPr>
              <w:t>VOCs、氯化氢</w:t>
            </w:r>
            <w:r>
              <w:rPr>
                <w:rFonts w:hint="eastAsia"/>
                <w:color w:val="auto"/>
                <w:sz w:val="21"/>
                <w:szCs w:val="21"/>
                <w:lang w:eastAsia="zh-CN"/>
              </w:rPr>
              <w:t>，本项目建成后对周围土壤环境造成影响较小，原则上不需开展环境质量现状调查。</w:t>
            </w:r>
          </w:p>
        </w:tc>
      </w:tr>
      <w:tr w14:paraId="7DE780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8" w:hRule="atLeast"/>
          <w:jc w:val="center"/>
        </w:trPr>
        <w:tc>
          <w:tcPr>
            <w:tcW w:w="800" w:type="dxa"/>
            <w:vAlign w:val="center"/>
          </w:tcPr>
          <w:p w14:paraId="506DA321">
            <w:pPr>
              <w:adjustRightInd w:val="0"/>
              <w:snapToGrid w:val="0"/>
              <w:spacing w:line="420" w:lineRule="exact"/>
              <w:jc w:val="center"/>
              <w:rPr>
                <w:color w:val="auto"/>
                <w:kern w:val="0"/>
              </w:rPr>
            </w:pPr>
            <w:r>
              <w:rPr>
                <w:color w:val="auto"/>
                <w:kern w:val="0"/>
              </w:rPr>
              <w:t>环境</w:t>
            </w:r>
          </w:p>
          <w:p w14:paraId="67F63190">
            <w:pPr>
              <w:adjustRightInd w:val="0"/>
              <w:snapToGrid w:val="0"/>
              <w:spacing w:line="420" w:lineRule="exact"/>
              <w:jc w:val="center"/>
              <w:rPr>
                <w:color w:val="auto"/>
                <w:kern w:val="0"/>
              </w:rPr>
            </w:pPr>
            <w:r>
              <w:rPr>
                <w:color w:val="auto"/>
                <w:kern w:val="0"/>
              </w:rPr>
              <w:t>保护</w:t>
            </w:r>
          </w:p>
          <w:p w14:paraId="0F852DFD">
            <w:pPr>
              <w:adjustRightInd w:val="0"/>
              <w:snapToGrid w:val="0"/>
              <w:spacing w:line="420" w:lineRule="exact"/>
              <w:jc w:val="center"/>
              <w:rPr>
                <w:color w:val="auto"/>
                <w:kern w:val="0"/>
              </w:rPr>
            </w:pPr>
            <w:r>
              <w:rPr>
                <w:color w:val="auto"/>
                <w:kern w:val="0"/>
              </w:rPr>
              <w:t>目标</w:t>
            </w:r>
          </w:p>
        </w:tc>
        <w:tc>
          <w:tcPr>
            <w:tcW w:w="8190" w:type="dxa"/>
            <w:vAlign w:val="center"/>
          </w:tcPr>
          <w:p w14:paraId="0025AE4C">
            <w:pPr>
              <w:spacing w:line="420" w:lineRule="exact"/>
              <w:ind w:firstLine="420" w:firstLineChars="200"/>
              <w:rPr>
                <w:color w:val="auto"/>
              </w:rPr>
            </w:pPr>
            <w:r>
              <w:rPr>
                <w:color w:val="auto"/>
              </w:rPr>
              <w:t>本项目厂界外500米范围内无自然保护区、风景名胜区，存在</w:t>
            </w:r>
            <w:r>
              <w:rPr>
                <w:rFonts w:hint="eastAsia"/>
                <w:color w:val="auto"/>
                <w:lang w:val="en-US" w:eastAsia="zh-CN"/>
              </w:rPr>
              <w:t>1处</w:t>
            </w:r>
            <w:r>
              <w:rPr>
                <w:color w:val="auto"/>
              </w:rPr>
              <w:t>居民区，无地下水集中式饮用水水源和热水、矿泉水、温泉等特殊地下水资源。本项目环境保护目标情况一览表如下。</w:t>
            </w:r>
          </w:p>
          <w:p w14:paraId="07579F74">
            <w:pPr>
              <w:pStyle w:val="1313"/>
              <w:adjustRightInd w:val="0"/>
              <w:snapToGrid w:val="0"/>
              <w:spacing w:before="120" w:beforeLines="50" w:line="240" w:lineRule="auto"/>
              <w:rPr>
                <w:rFonts w:ascii="Times New Roman" w:hAnsi="Times New Roman" w:eastAsia="宋体"/>
                <w:b/>
                <w:bCs/>
                <w:color w:val="auto"/>
                <w:sz w:val="21"/>
              </w:rPr>
            </w:pPr>
          </w:p>
          <w:p w14:paraId="642F5D21">
            <w:pPr>
              <w:pStyle w:val="1313"/>
              <w:adjustRightInd w:val="0"/>
              <w:snapToGrid w:val="0"/>
              <w:spacing w:before="120" w:beforeLines="50" w:line="240" w:lineRule="auto"/>
              <w:rPr>
                <w:rFonts w:ascii="Times New Roman" w:hAnsi="Times New Roman" w:eastAsia="宋体"/>
                <w:b/>
                <w:bCs/>
                <w:color w:val="auto"/>
                <w:sz w:val="21"/>
              </w:rPr>
            </w:pPr>
            <w:r>
              <w:rPr>
                <w:rFonts w:ascii="Times New Roman" w:hAnsi="Times New Roman" w:eastAsia="宋体"/>
                <w:b/>
                <w:bCs/>
                <w:color w:val="auto"/>
                <w:sz w:val="21"/>
              </w:rPr>
              <w:t>表3-</w:t>
            </w:r>
            <w:r>
              <w:rPr>
                <w:rFonts w:hint="eastAsia" w:ascii="Times New Roman" w:hAnsi="Times New Roman" w:eastAsia="宋体"/>
                <w:b/>
                <w:bCs/>
                <w:color w:val="auto"/>
                <w:sz w:val="21"/>
                <w:lang w:val="en-US" w:eastAsia="zh-CN"/>
              </w:rPr>
              <w:t>2</w:t>
            </w:r>
            <w:r>
              <w:rPr>
                <w:rFonts w:ascii="Times New Roman" w:hAnsi="Times New Roman" w:eastAsia="宋体"/>
                <w:b/>
                <w:bCs/>
                <w:color w:val="auto"/>
                <w:sz w:val="21"/>
              </w:rPr>
              <w:t>主要环境保护目标一览表</w:t>
            </w:r>
          </w:p>
          <w:tbl>
            <w:tblPr>
              <w:tblStyle w:val="8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5"/>
              <w:gridCol w:w="1781"/>
              <w:gridCol w:w="1341"/>
              <w:gridCol w:w="1370"/>
              <w:gridCol w:w="1145"/>
              <w:gridCol w:w="1229"/>
            </w:tblGrid>
            <w:tr w14:paraId="6A0808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8" w:type="pct"/>
                  <w:vMerge w:val="restart"/>
                  <w:vAlign w:val="center"/>
                </w:tcPr>
                <w:p w14:paraId="2E881FAC">
                  <w:pPr>
                    <w:pStyle w:val="1267"/>
                    <w:adjustRightInd w:val="0"/>
                    <w:snapToGrid w:val="0"/>
                    <w:jc w:val="center"/>
                    <w:rPr>
                      <w:b/>
                      <w:bCs/>
                      <w:color w:val="auto"/>
                      <w:sz w:val="18"/>
                      <w:szCs w:val="18"/>
                    </w:rPr>
                  </w:pPr>
                  <w:r>
                    <w:rPr>
                      <w:b/>
                      <w:bCs/>
                      <w:color w:val="auto"/>
                      <w:sz w:val="18"/>
                      <w:szCs w:val="18"/>
                    </w:rPr>
                    <w:t>名称</w:t>
                  </w:r>
                </w:p>
              </w:tc>
              <w:tc>
                <w:tcPr>
                  <w:tcW w:w="1118" w:type="pct"/>
                  <w:vMerge w:val="restart"/>
                  <w:vAlign w:val="center"/>
                </w:tcPr>
                <w:p w14:paraId="1027C555">
                  <w:pPr>
                    <w:pStyle w:val="1267"/>
                    <w:adjustRightInd w:val="0"/>
                    <w:snapToGrid w:val="0"/>
                    <w:jc w:val="center"/>
                    <w:rPr>
                      <w:b/>
                      <w:bCs/>
                      <w:color w:val="auto"/>
                      <w:sz w:val="18"/>
                      <w:szCs w:val="18"/>
                    </w:rPr>
                  </w:pPr>
                  <w:r>
                    <w:rPr>
                      <w:b/>
                      <w:bCs/>
                      <w:color w:val="auto"/>
                      <w:sz w:val="18"/>
                      <w:szCs w:val="18"/>
                    </w:rPr>
                    <w:t>保护对象</w:t>
                  </w:r>
                </w:p>
              </w:tc>
              <w:tc>
                <w:tcPr>
                  <w:tcW w:w="842" w:type="pct"/>
                  <w:vMerge w:val="restart"/>
                  <w:vAlign w:val="center"/>
                </w:tcPr>
                <w:p w14:paraId="37BA166E">
                  <w:pPr>
                    <w:pStyle w:val="1267"/>
                    <w:adjustRightInd w:val="0"/>
                    <w:snapToGrid w:val="0"/>
                    <w:jc w:val="center"/>
                    <w:rPr>
                      <w:b/>
                      <w:bCs/>
                      <w:color w:val="auto"/>
                      <w:sz w:val="18"/>
                      <w:szCs w:val="18"/>
                    </w:rPr>
                  </w:pPr>
                  <w:r>
                    <w:rPr>
                      <w:b/>
                      <w:bCs/>
                      <w:color w:val="auto"/>
                      <w:sz w:val="18"/>
                      <w:szCs w:val="18"/>
                    </w:rPr>
                    <w:t>保护内容</w:t>
                  </w:r>
                </w:p>
              </w:tc>
              <w:tc>
                <w:tcPr>
                  <w:tcW w:w="860" w:type="pct"/>
                  <w:vMerge w:val="restart"/>
                  <w:vAlign w:val="center"/>
                </w:tcPr>
                <w:p w14:paraId="5F80FB2F">
                  <w:pPr>
                    <w:pStyle w:val="1267"/>
                    <w:adjustRightInd w:val="0"/>
                    <w:snapToGrid w:val="0"/>
                    <w:jc w:val="center"/>
                    <w:rPr>
                      <w:b/>
                      <w:bCs/>
                      <w:color w:val="auto"/>
                      <w:sz w:val="18"/>
                      <w:szCs w:val="18"/>
                    </w:rPr>
                  </w:pPr>
                  <w:r>
                    <w:rPr>
                      <w:b/>
                      <w:bCs/>
                      <w:color w:val="auto"/>
                      <w:sz w:val="18"/>
                      <w:szCs w:val="18"/>
                    </w:rPr>
                    <w:t>环境</w:t>
                  </w:r>
                </w:p>
                <w:p w14:paraId="404B8AA5">
                  <w:pPr>
                    <w:pStyle w:val="1267"/>
                    <w:adjustRightInd w:val="0"/>
                    <w:snapToGrid w:val="0"/>
                    <w:jc w:val="center"/>
                    <w:rPr>
                      <w:b/>
                      <w:bCs/>
                      <w:color w:val="auto"/>
                      <w:sz w:val="18"/>
                      <w:szCs w:val="18"/>
                    </w:rPr>
                  </w:pPr>
                  <w:r>
                    <w:rPr>
                      <w:b/>
                      <w:bCs/>
                      <w:color w:val="auto"/>
                      <w:sz w:val="18"/>
                      <w:szCs w:val="18"/>
                    </w:rPr>
                    <w:t>功能区</w:t>
                  </w:r>
                </w:p>
              </w:tc>
              <w:tc>
                <w:tcPr>
                  <w:tcW w:w="719" w:type="pct"/>
                  <w:vMerge w:val="restart"/>
                  <w:vAlign w:val="center"/>
                </w:tcPr>
                <w:p w14:paraId="6BB0F44F">
                  <w:pPr>
                    <w:pStyle w:val="1267"/>
                    <w:adjustRightInd w:val="0"/>
                    <w:snapToGrid w:val="0"/>
                    <w:jc w:val="center"/>
                    <w:rPr>
                      <w:b/>
                      <w:bCs/>
                      <w:color w:val="auto"/>
                      <w:sz w:val="18"/>
                      <w:szCs w:val="18"/>
                    </w:rPr>
                  </w:pPr>
                  <w:r>
                    <w:rPr>
                      <w:b/>
                      <w:bCs/>
                      <w:color w:val="auto"/>
                      <w:sz w:val="18"/>
                      <w:szCs w:val="18"/>
                    </w:rPr>
                    <w:t>相对厂</w:t>
                  </w:r>
                </w:p>
                <w:p w14:paraId="29415F56">
                  <w:pPr>
                    <w:pStyle w:val="1267"/>
                    <w:adjustRightInd w:val="0"/>
                    <w:snapToGrid w:val="0"/>
                    <w:jc w:val="center"/>
                    <w:rPr>
                      <w:b/>
                      <w:bCs/>
                      <w:color w:val="auto"/>
                      <w:sz w:val="18"/>
                      <w:szCs w:val="18"/>
                    </w:rPr>
                  </w:pPr>
                  <w:r>
                    <w:rPr>
                      <w:b/>
                      <w:bCs/>
                      <w:color w:val="auto"/>
                      <w:sz w:val="18"/>
                      <w:szCs w:val="18"/>
                    </w:rPr>
                    <w:t>址方位</w:t>
                  </w:r>
                </w:p>
              </w:tc>
              <w:tc>
                <w:tcPr>
                  <w:tcW w:w="771" w:type="pct"/>
                  <w:vMerge w:val="restart"/>
                  <w:vAlign w:val="center"/>
                </w:tcPr>
                <w:p w14:paraId="2F9E6683">
                  <w:pPr>
                    <w:pStyle w:val="1267"/>
                    <w:adjustRightInd w:val="0"/>
                    <w:snapToGrid w:val="0"/>
                    <w:jc w:val="center"/>
                    <w:rPr>
                      <w:b/>
                      <w:bCs/>
                      <w:color w:val="auto"/>
                      <w:sz w:val="18"/>
                      <w:szCs w:val="18"/>
                    </w:rPr>
                  </w:pPr>
                  <w:r>
                    <w:rPr>
                      <w:b/>
                      <w:bCs/>
                      <w:color w:val="auto"/>
                      <w:sz w:val="18"/>
                      <w:szCs w:val="18"/>
                    </w:rPr>
                    <w:t>相对厂</w:t>
                  </w:r>
                </w:p>
                <w:p w14:paraId="15066AB6">
                  <w:pPr>
                    <w:pStyle w:val="1267"/>
                    <w:adjustRightInd w:val="0"/>
                    <w:snapToGrid w:val="0"/>
                    <w:jc w:val="center"/>
                    <w:rPr>
                      <w:b/>
                      <w:bCs/>
                      <w:color w:val="auto"/>
                      <w:sz w:val="18"/>
                      <w:szCs w:val="18"/>
                    </w:rPr>
                  </w:pPr>
                  <w:r>
                    <w:rPr>
                      <w:b/>
                      <w:bCs/>
                      <w:color w:val="auto"/>
                      <w:sz w:val="18"/>
                      <w:szCs w:val="18"/>
                    </w:rPr>
                    <w:t>界距离/m</w:t>
                  </w:r>
                </w:p>
              </w:tc>
            </w:tr>
            <w:tr w14:paraId="4C7FF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688" w:type="pct"/>
                  <w:vMerge w:val="continue"/>
                  <w:vAlign w:val="center"/>
                </w:tcPr>
                <w:p w14:paraId="6D7411B5">
                  <w:pPr>
                    <w:pStyle w:val="1267"/>
                    <w:adjustRightInd w:val="0"/>
                    <w:snapToGrid w:val="0"/>
                    <w:jc w:val="center"/>
                    <w:rPr>
                      <w:color w:val="auto"/>
                      <w:sz w:val="18"/>
                      <w:szCs w:val="18"/>
                    </w:rPr>
                  </w:pPr>
                </w:p>
              </w:tc>
              <w:tc>
                <w:tcPr>
                  <w:tcW w:w="1118" w:type="pct"/>
                  <w:vMerge w:val="continue"/>
                  <w:vAlign w:val="center"/>
                </w:tcPr>
                <w:p w14:paraId="220A1F09">
                  <w:pPr>
                    <w:pStyle w:val="1267"/>
                    <w:adjustRightInd w:val="0"/>
                    <w:snapToGrid w:val="0"/>
                    <w:jc w:val="center"/>
                    <w:rPr>
                      <w:color w:val="auto"/>
                      <w:sz w:val="18"/>
                      <w:szCs w:val="18"/>
                    </w:rPr>
                  </w:pPr>
                </w:p>
              </w:tc>
              <w:tc>
                <w:tcPr>
                  <w:tcW w:w="842" w:type="pct"/>
                  <w:vMerge w:val="continue"/>
                  <w:vAlign w:val="center"/>
                </w:tcPr>
                <w:p w14:paraId="2A7440E3">
                  <w:pPr>
                    <w:pStyle w:val="1267"/>
                    <w:adjustRightInd w:val="0"/>
                    <w:snapToGrid w:val="0"/>
                    <w:jc w:val="center"/>
                    <w:rPr>
                      <w:color w:val="auto"/>
                      <w:sz w:val="18"/>
                      <w:szCs w:val="18"/>
                    </w:rPr>
                  </w:pPr>
                </w:p>
              </w:tc>
              <w:tc>
                <w:tcPr>
                  <w:tcW w:w="860" w:type="pct"/>
                  <w:vMerge w:val="continue"/>
                  <w:vAlign w:val="center"/>
                </w:tcPr>
                <w:p w14:paraId="12B6799B">
                  <w:pPr>
                    <w:pStyle w:val="1267"/>
                    <w:adjustRightInd w:val="0"/>
                    <w:snapToGrid w:val="0"/>
                    <w:jc w:val="center"/>
                    <w:rPr>
                      <w:color w:val="auto"/>
                      <w:sz w:val="18"/>
                      <w:szCs w:val="18"/>
                    </w:rPr>
                  </w:pPr>
                </w:p>
              </w:tc>
              <w:tc>
                <w:tcPr>
                  <w:tcW w:w="719" w:type="pct"/>
                  <w:vMerge w:val="continue"/>
                  <w:vAlign w:val="center"/>
                </w:tcPr>
                <w:p w14:paraId="4C6812A0">
                  <w:pPr>
                    <w:pStyle w:val="1267"/>
                    <w:adjustRightInd w:val="0"/>
                    <w:snapToGrid w:val="0"/>
                    <w:jc w:val="center"/>
                    <w:rPr>
                      <w:color w:val="auto"/>
                      <w:sz w:val="18"/>
                      <w:szCs w:val="18"/>
                    </w:rPr>
                  </w:pPr>
                </w:p>
              </w:tc>
              <w:tc>
                <w:tcPr>
                  <w:tcW w:w="771" w:type="pct"/>
                  <w:vMerge w:val="continue"/>
                  <w:vAlign w:val="center"/>
                </w:tcPr>
                <w:p w14:paraId="1087EEC5">
                  <w:pPr>
                    <w:pStyle w:val="1267"/>
                    <w:adjustRightInd w:val="0"/>
                    <w:snapToGrid w:val="0"/>
                    <w:jc w:val="center"/>
                    <w:rPr>
                      <w:color w:val="auto"/>
                      <w:sz w:val="18"/>
                      <w:szCs w:val="18"/>
                    </w:rPr>
                  </w:pPr>
                </w:p>
              </w:tc>
            </w:tr>
            <w:tr w14:paraId="0BB47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688" w:type="pct"/>
                  <w:vMerge w:val="restart"/>
                  <w:vAlign w:val="center"/>
                </w:tcPr>
                <w:p w14:paraId="5B9896BA">
                  <w:pPr>
                    <w:pStyle w:val="1267"/>
                    <w:adjustRightInd w:val="0"/>
                    <w:snapToGrid w:val="0"/>
                    <w:jc w:val="center"/>
                    <w:rPr>
                      <w:color w:val="auto"/>
                      <w:sz w:val="18"/>
                      <w:szCs w:val="18"/>
                    </w:rPr>
                  </w:pPr>
                  <w:r>
                    <w:rPr>
                      <w:color w:val="auto"/>
                      <w:sz w:val="18"/>
                      <w:szCs w:val="18"/>
                    </w:rPr>
                    <w:t>环境空气</w:t>
                  </w:r>
                </w:p>
              </w:tc>
              <w:tc>
                <w:tcPr>
                  <w:tcW w:w="1118" w:type="pct"/>
                  <w:vAlign w:val="center"/>
                </w:tcPr>
                <w:p w14:paraId="5250E9F8">
                  <w:pPr>
                    <w:pStyle w:val="1267"/>
                    <w:adjustRightInd w:val="0"/>
                    <w:snapToGrid w:val="0"/>
                    <w:jc w:val="center"/>
                    <w:rPr>
                      <w:rFonts w:hint="eastAsia" w:eastAsia="宋体"/>
                      <w:color w:val="auto"/>
                      <w:sz w:val="18"/>
                      <w:szCs w:val="18"/>
                      <w:lang w:val="en-US" w:eastAsia="zh-CN"/>
                    </w:rPr>
                  </w:pPr>
                  <w:r>
                    <w:rPr>
                      <w:rFonts w:hint="eastAsia"/>
                      <w:color w:val="auto"/>
                      <w:sz w:val="18"/>
                      <w:szCs w:val="18"/>
                      <w:lang w:val="en-US" w:eastAsia="zh-CN"/>
                    </w:rPr>
                    <w:t>南园</w:t>
                  </w:r>
                </w:p>
              </w:tc>
              <w:tc>
                <w:tcPr>
                  <w:tcW w:w="842" w:type="pct"/>
                  <w:vAlign w:val="center"/>
                </w:tcPr>
                <w:p w14:paraId="68B5654B">
                  <w:pPr>
                    <w:pStyle w:val="1267"/>
                    <w:adjustRightInd w:val="0"/>
                    <w:snapToGrid w:val="0"/>
                    <w:jc w:val="center"/>
                    <w:rPr>
                      <w:color w:val="auto"/>
                      <w:sz w:val="18"/>
                      <w:szCs w:val="18"/>
                    </w:rPr>
                  </w:pPr>
                  <w:r>
                    <w:rPr>
                      <w:color w:val="auto"/>
                      <w:sz w:val="18"/>
                      <w:szCs w:val="18"/>
                    </w:rPr>
                    <w:t>居民区</w:t>
                  </w:r>
                </w:p>
              </w:tc>
              <w:tc>
                <w:tcPr>
                  <w:tcW w:w="860" w:type="pct"/>
                  <w:vMerge w:val="restart"/>
                  <w:vAlign w:val="center"/>
                </w:tcPr>
                <w:p w14:paraId="39DE66B2">
                  <w:pPr>
                    <w:pStyle w:val="1267"/>
                    <w:adjustRightInd w:val="0"/>
                    <w:snapToGrid w:val="0"/>
                    <w:jc w:val="center"/>
                    <w:rPr>
                      <w:color w:val="auto"/>
                      <w:sz w:val="18"/>
                      <w:szCs w:val="18"/>
                    </w:rPr>
                  </w:pPr>
                  <w:r>
                    <w:rPr>
                      <w:rFonts w:hint="eastAsia"/>
                      <w:color w:val="auto"/>
                      <w:sz w:val="18"/>
                      <w:szCs w:val="18"/>
                    </w:rPr>
                    <w:t>《环境空气质量标准》（GB3095-2026）表1过渡阶段浓度限值中的二级标准</w:t>
                  </w:r>
                </w:p>
              </w:tc>
              <w:tc>
                <w:tcPr>
                  <w:tcW w:w="719" w:type="pct"/>
                  <w:vAlign w:val="center"/>
                </w:tcPr>
                <w:p w14:paraId="58756CF5">
                  <w:pPr>
                    <w:pStyle w:val="1267"/>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SW</w:t>
                  </w:r>
                </w:p>
              </w:tc>
              <w:tc>
                <w:tcPr>
                  <w:tcW w:w="771" w:type="pct"/>
                  <w:vAlign w:val="center"/>
                </w:tcPr>
                <w:p w14:paraId="0D59AAC2">
                  <w:pPr>
                    <w:pStyle w:val="1267"/>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368</w:t>
                  </w:r>
                </w:p>
              </w:tc>
            </w:tr>
            <w:tr w14:paraId="73541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688" w:type="pct"/>
                  <w:vMerge w:val="continue"/>
                  <w:vAlign w:val="center"/>
                </w:tcPr>
                <w:p w14:paraId="495BEAA7">
                  <w:pPr>
                    <w:pStyle w:val="1267"/>
                    <w:adjustRightInd w:val="0"/>
                    <w:snapToGrid w:val="0"/>
                    <w:jc w:val="center"/>
                    <w:rPr>
                      <w:color w:val="auto"/>
                    </w:rPr>
                  </w:pPr>
                </w:p>
              </w:tc>
              <w:tc>
                <w:tcPr>
                  <w:tcW w:w="1118" w:type="pct"/>
                  <w:vAlign w:val="center"/>
                </w:tcPr>
                <w:p w14:paraId="084BD359">
                  <w:pPr>
                    <w:pStyle w:val="1267"/>
                    <w:adjustRightInd w:val="0"/>
                    <w:snapToGrid w:val="0"/>
                    <w:jc w:val="center"/>
                    <w:rPr>
                      <w:rFonts w:hint="default"/>
                      <w:color w:val="auto"/>
                      <w:sz w:val="18"/>
                      <w:szCs w:val="18"/>
                      <w:lang w:val="en-US" w:eastAsia="zh-CN"/>
                    </w:rPr>
                  </w:pPr>
                  <w:r>
                    <w:rPr>
                      <w:rFonts w:hint="eastAsia"/>
                      <w:color w:val="auto"/>
                      <w:sz w:val="18"/>
                      <w:szCs w:val="18"/>
                      <w:lang w:val="en-US" w:eastAsia="zh-CN"/>
                    </w:rPr>
                    <w:t>尚庄村</w:t>
                  </w:r>
                </w:p>
              </w:tc>
              <w:tc>
                <w:tcPr>
                  <w:tcW w:w="842" w:type="pct"/>
                  <w:vAlign w:val="center"/>
                </w:tcPr>
                <w:p w14:paraId="042C412F">
                  <w:pPr>
                    <w:pStyle w:val="1267"/>
                    <w:adjustRightInd w:val="0"/>
                    <w:snapToGrid w:val="0"/>
                    <w:jc w:val="center"/>
                    <w:rPr>
                      <w:rFonts w:hint="eastAsia"/>
                      <w:color w:val="auto"/>
                      <w:sz w:val="18"/>
                      <w:szCs w:val="18"/>
                      <w:lang w:eastAsia="zh-CN"/>
                    </w:rPr>
                  </w:pPr>
                  <w:r>
                    <w:rPr>
                      <w:color w:val="auto"/>
                      <w:sz w:val="18"/>
                      <w:szCs w:val="18"/>
                    </w:rPr>
                    <w:t>居民区</w:t>
                  </w:r>
                </w:p>
              </w:tc>
              <w:tc>
                <w:tcPr>
                  <w:tcW w:w="860" w:type="pct"/>
                  <w:vMerge w:val="continue"/>
                  <w:vAlign w:val="center"/>
                </w:tcPr>
                <w:p w14:paraId="38FDF23B">
                  <w:pPr>
                    <w:pStyle w:val="1267"/>
                    <w:adjustRightInd w:val="0"/>
                    <w:snapToGrid w:val="0"/>
                    <w:jc w:val="center"/>
                    <w:rPr>
                      <w:rFonts w:hint="eastAsia"/>
                      <w:color w:val="auto"/>
                      <w:sz w:val="18"/>
                      <w:szCs w:val="18"/>
                      <w:lang w:eastAsia="zh-CN"/>
                    </w:rPr>
                  </w:pPr>
                </w:p>
              </w:tc>
              <w:tc>
                <w:tcPr>
                  <w:tcW w:w="719" w:type="pct"/>
                  <w:vAlign w:val="center"/>
                </w:tcPr>
                <w:p w14:paraId="7A487FEB">
                  <w:pPr>
                    <w:pStyle w:val="1267"/>
                    <w:adjustRightInd w:val="0"/>
                    <w:snapToGrid w:val="0"/>
                    <w:jc w:val="center"/>
                    <w:rPr>
                      <w:rFonts w:hint="default"/>
                      <w:color w:val="auto"/>
                      <w:sz w:val="18"/>
                      <w:szCs w:val="18"/>
                      <w:lang w:val="en-US" w:eastAsia="zh-CN"/>
                    </w:rPr>
                  </w:pPr>
                  <w:r>
                    <w:rPr>
                      <w:rFonts w:hint="eastAsia"/>
                      <w:color w:val="auto"/>
                      <w:sz w:val="18"/>
                      <w:szCs w:val="18"/>
                      <w:lang w:val="en-US" w:eastAsia="zh-CN"/>
                    </w:rPr>
                    <w:t>S</w:t>
                  </w:r>
                </w:p>
              </w:tc>
              <w:tc>
                <w:tcPr>
                  <w:tcW w:w="771" w:type="pct"/>
                  <w:vAlign w:val="center"/>
                </w:tcPr>
                <w:p w14:paraId="28CD7637">
                  <w:pPr>
                    <w:pStyle w:val="1267"/>
                    <w:adjustRightInd w:val="0"/>
                    <w:snapToGrid w:val="0"/>
                    <w:jc w:val="center"/>
                    <w:rPr>
                      <w:rFonts w:hint="default"/>
                      <w:color w:val="auto"/>
                      <w:sz w:val="18"/>
                      <w:szCs w:val="18"/>
                      <w:lang w:val="en-US" w:eastAsia="zh-CN"/>
                    </w:rPr>
                  </w:pPr>
                  <w:r>
                    <w:rPr>
                      <w:rFonts w:hint="eastAsia"/>
                      <w:color w:val="auto"/>
                      <w:sz w:val="18"/>
                      <w:szCs w:val="18"/>
                      <w:lang w:val="en-US" w:eastAsia="zh-CN"/>
                    </w:rPr>
                    <w:t>170</w:t>
                  </w:r>
                </w:p>
              </w:tc>
            </w:tr>
            <w:tr w14:paraId="6D55D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688" w:type="pct"/>
                  <w:vMerge w:val="continue"/>
                  <w:vAlign w:val="center"/>
                </w:tcPr>
                <w:p w14:paraId="64467D8E">
                  <w:pPr>
                    <w:pStyle w:val="1267"/>
                    <w:adjustRightInd w:val="0"/>
                    <w:snapToGrid w:val="0"/>
                    <w:jc w:val="center"/>
                    <w:rPr>
                      <w:rFonts w:hint="eastAsia"/>
                      <w:color w:val="auto"/>
                      <w:sz w:val="18"/>
                      <w:szCs w:val="18"/>
                      <w:lang w:eastAsia="zh-CN"/>
                    </w:rPr>
                  </w:pPr>
                </w:p>
              </w:tc>
              <w:tc>
                <w:tcPr>
                  <w:tcW w:w="1118" w:type="pct"/>
                  <w:vAlign w:val="center"/>
                </w:tcPr>
                <w:p w14:paraId="613AB30C">
                  <w:pPr>
                    <w:pStyle w:val="1267"/>
                    <w:adjustRightInd w:val="0"/>
                    <w:snapToGrid w:val="0"/>
                    <w:jc w:val="center"/>
                    <w:rPr>
                      <w:rFonts w:hint="default"/>
                      <w:color w:val="auto"/>
                      <w:sz w:val="18"/>
                      <w:szCs w:val="18"/>
                      <w:lang w:val="en-US" w:eastAsia="zh-CN"/>
                    </w:rPr>
                  </w:pPr>
                  <w:r>
                    <w:rPr>
                      <w:rFonts w:hint="eastAsia"/>
                      <w:color w:val="auto"/>
                      <w:sz w:val="18"/>
                      <w:szCs w:val="18"/>
                      <w:lang w:val="en-US" w:eastAsia="zh-CN"/>
                    </w:rPr>
                    <w:t>龙泉镇龙泉小学</w:t>
                  </w:r>
                </w:p>
              </w:tc>
              <w:tc>
                <w:tcPr>
                  <w:tcW w:w="842" w:type="pct"/>
                  <w:vAlign w:val="center"/>
                </w:tcPr>
                <w:p w14:paraId="5AA428E9">
                  <w:pPr>
                    <w:pStyle w:val="1267"/>
                    <w:adjustRightInd w:val="0"/>
                    <w:snapToGrid w:val="0"/>
                    <w:jc w:val="center"/>
                    <w:rPr>
                      <w:rFonts w:hint="default"/>
                      <w:color w:val="auto"/>
                      <w:sz w:val="18"/>
                      <w:szCs w:val="18"/>
                      <w:lang w:val="en-US" w:eastAsia="zh-CN"/>
                    </w:rPr>
                  </w:pPr>
                  <w:r>
                    <w:rPr>
                      <w:rFonts w:hint="eastAsia"/>
                      <w:color w:val="auto"/>
                      <w:sz w:val="18"/>
                      <w:szCs w:val="18"/>
                      <w:lang w:val="en-US" w:eastAsia="zh-CN"/>
                    </w:rPr>
                    <w:t>学校</w:t>
                  </w:r>
                </w:p>
              </w:tc>
              <w:tc>
                <w:tcPr>
                  <w:tcW w:w="860" w:type="pct"/>
                  <w:vMerge w:val="continue"/>
                  <w:vAlign w:val="center"/>
                </w:tcPr>
                <w:p w14:paraId="79602418">
                  <w:pPr>
                    <w:pStyle w:val="1267"/>
                    <w:adjustRightInd w:val="0"/>
                    <w:snapToGrid w:val="0"/>
                    <w:jc w:val="center"/>
                    <w:rPr>
                      <w:rFonts w:hint="eastAsia"/>
                      <w:color w:val="auto"/>
                      <w:sz w:val="18"/>
                      <w:szCs w:val="18"/>
                      <w:lang w:eastAsia="zh-CN"/>
                    </w:rPr>
                  </w:pPr>
                </w:p>
              </w:tc>
              <w:tc>
                <w:tcPr>
                  <w:tcW w:w="719" w:type="pct"/>
                  <w:vAlign w:val="center"/>
                </w:tcPr>
                <w:p w14:paraId="489D76D1">
                  <w:pPr>
                    <w:pStyle w:val="1267"/>
                    <w:adjustRightInd w:val="0"/>
                    <w:snapToGrid w:val="0"/>
                    <w:jc w:val="center"/>
                    <w:rPr>
                      <w:rFonts w:hint="default"/>
                      <w:color w:val="auto"/>
                      <w:sz w:val="18"/>
                      <w:szCs w:val="18"/>
                      <w:lang w:val="en-US" w:eastAsia="zh-CN"/>
                    </w:rPr>
                  </w:pPr>
                  <w:r>
                    <w:rPr>
                      <w:rFonts w:hint="eastAsia"/>
                      <w:color w:val="auto"/>
                      <w:sz w:val="18"/>
                      <w:szCs w:val="18"/>
                      <w:lang w:val="en-US" w:eastAsia="zh-CN"/>
                    </w:rPr>
                    <w:t>S</w:t>
                  </w:r>
                </w:p>
              </w:tc>
              <w:tc>
                <w:tcPr>
                  <w:tcW w:w="771" w:type="pct"/>
                  <w:vAlign w:val="center"/>
                </w:tcPr>
                <w:p w14:paraId="1B5F1960">
                  <w:pPr>
                    <w:pStyle w:val="1267"/>
                    <w:adjustRightInd w:val="0"/>
                    <w:snapToGrid w:val="0"/>
                    <w:jc w:val="center"/>
                    <w:rPr>
                      <w:rFonts w:hint="default"/>
                      <w:color w:val="auto"/>
                      <w:sz w:val="18"/>
                      <w:szCs w:val="18"/>
                      <w:lang w:val="en-US" w:eastAsia="zh-CN"/>
                    </w:rPr>
                  </w:pPr>
                  <w:r>
                    <w:rPr>
                      <w:rFonts w:hint="eastAsia"/>
                      <w:color w:val="auto"/>
                      <w:sz w:val="18"/>
                      <w:szCs w:val="18"/>
                      <w:lang w:val="en-US" w:eastAsia="zh-CN"/>
                    </w:rPr>
                    <w:t>340</w:t>
                  </w:r>
                </w:p>
              </w:tc>
            </w:tr>
            <w:tr w14:paraId="6D0FE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 w:hRule="atLeast"/>
              </w:trPr>
              <w:tc>
                <w:tcPr>
                  <w:tcW w:w="688" w:type="pct"/>
                  <w:vMerge w:val="continue"/>
                  <w:vAlign w:val="center"/>
                </w:tcPr>
                <w:p w14:paraId="60BB624C">
                  <w:pPr>
                    <w:pStyle w:val="1267"/>
                    <w:adjustRightInd w:val="0"/>
                    <w:snapToGrid w:val="0"/>
                    <w:jc w:val="center"/>
                    <w:rPr>
                      <w:rFonts w:hint="eastAsia"/>
                      <w:color w:val="auto"/>
                      <w:sz w:val="18"/>
                      <w:szCs w:val="18"/>
                      <w:lang w:eastAsia="zh-CN"/>
                    </w:rPr>
                  </w:pPr>
                </w:p>
              </w:tc>
              <w:tc>
                <w:tcPr>
                  <w:tcW w:w="1118" w:type="pct"/>
                  <w:vAlign w:val="center"/>
                </w:tcPr>
                <w:p w14:paraId="22C368D8">
                  <w:pPr>
                    <w:pStyle w:val="1267"/>
                    <w:adjustRightInd w:val="0"/>
                    <w:snapToGrid w:val="0"/>
                    <w:jc w:val="center"/>
                    <w:rPr>
                      <w:rFonts w:hint="default"/>
                      <w:color w:val="auto"/>
                      <w:sz w:val="18"/>
                      <w:szCs w:val="18"/>
                      <w:lang w:val="en-US" w:eastAsia="zh-CN"/>
                    </w:rPr>
                  </w:pPr>
                  <w:r>
                    <w:rPr>
                      <w:rFonts w:hint="eastAsia"/>
                      <w:color w:val="auto"/>
                      <w:sz w:val="18"/>
                      <w:szCs w:val="18"/>
                      <w:lang w:val="en-US" w:eastAsia="zh-CN"/>
                    </w:rPr>
                    <w:t>尚庄村村委</w:t>
                  </w:r>
                </w:p>
              </w:tc>
              <w:tc>
                <w:tcPr>
                  <w:tcW w:w="842" w:type="pct"/>
                  <w:vAlign w:val="center"/>
                </w:tcPr>
                <w:p w14:paraId="06760CE6">
                  <w:pPr>
                    <w:pStyle w:val="1267"/>
                    <w:adjustRightInd w:val="0"/>
                    <w:snapToGrid w:val="0"/>
                    <w:jc w:val="center"/>
                    <w:rPr>
                      <w:rFonts w:hint="default"/>
                      <w:color w:val="auto"/>
                      <w:sz w:val="18"/>
                      <w:szCs w:val="18"/>
                      <w:lang w:val="en-US" w:eastAsia="zh-CN"/>
                    </w:rPr>
                  </w:pPr>
                  <w:r>
                    <w:rPr>
                      <w:rFonts w:hint="eastAsia"/>
                      <w:color w:val="auto"/>
                      <w:sz w:val="18"/>
                      <w:szCs w:val="18"/>
                      <w:lang w:val="en-US" w:eastAsia="zh-CN"/>
                    </w:rPr>
                    <w:t>行政机构</w:t>
                  </w:r>
                </w:p>
              </w:tc>
              <w:tc>
                <w:tcPr>
                  <w:tcW w:w="860" w:type="pct"/>
                  <w:vMerge w:val="continue"/>
                  <w:vAlign w:val="center"/>
                </w:tcPr>
                <w:p w14:paraId="07BA07BD">
                  <w:pPr>
                    <w:pStyle w:val="1267"/>
                    <w:adjustRightInd w:val="0"/>
                    <w:snapToGrid w:val="0"/>
                    <w:jc w:val="center"/>
                    <w:rPr>
                      <w:rFonts w:hint="eastAsia"/>
                      <w:color w:val="auto"/>
                      <w:sz w:val="18"/>
                      <w:szCs w:val="18"/>
                      <w:lang w:eastAsia="zh-CN"/>
                    </w:rPr>
                  </w:pPr>
                </w:p>
              </w:tc>
              <w:tc>
                <w:tcPr>
                  <w:tcW w:w="719" w:type="pct"/>
                  <w:vAlign w:val="center"/>
                </w:tcPr>
                <w:p w14:paraId="4CEE81D1">
                  <w:pPr>
                    <w:pStyle w:val="1267"/>
                    <w:adjustRightInd w:val="0"/>
                    <w:snapToGrid w:val="0"/>
                    <w:jc w:val="center"/>
                    <w:rPr>
                      <w:rFonts w:hint="default"/>
                      <w:color w:val="auto"/>
                      <w:sz w:val="18"/>
                      <w:szCs w:val="18"/>
                      <w:lang w:val="en-US" w:eastAsia="zh-CN"/>
                    </w:rPr>
                  </w:pPr>
                  <w:r>
                    <w:rPr>
                      <w:rFonts w:hint="eastAsia"/>
                      <w:color w:val="auto"/>
                      <w:sz w:val="18"/>
                      <w:szCs w:val="18"/>
                      <w:lang w:val="en-US" w:eastAsia="zh-CN"/>
                    </w:rPr>
                    <w:t>SE</w:t>
                  </w:r>
                </w:p>
              </w:tc>
              <w:tc>
                <w:tcPr>
                  <w:tcW w:w="771" w:type="pct"/>
                  <w:vAlign w:val="center"/>
                </w:tcPr>
                <w:p w14:paraId="739FED6A">
                  <w:pPr>
                    <w:pStyle w:val="1267"/>
                    <w:adjustRightInd w:val="0"/>
                    <w:snapToGrid w:val="0"/>
                    <w:jc w:val="center"/>
                    <w:rPr>
                      <w:rFonts w:hint="default"/>
                      <w:color w:val="auto"/>
                      <w:sz w:val="18"/>
                      <w:szCs w:val="18"/>
                      <w:lang w:val="en-US" w:eastAsia="zh-CN"/>
                    </w:rPr>
                  </w:pPr>
                  <w:r>
                    <w:rPr>
                      <w:rFonts w:hint="eastAsia"/>
                      <w:color w:val="auto"/>
                      <w:sz w:val="18"/>
                      <w:szCs w:val="18"/>
                      <w:lang w:val="en-US" w:eastAsia="zh-CN"/>
                    </w:rPr>
                    <w:t>318</w:t>
                  </w:r>
                </w:p>
              </w:tc>
            </w:tr>
            <w:tr w14:paraId="09795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8" w:type="pct"/>
                  <w:vAlign w:val="center"/>
                </w:tcPr>
                <w:p w14:paraId="008AADE3">
                  <w:pPr>
                    <w:pStyle w:val="1267"/>
                    <w:adjustRightInd w:val="0"/>
                    <w:snapToGrid w:val="0"/>
                    <w:jc w:val="center"/>
                    <w:rPr>
                      <w:color w:val="auto"/>
                      <w:sz w:val="18"/>
                      <w:szCs w:val="18"/>
                    </w:rPr>
                  </w:pPr>
                  <w:r>
                    <w:rPr>
                      <w:color w:val="auto"/>
                      <w:sz w:val="18"/>
                      <w:szCs w:val="18"/>
                    </w:rPr>
                    <w:t>声环境</w:t>
                  </w:r>
                </w:p>
              </w:tc>
              <w:tc>
                <w:tcPr>
                  <w:tcW w:w="1960" w:type="pct"/>
                  <w:gridSpan w:val="2"/>
                  <w:vAlign w:val="center"/>
                </w:tcPr>
                <w:p w14:paraId="09D5763F">
                  <w:pPr>
                    <w:pStyle w:val="1267"/>
                    <w:adjustRightInd w:val="0"/>
                    <w:snapToGrid w:val="0"/>
                    <w:jc w:val="center"/>
                    <w:rPr>
                      <w:rFonts w:hint="default"/>
                      <w:color w:val="auto"/>
                      <w:sz w:val="18"/>
                      <w:szCs w:val="18"/>
                      <w:lang w:val="en-US" w:eastAsia="zh-CN"/>
                    </w:rPr>
                  </w:pPr>
                  <w:r>
                    <w:rPr>
                      <w:rFonts w:hint="eastAsia"/>
                      <w:color w:val="auto"/>
                      <w:sz w:val="18"/>
                      <w:szCs w:val="18"/>
                      <w:lang w:val="en-US" w:eastAsia="zh-CN"/>
                    </w:rPr>
                    <w:t>50m范围内无声环境保护目标</w:t>
                  </w:r>
                </w:p>
              </w:tc>
              <w:tc>
                <w:tcPr>
                  <w:tcW w:w="860" w:type="pct"/>
                  <w:vAlign w:val="center"/>
                </w:tcPr>
                <w:p w14:paraId="5D8B1C6D">
                  <w:pPr>
                    <w:pStyle w:val="1267"/>
                    <w:adjustRightInd w:val="0"/>
                    <w:snapToGrid w:val="0"/>
                    <w:jc w:val="center"/>
                    <w:rPr>
                      <w:color w:val="auto"/>
                      <w:sz w:val="18"/>
                      <w:szCs w:val="18"/>
                    </w:rPr>
                  </w:pPr>
                  <w:r>
                    <w:rPr>
                      <w:color w:val="auto"/>
                      <w:sz w:val="18"/>
                      <w:szCs w:val="18"/>
                    </w:rPr>
                    <w:t>《声环境质量标准》</w:t>
                  </w:r>
                  <w:r>
                    <w:rPr>
                      <w:rFonts w:hint="eastAsia"/>
                      <w:color w:val="auto"/>
                      <w:sz w:val="18"/>
                      <w:szCs w:val="18"/>
                      <w:lang w:eastAsia="zh-CN"/>
                    </w:rPr>
                    <w:t>（</w:t>
                  </w:r>
                  <w:r>
                    <w:rPr>
                      <w:color w:val="auto"/>
                      <w:sz w:val="18"/>
                      <w:szCs w:val="18"/>
                    </w:rPr>
                    <w:t>GB3096-2008</w:t>
                  </w:r>
                  <w:r>
                    <w:rPr>
                      <w:rFonts w:hint="eastAsia"/>
                      <w:color w:val="auto"/>
                      <w:sz w:val="18"/>
                      <w:szCs w:val="18"/>
                      <w:lang w:eastAsia="zh-CN"/>
                    </w:rPr>
                    <w:t>）</w:t>
                  </w:r>
                  <w:r>
                    <w:rPr>
                      <w:color w:val="auto"/>
                      <w:sz w:val="18"/>
                      <w:szCs w:val="18"/>
                    </w:rPr>
                    <w:t>中的2类标准</w:t>
                  </w:r>
                </w:p>
              </w:tc>
              <w:tc>
                <w:tcPr>
                  <w:tcW w:w="719" w:type="pct"/>
                  <w:vAlign w:val="center"/>
                </w:tcPr>
                <w:p w14:paraId="62E2B921">
                  <w:pPr>
                    <w:pStyle w:val="1267"/>
                    <w:adjustRightInd w:val="0"/>
                    <w:snapToGrid w:val="0"/>
                    <w:jc w:val="center"/>
                    <w:rPr>
                      <w:rFonts w:hint="eastAsia" w:eastAsia="宋体"/>
                      <w:color w:val="auto"/>
                      <w:sz w:val="18"/>
                      <w:szCs w:val="18"/>
                      <w:lang w:val="en-US" w:eastAsia="zh-CN"/>
                    </w:rPr>
                  </w:pPr>
                  <w:r>
                    <w:rPr>
                      <w:rFonts w:hint="eastAsia"/>
                      <w:color w:val="auto"/>
                      <w:sz w:val="18"/>
                      <w:szCs w:val="18"/>
                      <w:lang w:val="en-US" w:eastAsia="zh-CN"/>
                    </w:rPr>
                    <w:t>/</w:t>
                  </w:r>
                </w:p>
              </w:tc>
              <w:tc>
                <w:tcPr>
                  <w:tcW w:w="771" w:type="pct"/>
                  <w:vAlign w:val="center"/>
                </w:tcPr>
                <w:p w14:paraId="110E807C">
                  <w:pPr>
                    <w:pStyle w:val="1267"/>
                    <w:adjustRightInd w:val="0"/>
                    <w:snapToGrid w:val="0"/>
                    <w:jc w:val="center"/>
                    <w:rPr>
                      <w:rFonts w:hint="eastAsia" w:eastAsia="宋体"/>
                      <w:color w:val="auto"/>
                      <w:sz w:val="18"/>
                      <w:szCs w:val="18"/>
                      <w:lang w:val="en-US" w:eastAsia="zh-CN"/>
                    </w:rPr>
                  </w:pPr>
                  <w:r>
                    <w:rPr>
                      <w:rFonts w:hint="eastAsia"/>
                      <w:color w:val="auto"/>
                      <w:sz w:val="18"/>
                      <w:szCs w:val="18"/>
                      <w:lang w:val="en-US" w:eastAsia="zh-CN"/>
                    </w:rPr>
                    <w:t>/</w:t>
                  </w:r>
                </w:p>
              </w:tc>
            </w:tr>
            <w:tr w14:paraId="1EAE9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8" w:type="pct"/>
                  <w:vAlign w:val="center"/>
                </w:tcPr>
                <w:p w14:paraId="1F1C9AB9">
                  <w:pPr>
                    <w:pStyle w:val="1267"/>
                    <w:adjustRightInd w:val="0"/>
                    <w:snapToGrid w:val="0"/>
                    <w:jc w:val="center"/>
                    <w:rPr>
                      <w:color w:val="auto"/>
                      <w:sz w:val="18"/>
                      <w:szCs w:val="18"/>
                    </w:rPr>
                  </w:pPr>
                  <w:r>
                    <w:rPr>
                      <w:color w:val="auto"/>
                      <w:sz w:val="18"/>
                      <w:szCs w:val="18"/>
                    </w:rPr>
                    <w:t>地表水</w:t>
                  </w:r>
                </w:p>
              </w:tc>
              <w:tc>
                <w:tcPr>
                  <w:tcW w:w="1118" w:type="pct"/>
                  <w:vAlign w:val="center"/>
                </w:tcPr>
                <w:p w14:paraId="1696F2AF">
                  <w:pPr>
                    <w:pStyle w:val="1267"/>
                    <w:adjustRightInd w:val="0"/>
                    <w:snapToGrid w:val="0"/>
                    <w:jc w:val="center"/>
                    <w:rPr>
                      <w:color w:val="auto"/>
                      <w:sz w:val="18"/>
                      <w:szCs w:val="18"/>
                    </w:rPr>
                  </w:pPr>
                  <w:r>
                    <w:rPr>
                      <w:color w:val="auto"/>
                      <w:sz w:val="18"/>
                      <w:szCs w:val="18"/>
                    </w:rPr>
                    <w:t>般阳河（孝妇河支流）</w:t>
                  </w:r>
                </w:p>
              </w:tc>
              <w:tc>
                <w:tcPr>
                  <w:tcW w:w="1702" w:type="pct"/>
                  <w:gridSpan w:val="2"/>
                  <w:vAlign w:val="center"/>
                </w:tcPr>
                <w:p w14:paraId="60AE0371">
                  <w:pPr>
                    <w:pStyle w:val="1267"/>
                    <w:adjustRightInd w:val="0"/>
                    <w:snapToGrid w:val="0"/>
                    <w:jc w:val="center"/>
                    <w:rPr>
                      <w:color w:val="auto"/>
                      <w:sz w:val="18"/>
                      <w:szCs w:val="18"/>
                    </w:rPr>
                  </w:pPr>
                  <w:r>
                    <w:rPr>
                      <w:color w:val="auto"/>
                      <w:sz w:val="18"/>
                      <w:szCs w:val="18"/>
                    </w:rPr>
                    <w:t>《地表水环境质量标准》（GB3838-2002）Ⅴ类标准</w:t>
                  </w:r>
                </w:p>
              </w:tc>
              <w:tc>
                <w:tcPr>
                  <w:tcW w:w="719" w:type="pct"/>
                  <w:vAlign w:val="center"/>
                </w:tcPr>
                <w:p w14:paraId="47B563BC">
                  <w:pPr>
                    <w:pStyle w:val="1267"/>
                    <w:adjustRightInd w:val="0"/>
                    <w:snapToGrid w:val="0"/>
                    <w:jc w:val="center"/>
                    <w:rPr>
                      <w:color w:val="auto"/>
                      <w:sz w:val="18"/>
                      <w:szCs w:val="18"/>
                    </w:rPr>
                  </w:pPr>
                  <w:r>
                    <w:rPr>
                      <w:rFonts w:hint="eastAsia"/>
                      <w:color w:val="auto"/>
                      <w:sz w:val="18"/>
                      <w:szCs w:val="18"/>
                      <w:lang w:val="en-US" w:eastAsia="zh-CN"/>
                    </w:rPr>
                    <w:t>W</w:t>
                  </w:r>
                </w:p>
              </w:tc>
              <w:tc>
                <w:tcPr>
                  <w:tcW w:w="771" w:type="pct"/>
                  <w:vAlign w:val="center"/>
                </w:tcPr>
                <w:p w14:paraId="004FF284">
                  <w:pPr>
                    <w:pStyle w:val="1267"/>
                    <w:adjustRightInd w:val="0"/>
                    <w:snapToGrid w:val="0"/>
                    <w:jc w:val="center"/>
                    <w:rPr>
                      <w:rFonts w:hint="default" w:eastAsia="宋体"/>
                      <w:color w:val="auto"/>
                      <w:sz w:val="18"/>
                      <w:szCs w:val="18"/>
                      <w:lang w:val="en-US" w:eastAsia="zh-CN"/>
                    </w:rPr>
                  </w:pPr>
                  <w:r>
                    <w:rPr>
                      <w:rFonts w:hint="eastAsia"/>
                      <w:color w:val="auto"/>
                      <w:sz w:val="18"/>
                      <w:szCs w:val="18"/>
                      <w:lang w:val="en-US" w:eastAsia="zh-CN"/>
                    </w:rPr>
                    <w:t>868</w:t>
                  </w:r>
                </w:p>
              </w:tc>
            </w:tr>
            <w:tr w14:paraId="4A5D3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8" w:type="pct"/>
                  <w:vAlign w:val="center"/>
                </w:tcPr>
                <w:p w14:paraId="4F7B0508">
                  <w:pPr>
                    <w:pStyle w:val="1267"/>
                    <w:adjustRightInd w:val="0"/>
                    <w:snapToGrid w:val="0"/>
                    <w:jc w:val="center"/>
                    <w:rPr>
                      <w:color w:val="auto"/>
                      <w:sz w:val="18"/>
                      <w:szCs w:val="18"/>
                    </w:rPr>
                  </w:pPr>
                  <w:r>
                    <w:rPr>
                      <w:color w:val="auto"/>
                      <w:sz w:val="18"/>
                      <w:szCs w:val="18"/>
                    </w:rPr>
                    <w:t>地下水</w:t>
                  </w:r>
                </w:p>
              </w:tc>
              <w:tc>
                <w:tcPr>
                  <w:tcW w:w="4311" w:type="pct"/>
                  <w:gridSpan w:val="5"/>
                  <w:vAlign w:val="center"/>
                </w:tcPr>
                <w:p w14:paraId="6EF28932">
                  <w:pPr>
                    <w:pStyle w:val="1267"/>
                    <w:adjustRightInd w:val="0"/>
                    <w:snapToGrid w:val="0"/>
                    <w:jc w:val="center"/>
                    <w:rPr>
                      <w:color w:val="auto"/>
                      <w:sz w:val="18"/>
                      <w:szCs w:val="18"/>
                    </w:rPr>
                  </w:pPr>
                  <w:r>
                    <w:rPr>
                      <w:color w:val="auto"/>
                      <w:sz w:val="18"/>
                      <w:szCs w:val="18"/>
                    </w:rPr>
                    <w:t>厂界周边500m范围内无地下水集中式饮用水水源和热水、矿泉水、温泉等特殊地下水资源</w:t>
                  </w:r>
                </w:p>
              </w:tc>
            </w:tr>
            <w:tr w14:paraId="2E05A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8" w:type="pct"/>
                  <w:vAlign w:val="center"/>
                </w:tcPr>
                <w:p w14:paraId="6BFF7CBA">
                  <w:pPr>
                    <w:pStyle w:val="1267"/>
                    <w:adjustRightInd w:val="0"/>
                    <w:snapToGrid w:val="0"/>
                    <w:jc w:val="center"/>
                    <w:rPr>
                      <w:color w:val="auto"/>
                      <w:sz w:val="18"/>
                      <w:szCs w:val="18"/>
                    </w:rPr>
                  </w:pPr>
                  <w:r>
                    <w:rPr>
                      <w:color w:val="auto"/>
                      <w:sz w:val="18"/>
                      <w:szCs w:val="18"/>
                    </w:rPr>
                    <w:t>生态</w:t>
                  </w:r>
                </w:p>
              </w:tc>
              <w:tc>
                <w:tcPr>
                  <w:tcW w:w="4311" w:type="pct"/>
                  <w:gridSpan w:val="5"/>
                  <w:vAlign w:val="center"/>
                </w:tcPr>
                <w:p w14:paraId="589D17C8">
                  <w:pPr>
                    <w:pStyle w:val="1267"/>
                    <w:adjustRightInd w:val="0"/>
                    <w:snapToGrid w:val="0"/>
                    <w:jc w:val="center"/>
                    <w:rPr>
                      <w:color w:val="auto"/>
                      <w:sz w:val="18"/>
                      <w:szCs w:val="18"/>
                    </w:rPr>
                  </w:pPr>
                  <w:r>
                    <w:rPr>
                      <w:color w:val="auto"/>
                      <w:sz w:val="18"/>
                      <w:szCs w:val="18"/>
                    </w:rPr>
                    <w:t>项目用地范围内无生态环境保护目标</w:t>
                  </w:r>
                </w:p>
              </w:tc>
            </w:tr>
          </w:tbl>
          <w:p w14:paraId="3E484FDF">
            <w:pPr>
              <w:pStyle w:val="82"/>
              <w:rPr>
                <w:color w:val="auto"/>
              </w:rPr>
            </w:pPr>
          </w:p>
        </w:tc>
      </w:tr>
      <w:tr w14:paraId="7A9562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8" w:hRule="atLeast"/>
          <w:jc w:val="center"/>
        </w:trPr>
        <w:tc>
          <w:tcPr>
            <w:tcW w:w="800" w:type="dxa"/>
            <w:tcMar>
              <w:left w:w="28" w:type="dxa"/>
              <w:right w:w="28" w:type="dxa"/>
            </w:tcMar>
            <w:vAlign w:val="center"/>
          </w:tcPr>
          <w:p w14:paraId="17DDED9C">
            <w:pPr>
              <w:adjustRightInd w:val="0"/>
              <w:snapToGrid w:val="0"/>
              <w:spacing w:line="420" w:lineRule="exact"/>
              <w:jc w:val="center"/>
              <w:rPr>
                <w:color w:val="auto"/>
                <w:kern w:val="0"/>
              </w:rPr>
            </w:pPr>
            <w:r>
              <w:rPr>
                <w:color w:val="auto"/>
                <w:kern w:val="0"/>
              </w:rPr>
              <w:t>污染</w:t>
            </w:r>
          </w:p>
          <w:p w14:paraId="64BDFD79">
            <w:pPr>
              <w:adjustRightInd w:val="0"/>
              <w:snapToGrid w:val="0"/>
              <w:spacing w:line="420" w:lineRule="exact"/>
              <w:jc w:val="center"/>
              <w:rPr>
                <w:color w:val="auto"/>
                <w:kern w:val="0"/>
              </w:rPr>
            </w:pPr>
            <w:r>
              <w:rPr>
                <w:color w:val="auto"/>
                <w:kern w:val="0"/>
              </w:rPr>
              <w:t>物排</w:t>
            </w:r>
          </w:p>
          <w:p w14:paraId="3FDA89B9">
            <w:pPr>
              <w:adjustRightInd w:val="0"/>
              <w:snapToGrid w:val="0"/>
              <w:spacing w:line="420" w:lineRule="exact"/>
              <w:jc w:val="center"/>
              <w:rPr>
                <w:color w:val="auto"/>
                <w:kern w:val="0"/>
              </w:rPr>
            </w:pPr>
            <w:r>
              <w:rPr>
                <w:color w:val="auto"/>
                <w:kern w:val="0"/>
              </w:rPr>
              <w:t>放控</w:t>
            </w:r>
          </w:p>
          <w:p w14:paraId="298C9FB9">
            <w:pPr>
              <w:adjustRightInd w:val="0"/>
              <w:snapToGrid w:val="0"/>
              <w:spacing w:line="420" w:lineRule="exact"/>
              <w:jc w:val="center"/>
              <w:rPr>
                <w:color w:val="auto"/>
                <w:kern w:val="0"/>
              </w:rPr>
            </w:pPr>
            <w:r>
              <w:rPr>
                <w:color w:val="auto"/>
                <w:kern w:val="0"/>
              </w:rPr>
              <w:t>制标</w:t>
            </w:r>
          </w:p>
          <w:p w14:paraId="7DD225E5">
            <w:pPr>
              <w:adjustRightInd w:val="0"/>
              <w:snapToGrid w:val="0"/>
              <w:spacing w:line="420" w:lineRule="exact"/>
              <w:jc w:val="center"/>
              <w:rPr>
                <w:color w:val="auto"/>
                <w:kern w:val="0"/>
              </w:rPr>
            </w:pPr>
            <w:r>
              <w:rPr>
                <w:color w:val="auto"/>
                <w:kern w:val="0"/>
              </w:rPr>
              <w:t>准</w:t>
            </w:r>
          </w:p>
        </w:tc>
        <w:tc>
          <w:tcPr>
            <w:tcW w:w="8190" w:type="dxa"/>
            <w:vAlign w:val="center"/>
          </w:tcPr>
          <w:p w14:paraId="31293029">
            <w:pPr>
              <w:pStyle w:val="1042"/>
              <w:spacing w:line="420" w:lineRule="exact"/>
              <w:ind w:left="-96" w:firstLine="422"/>
              <w:rPr>
                <w:b/>
                <w:color w:val="auto"/>
                <w:szCs w:val="21"/>
              </w:rPr>
            </w:pPr>
            <w:r>
              <w:rPr>
                <w:b/>
                <w:color w:val="auto"/>
                <w:szCs w:val="21"/>
              </w:rPr>
              <w:t>1、噪声</w:t>
            </w:r>
          </w:p>
          <w:p w14:paraId="255B307B">
            <w:pPr>
              <w:spacing w:line="360" w:lineRule="auto"/>
              <w:ind w:firstLine="420" w:firstLineChars="200"/>
              <w:rPr>
                <w:color w:val="auto"/>
              </w:rPr>
            </w:pPr>
            <w:r>
              <w:rPr>
                <w:color w:val="auto"/>
              </w:rPr>
              <w:t>营运期噪声执行《工业企业厂界环境噪声排放标准》（GB12348-2008）2类标准，具体标准值见表3-</w:t>
            </w:r>
            <w:r>
              <w:rPr>
                <w:rFonts w:hint="eastAsia"/>
                <w:color w:val="auto"/>
                <w:lang w:val="en-US" w:eastAsia="zh-CN"/>
              </w:rPr>
              <w:t>3</w:t>
            </w:r>
            <w:r>
              <w:rPr>
                <w:color w:val="auto"/>
              </w:rPr>
              <w:t>。</w:t>
            </w:r>
          </w:p>
          <w:p w14:paraId="2119913C">
            <w:pPr>
              <w:spacing w:line="420" w:lineRule="exact"/>
              <w:jc w:val="center"/>
              <w:rPr>
                <w:b/>
                <w:color w:val="auto"/>
              </w:rPr>
            </w:pPr>
            <w:r>
              <w:rPr>
                <w:b/>
                <w:color w:val="auto"/>
              </w:rPr>
              <w:t>表3-</w:t>
            </w:r>
            <w:r>
              <w:rPr>
                <w:rFonts w:hint="eastAsia"/>
                <w:b/>
                <w:color w:val="auto"/>
                <w:lang w:val="en-US" w:eastAsia="zh-CN"/>
              </w:rPr>
              <w:t>3</w:t>
            </w:r>
            <w:r>
              <w:rPr>
                <w:b/>
                <w:color w:val="auto"/>
              </w:rPr>
              <w:t>工业企业厂界环境噪声排放标准       单位：</w:t>
            </w:r>
            <w:r>
              <w:rPr>
                <w:b/>
                <w:bCs/>
                <w:color w:val="auto"/>
              </w:rPr>
              <w:t>dB（A）</w:t>
            </w:r>
          </w:p>
          <w:tbl>
            <w:tblPr>
              <w:tblStyle w:val="83"/>
              <w:tblW w:w="4998" w:type="pct"/>
              <w:jc w:val="center"/>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1301"/>
              <w:gridCol w:w="1230"/>
              <w:gridCol w:w="1305"/>
              <w:gridCol w:w="4125"/>
            </w:tblGrid>
            <w:tr w14:paraId="5CFE60F5">
              <w:tblPrEx>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9" w:hRule="atLeast"/>
                <w:jc w:val="center"/>
              </w:trPr>
              <w:tc>
                <w:tcPr>
                  <w:tcW w:w="817" w:type="pct"/>
                  <w:vAlign w:val="center"/>
                </w:tcPr>
                <w:p w14:paraId="6DBDF20A">
                  <w:pPr>
                    <w:spacing w:line="420" w:lineRule="exact"/>
                    <w:jc w:val="center"/>
                    <w:rPr>
                      <w:b/>
                      <w:bCs/>
                      <w:color w:val="auto"/>
                      <w:sz w:val="18"/>
                      <w:szCs w:val="18"/>
                    </w:rPr>
                  </w:pPr>
                  <w:r>
                    <w:rPr>
                      <w:b/>
                      <w:bCs/>
                      <w:color w:val="auto"/>
                      <w:sz w:val="18"/>
                      <w:szCs w:val="18"/>
                    </w:rPr>
                    <w:t>类别</w:t>
                  </w:r>
                </w:p>
              </w:tc>
              <w:tc>
                <w:tcPr>
                  <w:tcW w:w="772" w:type="pct"/>
                  <w:vAlign w:val="center"/>
                </w:tcPr>
                <w:p w14:paraId="17BC7596">
                  <w:pPr>
                    <w:spacing w:line="420" w:lineRule="exact"/>
                    <w:jc w:val="center"/>
                    <w:rPr>
                      <w:b/>
                      <w:bCs/>
                      <w:color w:val="auto"/>
                      <w:sz w:val="18"/>
                      <w:szCs w:val="18"/>
                    </w:rPr>
                  </w:pPr>
                  <w:r>
                    <w:rPr>
                      <w:b/>
                      <w:bCs/>
                      <w:color w:val="auto"/>
                      <w:sz w:val="18"/>
                      <w:szCs w:val="18"/>
                    </w:rPr>
                    <w:t>昼间</w:t>
                  </w:r>
                </w:p>
              </w:tc>
              <w:tc>
                <w:tcPr>
                  <w:tcW w:w="819" w:type="pct"/>
                  <w:vAlign w:val="center"/>
                </w:tcPr>
                <w:p w14:paraId="6AF88347">
                  <w:pPr>
                    <w:spacing w:line="420" w:lineRule="exact"/>
                    <w:jc w:val="center"/>
                    <w:rPr>
                      <w:b/>
                      <w:bCs/>
                      <w:color w:val="auto"/>
                      <w:sz w:val="18"/>
                      <w:szCs w:val="18"/>
                    </w:rPr>
                  </w:pPr>
                  <w:r>
                    <w:rPr>
                      <w:b/>
                      <w:bCs/>
                      <w:color w:val="auto"/>
                      <w:sz w:val="18"/>
                      <w:szCs w:val="18"/>
                    </w:rPr>
                    <w:t>夜间</w:t>
                  </w:r>
                </w:p>
              </w:tc>
              <w:tc>
                <w:tcPr>
                  <w:tcW w:w="2590" w:type="pct"/>
                  <w:vAlign w:val="center"/>
                </w:tcPr>
                <w:p w14:paraId="421F64AC">
                  <w:pPr>
                    <w:spacing w:line="420" w:lineRule="exact"/>
                    <w:jc w:val="center"/>
                    <w:rPr>
                      <w:b/>
                      <w:bCs/>
                      <w:color w:val="auto"/>
                      <w:sz w:val="18"/>
                      <w:szCs w:val="18"/>
                    </w:rPr>
                  </w:pPr>
                  <w:r>
                    <w:rPr>
                      <w:b/>
                      <w:bCs/>
                      <w:color w:val="auto"/>
                      <w:sz w:val="18"/>
                      <w:szCs w:val="18"/>
                    </w:rPr>
                    <w:t>标准来源</w:t>
                  </w:r>
                </w:p>
              </w:tc>
            </w:tr>
            <w:tr w14:paraId="28A0D155">
              <w:tblPrEx>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817" w:type="pct"/>
                  <w:vAlign w:val="center"/>
                </w:tcPr>
                <w:p w14:paraId="053C6B8C">
                  <w:pPr>
                    <w:spacing w:line="420" w:lineRule="exact"/>
                    <w:jc w:val="center"/>
                    <w:rPr>
                      <w:bCs/>
                      <w:color w:val="auto"/>
                      <w:sz w:val="18"/>
                      <w:szCs w:val="18"/>
                    </w:rPr>
                  </w:pPr>
                  <w:r>
                    <w:rPr>
                      <w:bCs/>
                      <w:color w:val="auto"/>
                      <w:sz w:val="18"/>
                      <w:szCs w:val="18"/>
                    </w:rPr>
                    <w:t>2</w:t>
                  </w:r>
                </w:p>
              </w:tc>
              <w:tc>
                <w:tcPr>
                  <w:tcW w:w="772" w:type="pct"/>
                  <w:vAlign w:val="center"/>
                </w:tcPr>
                <w:p w14:paraId="20E1C296">
                  <w:pPr>
                    <w:spacing w:line="420" w:lineRule="exact"/>
                    <w:jc w:val="center"/>
                    <w:rPr>
                      <w:bCs/>
                      <w:color w:val="auto"/>
                      <w:sz w:val="18"/>
                      <w:szCs w:val="18"/>
                    </w:rPr>
                  </w:pPr>
                  <w:r>
                    <w:rPr>
                      <w:bCs/>
                      <w:color w:val="auto"/>
                      <w:sz w:val="18"/>
                      <w:szCs w:val="18"/>
                    </w:rPr>
                    <w:t>60</w:t>
                  </w:r>
                </w:p>
              </w:tc>
              <w:tc>
                <w:tcPr>
                  <w:tcW w:w="819" w:type="pct"/>
                  <w:vAlign w:val="center"/>
                </w:tcPr>
                <w:p w14:paraId="0E91543D">
                  <w:pPr>
                    <w:spacing w:line="420" w:lineRule="exact"/>
                    <w:jc w:val="center"/>
                    <w:rPr>
                      <w:bCs/>
                      <w:color w:val="auto"/>
                      <w:sz w:val="18"/>
                      <w:szCs w:val="18"/>
                    </w:rPr>
                  </w:pPr>
                  <w:r>
                    <w:rPr>
                      <w:bCs/>
                      <w:color w:val="auto"/>
                      <w:sz w:val="18"/>
                      <w:szCs w:val="18"/>
                    </w:rPr>
                    <w:t>50</w:t>
                  </w:r>
                </w:p>
              </w:tc>
              <w:tc>
                <w:tcPr>
                  <w:tcW w:w="2590" w:type="pct"/>
                  <w:vAlign w:val="center"/>
                </w:tcPr>
                <w:p w14:paraId="260EEBBA">
                  <w:pPr>
                    <w:spacing w:line="420" w:lineRule="exact"/>
                    <w:jc w:val="center"/>
                    <w:rPr>
                      <w:bCs/>
                      <w:color w:val="auto"/>
                      <w:sz w:val="18"/>
                      <w:szCs w:val="18"/>
                    </w:rPr>
                  </w:pPr>
                  <w:r>
                    <w:rPr>
                      <w:color w:val="auto"/>
                      <w:sz w:val="18"/>
                      <w:szCs w:val="18"/>
                    </w:rPr>
                    <w:t>（GB12348-2008）</w:t>
                  </w:r>
                  <w:r>
                    <w:rPr>
                      <w:bCs/>
                      <w:color w:val="auto"/>
                      <w:sz w:val="18"/>
                      <w:szCs w:val="18"/>
                    </w:rPr>
                    <w:t>2</w:t>
                  </w:r>
                  <w:r>
                    <w:rPr>
                      <w:color w:val="auto"/>
                      <w:sz w:val="18"/>
                      <w:szCs w:val="18"/>
                    </w:rPr>
                    <w:t>类标准</w:t>
                  </w:r>
                </w:p>
              </w:tc>
            </w:tr>
          </w:tbl>
          <w:p w14:paraId="5F591367">
            <w:pPr>
              <w:autoSpaceDE w:val="0"/>
              <w:autoSpaceDN w:val="0"/>
              <w:adjustRightInd w:val="0"/>
              <w:spacing w:line="360" w:lineRule="auto"/>
              <w:ind w:firstLine="422" w:firstLineChars="200"/>
              <w:rPr>
                <w:b/>
                <w:color w:val="auto"/>
                <w:highlight w:val="none"/>
              </w:rPr>
            </w:pPr>
            <w:r>
              <w:rPr>
                <w:b/>
                <w:color w:val="auto"/>
                <w:highlight w:val="none"/>
              </w:rPr>
              <w:t>2、废气</w:t>
            </w:r>
          </w:p>
          <w:p w14:paraId="5F79020A">
            <w:pPr>
              <w:spacing w:line="360" w:lineRule="auto"/>
              <w:ind w:firstLine="420" w:firstLineChars="200"/>
              <w:rPr>
                <w:rFonts w:hint="eastAsia" w:eastAsiaTheme="minorEastAsia"/>
                <w:color w:val="auto"/>
                <w:highlight w:val="none"/>
                <w:lang w:eastAsia="zh-CN"/>
              </w:rPr>
            </w:pPr>
            <w:r>
              <w:rPr>
                <w:color w:val="auto"/>
                <w:highlight w:val="none"/>
              </w:rPr>
              <w:t>营运期HCl</w:t>
            </w:r>
            <w:r>
              <w:rPr>
                <w:rFonts w:hint="eastAsia" w:eastAsiaTheme="minorEastAsia"/>
                <w:color w:val="auto"/>
                <w:highlight w:val="none"/>
              </w:rPr>
              <w:t>有</w:t>
            </w:r>
            <w:r>
              <w:rPr>
                <w:rFonts w:eastAsiaTheme="minorEastAsia"/>
                <w:color w:val="auto"/>
                <w:highlight w:val="none"/>
              </w:rPr>
              <w:t>组织排放执行《无机化学工业污染物排放标准》</w:t>
            </w:r>
            <w:r>
              <w:rPr>
                <w:rFonts w:hint="eastAsia" w:eastAsiaTheme="minorEastAsia"/>
                <w:color w:val="auto"/>
                <w:highlight w:val="none"/>
              </w:rPr>
              <w:t>（</w:t>
            </w:r>
            <w:r>
              <w:rPr>
                <w:rFonts w:eastAsiaTheme="minorEastAsia"/>
                <w:color w:val="auto"/>
                <w:highlight w:val="none"/>
              </w:rPr>
              <w:t>GB 31573-2015</w:t>
            </w:r>
            <w:r>
              <w:rPr>
                <w:rFonts w:hint="eastAsia" w:eastAsiaTheme="minorEastAsia"/>
                <w:color w:val="auto"/>
                <w:highlight w:val="none"/>
              </w:rPr>
              <w:t>）</w:t>
            </w:r>
            <w:r>
              <w:rPr>
                <w:rFonts w:eastAsiaTheme="minorEastAsia"/>
                <w:color w:val="auto"/>
                <w:highlight w:val="none"/>
              </w:rPr>
              <w:t>表4标准</w:t>
            </w:r>
            <w:r>
              <w:rPr>
                <w:rFonts w:hint="eastAsia" w:eastAsiaTheme="minorEastAsia"/>
                <w:color w:val="auto"/>
                <w:highlight w:val="none"/>
              </w:rPr>
              <w:t>限值</w:t>
            </w:r>
            <w:r>
              <w:rPr>
                <w:rFonts w:hint="eastAsia" w:eastAsiaTheme="minorEastAsia"/>
                <w:color w:val="auto"/>
                <w:highlight w:val="none"/>
                <w:lang w:eastAsia="zh-CN"/>
              </w:rPr>
              <w:t>（HCl</w:t>
            </w:r>
            <w:r>
              <w:rPr>
                <w:rFonts w:hint="eastAsia" w:eastAsiaTheme="minorEastAsia"/>
                <w:color w:val="auto"/>
                <w:highlight w:val="none"/>
                <w:lang w:val="en-US" w:eastAsia="zh-CN"/>
              </w:rPr>
              <w:t xml:space="preserve"> 10</w:t>
            </w:r>
            <w:r>
              <w:rPr>
                <w:rFonts w:eastAsiaTheme="minorEastAsia"/>
                <w:color w:val="auto"/>
                <w:highlight w:val="none"/>
              </w:rPr>
              <w:t>mg/m</w:t>
            </w:r>
            <w:r>
              <w:rPr>
                <w:rFonts w:eastAsiaTheme="minorEastAsia"/>
                <w:color w:val="auto"/>
                <w:highlight w:val="none"/>
                <w:vertAlign w:val="superscript"/>
              </w:rPr>
              <w:t>3</w:t>
            </w:r>
            <w:r>
              <w:rPr>
                <w:rFonts w:hint="eastAsia" w:eastAsiaTheme="minorEastAsia"/>
                <w:color w:val="auto"/>
                <w:highlight w:val="none"/>
                <w:lang w:eastAsia="zh-CN"/>
              </w:rPr>
              <w:t>）；</w:t>
            </w:r>
            <w:r>
              <w:rPr>
                <w:rFonts w:hint="default" w:ascii="Times New Roman" w:hAnsi="Times New Roman" w:cs="Times New Roman"/>
                <w:color w:val="auto"/>
                <w:highlight w:val="none"/>
              </w:rPr>
              <w:t>VOCs有组织</w:t>
            </w:r>
            <w:r>
              <w:rPr>
                <w:rFonts w:hint="eastAsia" w:ascii="Times New Roman" w:hAnsi="Times New Roman" w:cs="Times New Roman"/>
                <w:color w:val="auto"/>
                <w:highlight w:val="none"/>
                <w:lang w:val="en-US" w:eastAsia="zh-CN"/>
              </w:rPr>
              <w:t>排放</w:t>
            </w:r>
            <w:r>
              <w:rPr>
                <w:rFonts w:hint="default" w:ascii="Times New Roman" w:hAnsi="Times New Roman" w:cs="Times New Roman"/>
                <w:color w:val="auto"/>
                <w:highlight w:val="none"/>
              </w:rPr>
              <w:t>执行</w:t>
            </w:r>
            <w:r>
              <w:rPr>
                <w:rFonts w:hint="default" w:ascii="Times New Roman" w:hAnsi="Times New Roman" w:cs="Times New Roman"/>
                <w:color w:val="auto"/>
                <w:szCs w:val="21"/>
                <w:highlight w:val="none"/>
              </w:rPr>
              <w:t>《挥发性有机物排放标准 第</w:t>
            </w:r>
            <w:r>
              <w:rPr>
                <w:rFonts w:hint="eastAsia" w:cs="Times New Roman"/>
                <w:color w:val="auto"/>
                <w:szCs w:val="21"/>
                <w:highlight w:val="none"/>
                <w:lang w:val="en-US" w:eastAsia="zh-CN"/>
              </w:rPr>
              <w:t>7</w:t>
            </w:r>
            <w:r>
              <w:rPr>
                <w:rFonts w:hint="default" w:ascii="Times New Roman" w:hAnsi="Times New Roman" w:cs="Times New Roman"/>
                <w:color w:val="auto"/>
                <w:szCs w:val="21"/>
                <w:highlight w:val="none"/>
              </w:rPr>
              <w:t>部分：</w:t>
            </w:r>
            <w:r>
              <w:rPr>
                <w:rFonts w:hint="eastAsia" w:cs="Times New Roman"/>
                <w:color w:val="auto"/>
                <w:szCs w:val="21"/>
                <w:highlight w:val="none"/>
                <w:lang w:eastAsia="zh-CN"/>
              </w:rPr>
              <w:t>其他</w:t>
            </w:r>
            <w:r>
              <w:rPr>
                <w:rFonts w:hint="default" w:ascii="Times New Roman" w:hAnsi="Times New Roman" w:cs="Times New Roman"/>
                <w:color w:val="auto"/>
                <w:szCs w:val="21"/>
                <w:highlight w:val="none"/>
              </w:rPr>
              <w:t>行业》（DB37/2801.</w:t>
            </w:r>
            <w:r>
              <w:rPr>
                <w:rFonts w:hint="eastAsia" w:cs="Times New Roman"/>
                <w:color w:val="auto"/>
                <w:szCs w:val="21"/>
                <w:highlight w:val="none"/>
                <w:lang w:val="en-US" w:eastAsia="zh-CN"/>
              </w:rPr>
              <w:t>7</w:t>
            </w:r>
            <w:r>
              <w:rPr>
                <w:rFonts w:hint="default" w:ascii="Times New Roman" w:hAnsi="Times New Roman" w:cs="Times New Roman"/>
                <w:color w:val="auto"/>
                <w:szCs w:val="21"/>
                <w:highlight w:val="none"/>
              </w:rPr>
              <w:t>-201</w:t>
            </w:r>
            <w:r>
              <w:rPr>
                <w:rFonts w:hint="eastAsia" w:cs="Times New Roman"/>
                <w:color w:val="auto"/>
                <w:szCs w:val="21"/>
                <w:highlight w:val="none"/>
                <w:lang w:val="en-US" w:eastAsia="zh-CN"/>
              </w:rPr>
              <w:t>9</w:t>
            </w:r>
            <w:r>
              <w:rPr>
                <w:rFonts w:hint="default" w:ascii="Times New Roman" w:hAnsi="Times New Roman" w:cs="Times New Roman"/>
                <w:color w:val="auto"/>
                <w:szCs w:val="21"/>
                <w:highlight w:val="none"/>
              </w:rPr>
              <w:t>）表</w:t>
            </w:r>
            <w:r>
              <w:rPr>
                <w:rFonts w:hint="eastAsia" w:cs="Times New Roman"/>
                <w:color w:val="auto"/>
                <w:szCs w:val="21"/>
                <w:highlight w:val="none"/>
                <w:lang w:val="en-US" w:eastAsia="zh-CN"/>
              </w:rPr>
              <w:t>1中“非重点行业”Ⅱ时段</w:t>
            </w:r>
            <w:r>
              <w:rPr>
                <w:rFonts w:hint="default" w:ascii="Times New Roman" w:hAnsi="Times New Roman" w:cs="Times New Roman"/>
                <w:color w:val="auto"/>
                <w:szCs w:val="21"/>
                <w:highlight w:val="none"/>
              </w:rPr>
              <w:t>VOCs排放限值</w:t>
            </w:r>
            <w:r>
              <w:rPr>
                <w:rFonts w:hint="eastAsia" w:cs="Times New Roman"/>
                <w:color w:val="auto"/>
                <w:szCs w:val="21"/>
                <w:highlight w:val="none"/>
                <w:lang w:eastAsia="zh-CN"/>
              </w:rPr>
              <w:t>（</w:t>
            </w:r>
            <w:r>
              <w:rPr>
                <w:rFonts w:hint="eastAsia" w:cs="Times New Roman"/>
                <w:color w:val="auto"/>
                <w:szCs w:val="21"/>
                <w:highlight w:val="none"/>
                <w:lang w:val="en-US" w:eastAsia="zh-CN"/>
              </w:rPr>
              <w:t>VOCs排放浓度60mg/m</w:t>
            </w:r>
            <w:r>
              <w:rPr>
                <w:rFonts w:hint="eastAsia" w:cs="Times New Roman"/>
                <w:color w:val="auto"/>
                <w:szCs w:val="21"/>
                <w:highlight w:val="none"/>
                <w:vertAlign w:val="superscript"/>
                <w:lang w:val="en-US" w:eastAsia="zh-CN"/>
              </w:rPr>
              <w:t>3</w:t>
            </w:r>
            <w:r>
              <w:rPr>
                <w:rFonts w:hint="eastAsia" w:cs="Times New Roman"/>
                <w:color w:val="auto"/>
                <w:szCs w:val="21"/>
                <w:highlight w:val="none"/>
                <w:lang w:val="en-US" w:eastAsia="zh-CN"/>
              </w:rPr>
              <w:t>、排放速率3.0kg/h</w:t>
            </w:r>
            <w:r>
              <w:rPr>
                <w:rFonts w:hint="eastAsia" w:cs="Times New Roman"/>
                <w:color w:val="auto"/>
                <w:szCs w:val="21"/>
                <w:highlight w:val="none"/>
                <w:lang w:eastAsia="zh-CN"/>
              </w:rPr>
              <w:t>）</w:t>
            </w:r>
            <w:r>
              <w:rPr>
                <w:rFonts w:hint="eastAsia" w:eastAsiaTheme="minorEastAsia"/>
                <w:color w:val="auto"/>
                <w:highlight w:val="none"/>
                <w:lang w:eastAsia="zh-CN"/>
              </w:rPr>
              <w:t>。</w:t>
            </w:r>
          </w:p>
          <w:p w14:paraId="270CF8EB">
            <w:pPr>
              <w:spacing w:line="360" w:lineRule="auto"/>
              <w:ind w:firstLine="420" w:firstLineChars="200"/>
              <w:rPr>
                <w:rFonts w:eastAsiaTheme="minorEastAsia"/>
                <w:color w:val="auto"/>
                <w:highlight w:val="none"/>
              </w:rPr>
            </w:pPr>
            <w:r>
              <w:rPr>
                <w:rFonts w:hint="eastAsia" w:eastAsiaTheme="minorEastAsia"/>
                <w:color w:val="auto"/>
                <w:highlight w:val="none"/>
                <w:lang w:eastAsia="zh-CN"/>
              </w:rPr>
              <w:t>无组织HCl执行《无机化学工业污染物排放标准》（GB31573-2015）表5</w:t>
            </w:r>
            <w:r>
              <w:rPr>
                <w:rFonts w:hint="eastAsia" w:eastAsiaTheme="minorEastAsia"/>
                <w:color w:val="auto"/>
                <w:highlight w:val="none"/>
                <w:lang w:val="en-US" w:eastAsia="zh-CN"/>
              </w:rPr>
              <w:t>浓度限值</w:t>
            </w:r>
            <w:r>
              <w:rPr>
                <w:rFonts w:eastAsiaTheme="minorEastAsia"/>
                <w:color w:val="auto"/>
                <w:highlight w:val="none"/>
              </w:rPr>
              <w:t>。</w:t>
            </w:r>
          </w:p>
          <w:p w14:paraId="5C75EE41">
            <w:pPr>
              <w:adjustRightInd w:val="0"/>
              <w:snapToGrid w:val="0"/>
              <w:spacing w:line="360" w:lineRule="auto"/>
              <w:jc w:val="center"/>
              <w:rPr>
                <w:b/>
                <w:color w:val="auto"/>
                <w:highlight w:val="none"/>
              </w:rPr>
            </w:pPr>
            <w:r>
              <w:rPr>
                <w:b/>
                <w:color w:val="auto"/>
                <w:highlight w:val="none"/>
              </w:rPr>
              <w:t>表3-</w:t>
            </w:r>
            <w:r>
              <w:rPr>
                <w:rFonts w:hint="eastAsia"/>
                <w:b/>
                <w:color w:val="auto"/>
                <w:highlight w:val="none"/>
                <w:lang w:val="en-US" w:eastAsia="zh-CN"/>
              </w:rPr>
              <w:t>4</w:t>
            </w:r>
            <w:r>
              <w:rPr>
                <w:b/>
                <w:color w:val="auto"/>
                <w:highlight w:val="none"/>
              </w:rPr>
              <w:t>项目废气排放执行标准</w:t>
            </w:r>
          </w:p>
          <w:tbl>
            <w:tblPr>
              <w:tblStyle w:val="83"/>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84"/>
              <w:gridCol w:w="1287"/>
              <w:gridCol w:w="987"/>
              <w:gridCol w:w="1136"/>
              <w:gridCol w:w="2492"/>
              <w:gridCol w:w="997"/>
            </w:tblGrid>
            <w:tr w14:paraId="47AD1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84" w:type="dxa"/>
                  <w:vMerge w:val="restart"/>
                  <w:vAlign w:val="center"/>
                </w:tcPr>
                <w:p w14:paraId="13DB24CD">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污染物名称</w:t>
                  </w:r>
                </w:p>
              </w:tc>
              <w:tc>
                <w:tcPr>
                  <w:tcW w:w="1287" w:type="dxa"/>
                  <w:vMerge w:val="restart"/>
                  <w:vAlign w:val="center"/>
                </w:tcPr>
                <w:p w14:paraId="1C1F22EB">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排放浓度mg/m</w:t>
                  </w:r>
                  <w:r>
                    <w:rPr>
                      <w:rFonts w:hint="default" w:ascii="Times New Roman" w:hAnsi="Times New Roman" w:cs="Times New Roman"/>
                      <w:color w:val="auto"/>
                      <w:sz w:val="18"/>
                      <w:szCs w:val="18"/>
                      <w:highlight w:val="none"/>
                      <w:vertAlign w:val="superscript"/>
                    </w:rPr>
                    <w:t>3</w:t>
                  </w:r>
                </w:p>
              </w:tc>
              <w:tc>
                <w:tcPr>
                  <w:tcW w:w="2123" w:type="dxa"/>
                  <w:gridSpan w:val="2"/>
                  <w:vAlign w:val="center"/>
                </w:tcPr>
                <w:p w14:paraId="201DDBDC">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最高允许排放速率，kg/h</w:t>
                  </w:r>
                </w:p>
              </w:tc>
              <w:tc>
                <w:tcPr>
                  <w:tcW w:w="3489" w:type="dxa"/>
                  <w:gridSpan w:val="2"/>
                  <w:vAlign w:val="center"/>
                </w:tcPr>
                <w:p w14:paraId="1682CD92">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无组织排放浓度限值</w:t>
                  </w:r>
                </w:p>
              </w:tc>
            </w:tr>
            <w:tr w14:paraId="309FD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84" w:type="dxa"/>
                  <w:vMerge w:val="continue"/>
                  <w:vAlign w:val="center"/>
                </w:tcPr>
                <w:p w14:paraId="4F447300">
                  <w:pPr>
                    <w:autoSpaceDE w:val="0"/>
                    <w:autoSpaceDN w:val="0"/>
                    <w:adjustRightInd w:val="0"/>
                    <w:jc w:val="center"/>
                    <w:rPr>
                      <w:rFonts w:hint="default" w:ascii="Times New Roman" w:hAnsi="Times New Roman" w:cs="Times New Roman"/>
                      <w:color w:val="auto"/>
                      <w:sz w:val="18"/>
                      <w:szCs w:val="18"/>
                      <w:highlight w:val="none"/>
                    </w:rPr>
                  </w:pPr>
                </w:p>
              </w:tc>
              <w:tc>
                <w:tcPr>
                  <w:tcW w:w="1287" w:type="dxa"/>
                  <w:vMerge w:val="continue"/>
                  <w:vAlign w:val="center"/>
                </w:tcPr>
                <w:p w14:paraId="20B97EB8">
                  <w:pPr>
                    <w:autoSpaceDE w:val="0"/>
                    <w:autoSpaceDN w:val="0"/>
                    <w:adjustRightInd w:val="0"/>
                    <w:jc w:val="center"/>
                    <w:rPr>
                      <w:rFonts w:hint="default" w:ascii="Times New Roman" w:hAnsi="Times New Roman" w:cs="Times New Roman"/>
                      <w:color w:val="auto"/>
                      <w:sz w:val="18"/>
                      <w:szCs w:val="18"/>
                      <w:highlight w:val="none"/>
                    </w:rPr>
                  </w:pPr>
                </w:p>
              </w:tc>
              <w:tc>
                <w:tcPr>
                  <w:tcW w:w="987" w:type="dxa"/>
                  <w:vAlign w:val="center"/>
                </w:tcPr>
                <w:p w14:paraId="24DA6A0D">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排气筒高度</w:t>
                  </w:r>
                </w:p>
              </w:tc>
              <w:tc>
                <w:tcPr>
                  <w:tcW w:w="1136" w:type="dxa"/>
                  <w:vAlign w:val="center"/>
                </w:tcPr>
                <w:p w14:paraId="75E08371">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速率限值</w:t>
                  </w:r>
                </w:p>
              </w:tc>
              <w:tc>
                <w:tcPr>
                  <w:tcW w:w="2492" w:type="dxa"/>
                  <w:vAlign w:val="center"/>
                </w:tcPr>
                <w:p w14:paraId="5A5AFD14">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监控点</w:t>
                  </w:r>
                </w:p>
              </w:tc>
              <w:tc>
                <w:tcPr>
                  <w:tcW w:w="997" w:type="dxa"/>
                  <w:vAlign w:val="center"/>
                </w:tcPr>
                <w:p w14:paraId="3E8EB968">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浓度mg/m</w:t>
                  </w:r>
                  <w:r>
                    <w:rPr>
                      <w:rFonts w:hint="default" w:ascii="Times New Roman" w:hAnsi="Times New Roman" w:cs="Times New Roman"/>
                      <w:color w:val="auto"/>
                      <w:sz w:val="18"/>
                      <w:szCs w:val="18"/>
                      <w:highlight w:val="none"/>
                      <w:vertAlign w:val="superscript"/>
                    </w:rPr>
                    <w:t>3</w:t>
                  </w:r>
                </w:p>
              </w:tc>
            </w:tr>
            <w:tr w14:paraId="62200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84" w:type="dxa"/>
                  <w:vAlign w:val="center"/>
                </w:tcPr>
                <w:p w14:paraId="61B50DBE">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VOCs</w:t>
                  </w:r>
                </w:p>
              </w:tc>
              <w:tc>
                <w:tcPr>
                  <w:tcW w:w="1287" w:type="dxa"/>
                  <w:vAlign w:val="center"/>
                </w:tcPr>
                <w:p w14:paraId="316E495F">
                  <w:pPr>
                    <w:autoSpaceDE w:val="0"/>
                    <w:autoSpaceDN w:val="0"/>
                    <w:adjustRightInd w:val="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60</w:t>
                  </w:r>
                </w:p>
              </w:tc>
              <w:tc>
                <w:tcPr>
                  <w:tcW w:w="987" w:type="dxa"/>
                  <w:vAlign w:val="center"/>
                </w:tcPr>
                <w:p w14:paraId="59D6495F">
                  <w:pPr>
                    <w:autoSpaceDE w:val="0"/>
                    <w:autoSpaceDN w:val="0"/>
                    <w:adjustRightIn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15</w:t>
                  </w:r>
                </w:p>
              </w:tc>
              <w:tc>
                <w:tcPr>
                  <w:tcW w:w="1136" w:type="dxa"/>
                  <w:vAlign w:val="center"/>
                </w:tcPr>
                <w:p w14:paraId="09110A83">
                  <w:pPr>
                    <w:autoSpaceDE w:val="0"/>
                    <w:autoSpaceDN w:val="0"/>
                    <w:adjustRightInd w:val="0"/>
                    <w:jc w:val="center"/>
                    <w:rPr>
                      <w:rFonts w:hint="default" w:ascii="Times New Roman" w:hAnsi="Times New Roman" w:cs="Times New Roman"/>
                      <w:color w:val="auto"/>
                      <w:sz w:val="18"/>
                      <w:szCs w:val="18"/>
                      <w:highlight w:val="none"/>
                      <w:lang w:val="en-US"/>
                    </w:rPr>
                  </w:pPr>
                  <w:r>
                    <w:rPr>
                      <w:rFonts w:hint="eastAsia" w:cs="Times New Roman"/>
                      <w:color w:val="auto"/>
                      <w:sz w:val="18"/>
                      <w:szCs w:val="18"/>
                      <w:highlight w:val="none"/>
                      <w:lang w:val="en-US" w:eastAsia="zh-CN"/>
                    </w:rPr>
                    <w:t>3.0</w:t>
                  </w:r>
                </w:p>
              </w:tc>
              <w:tc>
                <w:tcPr>
                  <w:tcW w:w="2492" w:type="dxa"/>
                  <w:vAlign w:val="center"/>
                </w:tcPr>
                <w:p w14:paraId="7206B8E0">
                  <w:pPr>
                    <w:autoSpaceDE w:val="0"/>
                    <w:autoSpaceDN w:val="0"/>
                    <w:adjustRightInd w:val="0"/>
                    <w:jc w:val="center"/>
                    <w:rPr>
                      <w:rFonts w:hint="default" w:ascii="Times New Roman" w:hAnsi="Times New Roman" w:cs="Times New Roman"/>
                      <w:color w:val="auto"/>
                      <w:sz w:val="18"/>
                      <w:szCs w:val="18"/>
                      <w:highlight w:val="none"/>
                    </w:rPr>
                  </w:pPr>
                  <w:r>
                    <w:rPr>
                      <w:rFonts w:hint="eastAsia" w:cs="Times New Roman"/>
                      <w:color w:val="auto"/>
                      <w:kern w:val="2"/>
                      <w:sz w:val="18"/>
                      <w:szCs w:val="18"/>
                      <w:lang w:val="en-US" w:eastAsia="zh-CN" w:bidi="ar-SA"/>
                    </w:rPr>
                    <w:t>--</w:t>
                  </w:r>
                </w:p>
              </w:tc>
              <w:tc>
                <w:tcPr>
                  <w:tcW w:w="997" w:type="dxa"/>
                  <w:vAlign w:val="center"/>
                </w:tcPr>
                <w:p w14:paraId="107174AF">
                  <w:pPr>
                    <w:autoSpaceDE w:val="0"/>
                    <w:autoSpaceDN w:val="0"/>
                    <w:adjustRightInd w:val="0"/>
                    <w:jc w:val="center"/>
                    <w:rPr>
                      <w:rFonts w:hint="default" w:ascii="Times New Roman" w:hAnsi="Times New Roman" w:cs="Times New Roman"/>
                      <w:color w:val="auto"/>
                      <w:sz w:val="18"/>
                      <w:szCs w:val="18"/>
                      <w:highlight w:val="none"/>
                    </w:rPr>
                  </w:pPr>
                  <w:r>
                    <w:rPr>
                      <w:rFonts w:hint="eastAsia" w:cs="Times New Roman"/>
                      <w:color w:val="auto"/>
                      <w:kern w:val="2"/>
                      <w:sz w:val="18"/>
                      <w:szCs w:val="18"/>
                      <w:lang w:val="en-US" w:eastAsia="zh-CN" w:bidi="ar-SA"/>
                    </w:rPr>
                    <w:t>--</w:t>
                  </w:r>
                </w:p>
              </w:tc>
            </w:tr>
            <w:tr w14:paraId="1D7C5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84" w:type="dxa"/>
                  <w:vAlign w:val="center"/>
                </w:tcPr>
                <w:p w14:paraId="0ECAE129">
                  <w:pPr>
                    <w:autoSpaceDE w:val="0"/>
                    <w:autoSpaceDN w:val="0"/>
                    <w:adjustRightIn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氯化氢</w:t>
                  </w:r>
                </w:p>
              </w:tc>
              <w:tc>
                <w:tcPr>
                  <w:tcW w:w="1287" w:type="dxa"/>
                  <w:vAlign w:val="center"/>
                </w:tcPr>
                <w:p w14:paraId="53F6746A">
                  <w:pPr>
                    <w:autoSpaceDE w:val="0"/>
                    <w:autoSpaceDN w:val="0"/>
                    <w:adjustRightIn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sz w:val="18"/>
                      <w:szCs w:val="18"/>
                      <w:lang w:val="en-US" w:eastAsia="zh-CN"/>
                    </w:rPr>
                    <w:t>10</w:t>
                  </w:r>
                </w:p>
              </w:tc>
              <w:tc>
                <w:tcPr>
                  <w:tcW w:w="987" w:type="dxa"/>
                  <w:vAlign w:val="center"/>
                </w:tcPr>
                <w:p w14:paraId="2FEEF968">
                  <w:pPr>
                    <w:autoSpaceDE w:val="0"/>
                    <w:autoSpaceDN w:val="0"/>
                    <w:adjustRightIn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15</w:t>
                  </w:r>
                </w:p>
              </w:tc>
              <w:tc>
                <w:tcPr>
                  <w:tcW w:w="1136" w:type="dxa"/>
                  <w:vAlign w:val="center"/>
                </w:tcPr>
                <w:p w14:paraId="43A700E3">
                  <w:pPr>
                    <w:autoSpaceDE w:val="0"/>
                    <w:autoSpaceDN w:val="0"/>
                    <w:adjustRightInd w:val="0"/>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492" w:type="dxa"/>
                  <w:vAlign w:val="center"/>
                </w:tcPr>
                <w:p w14:paraId="030B4290">
                  <w:pPr>
                    <w:autoSpaceDE w:val="0"/>
                    <w:autoSpaceDN w:val="0"/>
                    <w:adjustRightInd w:val="0"/>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厂界监控点浓度限值</w:t>
                  </w:r>
                </w:p>
              </w:tc>
              <w:tc>
                <w:tcPr>
                  <w:tcW w:w="997" w:type="dxa"/>
                  <w:vAlign w:val="center"/>
                </w:tcPr>
                <w:p w14:paraId="1E6C2A39">
                  <w:pPr>
                    <w:autoSpaceDE w:val="0"/>
                    <w:autoSpaceDN w:val="0"/>
                    <w:adjustRightInd w:val="0"/>
                    <w:jc w:val="center"/>
                    <w:rPr>
                      <w:rFonts w:hint="default" w:ascii="Times New Roman" w:hAnsi="Times New Roman" w:eastAsia="宋体" w:cs="Times New Roman"/>
                      <w:color w:val="auto"/>
                      <w:spacing w:val="6"/>
                      <w:kern w:val="2"/>
                      <w:sz w:val="18"/>
                      <w:szCs w:val="18"/>
                      <w:lang w:val="en-US" w:eastAsia="zh-CN" w:bidi="ar-SA"/>
                    </w:rPr>
                  </w:pPr>
                  <w:r>
                    <w:rPr>
                      <w:rFonts w:hint="default" w:ascii="Times New Roman" w:hAnsi="Times New Roman" w:cs="Times New Roman"/>
                      <w:color w:val="auto"/>
                      <w:spacing w:val="6"/>
                      <w:sz w:val="18"/>
                      <w:szCs w:val="18"/>
                      <w:lang w:val="en-US" w:eastAsia="zh-CN"/>
                    </w:rPr>
                    <w:t>0.</w:t>
                  </w:r>
                  <w:r>
                    <w:rPr>
                      <w:rFonts w:hint="eastAsia" w:cs="Times New Roman"/>
                      <w:color w:val="auto"/>
                      <w:spacing w:val="6"/>
                      <w:sz w:val="18"/>
                      <w:szCs w:val="18"/>
                      <w:lang w:val="en-US" w:eastAsia="zh-CN"/>
                    </w:rPr>
                    <w:t>05</w:t>
                  </w:r>
                </w:p>
              </w:tc>
            </w:tr>
          </w:tbl>
          <w:p w14:paraId="2A82F6A4">
            <w:pPr>
              <w:spacing w:line="420" w:lineRule="exact"/>
              <w:ind w:firstLine="422" w:firstLineChars="200"/>
              <w:rPr>
                <w:rFonts w:hint="eastAsia" w:eastAsia="宋体"/>
                <w:b/>
                <w:color w:val="auto"/>
                <w:highlight w:val="none"/>
                <w:lang w:val="en-US" w:eastAsia="zh-CN"/>
              </w:rPr>
            </w:pPr>
            <w:r>
              <w:rPr>
                <w:b/>
                <w:color w:val="auto"/>
                <w:highlight w:val="none"/>
              </w:rPr>
              <w:t>3、</w:t>
            </w:r>
            <w:r>
              <w:rPr>
                <w:rFonts w:hint="eastAsia"/>
                <w:b/>
                <w:color w:val="auto"/>
                <w:highlight w:val="none"/>
                <w:lang w:val="en-US" w:eastAsia="zh-CN"/>
              </w:rPr>
              <w:t>废水</w:t>
            </w:r>
          </w:p>
          <w:p w14:paraId="69213C48">
            <w:pPr>
              <w:snapToGrid w:val="0"/>
              <w:spacing w:line="360" w:lineRule="auto"/>
              <w:ind w:firstLine="420" w:firstLineChars="200"/>
              <w:rPr>
                <w:rFonts w:ascii="Times New Roman" w:hAnsi="Times New Roman"/>
                <w:color w:val="auto"/>
                <w:kern w:val="0"/>
                <w:sz w:val="21"/>
                <w:szCs w:val="21"/>
                <w:highlight w:val="none"/>
              </w:rPr>
            </w:pPr>
            <w:r>
              <w:rPr>
                <w:rFonts w:hint="eastAsia" w:ascii="Times New Roman" w:hAnsi="Times New Roman"/>
                <w:color w:val="auto"/>
                <w:kern w:val="0"/>
                <w:sz w:val="21"/>
                <w:szCs w:val="21"/>
                <w:highlight w:val="none"/>
              </w:rPr>
              <w:t>本</w:t>
            </w:r>
            <w:r>
              <w:rPr>
                <w:rFonts w:hint="default" w:ascii="Times New Roman" w:hAnsi="Times New Roman" w:cs="Times New Roman"/>
                <w:bCs/>
                <w:color w:val="auto"/>
                <w:highlight w:val="none"/>
              </w:rPr>
              <w:t>项目</w:t>
            </w:r>
            <w:r>
              <w:rPr>
                <w:rFonts w:hint="default" w:ascii="Times New Roman" w:hAnsi="Times New Roman" w:cs="Times New Roman"/>
                <w:color w:val="auto"/>
                <w:kern w:val="24"/>
                <w:highlight w:val="none"/>
              </w:rPr>
              <w:t>废水为</w:t>
            </w:r>
            <w:r>
              <w:rPr>
                <w:color w:val="auto"/>
                <w:sz w:val="21"/>
                <w:szCs w:val="21"/>
                <w:highlight w:val="none"/>
              </w:rPr>
              <w:t>职工生活污水</w:t>
            </w:r>
            <w:r>
              <w:rPr>
                <w:rFonts w:hint="eastAsia"/>
                <w:color w:val="auto"/>
                <w:sz w:val="21"/>
                <w:szCs w:val="21"/>
                <w:highlight w:val="none"/>
                <w:lang w:eastAsia="zh-CN"/>
              </w:rPr>
              <w:t>（</w:t>
            </w:r>
            <w:r>
              <w:rPr>
                <w:rFonts w:hint="eastAsia"/>
                <w:color w:val="auto"/>
                <w:sz w:val="21"/>
                <w:szCs w:val="21"/>
                <w:highlight w:val="none"/>
                <w:lang w:val="en-US" w:eastAsia="zh-CN"/>
              </w:rPr>
              <w:t>W7</w:t>
            </w:r>
            <w:r>
              <w:rPr>
                <w:rFonts w:hint="eastAsia"/>
                <w:color w:val="auto"/>
                <w:sz w:val="21"/>
                <w:szCs w:val="21"/>
                <w:highlight w:val="none"/>
                <w:lang w:eastAsia="zh-CN"/>
              </w:rPr>
              <w:t>）</w:t>
            </w:r>
            <w:r>
              <w:rPr>
                <w:rFonts w:hint="eastAsia"/>
                <w:color w:val="auto"/>
                <w:sz w:val="21"/>
                <w:szCs w:val="21"/>
                <w:highlight w:val="none"/>
              </w:rPr>
              <w:t>、</w:t>
            </w:r>
            <w:r>
              <w:rPr>
                <w:rFonts w:hint="eastAsia"/>
                <w:color w:val="auto"/>
                <w:sz w:val="21"/>
                <w:szCs w:val="21"/>
                <w:highlight w:val="none"/>
                <w:lang w:val="en-US" w:eastAsia="zh-CN"/>
              </w:rPr>
              <w:t>离心废水（W3、W5）、</w:t>
            </w:r>
            <w:r>
              <w:rPr>
                <w:rFonts w:hint="eastAsia"/>
                <w:color w:val="auto"/>
                <w:sz w:val="21"/>
                <w:szCs w:val="21"/>
                <w:highlight w:val="none"/>
                <w:lang w:eastAsia="zh-CN"/>
              </w:rPr>
              <w:t>酸雾吸收废水（</w:t>
            </w:r>
            <w:r>
              <w:rPr>
                <w:rFonts w:hint="eastAsia"/>
                <w:color w:val="auto"/>
                <w:sz w:val="21"/>
                <w:szCs w:val="21"/>
                <w:highlight w:val="none"/>
                <w:lang w:val="en-US" w:eastAsia="zh-CN"/>
              </w:rPr>
              <w:t>W6</w:t>
            </w:r>
            <w:r>
              <w:rPr>
                <w:rFonts w:hint="eastAsia"/>
                <w:color w:val="auto"/>
                <w:sz w:val="21"/>
                <w:szCs w:val="21"/>
                <w:highlight w:val="none"/>
                <w:lang w:eastAsia="zh-CN"/>
              </w:rPr>
              <w:t>）</w:t>
            </w:r>
            <w:r>
              <w:rPr>
                <w:rFonts w:hint="eastAsia"/>
                <w:color w:val="auto"/>
                <w:sz w:val="21"/>
                <w:szCs w:val="21"/>
                <w:highlight w:val="none"/>
                <w:lang w:val="en-US" w:eastAsia="zh-CN"/>
              </w:rPr>
              <w:t>、蒸汽冷凝水（W1）、蒸发冷凝水（W2、W4）。</w:t>
            </w:r>
            <w:r>
              <w:rPr>
                <w:rFonts w:hint="default" w:ascii="Times New Roman" w:hAnsi="Times New Roman" w:eastAsia="宋体" w:cs="Times New Roman"/>
                <w:color w:val="auto"/>
                <w:sz w:val="21"/>
                <w:szCs w:val="21"/>
                <w:highlight w:val="none"/>
                <w:lang w:val="en-US" w:eastAsia="zh-CN"/>
              </w:rPr>
              <w:t>生活污水经化粪池暂存后由环卫部门定期清运，</w:t>
            </w:r>
            <w:r>
              <w:rPr>
                <w:rFonts w:hint="default" w:ascii="Times New Roman" w:hAnsi="Times New Roman" w:eastAsia="宋体" w:cs="Times New Roman"/>
                <w:color w:val="auto"/>
                <w:sz w:val="21"/>
                <w:szCs w:val="21"/>
                <w:highlight w:val="none"/>
                <w:lang w:eastAsia="zh-CN"/>
              </w:rPr>
              <w:t>蒸汽冷凝水、蒸发冷凝水回用于原料溶解用水、酸雾吸收塔用水。离心废水、酸雾吸收废水经厂内</w:t>
            </w:r>
            <w:r>
              <w:rPr>
                <w:rFonts w:hint="default" w:ascii="Times New Roman" w:hAnsi="Times New Roman" w:eastAsia="宋体" w:cs="Times New Roman"/>
                <w:color w:val="auto"/>
                <w:sz w:val="21"/>
                <w:szCs w:val="21"/>
                <w:highlight w:val="none"/>
                <w:lang w:val="en-US" w:eastAsia="zh-CN"/>
              </w:rPr>
              <w:t>污水处理站中和、多效蒸发器蒸发出来的蒸汽经冷凝后回用于预热分离用水和地面清扫用水，不外排</w:t>
            </w:r>
            <w:r>
              <w:rPr>
                <w:rFonts w:ascii="Times New Roman" w:hAnsi="Times New Roman"/>
                <w:color w:val="auto"/>
                <w:sz w:val="21"/>
                <w:szCs w:val="21"/>
                <w:highlight w:val="none"/>
              </w:rPr>
              <w:t>。</w:t>
            </w:r>
          </w:p>
          <w:p w14:paraId="1F77DA20">
            <w:pPr>
              <w:spacing w:line="420" w:lineRule="exact"/>
              <w:ind w:firstLine="422" w:firstLineChars="200"/>
              <w:rPr>
                <w:b/>
                <w:color w:val="auto"/>
                <w:highlight w:val="none"/>
              </w:rPr>
            </w:pPr>
            <w:r>
              <w:rPr>
                <w:rFonts w:hint="eastAsia"/>
                <w:b/>
                <w:color w:val="auto"/>
                <w:highlight w:val="none"/>
                <w:lang w:val="en-US" w:eastAsia="zh-CN"/>
              </w:rPr>
              <w:t>4、</w:t>
            </w:r>
            <w:r>
              <w:rPr>
                <w:b/>
                <w:color w:val="auto"/>
                <w:highlight w:val="none"/>
              </w:rPr>
              <w:t>固废</w:t>
            </w:r>
          </w:p>
          <w:p w14:paraId="2619EE0E">
            <w:pPr>
              <w:adjustRightInd w:val="0"/>
              <w:snapToGrid w:val="0"/>
              <w:spacing w:line="420" w:lineRule="exact"/>
              <w:ind w:firstLine="420" w:firstLineChars="200"/>
              <w:rPr>
                <w:rFonts w:hint="eastAsia" w:eastAsia="宋体"/>
                <w:color w:val="auto"/>
                <w:lang w:eastAsia="zh-CN"/>
              </w:rPr>
            </w:pPr>
            <w:r>
              <w:rPr>
                <w:rFonts w:hint="default" w:ascii="Times New Roman" w:hAnsi="Times New Roman" w:cs="Times New Roman"/>
                <w:color w:val="auto"/>
                <w:szCs w:val="21"/>
                <w:highlight w:val="none"/>
              </w:rPr>
              <w:t>一般固体废物执行《中华人民共和国固体</w:t>
            </w:r>
            <w:r>
              <w:rPr>
                <w:rFonts w:hint="default" w:ascii="Times New Roman" w:hAnsi="Times New Roman" w:cs="Times New Roman"/>
                <w:color w:val="auto"/>
                <w:szCs w:val="21"/>
              </w:rPr>
              <w:t>废物污染环境防治法》相关要求，采取防扬散、防流失、防渗漏或者其他防止污染环境的措施，不得擅自倾倒、堆放、丢弃、遗撒，管理过程中应符合《一般工业固体废物管理台账制定指南（试行）》（公告 2021 年第 82 号）要求</w:t>
            </w:r>
            <w:r>
              <w:rPr>
                <w:color w:val="auto"/>
              </w:rPr>
              <w:t>，</w:t>
            </w:r>
            <w:r>
              <w:rPr>
                <w:rFonts w:hint="eastAsia"/>
                <w:color w:val="auto"/>
                <w:lang w:eastAsia="zh-CN"/>
              </w:rPr>
              <w:t>危险废物执行</w:t>
            </w:r>
            <w:r>
              <w:rPr>
                <w:color w:val="auto"/>
              </w:rPr>
              <w:t>《危险废物贮存污染控制标准》（GB18597-20</w:t>
            </w:r>
            <w:r>
              <w:rPr>
                <w:rFonts w:hint="eastAsia"/>
                <w:color w:val="auto"/>
                <w:lang w:val="en-US" w:eastAsia="zh-CN"/>
              </w:rPr>
              <w:t>23</w:t>
            </w:r>
            <w:r>
              <w:rPr>
                <w:color w:val="auto"/>
              </w:rPr>
              <w:t>）及淄博市对固废处置的有关规定。</w:t>
            </w:r>
          </w:p>
        </w:tc>
      </w:tr>
      <w:tr w14:paraId="0F6BF5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860" w:hRule="atLeast"/>
          <w:jc w:val="center"/>
        </w:trPr>
        <w:tc>
          <w:tcPr>
            <w:tcW w:w="800" w:type="dxa"/>
            <w:vAlign w:val="center"/>
          </w:tcPr>
          <w:p w14:paraId="0D6F7EE1">
            <w:pPr>
              <w:adjustRightInd w:val="0"/>
              <w:snapToGrid w:val="0"/>
              <w:spacing w:line="420" w:lineRule="exact"/>
              <w:jc w:val="center"/>
              <w:rPr>
                <w:color w:val="auto"/>
                <w:kern w:val="0"/>
                <w:highlight w:val="none"/>
              </w:rPr>
            </w:pPr>
            <w:r>
              <w:rPr>
                <w:color w:val="auto"/>
                <w:kern w:val="0"/>
                <w:highlight w:val="none"/>
              </w:rPr>
              <w:t>总量</w:t>
            </w:r>
          </w:p>
          <w:p w14:paraId="622126B1">
            <w:pPr>
              <w:adjustRightInd w:val="0"/>
              <w:snapToGrid w:val="0"/>
              <w:spacing w:line="420" w:lineRule="exact"/>
              <w:jc w:val="center"/>
              <w:rPr>
                <w:color w:val="auto"/>
                <w:kern w:val="0"/>
                <w:highlight w:val="none"/>
              </w:rPr>
            </w:pPr>
            <w:r>
              <w:rPr>
                <w:color w:val="auto"/>
                <w:kern w:val="0"/>
                <w:highlight w:val="none"/>
              </w:rPr>
              <w:t>控制</w:t>
            </w:r>
          </w:p>
          <w:p w14:paraId="0B599E85">
            <w:pPr>
              <w:adjustRightInd w:val="0"/>
              <w:snapToGrid w:val="0"/>
              <w:spacing w:line="420" w:lineRule="exact"/>
              <w:jc w:val="center"/>
              <w:rPr>
                <w:color w:val="auto"/>
                <w:kern w:val="0"/>
                <w:highlight w:val="none"/>
              </w:rPr>
            </w:pPr>
            <w:r>
              <w:rPr>
                <w:color w:val="auto"/>
                <w:kern w:val="0"/>
                <w:highlight w:val="none"/>
              </w:rPr>
              <w:t>指标</w:t>
            </w:r>
          </w:p>
        </w:tc>
        <w:tc>
          <w:tcPr>
            <w:tcW w:w="8190" w:type="dxa"/>
            <w:vAlign w:val="center"/>
          </w:tcPr>
          <w:p w14:paraId="2307629F">
            <w:pPr>
              <w:spacing w:line="360" w:lineRule="auto"/>
              <w:ind w:firstLine="420" w:firstLineChars="200"/>
              <w:rPr>
                <w:color w:val="auto"/>
                <w:highlight w:val="none"/>
              </w:rPr>
            </w:pPr>
          </w:p>
          <w:p w14:paraId="200C305B">
            <w:pPr>
              <w:spacing w:line="360" w:lineRule="auto"/>
              <w:ind w:firstLine="420" w:firstLineChars="200"/>
              <w:rPr>
                <w:color w:val="auto"/>
                <w:sz w:val="21"/>
                <w:szCs w:val="21"/>
                <w:highlight w:val="none"/>
              </w:rPr>
            </w:pPr>
            <w:r>
              <w:rPr>
                <w:color w:val="auto"/>
                <w:sz w:val="21"/>
                <w:szCs w:val="21"/>
                <w:highlight w:val="none"/>
              </w:rPr>
              <w:t>根据《山东省建设项目主要大气污染物排放总量替代指标核算及管理办法》（鲁环发[2019]132号），山东省二氧化硫、氮氧化物、烟粉尘、挥发性有机物四项大气污染物排放总量进行替代指标的核算。用于建设项目的“可替代总量指标”不得低于建设项目所需替代的主要大气污染物排放总量指标。上一年度环境空气质量年平均浓度达标的城市，相关污染物进行等量替代。上一年度环境空气质量年平均浓度不达标的城市，相关污染物应按照建设项目所需替代的污染物排放总量指标的2倍进行削减替代（燃煤发电机组大气污染物排放浓度达到超低排放标准的进行等量替代）。上一年度细颗粒物年平均浓度超标的设区的市，实行二氧化硫、氮氧化物、烟粉尘、挥发性有机物四项污染物排放总量指标2倍削减替代。</w:t>
            </w:r>
          </w:p>
          <w:p w14:paraId="498C670E">
            <w:pPr>
              <w:pStyle w:val="82"/>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textAlignment w:val="auto"/>
              <w:rPr>
                <w:rFonts w:hint="eastAsia"/>
                <w:color w:val="auto"/>
                <w:sz w:val="21"/>
                <w:szCs w:val="21"/>
                <w:highlight w:val="none"/>
                <w:lang w:val="en-US" w:eastAsia="zh-CN"/>
              </w:rPr>
            </w:pPr>
            <w:r>
              <w:rPr>
                <w:rFonts w:hint="eastAsia"/>
                <w:color w:val="auto"/>
                <w:sz w:val="21"/>
                <w:szCs w:val="21"/>
                <w:highlight w:val="none"/>
                <w:lang w:val="en-US" w:eastAsia="zh-CN"/>
              </w:rPr>
              <w:t>本项目废水主要为生活污水，经化粪池暂存后由环卫部门定期清运，因此无需申请总量。</w:t>
            </w:r>
          </w:p>
          <w:p w14:paraId="073AD27A">
            <w:pPr>
              <w:pStyle w:val="82"/>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textAlignment w:val="auto"/>
              <w:rPr>
                <w:rFonts w:hint="eastAsia"/>
                <w:color w:val="auto"/>
                <w:sz w:val="21"/>
                <w:szCs w:val="21"/>
                <w:highlight w:val="none"/>
                <w:lang w:val="en-US" w:eastAsia="zh-CN"/>
              </w:rPr>
            </w:pPr>
            <w:r>
              <w:rPr>
                <w:rFonts w:hint="eastAsia"/>
                <w:color w:val="auto"/>
                <w:sz w:val="21"/>
                <w:szCs w:val="21"/>
                <w:highlight w:val="none"/>
                <w:lang w:val="en-US" w:eastAsia="zh-CN"/>
              </w:rPr>
              <w:t>本项目营运期VOCs有组织排放量为0.117t/a，因此需申请污染物总量指标：VOCs0.117t/a。</w:t>
            </w:r>
          </w:p>
          <w:p w14:paraId="1ADF4407">
            <w:pPr>
              <w:pStyle w:val="82"/>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textAlignment w:val="auto"/>
              <w:rPr>
                <w:color w:val="auto"/>
                <w:highlight w:val="none"/>
              </w:rPr>
            </w:pPr>
            <w:r>
              <w:rPr>
                <w:rFonts w:hint="eastAsia"/>
                <w:color w:val="auto"/>
                <w:sz w:val="21"/>
                <w:szCs w:val="21"/>
                <w:highlight w:val="none"/>
                <w:lang w:val="en-US" w:eastAsia="zh-CN"/>
              </w:rPr>
              <w:t>根据淄博市生态环境局《关于统筹使用“十四五”建设项目主要大气污染物总量指标的通知》（淄环函〔2021〕55号）规定，上一年度淄博市细颗粒物不达标，实行二氧化硫、氮氧化物、烟粉尘、挥发性有机物四项污染物排放总量指标2倍削减替代。该项目所需颗粒物按1：2比例替代，即需从现役污染源中调剂VOCs0.234t/a，方可达到污染物倍量替代要求。</w:t>
            </w:r>
          </w:p>
        </w:tc>
      </w:tr>
    </w:tbl>
    <w:p w14:paraId="434F634D">
      <w:pPr>
        <w:pStyle w:val="77"/>
        <w:spacing w:line="420" w:lineRule="exact"/>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6"/>
          <w:szCs w:val="36"/>
        </w:rPr>
        <w:br w:type="page"/>
      </w:r>
      <w:r>
        <w:rPr>
          <w:rFonts w:ascii="Times New Roman" w:hAnsi="Times New Roman" w:eastAsia="黑体"/>
          <w:snapToGrid w:val="0"/>
          <w:color w:val="auto"/>
          <w:sz w:val="30"/>
          <w:szCs w:val="30"/>
        </w:rPr>
        <w:t>四、主要环境影响和保护措施</w:t>
      </w:r>
    </w:p>
    <w:tbl>
      <w:tblPr>
        <w:tblStyle w:val="83"/>
        <w:tblpPr w:leftFromText="180" w:rightFromText="180" w:vertAnchor="text" w:tblpXSpec="right"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8178"/>
      </w:tblGrid>
      <w:tr w14:paraId="3CF45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31" w:hRule="atLeast"/>
        </w:trPr>
        <w:tc>
          <w:tcPr>
            <w:tcW w:w="736" w:type="dxa"/>
            <w:vAlign w:val="center"/>
          </w:tcPr>
          <w:p w14:paraId="1A3D9AB0">
            <w:pPr>
              <w:adjustRightInd w:val="0"/>
              <w:snapToGrid w:val="0"/>
              <w:jc w:val="center"/>
              <w:rPr>
                <w:rFonts w:ascii="Times New Roman" w:hAnsi="Times New Roman"/>
                <w:color w:val="auto"/>
                <w:kern w:val="2"/>
                <w:sz w:val="21"/>
                <w:szCs w:val="21"/>
              </w:rPr>
            </w:pPr>
            <w:r>
              <w:rPr>
                <w:rFonts w:hint="default" w:ascii="Times New Roman" w:hAnsi="Times New Roman" w:cs="Times New Roman"/>
                <w:bCs/>
                <w:color w:val="auto"/>
                <w:sz w:val="21"/>
                <w:szCs w:val="21"/>
              </w:rPr>
              <w:t>施工期环境影响和保护措施</w:t>
            </w:r>
          </w:p>
        </w:tc>
        <w:tc>
          <w:tcPr>
            <w:tcW w:w="8178" w:type="dxa"/>
            <w:vAlign w:val="center"/>
          </w:tcPr>
          <w:p w14:paraId="6DED23C0">
            <w:pPr>
              <w:pStyle w:val="82"/>
              <w:keepNext w:val="0"/>
              <w:keepLines w:val="0"/>
              <w:pageBreakBefore w:val="0"/>
              <w:widowControl w:val="0"/>
              <w:kinsoku/>
              <w:wordWrap/>
              <w:overflowPunct/>
              <w:topLinePunct w:val="0"/>
              <w:autoSpaceDE/>
              <w:autoSpaceDN/>
              <w:bidi w:val="0"/>
              <w:adjustRightInd w:val="0"/>
              <w:snapToGrid w:val="0"/>
              <w:spacing w:after="0" w:line="360" w:lineRule="auto"/>
              <w:ind w:left="0" w:leftChars="0" w:firstLine="420" w:firstLineChars="200"/>
              <w:textAlignment w:val="auto"/>
              <w:rPr>
                <w:color w:val="auto"/>
                <w:sz w:val="21"/>
                <w:szCs w:val="21"/>
              </w:rPr>
            </w:pPr>
            <w:r>
              <w:rPr>
                <w:rFonts w:hint="default" w:ascii="Times New Roman" w:hAnsi="Times New Roman" w:cs="Times New Roman"/>
                <w:color w:val="auto"/>
                <w:sz w:val="21"/>
                <w:szCs w:val="21"/>
                <w:lang w:eastAsia="zh-CN"/>
              </w:rPr>
              <w:t>本项目</w:t>
            </w:r>
            <w:r>
              <w:rPr>
                <w:rFonts w:hint="default" w:ascii="Times New Roman" w:hAnsi="Times New Roman" w:cs="Times New Roman"/>
                <w:color w:val="auto"/>
                <w:sz w:val="21"/>
                <w:szCs w:val="21"/>
                <w:lang w:val="en-US" w:eastAsia="zh-CN"/>
              </w:rPr>
              <w:t>租赁</w:t>
            </w:r>
            <w:r>
              <w:rPr>
                <w:rFonts w:hint="default" w:ascii="Times New Roman" w:hAnsi="Times New Roman" w:cs="Times New Roman"/>
                <w:color w:val="auto"/>
                <w:sz w:val="21"/>
                <w:szCs w:val="21"/>
              </w:rPr>
              <w:t>现有厂房进行</w:t>
            </w:r>
            <w:r>
              <w:rPr>
                <w:rFonts w:hint="default" w:ascii="Times New Roman" w:hAnsi="Times New Roman" w:cs="Times New Roman"/>
                <w:color w:val="auto"/>
                <w:sz w:val="21"/>
                <w:szCs w:val="21"/>
                <w:lang w:val="en-US" w:eastAsia="zh-CN"/>
              </w:rPr>
              <w:t>建设</w:t>
            </w:r>
            <w:r>
              <w:rPr>
                <w:rFonts w:hint="default" w:ascii="Times New Roman" w:hAnsi="Times New Roman" w:cs="Times New Roman"/>
                <w:color w:val="auto"/>
                <w:sz w:val="21"/>
                <w:szCs w:val="21"/>
              </w:rPr>
              <w:t>，本项目施工期仅进行设备的安装，不需进行大型土木建设，施工期焊接和下料过程使用焊接烟尘净化器来处理废气，同时只要做好洒水降尘工作，基本不会产生扬尘。</w:t>
            </w:r>
            <w:r>
              <w:rPr>
                <w:rFonts w:hint="default" w:ascii="Times New Roman" w:hAnsi="Times New Roman" w:cs="Times New Roman"/>
                <w:color w:val="auto"/>
                <w:sz w:val="21"/>
                <w:szCs w:val="21"/>
                <w:lang w:eastAsia="zh-CN"/>
              </w:rPr>
              <w:t>本项目</w:t>
            </w:r>
            <w:r>
              <w:rPr>
                <w:rFonts w:hint="default" w:ascii="Times New Roman" w:hAnsi="Times New Roman" w:cs="Times New Roman"/>
                <w:color w:val="auto"/>
                <w:sz w:val="21"/>
                <w:szCs w:val="21"/>
              </w:rPr>
              <w:t>施工废水主要是施工人员的生活污水，经</w:t>
            </w:r>
            <w:r>
              <w:rPr>
                <w:rFonts w:hint="eastAsia" w:cs="Times New Roman"/>
                <w:color w:val="auto"/>
                <w:sz w:val="21"/>
                <w:szCs w:val="21"/>
                <w:lang w:eastAsia="zh-CN"/>
              </w:rPr>
              <w:t>化粪池</w:t>
            </w:r>
            <w:r>
              <w:rPr>
                <w:rFonts w:hint="default" w:ascii="Times New Roman" w:hAnsi="Times New Roman" w:cs="Times New Roman"/>
                <w:color w:val="auto"/>
                <w:sz w:val="21"/>
                <w:szCs w:val="21"/>
              </w:rPr>
              <w:t>收集处理后</w:t>
            </w:r>
            <w:r>
              <w:rPr>
                <w:rFonts w:hint="eastAsia" w:cs="Times New Roman"/>
                <w:color w:val="auto"/>
                <w:sz w:val="21"/>
                <w:szCs w:val="21"/>
                <w:lang w:val="en-US" w:eastAsia="zh-CN"/>
              </w:rPr>
              <w:t>由环卫部门定期清运</w:t>
            </w:r>
            <w:r>
              <w:rPr>
                <w:rFonts w:hint="default" w:ascii="Times New Roman" w:hAnsi="Times New Roman" w:cs="Times New Roman"/>
                <w:color w:val="auto"/>
                <w:sz w:val="21"/>
                <w:szCs w:val="21"/>
              </w:rPr>
              <w:t>。同时设备安装过程会产生少量废焊丝、焊渣和金属边角料，均可作为废旧资源外售处理。施工期的污染影响随着施工期的结束而结束，工程量较小，对周围环境影响较小</w:t>
            </w:r>
            <w:r>
              <w:rPr>
                <w:rFonts w:hint="default" w:ascii="Times New Roman" w:hAnsi="Times New Roman" w:cs="Times New Roman"/>
                <w:color w:val="auto"/>
                <w:sz w:val="21"/>
                <w:szCs w:val="21"/>
                <w:highlight w:val="none"/>
                <w:lang w:eastAsia="zh-CN"/>
              </w:rPr>
              <w:t>。</w:t>
            </w:r>
          </w:p>
        </w:tc>
      </w:tr>
    </w:tbl>
    <w:p w14:paraId="078F7AA0">
      <w:pPr>
        <w:adjustRightInd w:val="0"/>
        <w:snapToGrid w:val="0"/>
        <w:spacing w:line="420" w:lineRule="exact"/>
        <w:rPr>
          <w:b/>
          <w:color w:val="auto"/>
          <w:kern w:val="0"/>
          <w:sz w:val="28"/>
          <w:szCs w:val="28"/>
        </w:rPr>
        <w:sectPr>
          <w:footerReference r:id="rId5" w:type="default"/>
          <w:pgSz w:w="11907" w:h="16840"/>
          <w:pgMar w:top="1701" w:right="1531" w:bottom="2127" w:left="1531" w:header="851" w:footer="1701" w:gutter="0"/>
          <w:cols w:space="720" w:num="1"/>
          <w:docGrid w:linePitch="312" w:charSpace="0"/>
        </w:sectPr>
      </w:pP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
        <w:gridCol w:w="12807"/>
      </w:tblGrid>
      <w:tr w14:paraId="0A0EA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5" w:hRule="atLeast"/>
          <w:jc w:val="center"/>
        </w:trPr>
        <w:tc>
          <w:tcPr>
            <w:tcW w:w="845" w:type="dxa"/>
            <w:vAlign w:val="center"/>
          </w:tcPr>
          <w:p w14:paraId="47AD4EF4">
            <w:pPr>
              <w:adjustRightInd w:val="0"/>
              <w:snapToGrid w:val="0"/>
              <w:spacing w:line="420" w:lineRule="exact"/>
              <w:jc w:val="center"/>
              <w:rPr>
                <w:bCs/>
                <w:color w:val="auto"/>
              </w:rPr>
            </w:pPr>
            <w:r>
              <w:rPr>
                <w:bCs/>
                <w:color w:val="auto"/>
              </w:rPr>
              <w:t>运营</w:t>
            </w:r>
          </w:p>
          <w:p w14:paraId="64076865">
            <w:pPr>
              <w:adjustRightInd w:val="0"/>
              <w:snapToGrid w:val="0"/>
              <w:spacing w:line="420" w:lineRule="exact"/>
              <w:jc w:val="center"/>
              <w:rPr>
                <w:bCs/>
                <w:color w:val="auto"/>
              </w:rPr>
            </w:pPr>
            <w:r>
              <w:rPr>
                <w:bCs/>
                <w:color w:val="auto"/>
              </w:rPr>
              <w:t>期环</w:t>
            </w:r>
          </w:p>
          <w:p w14:paraId="286DFFC8">
            <w:pPr>
              <w:adjustRightInd w:val="0"/>
              <w:snapToGrid w:val="0"/>
              <w:spacing w:line="420" w:lineRule="exact"/>
              <w:jc w:val="center"/>
              <w:rPr>
                <w:bCs/>
                <w:color w:val="auto"/>
              </w:rPr>
            </w:pPr>
            <w:r>
              <w:rPr>
                <w:bCs/>
                <w:color w:val="auto"/>
              </w:rPr>
              <w:t>境影</w:t>
            </w:r>
          </w:p>
          <w:p w14:paraId="1E5C83CC">
            <w:pPr>
              <w:adjustRightInd w:val="0"/>
              <w:snapToGrid w:val="0"/>
              <w:spacing w:line="420" w:lineRule="exact"/>
              <w:jc w:val="center"/>
              <w:rPr>
                <w:bCs/>
                <w:color w:val="auto"/>
              </w:rPr>
            </w:pPr>
            <w:r>
              <w:rPr>
                <w:bCs/>
                <w:color w:val="auto"/>
              </w:rPr>
              <w:t>响和</w:t>
            </w:r>
          </w:p>
          <w:p w14:paraId="3FBF2D50">
            <w:pPr>
              <w:adjustRightInd w:val="0"/>
              <w:snapToGrid w:val="0"/>
              <w:spacing w:line="420" w:lineRule="exact"/>
              <w:jc w:val="center"/>
              <w:rPr>
                <w:bCs/>
                <w:color w:val="auto"/>
              </w:rPr>
            </w:pPr>
            <w:r>
              <w:rPr>
                <w:bCs/>
                <w:color w:val="auto"/>
              </w:rPr>
              <w:t>保护</w:t>
            </w:r>
          </w:p>
          <w:p w14:paraId="52526D7A">
            <w:pPr>
              <w:adjustRightInd w:val="0"/>
              <w:snapToGrid w:val="0"/>
              <w:spacing w:line="420" w:lineRule="exact"/>
              <w:jc w:val="center"/>
              <w:rPr>
                <w:color w:val="auto"/>
              </w:rPr>
            </w:pPr>
            <w:r>
              <w:rPr>
                <w:bCs/>
                <w:color w:val="auto"/>
              </w:rPr>
              <w:t>措施</w:t>
            </w:r>
          </w:p>
        </w:tc>
        <w:tc>
          <w:tcPr>
            <w:tcW w:w="12807" w:type="dxa"/>
          </w:tcPr>
          <w:p w14:paraId="02A8023C">
            <w:pPr>
              <w:pStyle w:val="381"/>
              <w:ind w:firstLine="422"/>
              <w:rPr>
                <w:b/>
                <w:bCs/>
                <w:color w:val="auto"/>
                <w:sz w:val="21"/>
              </w:rPr>
            </w:pPr>
            <w:r>
              <w:rPr>
                <w:b/>
                <w:bCs/>
                <w:color w:val="auto"/>
                <w:sz w:val="21"/>
              </w:rPr>
              <w:t>一、大气污染物</w:t>
            </w:r>
          </w:p>
          <w:p w14:paraId="48538C14">
            <w:pPr>
              <w:pStyle w:val="82"/>
              <w:ind w:firstLine="422"/>
              <w:jc w:val="left"/>
              <w:rPr>
                <w:b/>
                <w:bCs/>
                <w:color w:val="auto"/>
                <w:szCs w:val="21"/>
              </w:rPr>
            </w:pPr>
            <w:r>
              <w:rPr>
                <w:b/>
                <w:bCs/>
                <w:color w:val="auto"/>
                <w:szCs w:val="21"/>
              </w:rPr>
              <w:t>（一）产排污环节、污染物及污染治理设施</w:t>
            </w:r>
          </w:p>
          <w:p w14:paraId="36DCD200">
            <w:pPr>
              <w:jc w:val="center"/>
              <w:rPr>
                <w:b/>
                <w:bCs/>
                <w:color w:val="auto"/>
              </w:rPr>
            </w:pPr>
            <w:r>
              <w:rPr>
                <w:b/>
                <w:bCs/>
                <w:color w:val="auto"/>
              </w:rPr>
              <w:t>表 4-</w:t>
            </w:r>
            <w:r>
              <w:rPr>
                <w:rFonts w:hint="eastAsia"/>
                <w:b/>
                <w:bCs/>
                <w:color w:val="auto"/>
                <w:lang w:val="en-US" w:eastAsia="zh-CN"/>
              </w:rPr>
              <w:t>1</w:t>
            </w:r>
            <w:r>
              <w:rPr>
                <w:b/>
                <w:bCs/>
                <w:color w:val="auto"/>
              </w:rPr>
              <w:t>废气产排污节点、污染物及污染治理设施信息表</w:t>
            </w:r>
          </w:p>
          <w:tbl>
            <w:tblPr>
              <w:tblStyle w:val="83"/>
              <w:tblW w:w="494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931"/>
              <w:gridCol w:w="502"/>
              <w:gridCol w:w="765"/>
              <w:gridCol w:w="775"/>
              <w:gridCol w:w="920"/>
              <w:gridCol w:w="786"/>
              <w:gridCol w:w="651"/>
              <w:gridCol w:w="866"/>
              <w:gridCol w:w="651"/>
              <w:gridCol w:w="623"/>
              <w:gridCol w:w="776"/>
              <w:gridCol w:w="934"/>
              <w:gridCol w:w="753"/>
              <w:gridCol w:w="785"/>
              <w:gridCol w:w="946"/>
              <w:gridCol w:w="784"/>
            </w:tblGrid>
            <w:tr w14:paraId="7D733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7" w:hRule="atLeast"/>
                <w:jc w:val="center"/>
              </w:trPr>
              <w:tc>
                <w:tcPr>
                  <w:tcW w:w="931" w:type="dxa"/>
                  <w:vMerge w:val="restart"/>
                  <w:vAlign w:val="center"/>
                </w:tcPr>
                <w:p w14:paraId="1AC875DE">
                  <w:pPr>
                    <w:spacing w:line="240" w:lineRule="exact"/>
                    <w:jc w:val="center"/>
                    <w:rPr>
                      <w:b/>
                      <w:bCs/>
                      <w:color w:val="auto"/>
                      <w:sz w:val="18"/>
                      <w:szCs w:val="18"/>
                    </w:rPr>
                  </w:pPr>
                  <w:r>
                    <w:rPr>
                      <w:b/>
                      <w:bCs/>
                      <w:color w:val="auto"/>
                      <w:sz w:val="18"/>
                      <w:szCs w:val="18"/>
                    </w:rPr>
                    <w:t>产污环节</w:t>
                  </w:r>
                </w:p>
              </w:tc>
              <w:tc>
                <w:tcPr>
                  <w:tcW w:w="502" w:type="dxa"/>
                  <w:vMerge w:val="restart"/>
                  <w:vAlign w:val="center"/>
                </w:tcPr>
                <w:p w14:paraId="70CE178B">
                  <w:pPr>
                    <w:spacing w:line="240" w:lineRule="exact"/>
                    <w:jc w:val="center"/>
                    <w:rPr>
                      <w:b/>
                      <w:bCs/>
                      <w:color w:val="auto"/>
                      <w:sz w:val="18"/>
                      <w:szCs w:val="18"/>
                    </w:rPr>
                  </w:pPr>
                  <w:r>
                    <w:rPr>
                      <w:b/>
                      <w:bCs/>
                      <w:color w:val="auto"/>
                      <w:sz w:val="18"/>
                      <w:szCs w:val="18"/>
                    </w:rPr>
                    <w:t>排放形式</w:t>
                  </w:r>
                </w:p>
              </w:tc>
              <w:tc>
                <w:tcPr>
                  <w:tcW w:w="765" w:type="dxa"/>
                  <w:vMerge w:val="restart"/>
                  <w:vAlign w:val="center"/>
                </w:tcPr>
                <w:p w14:paraId="4C74423D">
                  <w:pPr>
                    <w:spacing w:line="240" w:lineRule="exact"/>
                    <w:jc w:val="center"/>
                    <w:rPr>
                      <w:b/>
                      <w:bCs/>
                      <w:color w:val="auto"/>
                      <w:sz w:val="18"/>
                      <w:szCs w:val="18"/>
                    </w:rPr>
                  </w:pPr>
                  <w:r>
                    <w:rPr>
                      <w:b/>
                      <w:bCs/>
                      <w:color w:val="auto"/>
                      <w:sz w:val="18"/>
                      <w:szCs w:val="18"/>
                    </w:rPr>
                    <w:t>污染物</w:t>
                  </w:r>
                </w:p>
                <w:p w14:paraId="5D9BA0D7">
                  <w:pPr>
                    <w:spacing w:line="240" w:lineRule="exact"/>
                    <w:jc w:val="center"/>
                    <w:rPr>
                      <w:b/>
                      <w:bCs/>
                      <w:color w:val="auto"/>
                      <w:sz w:val="18"/>
                      <w:szCs w:val="18"/>
                    </w:rPr>
                  </w:pPr>
                  <w:r>
                    <w:rPr>
                      <w:b/>
                      <w:bCs/>
                      <w:color w:val="auto"/>
                      <w:sz w:val="18"/>
                      <w:szCs w:val="18"/>
                    </w:rPr>
                    <w:t>种类</w:t>
                  </w:r>
                </w:p>
              </w:tc>
              <w:tc>
                <w:tcPr>
                  <w:tcW w:w="1695" w:type="dxa"/>
                  <w:gridSpan w:val="2"/>
                  <w:vAlign w:val="center"/>
                </w:tcPr>
                <w:p w14:paraId="26143C31">
                  <w:pPr>
                    <w:spacing w:line="240" w:lineRule="exact"/>
                    <w:jc w:val="center"/>
                    <w:rPr>
                      <w:b/>
                      <w:bCs/>
                      <w:color w:val="auto"/>
                      <w:sz w:val="18"/>
                      <w:szCs w:val="18"/>
                    </w:rPr>
                  </w:pPr>
                  <w:r>
                    <w:rPr>
                      <w:b/>
                      <w:bCs/>
                      <w:color w:val="auto"/>
                      <w:sz w:val="18"/>
                      <w:szCs w:val="18"/>
                    </w:rPr>
                    <w:t>污染物产生</w:t>
                  </w:r>
                </w:p>
              </w:tc>
              <w:tc>
                <w:tcPr>
                  <w:tcW w:w="3577" w:type="dxa"/>
                  <w:gridSpan w:val="5"/>
                  <w:vAlign w:val="center"/>
                </w:tcPr>
                <w:p w14:paraId="06E03659">
                  <w:pPr>
                    <w:spacing w:line="240" w:lineRule="exact"/>
                    <w:jc w:val="center"/>
                    <w:rPr>
                      <w:b/>
                      <w:bCs/>
                      <w:color w:val="auto"/>
                      <w:sz w:val="18"/>
                      <w:szCs w:val="18"/>
                    </w:rPr>
                  </w:pPr>
                  <w:r>
                    <w:rPr>
                      <w:b/>
                      <w:bCs/>
                      <w:color w:val="auto"/>
                      <w:sz w:val="18"/>
                      <w:szCs w:val="18"/>
                    </w:rPr>
                    <w:t>治理设施</w:t>
                  </w:r>
                </w:p>
              </w:tc>
              <w:tc>
                <w:tcPr>
                  <w:tcW w:w="3248" w:type="dxa"/>
                  <w:gridSpan w:val="4"/>
                </w:tcPr>
                <w:p w14:paraId="1C679956">
                  <w:pPr>
                    <w:spacing w:line="240" w:lineRule="exact"/>
                    <w:jc w:val="center"/>
                    <w:rPr>
                      <w:b/>
                      <w:bCs/>
                      <w:color w:val="auto"/>
                      <w:sz w:val="18"/>
                      <w:szCs w:val="18"/>
                    </w:rPr>
                  </w:pPr>
                  <w:r>
                    <w:rPr>
                      <w:b/>
                      <w:bCs/>
                      <w:color w:val="auto"/>
                      <w:sz w:val="18"/>
                      <w:szCs w:val="18"/>
                    </w:rPr>
                    <w:t>污染物排放</w:t>
                  </w:r>
                </w:p>
              </w:tc>
              <w:tc>
                <w:tcPr>
                  <w:tcW w:w="1730" w:type="dxa"/>
                  <w:gridSpan w:val="2"/>
                  <w:vAlign w:val="center"/>
                </w:tcPr>
                <w:p w14:paraId="717F3FE5">
                  <w:pPr>
                    <w:spacing w:line="240" w:lineRule="exact"/>
                    <w:jc w:val="center"/>
                    <w:rPr>
                      <w:b/>
                      <w:bCs/>
                      <w:color w:val="auto"/>
                      <w:sz w:val="18"/>
                      <w:szCs w:val="18"/>
                    </w:rPr>
                  </w:pPr>
                  <w:r>
                    <w:rPr>
                      <w:b/>
                      <w:bCs/>
                      <w:color w:val="auto"/>
                      <w:sz w:val="18"/>
                      <w:szCs w:val="18"/>
                    </w:rPr>
                    <w:t>标准限值</w:t>
                  </w:r>
                </w:p>
              </w:tc>
            </w:tr>
            <w:tr w14:paraId="27556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9" w:hRule="atLeast"/>
                <w:jc w:val="center"/>
              </w:trPr>
              <w:tc>
                <w:tcPr>
                  <w:tcW w:w="931" w:type="dxa"/>
                  <w:vMerge w:val="continue"/>
                  <w:vAlign w:val="center"/>
                </w:tcPr>
                <w:p w14:paraId="5B9FB9B4">
                  <w:pPr>
                    <w:spacing w:line="240" w:lineRule="exact"/>
                    <w:jc w:val="center"/>
                    <w:rPr>
                      <w:b/>
                      <w:bCs/>
                      <w:color w:val="auto"/>
                      <w:sz w:val="18"/>
                      <w:szCs w:val="18"/>
                    </w:rPr>
                  </w:pPr>
                </w:p>
              </w:tc>
              <w:tc>
                <w:tcPr>
                  <w:tcW w:w="502" w:type="dxa"/>
                  <w:vMerge w:val="continue"/>
                  <w:vAlign w:val="center"/>
                </w:tcPr>
                <w:p w14:paraId="0BC08A50">
                  <w:pPr>
                    <w:spacing w:line="240" w:lineRule="exact"/>
                    <w:jc w:val="center"/>
                    <w:rPr>
                      <w:b/>
                      <w:bCs/>
                      <w:color w:val="auto"/>
                      <w:sz w:val="18"/>
                      <w:szCs w:val="18"/>
                    </w:rPr>
                  </w:pPr>
                </w:p>
              </w:tc>
              <w:tc>
                <w:tcPr>
                  <w:tcW w:w="765" w:type="dxa"/>
                  <w:vMerge w:val="continue"/>
                  <w:vAlign w:val="center"/>
                </w:tcPr>
                <w:p w14:paraId="5DAC7C54">
                  <w:pPr>
                    <w:spacing w:line="240" w:lineRule="exact"/>
                    <w:jc w:val="center"/>
                    <w:rPr>
                      <w:b/>
                      <w:bCs/>
                      <w:color w:val="auto"/>
                      <w:sz w:val="18"/>
                      <w:szCs w:val="18"/>
                    </w:rPr>
                  </w:pPr>
                </w:p>
              </w:tc>
              <w:tc>
                <w:tcPr>
                  <w:tcW w:w="775" w:type="dxa"/>
                  <w:vAlign w:val="center"/>
                </w:tcPr>
                <w:p w14:paraId="7BC981E8">
                  <w:pPr>
                    <w:spacing w:line="240" w:lineRule="exact"/>
                    <w:jc w:val="center"/>
                    <w:rPr>
                      <w:b/>
                      <w:bCs/>
                      <w:color w:val="auto"/>
                      <w:sz w:val="18"/>
                      <w:szCs w:val="18"/>
                    </w:rPr>
                  </w:pPr>
                  <w:r>
                    <w:rPr>
                      <w:b/>
                      <w:bCs/>
                      <w:color w:val="auto"/>
                      <w:sz w:val="18"/>
                      <w:szCs w:val="18"/>
                    </w:rPr>
                    <w:t>产生量（t/a）</w:t>
                  </w:r>
                </w:p>
              </w:tc>
              <w:tc>
                <w:tcPr>
                  <w:tcW w:w="920" w:type="dxa"/>
                  <w:vAlign w:val="center"/>
                </w:tcPr>
                <w:p w14:paraId="58469774">
                  <w:pPr>
                    <w:spacing w:line="240" w:lineRule="exact"/>
                    <w:jc w:val="center"/>
                    <w:rPr>
                      <w:b/>
                      <w:bCs/>
                      <w:color w:val="auto"/>
                      <w:sz w:val="18"/>
                      <w:szCs w:val="18"/>
                    </w:rPr>
                  </w:pPr>
                  <w:r>
                    <w:rPr>
                      <w:b/>
                      <w:bCs/>
                      <w:color w:val="auto"/>
                      <w:sz w:val="18"/>
                      <w:szCs w:val="18"/>
                    </w:rPr>
                    <w:t>产生浓度（mg/m</w:t>
                  </w:r>
                  <w:r>
                    <w:rPr>
                      <w:b/>
                      <w:bCs/>
                      <w:color w:val="auto"/>
                      <w:sz w:val="18"/>
                      <w:szCs w:val="18"/>
                      <w:vertAlign w:val="superscript"/>
                    </w:rPr>
                    <w:t>3</w:t>
                  </w:r>
                  <w:r>
                    <w:rPr>
                      <w:b/>
                      <w:bCs/>
                      <w:color w:val="auto"/>
                      <w:sz w:val="18"/>
                      <w:szCs w:val="18"/>
                    </w:rPr>
                    <w:t>）</w:t>
                  </w:r>
                </w:p>
              </w:tc>
              <w:tc>
                <w:tcPr>
                  <w:tcW w:w="786" w:type="dxa"/>
                  <w:vAlign w:val="center"/>
                </w:tcPr>
                <w:p w14:paraId="2E0E7F80">
                  <w:pPr>
                    <w:spacing w:line="240" w:lineRule="exact"/>
                    <w:jc w:val="center"/>
                    <w:rPr>
                      <w:b/>
                      <w:bCs/>
                      <w:color w:val="auto"/>
                      <w:sz w:val="18"/>
                      <w:szCs w:val="18"/>
                    </w:rPr>
                  </w:pPr>
                  <w:r>
                    <w:rPr>
                      <w:b/>
                      <w:bCs/>
                      <w:color w:val="auto"/>
                      <w:sz w:val="18"/>
                      <w:szCs w:val="18"/>
                    </w:rPr>
                    <w:t>处理能力（m</w:t>
                  </w:r>
                  <w:r>
                    <w:rPr>
                      <w:b/>
                      <w:bCs/>
                      <w:color w:val="auto"/>
                      <w:sz w:val="18"/>
                      <w:szCs w:val="18"/>
                      <w:vertAlign w:val="superscript"/>
                    </w:rPr>
                    <w:t>3</w:t>
                  </w:r>
                  <w:r>
                    <w:rPr>
                      <w:b/>
                      <w:bCs/>
                      <w:color w:val="auto"/>
                      <w:sz w:val="18"/>
                      <w:szCs w:val="18"/>
                    </w:rPr>
                    <w:t>/h）</w:t>
                  </w:r>
                </w:p>
              </w:tc>
              <w:tc>
                <w:tcPr>
                  <w:tcW w:w="651" w:type="dxa"/>
                  <w:vAlign w:val="center"/>
                </w:tcPr>
                <w:p w14:paraId="5F5777F2">
                  <w:pPr>
                    <w:spacing w:line="240" w:lineRule="exact"/>
                    <w:jc w:val="center"/>
                    <w:rPr>
                      <w:b/>
                      <w:bCs/>
                      <w:color w:val="auto"/>
                      <w:sz w:val="18"/>
                      <w:szCs w:val="18"/>
                    </w:rPr>
                  </w:pPr>
                  <w:r>
                    <w:rPr>
                      <w:b/>
                      <w:bCs/>
                      <w:color w:val="auto"/>
                      <w:sz w:val="18"/>
                      <w:szCs w:val="18"/>
                    </w:rPr>
                    <w:t>收集率（%）</w:t>
                  </w:r>
                </w:p>
              </w:tc>
              <w:tc>
                <w:tcPr>
                  <w:tcW w:w="866" w:type="dxa"/>
                  <w:vAlign w:val="center"/>
                </w:tcPr>
                <w:p w14:paraId="03D62FEE">
                  <w:pPr>
                    <w:spacing w:line="240" w:lineRule="exact"/>
                    <w:jc w:val="center"/>
                    <w:rPr>
                      <w:b/>
                      <w:bCs/>
                      <w:color w:val="auto"/>
                      <w:sz w:val="18"/>
                      <w:szCs w:val="18"/>
                    </w:rPr>
                  </w:pPr>
                  <w:r>
                    <w:rPr>
                      <w:b/>
                      <w:bCs/>
                      <w:color w:val="auto"/>
                      <w:sz w:val="18"/>
                      <w:szCs w:val="18"/>
                    </w:rPr>
                    <w:t>治理工艺</w:t>
                  </w:r>
                </w:p>
              </w:tc>
              <w:tc>
                <w:tcPr>
                  <w:tcW w:w="651" w:type="dxa"/>
                  <w:vAlign w:val="center"/>
                </w:tcPr>
                <w:p w14:paraId="4C08C499">
                  <w:pPr>
                    <w:spacing w:line="240" w:lineRule="exact"/>
                    <w:jc w:val="center"/>
                    <w:rPr>
                      <w:b/>
                      <w:bCs/>
                      <w:color w:val="auto"/>
                      <w:sz w:val="18"/>
                      <w:szCs w:val="18"/>
                    </w:rPr>
                  </w:pPr>
                  <w:r>
                    <w:rPr>
                      <w:b/>
                      <w:bCs/>
                      <w:color w:val="auto"/>
                      <w:sz w:val="18"/>
                      <w:szCs w:val="18"/>
                    </w:rPr>
                    <w:t>去除率（%）</w:t>
                  </w:r>
                </w:p>
              </w:tc>
              <w:tc>
                <w:tcPr>
                  <w:tcW w:w="623" w:type="dxa"/>
                  <w:vAlign w:val="center"/>
                </w:tcPr>
                <w:p w14:paraId="09D9DCAA">
                  <w:pPr>
                    <w:spacing w:line="240" w:lineRule="exact"/>
                    <w:jc w:val="center"/>
                    <w:rPr>
                      <w:b/>
                      <w:bCs/>
                      <w:color w:val="auto"/>
                      <w:sz w:val="18"/>
                      <w:szCs w:val="18"/>
                    </w:rPr>
                  </w:pPr>
                  <w:r>
                    <w:rPr>
                      <w:b/>
                      <w:bCs/>
                      <w:color w:val="auto"/>
                      <w:sz w:val="18"/>
                      <w:szCs w:val="18"/>
                    </w:rPr>
                    <w:t>是否为可行技术</w:t>
                  </w:r>
                </w:p>
              </w:tc>
              <w:tc>
                <w:tcPr>
                  <w:tcW w:w="776" w:type="dxa"/>
                  <w:vAlign w:val="center"/>
                </w:tcPr>
                <w:p w14:paraId="7D29B453">
                  <w:pPr>
                    <w:spacing w:line="240" w:lineRule="exact"/>
                    <w:jc w:val="center"/>
                    <w:rPr>
                      <w:b/>
                      <w:bCs/>
                      <w:color w:val="auto"/>
                      <w:sz w:val="18"/>
                      <w:szCs w:val="18"/>
                    </w:rPr>
                  </w:pPr>
                  <w:r>
                    <w:rPr>
                      <w:b/>
                      <w:bCs/>
                      <w:color w:val="auto"/>
                      <w:sz w:val="18"/>
                      <w:szCs w:val="18"/>
                    </w:rPr>
                    <w:t>排放量（t/a）</w:t>
                  </w:r>
                </w:p>
              </w:tc>
              <w:tc>
                <w:tcPr>
                  <w:tcW w:w="934" w:type="dxa"/>
                  <w:vAlign w:val="center"/>
                </w:tcPr>
                <w:p w14:paraId="53161505">
                  <w:pPr>
                    <w:spacing w:line="240" w:lineRule="exact"/>
                    <w:jc w:val="center"/>
                    <w:rPr>
                      <w:b/>
                      <w:bCs/>
                      <w:color w:val="auto"/>
                      <w:sz w:val="18"/>
                      <w:szCs w:val="18"/>
                    </w:rPr>
                  </w:pPr>
                  <w:r>
                    <w:rPr>
                      <w:b/>
                      <w:bCs/>
                      <w:color w:val="auto"/>
                      <w:sz w:val="18"/>
                      <w:szCs w:val="18"/>
                    </w:rPr>
                    <w:t>排放浓度（mg/m</w:t>
                  </w:r>
                  <w:r>
                    <w:rPr>
                      <w:b/>
                      <w:bCs/>
                      <w:color w:val="auto"/>
                      <w:sz w:val="18"/>
                      <w:szCs w:val="18"/>
                      <w:vertAlign w:val="superscript"/>
                    </w:rPr>
                    <w:t>3</w:t>
                  </w:r>
                  <w:r>
                    <w:rPr>
                      <w:b/>
                      <w:bCs/>
                      <w:color w:val="auto"/>
                      <w:sz w:val="18"/>
                      <w:szCs w:val="18"/>
                    </w:rPr>
                    <w:t>）</w:t>
                  </w:r>
                </w:p>
              </w:tc>
              <w:tc>
                <w:tcPr>
                  <w:tcW w:w="753" w:type="dxa"/>
                  <w:vAlign w:val="center"/>
                </w:tcPr>
                <w:p w14:paraId="51DF7BAD">
                  <w:pPr>
                    <w:spacing w:line="240" w:lineRule="exact"/>
                    <w:jc w:val="center"/>
                    <w:rPr>
                      <w:b/>
                      <w:bCs/>
                      <w:color w:val="auto"/>
                      <w:sz w:val="18"/>
                      <w:szCs w:val="18"/>
                    </w:rPr>
                  </w:pPr>
                  <w:r>
                    <w:rPr>
                      <w:b/>
                      <w:bCs/>
                      <w:color w:val="auto"/>
                      <w:sz w:val="18"/>
                      <w:szCs w:val="18"/>
                    </w:rPr>
                    <w:t>排放速率（kg/h）</w:t>
                  </w:r>
                </w:p>
              </w:tc>
              <w:tc>
                <w:tcPr>
                  <w:tcW w:w="785" w:type="dxa"/>
                  <w:vAlign w:val="center"/>
                </w:tcPr>
                <w:p w14:paraId="295AEA59">
                  <w:pPr>
                    <w:spacing w:line="240" w:lineRule="exact"/>
                    <w:jc w:val="center"/>
                    <w:rPr>
                      <w:b/>
                      <w:bCs/>
                      <w:color w:val="auto"/>
                      <w:sz w:val="18"/>
                      <w:szCs w:val="18"/>
                    </w:rPr>
                  </w:pPr>
                  <w:r>
                    <w:rPr>
                      <w:b/>
                      <w:bCs/>
                      <w:color w:val="auto"/>
                      <w:sz w:val="18"/>
                      <w:szCs w:val="18"/>
                    </w:rPr>
                    <w:t>排放时间（h）</w:t>
                  </w:r>
                </w:p>
              </w:tc>
              <w:tc>
                <w:tcPr>
                  <w:tcW w:w="946" w:type="dxa"/>
                  <w:vAlign w:val="center"/>
                </w:tcPr>
                <w:p w14:paraId="47AED192">
                  <w:pPr>
                    <w:spacing w:line="240" w:lineRule="exact"/>
                    <w:jc w:val="center"/>
                    <w:rPr>
                      <w:b/>
                      <w:bCs/>
                      <w:color w:val="auto"/>
                      <w:sz w:val="18"/>
                      <w:szCs w:val="18"/>
                    </w:rPr>
                  </w:pPr>
                  <w:r>
                    <w:rPr>
                      <w:b/>
                      <w:bCs/>
                      <w:color w:val="auto"/>
                      <w:sz w:val="18"/>
                      <w:szCs w:val="18"/>
                    </w:rPr>
                    <w:t>浓度限值（mg/m</w:t>
                  </w:r>
                  <w:r>
                    <w:rPr>
                      <w:b/>
                      <w:bCs/>
                      <w:color w:val="auto"/>
                      <w:sz w:val="18"/>
                      <w:szCs w:val="18"/>
                      <w:vertAlign w:val="superscript"/>
                    </w:rPr>
                    <w:t>3</w:t>
                  </w:r>
                  <w:r>
                    <w:rPr>
                      <w:b/>
                      <w:bCs/>
                      <w:color w:val="auto"/>
                      <w:sz w:val="18"/>
                      <w:szCs w:val="18"/>
                    </w:rPr>
                    <w:t>）</w:t>
                  </w:r>
                </w:p>
              </w:tc>
              <w:tc>
                <w:tcPr>
                  <w:tcW w:w="784" w:type="dxa"/>
                  <w:vAlign w:val="center"/>
                </w:tcPr>
                <w:p w14:paraId="51910DAE">
                  <w:pPr>
                    <w:spacing w:line="240" w:lineRule="exact"/>
                    <w:jc w:val="center"/>
                    <w:rPr>
                      <w:b/>
                      <w:bCs/>
                      <w:color w:val="auto"/>
                      <w:sz w:val="18"/>
                      <w:szCs w:val="18"/>
                    </w:rPr>
                  </w:pPr>
                  <w:r>
                    <w:rPr>
                      <w:b/>
                      <w:bCs/>
                      <w:color w:val="auto"/>
                      <w:sz w:val="18"/>
                      <w:szCs w:val="18"/>
                    </w:rPr>
                    <w:t>速率限值（kg/h）</w:t>
                  </w:r>
                </w:p>
              </w:tc>
            </w:tr>
            <w:tr w14:paraId="04E86E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931" w:type="dxa"/>
                  <w:vAlign w:val="center"/>
                </w:tcPr>
                <w:p w14:paraId="06852251">
                  <w:pPr>
                    <w:spacing w:line="240" w:lineRule="exact"/>
                    <w:jc w:val="center"/>
                    <w:rPr>
                      <w:rFonts w:hint="default" w:ascii="Times New Roman" w:hAnsi="Times New Roman" w:eastAsia="宋体" w:cs="Times New Roman"/>
                      <w:bCs w:val="0"/>
                      <w:color w:val="auto"/>
                      <w:sz w:val="18"/>
                      <w:szCs w:val="18"/>
                      <w:lang w:eastAsia="zh-CN"/>
                    </w:rPr>
                  </w:pPr>
                  <w:r>
                    <w:rPr>
                      <w:rFonts w:hint="default" w:ascii="Times New Roman" w:hAnsi="Times New Roman" w:eastAsia="宋体" w:cs="Times New Roman"/>
                      <w:color w:val="auto"/>
                      <w:kern w:val="2"/>
                      <w:sz w:val="18"/>
                      <w:szCs w:val="18"/>
                      <w:lang w:val="en-US" w:eastAsia="zh-CN" w:bidi="ar-SA"/>
                    </w:rPr>
                    <w:t>溶解、定容、萃取、预热分离、二次萃取、二次预热分离、蒸发结晶、离心工序</w:t>
                  </w:r>
                </w:p>
              </w:tc>
              <w:tc>
                <w:tcPr>
                  <w:tcW w:w="502" w:type="dxa"/>
                  <w:vAlign w:val="center"/>
                </w:tcPr>
                <w:p w14:paraId="33B595CD">
                  <w:pPr>
                    <w:spacing w:line="240" w:lineRule="exact"/>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有组织</w:t>
                  </w:r>
                </w:p>
              </w:tc>
              <w:tc>
                <w:tcPr>
                  <w:tcW w:w="765" w:type="dxa"/>
                  <w:tcBorders>
                    <w:bottom w:val="single" w:color="auto" w:sz="2" w:space="0"/>
                  </w:tcBorders>
                  <w:vAlign w:val="center"/>
                </w:tcPr>
                <w:p w14:paraId="79FD81E8">
                  <w:pPr>
                    <w:spacing w:line="240" w:lineRule="exact"/>
                    <w:jc w:val="center"/>
                    <w:rPr>
                      <w:color w:val="auto"/>
                      <w:sz w:val="18"/>
                      <w:szCs w:val="18"/>
                    </w:rPr>
                  </w:pPr>
                  <w:r>
                    <w:rPr>
                      <w:rFonts w:hint="eastAsia"/>
                      <w:color w:val="auto"/>
                      <w:sz w:val="18"/>
                      <w:szCs w:val="18"/>
                      <w:lang w:val="en-US" w:eastAsia="zh-CN"/>
                    </w:rPr>
                    <w:t>HCl</w:t>
                  </w:r>
                </w:p>
              </w:tc>
              <w:tc>
                <w:tcPr>
                  <w:tcW w:w="775" w:type="dxa"/>
                  <w:tcBorders>
                    <w:bottom w:val="single" w:color="auto" w:sz="2" w:space="0"/>
                  </w:tcBorders>
                  <w:shd w:val="clear" w:color="auto" w:fill="auto"/>
                  <w:vAlign w:val="center"/>
                </w:tcPr>
                <w:p w14:paraId="1643DD9E">
                  <w:pPr>
                    <w:keepNext w:val="0"/>
                    <w:keepLines w:val="0"/>
                    <w:widowControl/>
                    <w:suppressLineNumbers w:val="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11.836</w:t>
                  </w:r>
                </w:p>
              </w:tc>
              <w:tc>
                <w:tcPr>
                  <w:tcW w:w="920" w:type="dxa"/>
                  <w:tcBorders>
                    <w:bottom w:val="single" w:color="auto" w:sz="2" w:space="0"/>
                  </w:tcBorders>
                  <w:shd w:val="clear" w:color="auto" w:fill="auto"/>
                  <w:vAlign w:val="center"/>
                </w:tcPr>
                <w:p w14:paraId="4ED786FD">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
                    </w:rPr>
                  </w:pPr>
                  <w:r>
                    <w:rPr>
                      <w:rFonts w:hint="eastAsia" w:cs="Times New Roman"/>
                      <w:i w:val="0"/>
                      <w:iCs w:val="0"/>
                      <w:color w:val="auto"/>
                      <w:kern w:val="2"/>
                      <w:sz w:val="18"/>
                      <w:szCs w:val="18"/>
                      <w:highlight w:val="none"/>
                      <w:u w:val="none"/>
                      <w:lang w:val="en-US" w:eastAsia="zh-CN" w:bidi="ar"/>
                    </w:rPr>
                    <w:t>65.75</w:t>
                  </w:r>
                </w:p>
              </w:tc>
              <w:tc>
                <w:tcPr>
                  <w:tcW w:w="786" w:type="dxa"/>
                  <w:vMerge w:val="restart"/>
                  <w:vAlign w:val="center"/>
                </w:tcPr>
                <w:p w14:paraId="1232E927">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25000</w:t>
                  </w:r>
                </w:p>
              </w:tc>
              <w:tc>
                <w:tcPr>
                  <w:tcW w:w="651" w:type="dxa"/>
                  <w:tcBorders>
                    <w:bottom w:val="single" w:color="auto" w:sz="2" w:space="0"/>
                  </w:tcBorders>
                  <w:vAlign w:val="center"/>
                </w:tcPr>
                <w:p w14:paraId="17112E36">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100</w:t>
                  </w:r>
                </w:p>
              </w:tc>
              <w:tc>
                <w:tcPr>
                  <w:tcW w:w="866" w:type="dxa"/>
                  <w:vMerge w:val="restart"/>
                  <w:vAlign w:val="center"/>
                </w:tcPr>
                <w:p w14:paraId="68337504">
                  <w:pPr>
                    <w:spacing w:line="240" w:lineRule="exact"/>
                    <w:jc w:val="center"/>
                    <w:rPr>
                      <w:color w:val="auto"/>
                      <w:sz w:val="18"/>
                      <w:szCs w:val="18"/>
                    </w:rPr>
                  </w:pPr>
                  <w:r>
                    <w:rPr>
                      <w:rFonts w:hint="eastAsia"/>
                      <w:color w:val="auto"/>
                      <w:sz w:val="18"/>
                      <w:szCs w:val="18"/>
                      <w:lang w:val="en-US" w:eastAsia="zh-CN"/>
                    </w:rPr>
                    <w:t>水喷淋+酸雾吸收塔+除雾器</w:t>
                  </w:r>
                </w:p>
              </w:tc>
              <w:tc>
                <w:tcPr>
                  <w:tcW w:w="651" w:type="dxa"/>
                  <w:vMerge w:val="restart"/>
                  <w:vAlign w:val="center"/>
                </w:tcPr>
                <w:p w14:paraId="0DB5718E">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90</w:t>
                  </w:r>
                </w:p>
              </w:tc>
              <w:tc>
                <w:tcPr>
                  <w:tcW w:w="623" w:type="dxa"/>
                  <w:vMerge w:val="restart"/>
                  <w:vAlign w:val="center"/>
                </w:tcPr>
                <w:p w14:paraId="4B9C9AFC">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是</w:t>
                  </w:r>
                </w:p>
              </w:tc>
              <w:tc>
                <w:tcPr>
                  <w:tcW w:w="776" w:type="dxa"/>
                  <w:vMerge w:val="restart"/>
                  <w:shd w:val="clear" w:color="auto" w:fill="auto"/>
                  <w:vAlign w:val="center"/>
                </w:tcPr>
                <w:p w14:paraId="0F6B74F6">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cs="Times New Roman"/>
                      <w:i w:val="0"/>
                      <w:iCs w:val="0"/>
                      <w:color w:val="auto"/>
                      <w:kern w:val="2"/>
                      <w:sz w:val="18"/>
                      <w:szCs w:val="18"/>
                      <w:highlight w:val="none"/>
                      <w:u w:val="none"/>
                      <w:lang w:val="en-US" w:eastAsia="zh-CN" w:bidi="ar-SA"/>
                    </w:rPr>
                    <w:t>1.304</w:t>
                  </w:r>
                </w:p>
              </w:tc>
              <w:tc>
                <w:tcPr>
                  <w:tcW w:w="934" w:type="dxa"/>
                  <w:vMerge w:val="restart"/>
                  <w:shd w:val="clear" w:color="auto" w:fill="auto"/>
                  <w:vAlign w:val="center"/>
                </w:tcPr>
                <w:p w14:paraId="7FF98AF8">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cs="Times New Roman"/>
                      <w:i w:val="0"/>
                      <w:iCs w:val="0"/>
                      <w:color w:val="auto"/>
                      <w:kern w:val="2"/>
                      <w:sz w:val="18"/>
                      <w:szCs w:val="18"/>
                      <w:highlight w:val="none"/>
                      <w:u w:val="none"/>
                      <w:lang w:val="en-US" w:eastAsia="zh-CN" w:bidi="ar-SA"/>
                    </w:rPr>
                    <w:t>7.24</w:t>
                  </w:r>
                </w:p>
              </w:tc>
              <w:tc>
                <w:tcPr>
                  <w:tcW w:w="753" w:type="dxa"/>
                  <w:vMerge w:val="restart"/>
                  <w:vAlign w:val="center"/>
                </w:tcPr>
                <w:p w14:paraId="70A0FBED">
                  <w:pPr>
                    <w:keepNext w:val="0"/>
                    <w:keepLines w:val="0"/>
                    <w:widowControl/>
                    <w:suppressLineNumbers w:val="0"/>
                    <w:jc w:val="center"/>
                    <w:textAlignment w:val="auto"/>
                    <w:rPr>
                      <w:rFonts w:hint="default" w:eastAsia="宋体"/>
                      <w:color w:val="auto"/>
                      <w:sz w:val="18"/>
                      <w:szCs w:val="18"/>
                      <w:lang w:val="en-US" w:eastAsia="zh-CN"/>
                    </w:rPr>
                  </w:pPr>
                  <w:r>
                    <w:rPr>
                      <w:rFonts w:hint="eastAsia" w:cs="Times New Roman"/>
                      <w:i w:val="0"/>
                      <w:iCs w:val="0"/>
                      <w:color w:val="auto"/>
                      <w:kern w:val="2"/>
                      <w:sz w:val="18"/>
                      <w:szCs w:val="18"/>
                      <w:highlight w:val="none"/>
                      <w:u w:val="none"/>
                      <w:lang w:val="en-US" w:eastAsia="zh-CN" w:bidi="ar-SA"/>
                    </w:rPr>
                    <w:t>0.181</w:t>
                  </w:r>
                </w:p>
              </w:tc>
              <w:tc>
                <w:tcPr>
                  <w:tcW w:w="785" w:type="dxa"/>
                  <w:vMerge w:val="restart"/>
                  <w:vAlign w:val="center"/>
                </w:tcPr>
                <w:p w14:paraId="2DC343CD">
                  <w:pPr>
                    <w:spacing w:line="240" w:lineRule="auto"/>
                    <w:jc w:val="center"/>
                    <w:rPr>
                      <w:rFonts w:hint="default" w:eastAsia="宋体"/>
                      <w:color w:val="auto"/>
                      <w:sz w:val="18"/>
                      <w:szCs w:val="18"/>
                      <w:lang w:val="en-US" w:eastAsia="zh-CN"/>
                    </w:rPr>
                  </w:pPr>
                  <w:r>
                    <w:rPr>
                      <w:rFonts w:hint="eastAsia" w:cs="Times New Roman"/>
                      <w:color w:val="auto"/>
                      <w:sz w:val="18"/>
                      <w:szCs w:val="18"/>
                      <w:highlight w:val="none"/>
                      <w:lang w:val="en-US" w:eastAsia="zh-CN"/>
                    </w:rPr>
                    <w:t>7200</w:t>
                  </w:r>
                </w:p>
              </w:tc>
              <w:tc>
                <w:tcPr>
                  <w:tcW w:w="946" w:type="dxa"/>
                  <w:vMerge w:val="restart"/>
                  <w:vAlign w:val="center"/>
                </w:tcPr>
                <w:p w14:paraId="7613BF8E">
                  <w:pPr>
                    <w:spacing w:line="240" w:lineRule="exact"/>
                    <w:jc w:val="center"/>
                    <w:rPr>
                      <w:color w:val="auto"/>
                      <w:sz w:val="18"/>
                      <w:szCs w:val="18"/>
                    </w:rPr>
                  </w:pPr>
                  <w:r>
                    <w:rPr>
                      <w:color w:val="auto"/>
                      <w:sz w:val="18"/>
                      <w:szCs w:val="18"/>
                    </w:rPr>
                    <w:t>10</w:t>
                  </w:r>
                </w:p>
              </w:tc>
              <w:tc>
                <w:tcPr>
                  <w:tcW w:w="784" w:type="dxa"/>
                  <w:vMerge w:val="restart"/>
                  <w:vAlign w:val="center"/>
                </w:tcPr>
                <w:p w14:paraId="7711FA05">
                  <w:pPr>
                    <w:spacing w:line="240" w:lineRule="exact"/>
                    <w:jc w:val="center"/>
                    <w:rPr>
                      <w:color w:val="auto"/>
                      <w:sz w:val="18"/>
                      <w:szCs w:val="18"/>
                    </w:rPr>
                  </w:pPr>
                  <w:r>
                    <w:rPr>
                      <w:color w:val="auto"/>
                      <w:sz w:val="18"/>
                      <w:szCs w:val="18"/>
                    </w:rPr>
                    <w:t>-</w:t>
                  </w:r>
                </w:p>
              </w:tc>
            </w:tr>
            <w:tr w14:paraId="72A764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31" w:type="dxa"/>
                  <w:vAlign w:val="center"/>
                </w:tcPr>
                <w:p w14:paraId="165F89BB">
                  <w:pPr>
                    <w:spacing w:line="240" w:lineRule="exact"/>
                    <w:jc w:val="center"/>
                    <w:rPr>
                      <w:rFonts w:hint="eastAsia"/>
                      <w:bCs/>
                      <w:color w:val="auto"/>
                      <w:sz w:val="18"/>
                      <w:szCs w:val="18"/>
                      <w:lang w:val="en-US" w:eastAsia="zh-CN"/>
                    </w:rPr>
                  </w:pPr>
                  <w:r>
                    <w:rPr>
                      <w:rFonts w:hint="eastAsia"/>
                      <w:bCs/>
                      <w:color w:val="auto"/>
                      <w:sz w:val="18"/>
                      <w:szCs w:val="18"/>
                      <w:lang w:val="en-US" w:eastAsia="zh-CN"/>
                    </w:rPr>
                    <w:t>板框压滤、精密过滤、包装工序</w:t>
                  </w:r>
                </w:p>
              </w:tc>
              <w:tc>
                <w:tcPr>
                  <w:tcW w:w="502" w:type="dxa"/>
                  <w:shd w:val="clear" w:color="auto" w:fill="auto"/>
                  <w:vAlign w:val="center"/>
                </w:tcPr>
                <w:p w14:paraId="5F232AE4">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有组织</w:t>
                  </w:r>
                </w:p>
              </w:tc>
              <w:tc>
                <w:tcPr>
                  <w:tcW w:w="765" w:type="dxa"/>
                  <w:shd w:val="clear" w:color="auto" w:fill="auto"/>
                  <w:vAlign w:val="center"/>
                </w:tcPr>
                <w:p w14:paraId="788D281A">
                  <w:pPr>
                    <w:spacing w:line="240" w:lineRule="exact"/>
                    <w:jc w:val="center"/>
                    <w:rPr>
                      <w:rFonts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HCl</w:t>
                  </w:r>
                </w:p>
              </w:tc>
              <w:tc>
                <w:tcPr>
                  <w:tcW w:w="775" w:type="dxa"/>
                  <w:shd w:val="clear" w:color="auto" w:fill="auto"/>
                  <w:vAlign w:val="center"/>
                </w:tcPr>
                <w:p w14:paraId="4FBB2F8A">
                  <w:pPr>
                    <w:keepNext w:val="0"/>
                    <w:keepLines w:val="0"/>
                    <w:widowControl/>
                    <w:suppressLineNumbers w:val="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1.202</w:t>
                  </w:r>
                </w:p>
              </w:tc>
              <w:tc>
                <w:tcPr>
                  <w:tcW w:w="920" w:type="dxa"/>
                  <w:shd w:val="clear" w:color="auto" w:fill="auto"/>
                  <w:vAlign w:val="center"/>
                </w:tcPr>
                <w:p w14:paraId="7F177B95">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
                    </w:rPr>
                  </w:pPr>
                  <w:r>
                    <w:rPr>
                      <w:rFonts w:hint="eastAsia" w:cs="Times New Roman"/>
                      <w:i w:val="0"/>
                      <w:iCs w:val="0"/>
                      <w:color w:val="auto"/>
                      <w:kern w:val="2"/>
                      <w:sz w:val="18"/>
                      <w:szCs w:val="18"/>
                      <w:highlight w:val="none"/>
                      <w:u w:val="none"/>
                      <w:lang w:val="en-US" w:eastAsia="zh-CN" w:bidi="ar"/>
                    </w:rPr>
                    <w:t>6.68</w:t>
                  </w:r>
                </w:p>
              </w:tc>
              <w:tc>
                <w:tcPr>
                  <w:tcW w:w="786" w:type="dxa"/>
                  <w:vMerge w:val="continue"/>
                  <w:vAlign w:val="center"/>
                </w:tcPr>
                <w:p w14:paraId="2E409237">
                  <w:pPr>
                    <w:spacing w:line="240" w:lineRule="exact"/>
                    <w:jc w:val="center"/>
                    <w:rPr>
                      <w:rFonts w:hint="eastAsia"/>
                      <w:color w:val="auto"/>
                      <w:sz w:val="18"/>
                      <w:szCs w:val="18"/>
                      <w:lang w:val="en-US" w:eastAsia="zh-CN"/>
                    </w:rPr>
                  </w:pPr>
                </w:p>
              </w:tc>
              <w:tc>
                <w:tcPr>
                  <w:tcW w:w="651" w:type="dxa"/>
                  <w:shd w:val="clear" w:color="auto" w:fill="auto"/>
                  <w:vAlign w:val="center"/>
                </w:tcPr>
                <w:p w14:paraId="5EABFFC4">
                  <w:pPr>
                    <w:spacing w:line="240" w:lineRule="exact"/>
                    <w:jc w:val="center"/>
                    <w:rPr>
                      <w:color w:val="auto"/>
                      <w:sz w:val="18"/>
                      <w:szCs w:val="18"/>
                    </w:rPr>
                  </w:pPr>
                  <w:r>
                    <w:rPr>
                      <w:color w:val="auto"/>
                      <w:sz w:val="18"/>
                      <w:szCs w:val="18"/>
                    </w:rPr>
                    <w:t>9</w:t>
                  </w:r>
                  <w:r>
                    <w:rPr>
                      <w:rFonts w:hint="eastAsia"/>
                      <w:color w:val="auto"/>
                      <w:sz w:val="18"/>
                      <w:szCs w:val="18"/>
                      <w:lang w:val="en-US" w:eastAsia="zh-CN"/>
                    </w:rPr>
                    <w:t>0</w:t>
                  </w:r>
                </w:p>
              </w:tc>
              <w:tc>
                <w:tcPr>
                  <w:tcW w:w="866" w:type="dxa"/>
                  <w:vMerge w:val="continue"/>
                  <w:shd w:val="clear" w:color="auto" w:fill="auto"/>
                  <w:vAlign w:val="center"/>
                </w:tcPr>
                <w:p w14:paraId="53B60AA9">
                  <w:pPr>
                    <w:spacing w:line="240" w:lineRule="exact"/>
                    <w:jc w:val="center"/>
                    <w:rPr>
                      <w:rFonts w:hint="eastAsia"/>
                      <w:color w:val="auto"/>
                      <w:sz w:val="18"/>
                      <w:szCs w:val="18"/>
                      <w:lang w:val="en-US" w:eastAsia="zh-CN"/>
                    </w:rPr>
                  </w:pPr>
                </w:p>
              </w:tc>
              <w:tc>
                <w:tcPr>
                  <w:tcW w:w="651" w:type="dxa"/>
                  <w:vMerge w:val="continue"/>
                  <w:shd w:val="clear" w:color="auto" w:fill="auto"/>
                  <w:vAlign w:val="center"/>
                </w:tcPr>
                <w:p w14:paraId="454CD47D">
                  <w:pPr>
                    <w:spacing w:line="240" w:lineRule="exact"/>
                    <w:jc w:val="center"/>
                    <w:rPr>
                      <w:rFonts w:hint="eastAsia" w:ascii="Times New Roman" w:hAnsi="Times New Roman" w:eastAsia="宋体" w:cs="Times New Roman"/>
                      <w:color w:val="auto"/>
                      <w:kern w:val="2"/>
                      <w:sz w:val="18"/>
                      <w:szCs w:val="18"/>
                      <w:lang w:val="en-US" w:eastAsia="zh-CN" w:bidi="ar-SA"/>
                    </w:rPr>
                  </w:pPr>
                </w:p>
              </w:tc>
              <w:tc>
                <w:tcPr>
                  <w:tcW w:w="623" w:type="dxa"/>
                  <w:vMerge w:val="continue"/>
                  <w:shd w:val="clear" w:color="auto" w:fill="auto"/>
                  <w:vAlign w:val="center"/>
                </w:tcPr>
                <w:p w14:paraId="71F8C060">
                  <w:pPr>
                    <w:spacing w:line="240" w:lineRule="exact"/>
                    <w:jc w:val="center"/>
                    <w:rPr>
                      <w:rFonts w:ascii="Times New Roman" w:hAnsi="Times New Roman" w:eastAsia="宋体" w:cs="Times New Roman"/>
                      <w:color w:val="auto"/>
                      <w:kern w:val="2"/>
                      <w:sz w:val="18"/>
                      <w:szCs w:val="18"/>
                      <w:lang w:val="en-US" w:eastAsia="zh-CN" w:bidi="ar-SA"/>
                    </w:rPr>
                  </w:pPr>
                </w:p>
              </w:tc>
              <w:tc>
                <w:tcPr>
                  <w:tcW w:w="776" w:type="dxa"/>
                  <w:vMerge w:val="continue"/>
                  <w:shd w:val="clear" w:color="auto" w:fill="auto"/>
                  <w:vAlign w:val="center"/>
                </w:tcPr>
                <w:p w14:paraId="7517E968">
                  <w:pPr>
                    <w:keepNext w:val="0"/>
                    <w:keepLines w:val="0"/>
                    <w:widowControl/>
                    <w:suppressLineNumbers w:val="0"/>
                    <w:jc w:val="center"/>
                    <w:textAlignment w:val="auto"/>
                    <w:rPr>
                      <w:rFonts w:hint="eastAsia" w:ascii="Times New Roman" w:hAnsi="Times New Roman" w:eastAsia="宋体" w:cs="Times New Roman"/>
                      <w:i w:val="0"/>
                      <w:iCs w:val="0"/>
                      <w:color w:val="auto"/>
                      <w:kern w:val="2"/>
                      <w:sz w:val="18"/>
                      <w:szCs w:val="18"/>
                      <w:highlight w:val="none"/>
                      <w:u w:val="none"/>
                      <w:lang w:val="en-US" w:eastAsia="zh-CN" w:bidi="ar-SA"/>
                    </w:rPr>
                  </w:pPr>
                </w:p>
              </w:tc>
              <w:tc>
                <w:tcPr>
                  <w:tcW w:w="934" w:type="dxa"/>
                  <w:vMerge w:val="continue"/>
                  <w:shd w:val="clear" w:color="auto" w:fill="auto"/>
                  <w:vAlign w:val="center"/>
                </w:tcPr>
                <w:p w14:paraId="61C226B8">
                  <w:pPr>
                    <w:keepNext w:val="0"/>
                    <w:keepLines w:val="0"/>
                    <w:widowControl/>
                    <w:suppressLineNumbers w:val="0"/>
                    <w:jc w:val="center"/>
                    <w:textAlignment w:val="auto"/>
                    <w:rPr>
                      <w:rFonts w:hint="eastAsia" w:ascii="Times New Roman" w:hAnsi="Times New Roman" w:eastAsia="宋体" w:cs="Times New Roman"/>
                      <w:i w:val="0"/>
                      <w:iCs w:val="0"/>
                      <w:color w:val="auto"/>
                      <w:kern w:val="2"/>
                      <w:sz w:val="18"/>
                      <w:szCs w:val="18"/>
                      <w:highlight w:val="none"/>
                      <w:u w:val="none"/>
                      <w:lang w:val="en-US" w:eastAsia="zh-CN" w:bidi="ar-SA"/>
                    </w:rPr>
                  </w:pPr>
                </w:p>
              </w:tc>
              <w:tc>
                <w:tcPr>
                  <w:tcW w:w="753" w:type="dxa"/>
                  <w:vMerge w:val="continue"/>
                  <w:shd w:val="clear" w:color="auto" w:fill="auto"/>
                  <w:vAlign w:val="center"/>
                </w:tcPr>
                <w:p w14:paraId="5B0BD93D">
                  <w:pPr>
                    <w:keepNext w:val="0"/>
                    <w:keepLines w:val="0"/>
                    <w:widowControl/>
                    <w:suppressLineNumbers w:val="0"/>
                    <w:jc w:val="center"/>
                    <w:textAlignment w:val="auto"/>
                    <w:rPr>
                      <w:rFonts w:hint="eastAsia" w:ascii="Times New Roman" w:hAnsi="Times New Roman" w:eastAsia="宋体" w:cs="Times New Roman"/>
                      <w:i w:val="0"/>
                      <w:iCs w:val="0"/>
                      <w:color w:val="auto"/>
                      <w:kern w:val="2"/>
                      <w:sz w:val="18"/>
                      <w:szCs w:val="18"/>
                      <w:highlight w:val="none"/>
                      <w:u w:val="none"/>
                      <w:lang w:val="en-US" w:eastAsia="zh-CN" w:bidi="ar-SA"/>
                    </w:rPr>
                  </w:pPr>
                </w:p>
              </w:tc>
              <w:tc>
                <w:tcPr>
                  <w:tcW w:w="785" w:type="dxa"/>
                  <w:vMerge w:val="continue"/>
                  <w:shd w:val="clear" w:color="auto" w:fill="auto"/>
                  <w:vAlign w:val="center"/>
                </w:tcPr>
                <w:p w14:paraId="402B570C">
                  <w:pPr>
                    <w:spacing w:line="240" w:lineRule="auto"/>
                    <w:jc w:val="center"/>
                    <w:rPr>
                      <w:rFonts w:hint="eastAsia" w:cs="Times New Roman"/>
                      <w:color w:val="auto"/>
                      <w:sz w:val="18"/>
                      <w:szCs w:val="18"/>
                      <w:highlight w:val="none"/>
                      <w:lang w:val="en-US" w:eastAsia="zh-CN"/>
                    </w:rPr>
                  </w:pPr>
                </w:p>
              </w:tc>
              <w:tc>
                <w:tcPr>
                  <w:tcW w:w="946" w:type="dxa"/>
                  <w:vMerge w:val="continue"/>
                  <w:shd w:val="clear" w:color="auto" w:fill="auto"/>
                  <w:vAlign w:val="center"/>
                </w:tcPr>
                <w:p w14:paraId="462A5152">
                  <w:pPr>
                    <w:spacing w:line="240" w:lineRule="exact"/>
                    <w:jc w:val="center"/>
                    <w:rPr>
                      <w:color w:val="auto"/>
                      <w:sz w:val="18"/>
                      <w:szCs w:val="18"/>
                    </w:rPr>
                  </w:pPr>
                </w:p>
              </w:tc>
              <w:tc>
                <w:tcPr>
                  <w:tcW w:w="784" w:type="dxa"/>
                  <w:vMerge w:val="continue"/>
                  <w:shd w:val="clear" w:color="auto" w:fill="auto"/>
                  <w:vAlign w:val="center"/>
                </w:tcPr>
                <w:p w14:paraId="6803947B">
                  <w:pPr>
                    <w:spacing w:line="240" w:lineRule="exact"/>
                    <w:jc w:val="center"/>
                    <w:rPr>
                      <w:color w:val="auto"/>
                      <w:sz w:val="18"/>
                      <w:szCs w:val="18"/>
                    </w:rPr>
                  </w:pPr>
                </w:p>
              </w:tc>
            </w:tr>
            <w:tr w14:paraId="550F8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8" w:hRule="atLeast"/>
                <w:jc w:val="center"/>
              </w:trPr>
              <w:tc>
                <w:tcPr>
                  <w:tcW w:w="931" w:type="dxa"/>
                  <w:vAlign w:val="center"/>
                </w:tcPr>
                <w:p w14:paraId="752758FF">
                  <w:pPr>
                    <w:spacing w:line="240" w:lineRule="exact"/>
                    <w:jc w:val="center"/>
                    <w:rPr>
                      <w:rFonts w:hint="eastAsia"/>
                      <w:bCs/>
                      <w:color w:val="auto"/>
                      <w:sz w:val="18"/>
                      <w:szCs w:val="18"/>
                      <w:lang w:eastAsia="zh-CN"/>
                    </w:rPr>
                  </w:pPr>
                  <w:r>
                    <w:rPr>
                      <w:rFonts w:hint="eastAsia"/>
                      <w:bCs/>
                      <w:color w:val="auto"/>
                      <w:sz w:val="18"/>
                      <w:szCs w:val="18"/>
                      <w:lang w:val="en-US" w:eastAsia="zh-CN"/>
                    </w:rPr>
                    <w:t>一次萃取、一次预热分离、二次萃取、二次预热分离</w:t>
                  </w:r>
                </w:p>
              </w:tc>
              <w:tc>
                <w:tcPr>
                  <w:tcW w:w="502" w:type="dxa"/>
                  <w:shd w:val="clear" w:color="auto" w:fill="auto"/>
                  <w:vAlign w:val="center"/>
                </w:tcPr>
                <w:p w14:paraId="3E3D236A">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有组织</w:t>
                  </w:r>
                </w:p>
              </w:tc>
              <w:tc>
                <w:tcPr>
                  <w:tcW w:w="765" w:type="dxa"/>
                  <w:shd w:val="clear" w:color="auto" w:fill="auto"/>
                  <w:vAlign w:val="center"/>
                </w:tcPr>
                <w:p w14:paraId="29ED993F">
                  <w:pPr>
                    <w:spacing w:line="240" w:lineRule="exact"/>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VOCs</w:t>
                  </w:r>
                </w:p>
              </w:tc>
              <w:tc>
                <w:tcPr>
                  <w:tcW w:w="775" w:type="dxa"/>
                  <w:vAlign w:val="center"/>
                </w:tcPr>
                <w:p w14:paraId="2812F232">
                  <w:pPr>
                    <w:keepNext w:val="0"/>
                    <w:keepLines w:val="0"/>
                    <w:widowControl/>
                    <w:suppressLineNumbers w:val="0"/>
                    <w:jc w:val="center"/>
                    <w:textAlignment w:val="auto"/>
                    <w:rPr>
                      <w:rFonts w:hint="default"/>
                      <w:color w:val="auto"/>
                      <w:sz w:val="18"/>
                      <w:szCs w:val="18"/>
                      <w:lang w:val="en-US" w:eastAsia="zh-CN"/>
                    </w:rPr>
                  </w:pPr>
                  <w:r>
                    <w:rPr>
                      <w:rFonts w:hint="eastAsia"/>
                      <w:color w:val="auto"/>
                      <w:sz w:val="18"/>
                      <w:szCs w:val="18"/>
                      <w:lang w:val="en-US" w:eastAsia="zh-CN"/>
                    </w:rPr>
                    <w:t>0.39</w:t>
                  </w:r>
                </w:p>
              </w:tc>
              <w:tc>
                <w:tcPr>
                  <w:tcW w:w="920" w:type="dxa"/>
                  <w:vAlign w:val="center"/>
                </w:tcPr>
                <w:p w14:paraId="34B517C4">
                  <w:pPr>
                    <w:keepNext w:val="0"/>
                    <w:keepLines w:val="0"/>
                    <w:widowControl/>
                    <w:suppressLineNumbers w:val="0"/>
                    <w:jc w:val="center"/>
                    <w:textAlignment w:val="auto"/>
                    <w:rPr>
                      <w:rFonts w:hint="default" w:eastAsia="宋体"/>
                      <w:color w:val="auto"/>
                      <w:sz w:val="18"/>
                      <w:szCs w:val="18"/>
                      <w:lang w:val="en-US" w:eastAsia="zh-CN"/>
                    </w:rPr>
                  </w:pPr>
                  <w:r>
                    <w:rPr>
                      <w:rFonts w:hint="eastAsia"/>
                      <w:color w:val="auto"/>
                      <w:sz w:val="18"/>
                      <w:szCs w:val="18"/>
                      <w:lang w:val="en-US" w:eastAsia="zh-CN"/>
                    </w:rPr>
                    <w:t>6.5</w:t>
                  </w:r>
                </w:p>
              </w:tc>
              <w:tc>
                <w:tcPr>
                  <w:tcW w:w="786" w:type="dxa"/>
                  <w:vMerge w:val="continue"/>
                  <w:vAlign w:val="center"/>
                </w:tcPr>
                <w:p w14:paraId="02CA3A91">
                  <w:pPr>
                    <w:spacing w:line="240" w:lineRule="exact"/>
                    <w:jc w:val="center"/>
                    <w:rPr>
                      <w:rFonts w:hint="default" w:eastAsia="宋体"/>
                      <w:color w:val="auto"/>
                      <w:sz w:val="18"/>
                      <w:szCs w:val="18"/>
                      <w:lang w:val="en-US" w:eastAsia="zh-CN"/>
                    </w:rPr>
                  </w:pPr>
                </w:p>
              </w:tc>
              <w:tc>
                <w:tcPr>
                  <w:tcW w:w="651" w:type="dxa"/>
                  <w:shd w:val="clear" w:color="auto" w:fill="auto"/>
                  <w:vAlign w:val="center"/>
                </w:tcPr>
                <w:p w14:paraId="56440D0E">
                  <w:pPr>
                    <w:spacing w:line="240" w:lineRule="exact"/>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100</w:t>
                  </w:r>
                </w:p>
              </w:tc>
              <w:tc>
                <w:tcPr>
                  <w:tcW w:w="866" w:type="dxa"/>
                  <w:shd w:val="clear" w:color="auto" w:fill="auto"/>
                  <w:vAlign w:val="center"/>
                </w:tcPr>
                <w:p w14:paraId="09BFF4DB">
                  <w:pPr>
                    <w:spacing w:line="240" w:lineRule="exact"/>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kern w:val="2"/>
                      <w:sz w:val="18"/>
                      <w:szCs w:val="18"/>
                      <w:lang w:val="en-US" w:eastAsia="zh-CN" w:bidi="ar-SA"/>
                    </w:rPr>
                    <w:t>二级活性炭吸附装置</w:t>
                  </w:r>
                </w:p>
              </w:tc>
              <w:tc>
                <w:tcPr>
                  <w:tcW w:w="651" w:type="dxa"/>
                  <w:shd w:val="clear" w:color="auto" w:fill="auto"/>
                  <w:vAlign w:val="center"/>
                </w:tcPr>
                <w:p w14:paraId="316EC5ED">
                  <w:pPr>
                    <w:spacing w:line="240" w:lineRule="exact"/>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70</w:t>
                  </w:r>
                </w:p>
              </w:tc>
              <w:tc>
                <w:tcPr>
                  <w:tcW w:w="623" w:type="dxa"/>
                  <w:shd w:val="clear" w:color="auto" w:fill="auto"/>
                  <w:vAlign w:val="center"/>
                </w:tcPr>
                <w:p w14:paraId="42588D53">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是</w:t>
                  </w:r>
                </w:p>
              </w:tc>
              <w:tc>
                <w:tcPr>
                  <w:tcW w:w="776" w:type="dxa"/>
                  <w:shd w:val="clear" w:color="auto" w:fill="auto"/>
                  <w:vAlign w:val="center"/>
                </w:tcPr>
                <w:p w14:paraId="7F4FD900">
                  <w:pPr>
                    <w:keepNext w:val="0"/>
                    <w:keepLines w:val="0"/>
                    <w:widowControl/>
                    <w:suppressLineNumbers w:val="0"/>
                    <w:jc w:val="center"/>
                    <w:textAlignment w:val="auto"/>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eastAsia" w:cs="Times New Roman"/>
                      <w:i w:val="0"/>
                      <w:iCs w:val="0"/>
                      <w:color w:val="auto"/>
                      <w:kern w:val="2"/>
                      <w:sz w:val="18"/>
                      <w:szCs w:val="18"/>
                      <w:highlight w:val="none"/>
                      <w:u w:val="none"/>
                      <w:lang w:val="en-US" w:eastAsia="zh-CN" w:bidi="ar-SA"/>
                    </w:rPr>
                    <w:t>0.117</w:t>
                  </w:r>
                </w:p>
              </w:tc>
              <w:tc>
                <w:tcPr>
                  <w:tcW w:w="934" w:type="dxa"/>
                  <w:shd w:val="clear" w:color="auto" w:fill="auto"/>
                  <w:vAlign w:val="center"/>
                </w:tcPr>
                <w:p w14:paraId="46190E8A">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cs="Times New Roman"/>
                      <w:i w:val="0"/>
                      <w:iCs w:val="0"/>
                      <w:color w:val="auto"/>
                      <w:kern w:val="2"/>
                      <w:sz w:val="18"/>
                      <w:szCs w:val="18"/>
                      <w:highlight w:val="none"/>
                      <w:u w:val="none"/>
                      <w:lang w:val="en-US" w:eastAsia="zh-CN" w:bidi="ar-SA"/>
                    </w:rPr>
                    <w:t>1.95</w:t>
                  </w:r>
                </w:p>
              </w:tc>
              <w:tc>
                <w:tcPr>
                  <w:tcW w:w="753" w:type="dxa"/>
                  <w:shd w:val="clear" w:color="auto" w:fill="auto"/>
                  <w:vAlign w:val="center"/>
                </w:tcPr>
                <w:p w14:paraId="77DB0B69">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cs="Times New Roman"/>
                      <w:i w:val="0"/>
                      <w:iCs w:val="0"/>
                      <w:color w:val="auto"/>
                      <w:kern w:val="2"/>
                      <w:sz w:val="18"/>
                      <w:szCs w:val="18"/>
                      <w:highlight w:val="none"/>
                      <w:u w:val="none"/>
                      <w:lang w:val="en-US" w:eastAsia="zh-CN" w:bidi="ar-SA"/>
                    </w:rPr>
                    <w:t>0.049</w:t>
                  </w:r>
                </w:p>
              </w:tc>
              <w:tc>
                <w:tcPr>
                  <w:tcW w:w="785" w:type="dxa"/>
                  <w:shd w:val="clear" w:color="auto" w:fill="auto"/>
                  <w:vAlign w:val="center"/>
                </w:tcPr>
                <w:p w14:paraId="46568FC4">
                  <w:pPr>
                    <w:spacing w:line="240" w:lineRule="auto"/>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2400</w:t>
                  </w:r>
                </w:p>
              </w:tc>
              <w:tc>
                <w:tcPr>
                  <w:tcW w:w="946" w:type="dxa"/>
                  <w:shd w:val="clear" w:color="auto" w:fill="auto"/>
                  <w:vAlign w:val="center"/>
                </w:tcPr>
                <w:p w14:paraId="2354CE62">
                  <w:pPr>
                    <w:spacing w:line="240" w:lineRule="exact"/>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60</w:t>
                  </w:r>
                </w:p>
              </w:tc>
              <w:tc>
                <w:tcPr>
                  <w:tcW w:w="784" w:type="dxa"/>
                  <w:shd w:val="clear" w:color="auto" w:fill="auto"/>
                  <w:vAlign w:val="center"/>
                </w:tcPr>
                <w:p w14:paraId="3811CE73">
                  <w:pPr>
                    <w:spacing w:line="240" w:lineRule="exact"/>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3.0</w:t>
                  </w:r>
                </w:p>
              </w:tc>
            </w:tr>
            <w:tr w14:paraId="397B0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8" w:hRule="atLeast"/>
                <w:jc w:val="center"/>
              </w:trPr>
              <w:tc>
                <w:tcPr>
                  <w:tcW w:w="931" w:type="dxa"/>
                  <w:shd w:val="clear" w:color="auto" w:fill="auto"/>
                  <w:vAlign w:val="center"/>
                </w:tcPr>
                <w:p w14:paraId="5312EF7D">
                  <w:pPr>
                    <w:spacing w:line="240" w:lineRule="exact"/>
                    <w:jc w:val="center"/>
                    <w:rPr>
                      <w:rFonts w:hint="default" w:ascii="Times New Roman" w:hAnsi="Times New Roman" w:eastAsia="宋体" w:cs="Times New Roman"/>
                      <w:bCs/>
                      <w:color w:val="auto"/>
                      <w:kern w:val="2"/>
                      <w:sz w:val="18"/>
                      <w:szCs w:val="18"/>
                      <w:lang w:val="en-US" w:eastAsia="zh-CN" w:bidi="ar-SA"/>
                    </w:rPr>
                  </w:pPr>
                  <w:r>
                    <w:rPr>
                      <w:rFonts w:hint="eastAsia"/>
                      <w:bCs/>
                      <w:color w:val="auto"/>
                      <w:sz w:val="18"/>
                      <w:szCs w:val="18"/>
                      <w:lang w:val="en-US" w:eastAsia="zh-CN"/>
                    </w:rPr>
                    <w:t>集气罩未收集</w:t>
                  </w:r>
                </w:p>
              </w:tc>
              <w:tc>
                <w:tcPr>
                  <w:tcW w:w="502" w:type="dxa"/>
                  <w:shd w:val="clear" w:color="auto" w:fill="auto"/>
                  <w:vAlign w:val="center"/>
                </w:tcPr>
                <w:p w14:paraId="09EA8965">
                  <w:pPr>
                    <w:spacing w:line="240" w:lineRule="exact"/>
                    <w:jc w:val="center"/>
                    <w:rPr>
                      <w:rFonts w:hint="eastAsia" w:ascii="Times New Roman" w:hAnsi="Times New Roman" w:eastAsia="宋体" w:cs="Times New Roman"/>
                      <w:color w:val="auto"/>
                      <w:kern w:val="2"/>
                      <w:sz w:val="18"/>
                      <w:szCs w:val="18"/>
                      <w:lang w:val="en-US" w:eastAsia="zh-CN" w:bidi="ar-SA"/>
                    </w:rPr>
                  </w:pPr>
                  <w:r>
                    <w:rPr>
                      <w:rFonts w:hint="eastAsia" w:ascii="Times New Roman" w:hAnsi="Times New Roman" w:eastAsia="宋体" w:cs="Times New Roman"/>
                      <w:color w:val="auto"/>
                      <w:sz w:val="18"/>
                      <w:szCs w:val="18"/>
                      <w:lang w:val="en-US" w:eastAsia="zh-CN"/>
                    </w:rPr>
                    <w:t>无组织</w:t>
                  </w:r>
                </w:p>
              </w:tc>
              <w:tc>
                <w:tcPr>
                  <w:tcW w:w="765" w:type="dxa"/>
                  <w:shd w:val="clear" w:color="auto" w:fill="auto"/>
                  <w:vAlign w:val="center"/>
                </w:tcPr>
                <w:p w14:paraId="3943958E">
                  <w:pPr>
                    <w:spacing w:line="240" w:lineRule="exact"/>
                    <w:jc w:val="center"/>
                    <w:rPr>
                      <w:rFonts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HCl</w:t>
                  </w:r>
                </w:p>
              </w:tc>
              <w:tc>
                <w:tcPr>
                  <w:tcW w:w="775" w:type="dxa"/>
                  <w:shd w:val="clear" w:color="auto" w:fill="auto"/>
                  <w:vAlign w:val="center"/>
                </w:tcPr>
                <w:p w14:paraId="1F0F35BB">
                  <w:pPr>
                    <w:spacing w:line="240" w:lineRule="exact"/>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0.134</w:t>
                  </w:r>
                </w:p>
              </w:tc>
              <w:tc>
                <w:tcPr>
                  <w:tcW w:w="920" w:type="dxa"/>
                  <w:shd w:val="clear" w:color="auto" w:fill="auto"/>
                  <w:vAlign w:val="center"/>
                </w:tcPr>
                <w:p w14:paraId="00B6284B">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w:t>
                  </w:r>
                </w:p>
              </w:tc>
              <w:tc>
                <w:tcPr>
                  <w:tcW w:w="786" w:type="dxa"/>
                  <w:shd w:val="clear" w:color="auto" w:fill="auto"/>
                  <w:vAlign w:val="center"/>
                </w:tcPr>
                <w:p w14:paraId="374BE899">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w:t>
                  </w:r>
                </w:p>
              </w:tc>
              <w:tc>
                <w:tcPr>
                  <w:tcW w:w="651" w:type="dxa"/>
                  <w:shd w:val="clear" w:color="auto" w:fill="auto"/>
                  <w:vAlign w:val="center"/>
                </w:tcPr>
                <w:p w14:paraId="7757B5C9">
                  <w:pPr>
                    <w:spacing w:line="240" w:lineRule="exact"/>
                    <w:jc w:val="center"/>
                    <w:rPr>
                      <w:rFonts w:hint="default" w:ascii="Times New Roman" w:hAnsi="Times New Roman" w:eastAsia="宋体" w:cs="Times New Roman"/>
                      <w:color w:val="auto"/>
                      <w:kern w:val="2"/>
                      <w:sz w:val="18"/>
                      <w:szCs w:val="18"/>
                      <w:lang w:val="en-US" w:eastAsia="zh-CN" w:bidi="ar-SA"/>
                    </w:rPr>
                  </w:pPr>
                  <w:r>
                    <w:rPr>
                      <w:color w:val="auto"/>
                      <w:sz w:val="18"/>
                      <w:szCs w:val="18"/>
                    </w:rPr>
                    <w:t>-</w:t>
                  </w:r>
                </w:p>
              </w:tc>
              <w:tc>
                <w:tcPr>
                  <w:tcW w:w="866" w:type="dxa"/>
                  <w:shd w:val="clear" w:color="auto" w:fill="auto"/>
                  <w:vAlign w:val="center"/>
                </w:tcPr>
                <w:p w14:paraId="4EB14726">
                  <w:pPr>
                    <w:spacing w:line="240" w:lineRule="exact"/>
                    <w:jc w:val="center"/>
                    <w:rPr>
                      <w:rFonts w:hint="eastAsia" w:ascii="Times New Roman" w:hAnsi="Times New Roman" w:eastAsia="宋体" w:cs="Times New Roman"/>
                      <w:color w:val="auto"/>
                      <w:kern w:val="2"/>
                      <w:sz w:val="18"/>
                      <w:szCs w:val="18"/>
                      <w:lang w:val="en-US" w:eastAsia="zh-CN" w:bidi="ar-SA"/>
                    </w:rPr>
                  </w:pPr>
                  <w:r>
                    <w:rPr>
                      <w:color w:val="auto"/>
                      <w:sz w:val="18"/>
                      <w:szCs w:val="18"/>
                    </w:rPr>
                    <w:t>-</w:t>
                  </w:r>
                </w:p>
              </w:tc>
              <w:tc>
                <w:tcPr>
                  <w:tcW w:w="651" w:type="dxa"/>
                  <w:shd w:val="clear" w:color="auto" w:fill="auto"/>
                  <w:vAlign w:val="center"/>
                </w:tcPr>
                <w:p w14:paraId="08027107">
                  <w:pPr>
                    <w:spacing w:line="240" w:lineRule="exact"/>
                    <w:jc w:val="center"/>
                    <w:rPr>
                      <w:rFonts w:hint="default" w:ascii="Times New Roman" w:hAnsi="Times New Roman" w:eastAsia="宋体" w:cs="Times New Roman"/>
                      <w:color w:val="auto"/>
                      <w:kern w:val="2"/>
                      <w:sz w:val="18"/>
                      <w:szCs w:val="18"/>
                      <w:lang w:val="en-US" w:eastAsia="zh-CN" w:bidi="ar-SA"/>
                    </w:rPr>
                  </w:pPr>
                  <w:r>
                    <w:rPr>
                      <w:color w:val="auto"/>
                      <w:sz w:val="18"/>
                      <w:szCs w:val="18"/>
                    </w:rPr>
                    <w:t>-</w:t>
                  </w:r>
                </w:p>
              </w:tc>
              <w:tc>
                <w:tcPr>
                  <w:tcW w:w="623" w:type="dxa"/>
                  <w:shd w:val="clear" w:color="auto" w:fill="auto"/>
                  <w:vAlign w:val="center"/>
                </w:tcPr>
                <w:p w14:paraId="68A502DF">
                  <w:pPr>
                    <w:spacing w:line="240" w:lineRule="exact"/>
                    <w:jc w:val="center"/>
                    <w:rPr>
                      <w:rFonts w:ascii="Times New Roman" w:hAnsi="Times New Roman" w:eastAsia="宋体" w:cs="Times New Roman"/>
                      <w:color w:val="auto"/>
                      <w:kern w:val="2"/>
                      <w:sz w:val="18"/>
                      <w:szCs w:val="18"/>
                      <w:lang w:val="en-US" w:eastAsia="zh-CN" w:bidi="ar-SA"/>
                    </w:rPr>
                  </w:pPr>
                  <w:r>
                    <w:rPr>
                      <w:color w:val="auto"/>
                      <w:sz w:val="18"/>
                      <w:szCs w:val="18"/>
                    </w:rPr>
                    <w:t>-</w:t>
                  </w:r>
                </w:p>
              </w:tc>
              <w:tc>
                <w:tcPr>
                  <w:tcW w:w="776" w:type="dxa"/>
                  <w:vAlign w:val="center"/>
                </w:tcPr>
                <w:p w14:paraId="541042D7">
                  <w:pPr>
                    <w:spacing w:line="240" w:lineRule="exact"/>
                    <w:jc w:val="center"/>
                    <w:rPr>
                      <w:rFonts w:hint="default" w:eastAsia="宋体"/>
                      <w:color w:val="auto"/>
                      <w:sz w:val="18"/>
                      <w:szCs w:val="18"/>
                      <w:lang w:val="en-US" w:eastAsia="zh-CN"/>
                    </w:rPr>
                  </w:pPr>
                  <w:r>
                    <w:rPr>
                      <w:rFonts w:hint="eastAsia" w:cs="Times New Roman"/>
                      <w:color w:val="auto"/>
                      <w:kern w:val="2"/>
                      <w:sz w:val="18"/>
                      <w:szCs w:val="18"/>
                      <w:lang w:val="en-US" w:eastAsia="zh-CN" w:bidi="ar-SA"/>
                    </w:rPr>
                    <w:t>0.134</w:t>
                  </w:r>
                </w:p>
              </w:tc>
              <w:tc>
                <w:tcPr>
                  <w:tcW w:w="934" w:type="dxa"/>
                  <w:vAlign w:val="center"/>
                </w:tcPr>
                <w:p w14:paraId="360C8638">
                  <w:pPr>
                    <w:spacing w:line="240" w:lineRule="exact"/>
                    <w:jc w:val="center"/>
                    <w:rPr>
                      <w:color w:val="auto"/>
                      <w:sz w:val="18"/>
                      <w:szCs w:val="18"/>
                    </w:rPr>
                  </w:pPr>
                  <w:r>
                    <w:rPr>
                      <w:color w:val="auto"/>
                      <w:sz w:val="18"/>
                      <w:szCs w:val="18"/>
                    </w:rPr>
                    <w:t>-</w:t>
                  </w:r>
                </w:p>
              </w:tc>
              <w:tc>
                <w:tcPr>
                  <w:tcW w:w="753" w:type="dxa"/>
                  <w:vAlign w:val="center"/>
                </w:tcPr>
                <w:p w14:paraId="7680A173">
                  <w:pPr>
                    <w:spacing w:line="240" w:lineRule="exact"/>
                    <w:jc w:val="center"/>
                    <w:rPr>
                      <w:rFonts w:hint="default"/>
                      <w:color w:val="auto"/>
                      <w:sz w:val="18"/>
                      <w:szCs w:val="18"/>
                      <w:lang w:val="en-US"/>
                    </w:rPr>
                  </w:pPr>
                  <w:r>
                    <w:rPr>
                      <w:rFonts w:hint="eastAsia"/>
                      <w:color w:val="auto"/>
                      <w:sz w:val="18"/>
                      <w:szCs w:val="18"/>
                      <w:lang w:val="en-US" w:eastAsia="zh-CN"/>
                    </w:rPr>
                    <w:t>0.019</w:t>
                  </w:r>
                </w:p>
              </w:tc>
              <w:tc>
                <w:tcPr>
                  <w:tcW w:w="785" w:type="dxa"/>
                  <w:vAlign w:val="center"/>
                </w:tcPr>
                <w:p w14:paraId="4E02A89E">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7200</w:t>
                  </w:r>
                </w:p>
              </w:tc>
              <w:tc>
                <w:tcPr>
                  <w:tcW w:w="946" w:type="dxa"/>
                  <w:vAlign w:val="center"/>
                </w:tcPr>
                <w:p w14:paraId="6CEC6195">
                  <w:pPr>
                    <w:spacing w:line="240" w:lineRule="exact"/>
                    <w:jc w:val="center"/>
                    <w:rPr>
                      <w:rFonts w:hint="default" w:eastAsia="宋体"/>
                      <w:color w:val="auto"/>
                      <w:sz w:val="18"/>
                      <w:szCs w:val="18"/>
                      <w:lang w:val="en-US" w:eastAsia="zh-CN"/>
                    </w:rPr>
                  </w:pPr>
                  <w:r>
                    <w:rPr>
                      <w:rFonts w:hint="eastAsia"/>
                      <w:color w:val="auto"/>
                      <w:sz w:val="18"/>
                      <w:szCs w:val="18"/>
                      <w:lang w:val="en-US" w:eastAsia="zh-CN"/>
                    </w:rPr>
                    <w:t>0.05</w:t>
                  </w:r>
                </w:p>
              </w:tc>
              <w:tc>
                <w:tcPr>
                  <w:tcW w:w="784" w:type="dxa"/>
                  <w:vAlign w:val="center"/>
                </w:tcPr>
                <w:p w14:paraId="17E8B09B">
                  <w:pPr>
                    <w:spacing w:line="240" w:lineRule="exact"/>
                    <w:jc w:val="center"/>
                    <w:rPr>
                      <w:color w:val="auto"/>
                      <w:sz w:val="18"/>
                      <w:szCs w:val="18"/>
                    </w:rPr>
                  </w:pPr>
                  <w:r>
                    <w:rPr>
                      <w:color w:val="auto"/>
                      <w:sz w:val="18"/>
                      <w:szCs w:val="18"/>
                    </w:rPr>
                    <w:t>-</w:t>
                  </w:r>
                </w:p>
                <w:p w14:paraId="68425026">
                  <w:pPr>
                    <w:rPr>
                      <w:color w:val="auto"/>
                    </w:rPr>
                  </w:pPr>
                </w:p>
              </w:tc>
            </w:tr>
          </w:tbl>
          <w:p w14:paraId="6ACC03C3">
            <w:pPr>
              <w:jc w:val="center"/>
              <w:rPr>
                <w:b/>
                <w:bCs/>
                <w:color w:val="auto"/>
              </w:rPr>
            </w:pPr>
            <w:r>
              <w:rPr>
                <w:b/>
                <w:bCs/>
                <w:color w:val="auto"/>
              </w:rPr>
              <w:t>表4-</w:t>
            </w:r>
            <w:r>
              <w:rPr>
                <w:rFonts w:hint="eastAsia"/>
                <w:b/>
                <w:bCs/>
                <w:color w:val="auto"/>
                <w:lang w:val="en-US" w:eastAsia="zh-CN"/>
              </w:rPr>
              <w:t>2</w:t>
            </w:r>
            <w:r>
              <w:rPr>
                <w:b/>
                <w:bCs/>
                <w:color w:val="auto"/>
              </w:rPr>
              <w:t>大气污染物排放口基本情况表</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55"/>
              <w:gridCol w:w="575"/>
              <w:gridCol w:w="672"/>
              <w:gridCol w:w="961"/>
              <w:gridCol w:w="917"/>
              <w:gridCol w:w="814"/>
              <w:gridCol w:w="1243"/>
              <w:gridCol w:w="564"/>
              <w:gridCol w:w="692"/>
              <w:gridCol w:w="567"/>
              <w:gridCol w:w="839"/>
              <w:gridCol w:w="828"/>
              <w:gridCol w:w="980"/>
              <w:gridCol w:w="883"/>
              <w:gridCol w:w="642"/>
              <w:gridCol w:w="849"/>
            </w:tblGrid>
            <w:tr w14:paraId="4385B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5" w:type="dxa"/>
                  <w:vMerge w:val="restart"/>
                  <w:vAlign w:val="center"/>
                </w:tcPr>
                <w:p w14:paraId="0CA6398D">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序号</w:t>
                  </w:r>
                </w:p>
              </w:tc>
              <w:tc>
                <w:tcPr>
                  <w:tcW w:w="575" w:type="dxa"/>
                  <w:vMerge w:val="restart"/>
                  <w:vAlign w:val="center"/>
                </w:tcPr>
                <w:p w14:paraId="34CE4322">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排放时段</w:t>
                  </w:r>
                </w:p>
              </w:tc>
              <w:tc>
                <w:tcPr>
                  <w:tcW w:w="672" w:type="dxa"/>
                  <w:vMerge w:val="restart"/>
                  <w:vAlign w:val="center"/>
                </w:tcPr>
                <w:p w14:paraId="735C12DE">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排放口</w:t>
                  </w:r>
                </w:p>
                <w:p w14:paraId="25694922">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编号</w:t>
                  </w:r>
                </w:p>
              </w:tc>
              <w:tc>
                <w:tcPr>
                  <w:tcW w:w="961" w:type="dxa"/>
                  <w:vMerge w:val="restart"/>
                  <w:vAlign w:val="center"/>
                </w:tcPr>
                <w:p w14:paraId="60B13376">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排放口</w:t>
                  </w:r>
                </w:p>
                <w:p w14:paraId="6826F401">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名称</w:t>
                  </w:r>
                </w:p>
              </w:tc>
              <w:tc>
                <w:tcPr>
                  <w:tcW w:w="917" w:type="dxa"/>
                  <w:vMerge w:val="restart"/>
                  <w:vAlign w:val="center"/>
                </w:tcPr>
                <w:p w14:paraId="5205F89D">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排放口</w:t>
                  </w:r>
                </w:p>
                <w:p w14:paraId="655A4271">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类型</w:t>
                  </w:r>
                </w:p>
              </w:tc>
              <w:tc>
                <w:tcPr>
                  <w:tcW w:w="814" w:type="dxa"/>
                  <w:vMerge w:val="restart"/>
                  <w:vAlign w:val="center"/>
                </w:tcPr>
                <w:p w14:paraId="5B65B235">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污染物种类</w:t>
                  </w:r>
                </w:p>
              </w:tc>
              <w:tc>
                <w:tcPr>
                  <w:tcW w:w="1243" w:type="dxa"/>
                  <w:vAlign w:val="center"/>
                </w:tcPr>
                <w:p w14:paraId="7BDEFE46">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排放口地理坐标</w:t>
                  </w:r>
                </w:p>
              </w:tc>
              <w:tc>
                <w:tcPr>
                  <w:tcW w:w="564" w:type="dxa"/>
                  <w:vMerge w:val="restart"/>
                  <w:vAlign w:val="center"/>
                </w:tcPr>
                <w:p w14:paraId="05339DC4">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排气筒高度（m）</w:t>
                  </w:r>
                </w:p>
              </w:tc>
              <w:tc>
                <w:tcPr>
                  <w:tcW w:w="692" w:type="dxa"/>
                  <w:vMerge w:val="restart"/>
                  <w:vAlign w:val="center"/>
                </w:tcPr>
                <w:p w14:paraId="6A102CB8">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排气筒出口</w:t>
                  </w:r>
                </w:p>
                <w:p w14:paraId="263DB942">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内径（m）</w:t>
                  </w:r>
                </w:p>
              </w:tc>
              <w:tc>
                <w:tcPr>
                  <w:tcW w:w="567" w:type="dxa"/>
                  <w:vMerge w:val="restart"/>
                  <w:vAlign w:val="center"/>
                </w:tcPr>
                <w:p w14:paraId="3DC1B49F">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排气温度（℃）</w:t>
                  </w:r>
                </w:p>
              </w:tc>
              <w:tc>
                <w:tcPr>
                  <w:tcW w:w="839" w:type="dxa"/>
                  <w:vMerge w:val="restart"/>
                  <w:vAlign w:val="center"/>
                </w:tcPr>
                <w:p w14:paraId="0677813D">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废气排放量（m</w:t>
                  </w:r>
                  <w:r>
                    <w:rPr>
                      <w:b/>
                      <w:bCs/>
                      <w:color w:val="auto"/>
                      <w:sz w:val="18"/>
                      <w:szCs w:val="18"/>
                      <w:vertAlign w:val="superscript"/>
                    </w:rPr>
                    <w:t>3</w:t>
                  </w:r>
                  <w:r>
                    <w:rPr>
                      <w:b/>
                      <w:bCs/>
                      <w:color w:val="auto"/>
                      <w:sz w:val="18"/>
                      <w:szCs w:val="18"/>
                    </w:rPr>
                    <w:t>/h）</w:t>
                  </w:r>
                </w:p>
              </w:tc>
              <w:tc>
                <w:tcPr>
                  <w:tcW w:w="828" w:type="dxa"/>
                  <w:vMerge w:val="restart"/>
                  <w:vAlign w:val="center"/>
                </w:tcPr>
                <w:p w14:paraId="16971771">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污染物排放量（t/a）</w:t>
                  </w:r>
                </w:p>
              </w:tc>
              <w:tc>
                <w:tcPr>
                  <w:tcW w:w="980" w:type="dxa"/>
                  <w:vMerge w:val="restart"/>
                  <w:vAlign w:val="center"/>
                </w:tcPr>
                <w:p w14:paraId="16C2ABC1">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污染物排放</w:t>
                  </w:r>
                </w:p>
                <w:p w14:paraId="1EF23EEA">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浓度（mg/m</w:t>
                  </w:r>
                  <w:r>
                    <w:rPr>
                      <w:b/>
                      <w:bCs/>
                      <w:color w:val="auto"/>
                      <w:sz w:val="18"/>
                      <w:szCs w:val="18"/>
                      <w:vertAlign w:val="superscript"/>
                    </w:rPr>
                    <w:t>3</w:t>
                  </w:r>
                  <w:r>
                    <w:rPr>
                      <w:b/>
                      <w:bCs/>
                      <w:color w:val="auto"/>
                      <w:sz w:val="18"/>
                      <w:szCs w:val="18"/>
                    </w:rPr>
                    <w:t>）</w:t>
                  </w:r>
                </w:p>
              </w:tc>
              <w:tc>
                <w:tcPr>
                  <w:tcW w:w="883" w:type="dxa"/>
                  <w:vMerge w:val="restart"/>
                  <w:vAlign w:val="center"/>
                </w:tcPr>
                <w:p w14:paraId="1968CAE7">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排放速率（kg/h）</w:t>
                  </w:r>
                </w:p>
              </w:tc>
              <w:tc>
                <w:tcPr>
                  <w:tcW w:w="642" w:type="dxa"/>
                  <w:vMerge w:val="restart"/>
                  <w:vAlign w:val="center"/>
                </w:tcPr>
                <w:p w14:paraId="16E51E5E">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排放时间（h）</w:t>
                  </w:r>
                </w:p>
              </w:tc>
              <w:tc>
                <w:tcPr>
                  <w:tcW w:w="849" w:type="dxa"/>
                  <w:vMerge w:val="restart"/>
                  <w:vAlign w:val="center"/>
                </w:tcPr>
                <w:p w14:paraId="1DA1D02E">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color w:val="auto"/>
                      <w:sz w:val="18"/>
                      <w:szCs w:val="18"/>
                    </w:rPr>
                  </w:pPr>
                  <w:r>
                    <w:rPr>
                      <w:b/>
                      <w:bCs/>
                      <w:color w:val="auto"/>
                      <w:sz w:val="18"/>
                      <w:szCs w:val="18"/>
                    </w:rPr>
                    <w:t>排放标准限值</w:t>
                  </w:r>
                </w:p>
              </w:tc>
            </w:tr>
            <w:tr w14:paraId="26466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55" w:type="dxa"/>
                  <w:vMerge w:val="continue"/>
                  <w:vAlign w:val="center"/>
                </w:tcPr>
                <w:p w14:paraId="48334485">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575" w:type="dxa"/>
                  <w:vMerge w:val="continue"/>
                  <w:vAlign w:val="center"/>
                </w:tcPr>
                <w:p w14:paraId="67D417B4">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672" w:type="dxa"/>
                  <w:vMerge w:val="continue"/>
                  <w:vAlign w:val="center"/>
                </w:tcPr>
                <w:p w14:paraId="665F05B3">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961" w:type="dxa"/>
                  <w:vMerge w:val="continue"/>
                  <w:vAlign w:val="center"/>
                </w:tcPr>
                <w:p w14:paraId="68AABFC7">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917" w:type="dxa"/>
                  <w:vMerge w:val="continue"/>
                  <w:vAlign w:val="center"/>
                </w:tcPr>
                <w:p w14:paraId="1D2FF28C">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14" w:type="dxa"/>
                  <w:vMerge w:val="continue"/>
                  <w:vAlign w:val="center"/>
                </w:tcPr>
                <w:p w14:paraId="4DC70F41">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1243" w:type="dxa"/>
                  <w:vAlign w:val="center"/>
                </w:tcPr>
                <w:p w14:paraId="6D38CFA7">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r>
                    <w:rPr>
                      <w:b/>
                      <w:bCs/>
                      <w:color w:val="auto"/>
                      <w:sz w:val="18"/>
                      <w:szCs w:val="18"/>
                    </w:rPr>
                    <w:t>经度、纬度</w:t>
                  </w:r>
                </w:p>
              </w:tc>
              <w:tc>
                <w:tcPr>
                  <w:tcW w:w="564" w:type="dxa"/>
                  <w:vMerge w:val="continue"/>
                  <w:vAlign w:val="center"/>
                </w:tcPr>
                <w:p w14:paraId="27A321A7">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692" w:type="dxa"/>
                  <w:vMerge w:val="continue"/>
                  <w:vAlign w:val="center"/>
                </w:tcPr>
                <w:p w14:paraId="2FF37C00">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567" w:type="dxa"/>
                  <w:vMerge w:val="continue"/>
                  <w:vAlign w:val="center"/>
                </w:tcPr>
                <w:p w14:paraId="6CC03059">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39" w:type="dxa"/>
                  <w:vMerge w:val="continue"/>
                  <w:vAlign w:val="center"/>
                </w:tcPr>
                <w:p w14:paraId="739E133A">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28" w:type="dxa"/>
                  <w:vMerge w:val="continue"/>
                  <w:vAlign w:val="center"/>
                </w:tcPr>
                <w:p w14:paraId="5754F799">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980" w:type="dxa"/>
                  <w:vMerge w:val="continue"/>
                  <w:vAlign w:val="center"/>
                </w:tcPr>
                <w:p w14:paraId="5409DE59">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83" w:type="dxa"/>
                  <w:vMerge w:val="continue"/>
                  <w:vAlign w:val="center"/>
                </w:tcPr>
                <w:p w14:paraId="2BE41239">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642" w:type="dxa"/>
                  <w:vMerge w:val="continue"/>
                  <w:vAlign w:val="center"/>
                </w:tcPr>
                <w:p w14:paraId="61EF6B9F">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49" w:type="dxa"/>
                  <w:vMerge w:val="continue"/>
                  <w:vAlign w:val="center"/>
                </w:tcPr>
                <w:p w14:paraId="6DBA6270">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r>
            <w:tr w14:paraId="02EC2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555" w:type="dxa"/>
                  <w:vMerge w:val="restart"/>
                  <w:vAlign w:val="center"/>
                </w:tcPr>
                <w:p w14:paraId="7108AC06">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color w:val="auto"/>
                      <w:sz w:val="18"/>
                      <w:szCs w:val="18"/>
                      <w:lang w:val="en-US" w:eastAsia="zh-CN"/>
                    </w:rPr>
                  </w:pPr>
                  <w:r>
                    <w:rPr>
                      <w:rFonts w:hint="eastAsia"/>
                      <w:color w:val="auto"/>
                      <w:sz w:val="18"/>
                      <w:szCs w:val="18"/>
                      <w:lang w:val="en-US" w:eastAsia="zh-CN"/>
                    </w:rPr>
                    <w:t>1</w:t>
                  </w:r>
                </w:p>
              </w:tc>
              <w:tc>
                <w:tcPr>
                  <w:tcW w:w="575" w:type="dxa"/>
                  <w:vMerge w:val="restart"/>
                  <w:vAlign w:val="center"/>
                </w:tcPr>
                <w:p w14:paraId="2580042D">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color w:val="auto"/>
                      <w:sz w:val="18"/>
                      <w:szCs w:val="18"/>
                      <w:lang w:eastAsia="zh-CN"/>
                    </w:rPr>
                  </w:pPr>
                  <w:r>
                    <w:rPr>
                      <w:rFonts w:hint="eastAsia"/>
                      <w:color w:val="auto"/>
                      <w:sz w:val="18"/>
                      <w:szCs w:val="18"/>
                      <w:lang w:eastAsia="zh-CN"/>
                    </w:rPr>
                    <w:t>全天</w:t>
                  </w:r>
                </w:p>
              </w:tc>
              <w:tc>
                <w:tcPr>
                  <w:tcW w:w="672" w:type="dxa"/>
                  <w:vMerge w:val="restart"/>
                  <w:vAlign w:val="center"/>
                </w:tcPr>
                <w:p w14:paraId="31FBCAFA">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eastAsia="宋体"/>
                      <w:color w:val="auto"/>
                      <w:sz w:val="18"/>
                      <w:szCs w:val="18"/>
                      <w:lang w:val="en-US" w:eastAsia="zh-CN"/>
                    </w:rPr>
                  </w:pPr>
                  <w:r>
                    <w:rPr>
                      <w:rFonts w:hint="eastAsia"/>
                      <w:color w:val="auto"/>
                      <w:sz w:val="18"/>
                      <w:szCs w:val="18"/>
                      <w:lang w:eastAsia="zh-CN"/>
                    </w:rPr>
                    <w:t>P1</w:t>
                  </w:r>
                </w:p>
              </w:tc>
              <w:tc>
                <w:tcPr>
                  <w:tcW w:w="961" w:type="dxa"/>
                  <w:vMerge w:val="restart"/>
                  <w:shd w:val="clear" w:color="auto" w:fill="auto"/>
                  <w:vAlign w:val="center"/>
                </w:tcPr>
                <w:p w14:paraId="5C7BA8ED">
                  <w:pPr>
                    <w:spacing w:line="240" w:lineRule="exact"/>
                    <w:jc w:val="center"/>
                    <w:rPr>
                      <w:rFonts w:hint="eastAsia" w:ascii="Times New Roman" w:hAnsi="Times New Roman" w:eastAsia="宋体" w:cs="Times New Roman"/>
                      <w:bCs/>
                      <w:color w:val="auto"/>
                      <w:kern w:val="2"/>
                      <w:sz w:val="18"/>
                      <w:szCs w:val="18"/>
                      <w:lang w:val="en-US" w:eastAsia="zh-CN" w:bidi="ar-SA"/>
                    </w:rPr>
                  </w:pPr>
                  <w:r>
                    <w:rPr>
                      <w:rFonts w:hint="eastAsia"/>
                      <w:bCs/>
                      <w:color w:val="auto"/>
                      <w:sz w:val="18"/>
                      <w:szCs w:val="18"/>
                      <w:lang w:val="en-US" w:eastAsia="zh-CN"/>
                    </w:rPr>
                    <w:t>溶解、萃取、蒸发结晶、离心</w:t>
                  </w:r>
                  <w:r>
                    <w:rPr>
                      <w:rFonts w:hint="eastAsia"/>
                      <w:color w:val="auto"/>
                      <w:sz w:val="18"/>
                      <w:szCs w:val="18"/>
                    </w:rPr>
                    <w:t>排放口</w:t>
                  </w:r>
                </w:p>
              </w:tc>
              <w:tc>
                <w:tcPr>
                  <w:tcW w:w="917" w:type="dxa"/>
                  <w:vMerge w:val="restart"/>
                  <w:vAlign w:val="center"/>
                </w:tcPr>
                <w:p w14:paraId="76BCA721">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r>
                    <w:rPr>
                      <w:color w:val="auto"/>
                      <w:sz w:val="18"/>
                      <w:szCs w:val="18"/>
                    </w:rPr>
                    <w:t>一般排放口</w:t>
                  </w:r>
                </w:p>
              </w:tc>
              <w:tc>
                <w:tcPr>
                  <w:tcW w:w="814" w:type="dxa"/>
                  <w:vAlign w:val="center"/>
                </w:tcPr>
                <w:p w14:paraId="1A0C07F3">
                  <w:pPr>
                    <w:spacing w:line="240" w:lineRule="exact"/>
                    <w:jc w:val="center"/>
                    <w:rPr>
                      <w:rFonts w:hint="eastAsia"/>
                      <w:color w:val="auto"/>
                      <w:sz w:val="18"/>
                      <w:szCs w:val="18"/>
                    </w:rPr>
                  </w:pPr>
                  <w:r>
                    <w:rPr>
                      <w:rFonts w:hint="eastAsia"/>
                      <w:color w:val="auto"/>
                      <w:sz w:val="18"/>
                      <w:szCs w:val="18"/>
                      <w:lang w:val="en-US" w:eastAsia="zh-CN"/>
                    </w:rPr>
                    <w:t>HCl</w:t>
                  </w:r>
                </w:p>
              </w:tc>
              <w:tc>
                <w:tcPr>
                  <w:tcW w:w="1243" w:type="dxa"/>
                  <w:vMerge w:val="restart"/>
                  <w:vAlign w:val="center"/>
                </w:tcPr>
                <w:p w14:paraId="29EA6FEF">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color w:val="auto"/>
                      <w:sz w:val="18"/>
                      <w:szCs w:val="18"/>
                      <w:highlight w:val="none"/>
                    </w:rPr>
                  </w:pPr>
                  <w:r>
                    <w:rPr>
                      <w:rFonts w:hint="eastAsia"/>
                      <w:color w:val="auto"/>
                      <w:sz w:val="18"/>
                      <w:szCs w:val="18"/>
                      <w:highlight w:val="none"/>
                    </w:rPr>
                    <w:t>117.98207</w:t>
                  </w:r>
                  <w:r>
                    <w:rPr>
                      <w:rFonts w:hint="eastAsia"/>
                      <w:color w:val="auto"/>
                      <w:sz w:val="18"/>
                      <w:szCs w:val="18"/>
                      <w:highlight w:val="none"/>
                      <w:lang w:val="en-US" w:eastAsia="zh-CN"/>
                    </w:rPr>
                    <w:t>3</w:t>
                  </w:r>
                  <w:r>
                    <w:rPr>
                      <w:color w:val="auto"/>
                      <w:sz w:val="18"/>
                      <w:szCs w:val="18"/>
                      <w:highlight w:val="none"/>
                    </w:rPr>
                    <w:t>°</w:t>
                  </w:r>
                </w:p>
                <w:p w14:paraId="2F943C68">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highlight w:val="none"/>
                    </w:rPr>
                  </w:pPr>
                  <w:r>
                    <w:rPr>
                      <w:rFonts w:hint="eastAsia"/>
                      <w:color w:val="auto"/>
                      <w:sz w:val="18"/>
                      <w:szCs w:val="18"/>
                      <w:highlight w:val="none"/>
                    </w:rPr>
                    <w:t>36.603610</w:t>
                  </w:r>
                  <w:r>
                    <w:rPr>
                      <w:color w:val="auto"/>
                      <w:sz w:val="18"/>
                      <w:szCs w:val="18"/>
                      <w:highlight w:val="none"/>
                    </w:rPr>
                    <w:t>°</w:t>
                  </w:r>
                </w:p>
              </w:tc>
              <w:tc>
                <w:tcPr>
                  <w:tcW w:w="564" w:type="dxa"/>
                  <w:vMerge w:val="restart"/>
                  <w:shd w:val="clear" w:color="auto" w:fill="auto"/>
                  <w:vAlign w:val="center"/>
                </w:tcPr>
                <w:p w14:paraId="5E45E8AA">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ascii="Times New Roman" w:hAnsi="Times New Roman" w:eastAsia="宋体" w:cs="Times New Roman"/>
                      <w:color w:val="auto"/>
                      <w:kern w:val="2"/>
                      <w:sz w:val="18"/>
                      <w:szCs w:val="18"/>
                      <w:lang w:val="en-US" w:eastAsia="zh-CN" w:bidi="ar-SA"/>
                    </w:rPr>
                  </w:pPr>
                  <w:r>
                    <w:rPr>
                      <w:color w:val="auto"/>
                      <w:sz w:val="18"/>
                      <w:szCs w:val="18"/>
                    </w:rPr>
                    <w:t>15</w:t>
                  </w:r>
                </w:p>
              </w:tc>
              <w:tc>
                <w:tcPr>
                  <w:tcW w:w="692" w:type="dxa"/>
                  <w:vMerge w:val="restart"/>
                  <w:shd w:val="clear" w:color="auto" w:fill="auto"/>
                  <w:vAlign w:val="center"/>
                </w:tcPr>
                <w:p w14:paraId="24944990">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ascii="Times New Roman" w:hAnsi="Times New Roman" w:eastAsia="宋体" w:cs="Times New Roman"/>
                      <w:color w:val="auto"/>
                      <w:kern w:val="2"/>
                      <w:sz w:val="18"/>
                      <w:szCs w:val="18"/>
                      <w:lang w:val="en-US" w:eastAsia="zh-CN" w:bidi="ar-SA"/>
                    </w:rPr>
                  </w:pPr>
                  <w:r>
                    <w:rPr>
                      <w:color w:val="auto"/>
                      <w:sz w:val="18"/>
                      <w:szCs w:val="18"/>
                    </w:rPr>
                    <w:t>0.</w:t>
                  </w:r>
                  <w:r>
                    <w:rPr>
                      <w:rStyle w:val="97"/>
                      <w:rFonts w:hint="eastAsia"/>
                      <w:color w:val="auto"/>
                      <w:kern w:val="0"/>
                      <w:sz w:val="18"/>
                      <w:szCs w:val="18"/>
                      <w:lang w:val="en-US" w:eastAsia="zh-CN"/>
                    </w:rPr>
                    <w:t>8</w:t>
                  </w:r>
                </w:p>
              </w:tc>
              <w:tc>
                <w:tcPr>
                  <w:tcW w:w="567" w:type="dxa"/>
                  <w:vMerge w:val="restart"/>
                  <w:shd w:val="clear" w:color="auto" w:fill="auto"/>
                  <w:vAlign w:val="center"/>
                </w:tcPr>
                <w:p w14:paraId="30D44840">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25</w:t>
                  </w:r>
                </w:p>
              </w:tc>
              <w:tc>
                <w:tcPr>
                  <w:tcW w:w="839" w:type="dxa"/>
                  <w:vMerge w:val="restart"/>
                  <w:vAlign w:val="center"/>
                </w:tcPr>
                <w:p w14:paraId="2E59BC6E">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color w:val="auto"/>
                      <w:sz w:val="18"/>
                      <w:szCs w:val="18"/>
                      <w:lang w:val="en-US" w:eastAsia="zh-CN"/>
                    </w:rPr>
                  </w:pPr>
                  <w:r>
                    <w:rPr>
                      <w:rFonts w:hint="eastAsia"/>
                      <w:color w:val="auto"/>
                      <w:sz w:val="18"/>
                      <w:szCs w:val="18"/>
                      <w:lang w:val="en-US" w:eastAsia="zh-CN"/>
                    </w:rPr>
                    <w:t>25000</w:t>
                  </w:r>
                </w:p>
              </w:tc>
              <w:tc>
                <w:tcPr>
                  <w:tcW w:w="828" w:type="dxa"/>
                  <w:shd w:val="clear" w:color="auto" w:fill="auto"/>
                  <w:vAlign w:val="center"/>
                </w:tcPr>
                <w:p w14:paraId="26487550">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cs="Times New Roman"/>
                      <w:i w:val="0"/>
                      <w:iCs w:val="0"/>
                      <w:color w:val="auto"/>
                      <w:kern w:val="2"/>
                      <w:sz w:val="18"/>
                      <w:szCs w:val="18"/>
                      <w:highlight w:val="none"/>
                      <w:u w:val="none"/>
                      <w:lang w:val="en-US" w:eastAsia="zh-CN" w:bidi="ar-SA"/>
                    </w:rPr>
                    <w:t>1.304</w:t>
                  </w:r>
                </w:p>
              </w:tc>
              <w:tc>
                <w:tcPr>
                  <w:tcW w:w="980" w:type="dxa"/>
                  <w:shd w:val="clear" w:color="auto" w:fill="auto"/>
                  <w:vAlign w:val="center"/>
                </w:tcPr>
                <w:p w14:paraId="4AA1CB08">
                  <w:pPr>
                    <w:keepNext w:val="0"/>
                    <w:keepLines w:val="0"/>
                    <w:widowControl/>
                    <w:suppressLineNumbers w:val="0"/>
                    <w:jc w:val="center"/>
                    <w:textAlignment w:val="auto"/>
                    <w:rPr>
                      <w:rFonts w:hint="eastAsia" w:ascii="Times New Roman" w:hAnsi="Times New Roman" w:eastAsia="宋体" w:cs="Times New Roman"/>
                      <w:i w:val="0"/>
                      <w:iCs w:val="0"/>
                      <w:color w:val="auto"/>
                      <w:kern w:val="2"/>
                      <w:sz w:val="18"/>
                      <w:szCs w:val="18"/>
                      <w:highlight w:val="none"/>
                      <w:u w:val="none"/>
                      <w:lang w:val="en-US" w:eastAsia="zh-CN" w:bidi="ar-SA"/>
                    </w:rPr>
                  </w:pPr>
                  <w:r>
                    <w:rPr>
                      <w:rFonts w:hint="eastAsia" w:cs="Times New Roman"/>
                      <w:i w:val="0"/>
                      <w:iCs w:val="0"/>
                      <w:color w:val="auto"/>
                      <w:kern w:val="2"/>
                      <w:sz w:val="18"/>
                      <w:szCs w:val="18"/>
                      <w:highlight w:val="none"/>
                      <w:u w:val="none"/>
                      <w:lang w:val="en-US" w:eastAsia="zh-CN" w:bidi="ar-SA"/>
                    </w:rPr>
                    <w:t>7.24</w:t>
                  </w:r>
                </w:p>
              </w:tc>
              <w:tc>
                <w:tcPr>
                  <w:tcW w:w="883" w:type="dxa"/>
                  <w:shd w:val="clear" w:color="auto" w:fill="auto"/>
                  <w:vAlign w:val="center"/>
                </w:tcPr>
                <w:p w14:paraId="4CD3E51A">
                  <w:pPr>
                    <w:keepNext w:val="0"/>
                    <w:keepLines w:val="0"/>
                    <w:widowControl/>
                    <w:suppressLineNumbers w:val="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i w:val="0"/>
                      <w:iCs w:val="0"/>
                      <w:color w:val="auto"/>
                      <w:kern w:val="2"/>
                      <w:sz w:val="18"/>
                      <w:szCs w:val="18"/>
                      <w:highlight w:val="none"/>
                      <w:u w:val="none"/>
                      <w:lang w:val="en-US" w:eastAsia="zh-CN" w:bidi="ar-SA"/>
                    </w:rPr>
                    <w:t>0.181</w:t>
                  </w:r>
                </w:p>
              </w:tc>
              <w:tc>
                <w:tcPr>
                  <w:tcW w:w="642" w:type="dxa"/>
                  <w:vAlign w:val="center"/>
                </w:tcPr>
                <w:p w14:paraId="79426E00">
                  <w:pPr>
                    <w:spacing w:line="240" w:lineRule="exact"/>
                    <w:jc w:val="center"/>
                    <w:rPr>
                      <w:rFonts w:hint="eastAsia"/>
                      <w:color w:val="auto"/>
                      <w:sz w:val="18"/>
                      <w:szCs w:val="18"/>
                      <w:lang w:val="en-US" w:eastAsia="zh-CN"/>
                    </w:rPr>
                  </w:pPr>
                  <w:r>
                    <w:rPr>
                      <w:rFonts w:hint="eastAsia"/>
                      <w:color w:val="auto"/>
                      <w:sz w:val="18"/>
                      <w:szCs w:val="18"/>
                      <w:lang w:val="en-US" w:eastAsia="zh-CN"/>
                    </w:rPr>
                    <w:t>7200</w:t>
                  </w:r>
                </w:p>
              </w:tc>
              <w:tc>
                <w:tcPr>
                  <w:tcW w:w="849" w:type="dxa"/>
                  <w:vAlign w:val="center"/>
                </w:tcPr>
                <w:p w14:paraId="52B0ABDF">
                  <w:pPr>
                    <w:spacing w:line="240" w:lineRule="exact"/>
                    <w:jc w:val="center"/>
                    <w:rPr>
                      <w:rFonts w:hint="eastAsia"/>
                      <w:color w:val="auto"/>
                      <w:sz w:val="18"/>
                      <w:szCs w:val="18"/>
                    </w:rPr>
                  </w:pPr>
                  <w:r>
                    <w:rPr>
                      <w:rFonts w:hint="eastAsia" w:cs="Times New Roman"/>
                      <w:color w:val="auto"/>
                      <w:sz w:val="18"/>
                      <w:szCs w:val="18"/>
                      <w:highlight w:val="none"/>
                      <w:lang w:val="en-US" w:eastAsia="zh-CN"/>
                    </w:rPr>
                    <w:t>10mg</w:t>
                  </w:r>
                  <w:r>
                    <w:rPr>
                      <w:rFonts w:hint="default" w:ascii="Times New Roman" w:hAnsi="Times New Roman" w:eastAsia="宋体" w:cs="Times New Roman"/>
                      <w:color w:val="auto"/>
                      <w:sz w:val="18"/>
                      <w:szCs w:val="18"/>
                      <w:highlight w:val="none"/>
                    </w:rPr>
                    <w:t>/m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vertAlign w:val="baseline"/>
                    </w:rPr>
                    <w:t xml:space="preserve">  </w:t>
                  </w:r>
                </w:p>
              </w:tc>
            </w:tr>
            <w:tr w14:paraId="02774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2" w:hRule="atLeast"/>
                <w:jc w:val="center"/>
              </w:trPr>
              <w:tc>
                <w:tcPr>
                  <w:tcW w:w="555" w:type="dxa"/>
                  <w:vMerge w:val="continue"/>
                  <w:vAlign w:val="center"/>
                </w:tcPr>
                <w:p w14:paraId="2B5D5B16">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575" w:type="dxa"/>
                  <w:vMerge w:val="continue"/>
                  <w:vAlign w:val="center"/>
                </w:tcPr>
                <w:p w14:paraId="1452EF2B">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672" w:type="dxa"/>
                  <w:vMerge w:val="continue"/>
                  <w:vAlign w:val="center"/>
                </w:tcPr>
                <w:p w14:paraId="5C81E69D">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961" w:type="dxa"/>
                  <w:vMerge w:val="continue"/>
                  <w:shd w:val="clear" w:color="auto" w:fill="auto"/>
                  <w:vAlign w:val="center"/>
                </w:tcPr>
                <w:p w14:paraId="5C96B296">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917" w:type="dxa"/>
                  <w:vMerge w:val="continue"/>
                  <w:vAlign w:val="center"/>
                </w:tcPr>
                <w:p w14:paraId="036A19BA">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14" w:type="dxa"/>
                  <w:vAlign w:val="center"/>
                </w:tcPr>
                <w:p w14:paraId="4285478C">
                  <w:pPr>
                    <w:spacing w:line="240" w:lineRule="exact"/>
                    <w:jc w:val="center"/>
                    <w:rPr>
                      <w:color w:val="auto"/>
                      <w:sz w:val="18"/>
                      <w:szCs w:val="18"/>
                    </w:rPr>
                  </w:pPr>
                  <w:r>
                    <w:rPr>
                      <w:rFonts w:hint="eastAsia" w:cs="Times New Roman"/>
                      <w:color w:val="auto"/>
                      <w:kern w:val="2"/>
                      <w:sz w:val="18"/>
                      <w:szCs w:val="18"/>
                      <w:lang w:val="en-US" w:eastAsia="zh-CN" w:bidi="ar-SA"/>
                    </w:rPr>
                    <w:t>VOCs</w:t>
                  </w:r>
                </w:p>
              </w:tc>
              <w:tc>
                <w:tcPr>
                  <w:tcW w:w="1243" w:type="dxa"/>
                  <w:vMerge w:val="continue"/>
                  <w:vAlign w:val="center"/>
                </w:tcPr>
                <w:p w14:paraId="44271CC1">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564" w:type="dxa"/>
                  <w:vMerge w:val="continue"/>
                  <w:shd w:val="clear" w:color="auto" w:fill="auto"/>
                  <w:vAlign w:val="center"/>
                </w:tcPr>
                <w:p w14:paraId="06D1CD37">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692" w:type="dxa"/>
                  <w:vMerge w:val="continue"/>
                  <w:shd w:val="clear" w:color="auto" w:fill="auto"/>
                  <w:vAlign w:val="center"/>
                </w:tcPr>
                <w:p w14:paraId="6DF1AEA9">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567" w:type="dxa"/>
                  <w:vMerge w:val="continue"/>
                  <w:shd w:val="clear" w:color="auto" w:fill="auto"/>
                  <w:vAlign w:val="center"/>
                </w:tcPr>
                <w:p w14:paraId="0E26684C">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39" w:type="dxa"/>
                  <w:vMerge w:val="continue"/>
                  <w:vAlign w:val="center"/>
                </w:tcPr>
                <w:p w14:paraId="594B5770">
                  <w:pPr>
                    <w:pStyle w:val="8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auto"/>
                      <w:sz w:val="18"/>
                      <w:szCs w:val="18"/>
                    </w:rPr>
                  </w:pPr>
                </w:p>
              </w:tc>
              <w:tc>
                <w:tcPr>
                  <w:tcW w:w="828" w:type="dxa"/>
                  <w:vAlign w:val="center"/>
                </w:tcPr>
                <w:p w14:paraId="67C4AF64">
                  <w:pPr>
                    <w:keepNext w:val="0"/>
                    <w:keepLines w:val="0"/>
                    <w:widowControl/>
                    <w:suppressLineNumbers w:val="0"/>
                    <w:jc w:val="center"/>
                    <w:textAlignment w:val="auto"/>
                    <w:rPr>
                      <w:color w:val="auto"/>
                      <w:sz w:val="18"/>
                      <w:szCs w:val="18"/>
                    </w:rPr>
                  </w:pPr>
                  <w:r>
                    <w:rPr>
                      <w:rFonts w:hint="eastAsia" w:cs="Times New Roman"/>
                      <w:i w:val="0"/>
                      <w:iCs w:val="0"/>
                      <w:color w:val="auto"/>
                      <w:kern w:val="2"/>
                      <w:sz w:val="18"/>
                      <w:szCs w:val="18"/>
                      <w:highlight w:val="none"/>
                      <w:u w:val="none"/>
                      <w:lang w:val="en-US" w:eastAsia="zh-CN" w:bidi="ar-SA"/>
                    </w:rPr>
                    <w:t>0.117</w:t>
                  </w:r>
                </w:p>
              </w:tc>
              <w:tc>
                <w:tcPr>
                  <w:tcW w:w="980" w:type="dxa"/>
                  <w:vAlign w:val="center"/>
                </w:tcPr>
                <w:p w14:paraId="7E7D7E87">
                  <w:pPr>
                    <w:keepNext w:val="0"/>
                    <w:keepLines w:val="0"/>
                    <w:widowControl/>
                    <w:suppressLineNumbers w:val="0"/>
                    <w:jc w:val="center"/>
                    <w:textAlignment w:val="auto"/>
                    <w:rPr>
                      <w:color w:val="auto"/>
                      <w:sz w:val="18"/>
                      <w:szCs w:val="18"/>
                    </w:rPr>
                  </w:pPr>
                  <w:r>
                    <w:rPr>
                      <w:rFonts w:hint="eastAsia" w:cs="Times New Roman"/>
                      <w:i w:val="0"/>
                      <w:iCs w:val="0"/>
                      <w:color w:val="auto"/>
                      <w:kern w:val="2"/>
                      <w:sz w:val="18"/>
                      <w:szCs w:val="18"/>
                      <w:highlight w:val="none"/>
                      <w:u w:val="none"/>
                      <w:lang w:val="en-US" w:eastAsia="zh-CN" w:bidi="ar-SA"/>
                    </w:rPr>
                    <w:t>1.95</w:t>
                  </w:r>
                </w:p>
              </w:tc>
              <w:tc>
                <w:tcPr>
                  <w:tcW w:w="883" w:type="dxa"/>
                  <w:vAlign w:val="center"/>
                </w:tcPr>
                <w:p w14:paraId="1F9D9689">
                  <w:pPr>
                    <w:keepNext w:val="0"/>
                    <w:keepLines w:val="0"/>
                    <w:widowControl/>
                    <w:suppressLineNumbers w:val="0"/>
                    <w:jc w:val="center"/>
                    <w:textAlignment w:val="auto"/>
                    <w:rPr>
                      <w:color w:val="auto"/>
                      <w:sz w:val="18"/>
                      <w:szCs w:val="18"/>
                    </w:rPr>
                  </w:pPr>
                  <w:r>
                    <w:rPr>
                      <w:rFonts w:hint="eastAsia" w:cs="Times New Roman"/>
                      <w:i w:val="0"/>
                      <w:iCs w:val="0"/>
                      <w:color w:val="auto"/>
                      <w:kern w:val="2"/>
                      <w:sz w:val="18"/>
                      <w:szCs w:val="18"/>
                      <w:highlight w:val="none"/>
                      <w:u w:val="none"/>
                      <w:lang w:val="en-US" w:eastAsia="zh-CN" w:bidi="ar-SA"/>
                    </w:rPr>
                    <w:t>0.049</w:t>
                  </w:r>
                </w:p>
              </w:tc>
              <w:tc>
                <w:tcPr>
                  <w:tcW w:w="642" w:type="dxa"/>
                  <w:vAlign w:val="center"/>
                </w:tcPr>
                <w:p w14:paraId="26BF61F0">
                  <w:pPr>
                    <w:spacing w:line="240" w:lineRule="exact"/>
                    <w:jc w:val="center"/>
                    <w:rPr>
                      <w:color w:val="auto"/>
                      <w:sz w:val="18"/>
                      <w:szCs w:val="18"/>
                    </w:rPr>
                  </w:pPr>
                  <w:r>
                    <w:rPr>
                      <w:rFonts w:hint="eastAsia"/>
                      <w:color w:val="auto"/>
                      <w:sz w:val="18"/>
                      <w:szCs w:val="18"/>
                      <w:lang w:val="en-US" w:eastAsia="zh-CN"/>
                    </w:rPr>
                    <w:t>2400</w:t>
                  </w:r>
                </w:p>
              </w:tc>
              <w:tc>
                <w:tcPr>
                  <w:tcW w:w="849" w:type="dxa"/>
                  <w:vAlign w:val="center"/>
                </w:tcPr>
                <w:p w14:paraId="6DA22DAA">
                  <w:pPr>
                    <w:spacing w:line="240" w:lineRule="exact"/>
                    <w:jc w:val="center"/>
                    <w:rPr>
                      <w:color w:val="auto"/>
                      <w:sz w:val="18"/>
                      <w:szCs w:val="18"/>
                    </w:rPr>
                  </w:pPr>
                  <w:r>
                    <w:rPr>
                      <w:rFonts w:hint="eastAsia" w:cs="Times New Roman"/>
                      <w:color w:val="auto"/>
                      <w:sz w:val="18"/>
                      <w:szCs w:val="18"/>
                      <w:highlight w:val="none"/>
                      <w:lang w:val="en-US" w:eastAsia="zh-CN"/>
                    </w:rPr>
                    <w:t>60mg</w:t>
                  </w:r>
                  <w:r>
                    <w:rPr>
                      <w:rFonts w:hint="default" w:ascii="Times New Roman" w:hAnsi="Times New Roman" w:eastAsia="宋体" w:cs="Times New Roman"/>
                      <w:color w:val="auto"/>
                      <w:sz w:val="18"/>
                      <w:szCs w:val="18"/>
                      <w:highlight w:val="none"/>
                    </w:rPr>
                    <w:t>/m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vertAlign w:val="baseline"/>
                    </w:rPr>
                    <w:t xml:space="preserve">  </w:t>
                  </w:r>
                  <w:r>
                    <w:rPr>
                      <w:rFonts w:hint="eastAsia" w:cs="Times New Roman"/>
                      <w:color w:val="auto"/>
                      <w:sz w:val="18"/>
                      <w:szCs w:val="18"/>
                      <w:highlight w:val="none"/>
                      <w:vertAlign w:val="baseline"/>
                      <w:lang w:val="en-US" w:eastAsia="zh-CN"/>
                    </w:rPr>
                    <w:t>3.0</w:t>
                  </w:r>
                  <w:r>
                    <w:rPr>
                      <w:rFonts w:hint="eastAsia" w:cs="Times New Roman"/>
                      <w:color w:val="auto"/>
                      <w:sz w:val="18"/>
                      <w:szCs w:val="18"/>
                      <w:highlight w:val="none"/>
                      <w:lang w:val="en-US" w:eastAsia="zh-CN"/>
                    </w:rPr>
                    <w:t>k</w:t>
                  </w:r>
                  <w:r>
                    <w:rPr>
                      <w:rFonts w:hint="default" w:ascii="Times New Roman" w:hAnsi="Times New Roman" w:eastAsia="宋体" w:cs="Times New Roman"/>
                      <w:color w:val="auto"/>
                      <w:sz w:val="18"/>
                      <w:szCs w:val="18"/>
                      <w:highlight w:val="none"/>
                    </w:rPr>
                    <w:t>g/h</w:t>
                  </w:r>
                </w:p>
              </w:tc>
            </w:tr>
          </w:tbl>
          <w:p w14:paraId="0BAB5408">
            <w:pPr>
              <w:jc w:val="center"/>
              <w:rPr>
                <w:rFonts w:hint="default"/>
                <w:b/>
                <w:bCs/>
                <w:color w:val="auto"/>
              </w:rPr>
            </w:pPr>
            <w:r>
              <w:rPr>
                <w:rFonts w:hint="default"/>
                <w:b/>
                <w:bCs/>
                <w:color w:val="auto"/>
              </w:rPr>
              <w:t>表4-3 本项目大气污染物排放量汇总表</w:t>
            </w:r>
          </w:p>
          <w:tbl>
            <w:tblPr>
              <w:tblStyle w:val="8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72"/>
              <w:gridCol w:w="1603"/>
              <w:gridCol w:w="1603"/>
            </w:tblGrid>
            <w:tr w14:paraId="25226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3725" w:type="pct"/>
                  <w:tcBorders>
                    <w:top w:val="single" w:color="auto" w:sz="4" w:space="0"/>
                    <w:left w:val="single" w:color="auto" w:sz="4" w:space="0"/>
                    <w:bottom w:val="single" w:color="auto" w:sz="4" w:space="0"/>
                    <w:right w:val="single" w:color="auto" w:sz="4" w:space="0"/>
                  </w:tcBorders>
                  <w:vAlign w:val="center"/>
                </w:tcPr>
                <w:p w14:paraId="6A92C1BF">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污染源及污染因子</w:t>
                  </w:r>
                </w:p>
              </w:tc>
              <w:tc>
                <w:tcPr>
                  <w:tcW w:w="637" w:type="pct"/>
                  <w:tcBorders>
                    <w:top w:val="single" w:color="auto" w:sz="4" w:space="0"/>
                    <w:left w:val="single" w:color="auto" w:sz="4" w:space="0"/>
                    <w:bottom w:val="single" w:color="auto" w:sz="4" w:space="0"/>
                    <w:right w:val="single" w:color="auto" w:sz="4" w:space="0"/>
                  </w:tcBorders>
                  <w:vAlign w:val="center"/>
                </w:tcPr>
                <w:p w14:paraId="622DDE16">
                  <w:pPr>
                    <w:adjustRightInd w:val="0"/>
                    <w:snapToGrid w:val="0"/>
                    <w:jc w:val="center"/>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val="en-US" w:eastAsia="zh-CN"/>
                    </w:rPr>
                    <w:t>VOCs</w:t>
                  </w:r>
                </w:p>
              </w:tc>
              <w:tc>
                <w:tcPr>
                  <w:tcW w:w="637" w:type="pct"/>
                  <w:tcBorders>
                    <w:top w:val="single" w:color="auto" w:sz="4" w:space="0"/>
                    <w:left w:val="single" w:color="auto" w:sz="4" w:space="0"/>
                    <w:bottom w:val="single" w:color="auto" w:sz="4" w:space="0"/>
                    <w:right w:val="single" w:color="auto" w:sz="4" w:space="0"/>
                  </w:tcBorders>
                  <w:vAlign w:val="center"/>
                </w:tcPr>
                <w:p w14:paraId="19347472">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氯化氢</w:t>
                  </w:r>
                </w:p>
              </w:tc>
            </w:tr>
            <w:tr w14:paraId="5B82B9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3725" w:type="pct"/>
                  <w:tcBorders>
                    <w:top w:val="single" w:color="auto" w:sz="4" w:space="0"/>
                    <w:left w:val="single" w:color="auto" w:sz="4" w:space="0"/>
                    <w:bottom w:val="single" w:color="auto" w:sz="4" w:space="0"/>
                    <w:right w:val="single" w:color="auto" w:sz="4" w:space="0"/>
                  </w:tcBorders>
                  <w:vAlign w:val="center"/>
                </w:tcPr>
                <w:p w14:paraId="15B2DB2A">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有组织</w:t>
                  </w:r>
                </w:p>
              </w:tc>
              <w:tc>
                <w:tcPr>
                  <w:tcW w:w="637" w:type="pct"/>
                  <w:tcBorders>
                    <w:top w:val="single" w:color="auto" w:sz="4" w:space="0"/>
                    <w:left w:val="single" w:color="auto" w:sz="4" w:space="0"/>
                    <w:bottom w:val="single" w:color="auto" w:sz="4" w:space="0"/>
                    <w:right w:val="single" w:color="auto" w:sz="4" w:space="0"/>
                  </w:tcBorders>
                  <w:vAlign w:val="center"/>
                </w:tcPr>
                <w:p w14:paraId="54E0825C">
                  <w:pPr>
                    <w:widowControl/>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0.117</w:t>
                  </w:r>
                </w:p>
              </w:tc>
              <w:tc>
                <w:tcPr>
                  <w:tcW w:w="637" w:type="pct"/>
                  <w:tcBorders>
                    <w:top w:val="single" w:color="auto" w:sz="4" w:space="0"/>
                    <w:left w:val="single" w:color="auto" w:sz="4" w:space="0"/>
                    <w:bottom w:val="single" w:color="auto" w:sz="4" w:space="0"/>
                    <w:right w:val="single" w:color="auto" w:sz="4" w:space="0"/>
                  </w:tcBorders>
                  <w:vAlign w:val="center"/>
                </w:tcPr>
                <w:p w14:paraId="09B16F23">
                  <w:pPr>
                    <w:widowControl/>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1.304</w:t>
                  </w:r>
                </w:p>
              </w:tc>
            </w:tr>
            <w:tr w14:paraId="1C4F8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jc w:val="center"/>
              </w:trPr>
              <w:tc>
                <w:tcPr>
                  <w:tcW w:w="3725" w:type="pct"/>
                  <w:tcBorders>
                    <w:top w:val="single" w:color="auto" w:sz="4" w:space="0"/>
                    <w:left w:val="single" w:color="auto" w:sz="4" w:space="0"/>
                    <w:bottom w:val="single" w:color="auto" w:sz="4" w:space="0"/>
                    <w:right w:val="single" w:color="auto" w:sz="4" w:space="0"/>
                  </w:tcBorders>
                  <w:vAlign w:val="center"/>
                </w:tcPr>
                <w:p w14:paraId="6D93A64B">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无组织</w:t>
                  </w:r>
                </w:p>
              </w:tc>
              <w:tc>
                <w:tcPr>
                  <w:tcW w:w="637" w:type="pct"/>
                  <w:tcBorders>
                    <w:top w:val="single" w:color="auto" w:sz="4" w:space="0"/>
                    <w:left w:val="single" w:color="auto" w:sz="4" w:space="0"/>
                    <w:bottom w:val="single" w:color="auto" w:sz="4" w:space="0"/>
                    <w:right w:val="single" w:color="auto" w:sz="4" w:space="0"/>
                  </w:tcBorders>
                  <w:vAlign w:val="center"/>
                </w:tcPr>
                <w:p w14:paraId="51C9225E">
                  <w:pPr>
                    <w:widowControl/>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w:t>
                  </w:r>
                </w:p>
              </w:tc>
              <w:tc>
                <w:tcPr>
                  <w:tcW w:w="637" w:type="pct"/>
                  <w:tcBorders>
                    <w:top w:val="single" w:color="auto" w:sz="4" w:space="0"/>
                    <w:left w:val="single" w:color="auto" w:sz="4" w:space="0"/>
                    <w:bottom w:val="single" w:color="auto" w:sz="4" w:space="0"/>
                    <w:right w:val="single" w:color="auto" w:sz="4" w:space="0"/>
                  </w:tcBorders>
                  <w:vAlign w:val="center"/>
                </w:tcPr>
                <w:p w14:paraId="3E535BAE">
                  <w:pPr>
                    <w:widowControl/>
                    <w:jc w:val="center"/>
                    <w:textAlignment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0.134</w:t>
                  </w:r>
                </w:p>
              </w:tc>
            </w:tr>
            <w:tr w14:paraId="0FC57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725" w:type="pct"/>
                  <w:tcBorders>
                    <w:top w:val="single" w:color="auto" w:sz="4" w:space="0"/>
                    <w:left w:val="single" w:color="auto" w:sz="4" w:space="0"/>
                    <w:bottom w:val="single" w:color="auto" w:sz="4" w:space="0"/>
                    <w:right w:val="single" w:color="auto" w:sz="4" w:space="0"/>
                  </w:tcBorders>
                  <w:vAlign w:val="center"/>
                </w:tcPr>
                <w:p w14:paraId="22951172">
                  <w:pPr>
                    <w:adjustRightInd w:val="0"/>
                    <w:snapToGrid w:val="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总计</w:t>
                  </w:r>
                </w:p>
              </w:tc>
              <w:tc>
                <w:tcPr>
                  <w:tcW w:w="637" w:type="pct"/>
                  <w:tcBorders>
                    <w:top w:val="single" w:color="auto" w:sz="4" w:space="0"/>
                    <w:left w:val="single" w:color="auto" w:sz="4" w:space="0"/>
                    <w:bottom w:val="single" w:color="auto" w:sz="4" w:space="0"/>
                    <w:right w:val="single" w:color="auto" w:sz="4" w:space="0"/>
                  </w:tcBorders>
                  <w:vAlign w:val="center"/>
                </w:tcPr>
                <w:p w14:paraId="516DE996">
                  <w:pPr>
                    <w:adjustRightInd w:val="0"/>
                    <w:snapToGrid w:val="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0.117</w:t>
                  </w:r>
                </w:p>
              </w:tc>
              <w:tc>
                <w:tcPr>
                  <w:tcW w:w="637" w:type="pct"/>
                  <w:tcBorders>
                    <w:top w:val="single" w:color="auto" w:sz="4" w:space="0"/>
                    <w:left w:val="single" w:color="auto" w:sz="4" w:space="0"/>
                    <w:bottom w:val="single" w:color="auto" w:sz="4" w:space="0"/>
                    <w:right w:val="single" w:color="auto" w:sz="4" w:space="0"/>
                  </w:tcBorders>
                  <w:vAlign w:val="center"/>
                </w:tcPr>
                <w:p w14:paraId="45D29149">
                  <w:pPr>
                    <w:adjustRightInd w:val="0"/>
                    <w:snapToGrid w:val="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1.438</w:t>
                  </w:r>
                </w:p>
              </w:tc>
            </w:tr>
          </w:tbl>
          <w:p w14:paraId="4EC12548">
            <w:pPr>
              <w:rPr>
                <w:rFonts w:hint="eastAsia"/>
                <w:color w:val="auto"/>
                <w:lang w:eastAsia="zh-CN"/>
              </w:rPr>
            </w:pPr>
          </w:p>
          <w:p w14:paraId="339AEEEE">
            <w:pPr>
              <w:rPr>
                <w:rFonts w:hint="eastAsia"/>
                <w:color w:val="auto"/>
                <w:lang w:eastAsia="zh-CN"/>
              </w:rPr>
            </w:pPr>
          </w:p>
          <w:p w14:paraId="085F4301">
            <w:pPr>
              <w:rPr>
                <w:rFonts w:hint="eastAsia"/>
                <w:color w:val="auto"/>
                <w:lang w:eastAsia="zh-CN"/>
              </w:rPr>
            </w:pPr>
          </w:p>
          <w:p w14:paraId="21B0A818">
            <w:pPr>
              <w:rPr>
                <w:rFonts w:hint="eastAsia"/>
                <w:color w:val="auto"/>
                <w:lang w:eastAsia="zh-CN"/>
              </w:rPr>
            </w:pPr>
          </w:p>
          <w:p w14:paraId="6F69F2CE">
            <w:pPr>
              <w:rPr>
                <w:rFonts w:hint="eastAsia"/>
                <w:color w:val="auto"/>
                <w:lang w:eastAsia="zh-CN"/>
              </w:rPr>
            </w:pPr>
          </w:p>
          <w:p w14:paraId="60202303">
            <w:pPr>
              <w:rPr>
                <w:rFonts w:hint="eastAsia"/>
                <w:color w:val="auto"/>
                <w:lang w:eastAsia="zh-CN"/>
              </w:rPr>
            </w:pPr>
          </w:p>
          <w:p w14:paraId="72438AFA">
            <w:pPr>
              <w:rPr>
                <w:rFonts w:hint="eastAsia"/>
                <w:color w:val="auto"/>
                <w:lang w:eastAsia="zh-CN"/>
              </w:rPr>
            </w:pPr>
          </w:p>
          <w:p w14:paraId="62B71546">
            <w:pPr>
              <w:rPr>
                <w:rFonts w:hint="eastAsia"/>
                <w:color w:val="auto"/>
                <w:lang w:eastAsia="zh-CN"/>
              </w:rPr>
            </w:pPr>
          </w:p>
          <w:p w14:paraId="77411C5F">
            <w:pPr>
              <w:rPr>
                <w:rFonts w:hint="eastAsia"/>
                <w:color w:val="auto"/>
                <w:lang w:eastAsia="zh-CN"/>
              </w:rPr>
            </w:pPr>
          </w:p>
          <w:p w14:paraId="23CDC81A">
            <w:pPr>
              <w:rPr>
                <w:rFonts w:hint="eastAsia"/>
                <w:color w:val="auto"/>
                <w:lang w:eastAsia="zh-CN"/>
              </w:rPr>
            </w:pPr>
          </w:p>
          <w:p w14:paraId="2DC8889E">
            <w:pPr>
              <w:rPr>
                <w:rFonts w:hint="eastAsia"/>
                <w:color w:val="auto"/>
                <w:lang w:eastAsia="zh-CN"/>
              </w:rPr>
            </w:pPr>
          </w:p>
          <w:p w14:paraId="29C8A1D6">
            <w:pPr>
              <w:rPr>
                <w:rFonts w:hint="eastAsia"/>
                <w:color w:val="auto"/>
                <w:lang w:eastAsia="zh-CN"/>
              </w:rPr>
            </w:pPr>
          </w:p>
          <w:p w14:paraId="5C0CA6E6">
            <w:pPr>
              <w:rPr>
                <w:rFonts w:hint="eastAsia"/>
                <w:color w:val="auto"/>
                <w:lang w:eastAsia="zh-CN"/>
              </w:rPr>
            </w:pPr>
          </w:p>
          <w:p w14:paraId="229E4C7A">
            <w:pPr>
              <w:rPr>
                <w:rFonts w:hint="eastAsia"/>
                <w:color w:val="auto"/>
                <w:lang w:eastAsia="zh-CN"/>
              </w:rPr>
            </w:pPr>
          </w:p>
          <w:p w14:paraId="26628EF1">
            <w:pPr>
              <w:rPr>
                <w:rFonts w:hint="eastAsia"/>
                <w:color w:val="auto"/>
                <w:lang w:eastAsia="zh-CN"/>
              </w:rPr>
            </w:pPr>
          </w:p>
          <w:p w14:paraId="7FB38510">
            <w:pPr>
              <w:rPr>
                <w:rFonts w:hint="eastAsia"/>
                <w:color w:val="auto"/>
                <w:lang w:eastAsia="zh-CN"/>
              </w:rPr>
            </w:pPr>
          </w:p>
          <w:p w14:paraId="65FDFA3A">
            <w:pPr>
              <w:rPr>
                <w:rFonts w:hint="eastAsia"/>
                <w:color w:val="auto"/>
                <w:lang w:eastAsia="zh-CN"/>
              </w:rPr>
            </w:pPr>
          </w:p>
          <w:p w14:paraId="49091081">
            <w:pPr>
              <w:rPr>
                <w:rFonts w:hint="eastAsia"/>
                <w:color w:val="auto"/>
                <w:lang w:eastAsia="zh-CN"/>
              </w:rPr>
            </w:pPr>
          </w:p>
          <w:p w14:paraId="6B431861">
            <w:pPr>
              <w:rPr>
                <w:rFonts w:hint="eastAsia"/>
                <w:color w:val="auto"/>
                <w:lang w:eastAsia="zh-CN"/>
              </w:rPr>
            </w:pPr>
          </w:p>
          <w:p w14:paraId="3F2C4665">
            <w:pPr>
              <w:rPr>
                <w:rFonts w:hint="eastAsia"/>
                <w:color w:val="auto"/>
                <w:lang w:eastAsia="zh-CN"/>
              </w:rPr>
            </w:pPr>
          </w:p>
          <w:p w14:paraId="04174249">
            <w:pPr>
              <w:rPr>
                <w:rFonts w:hint="eastAsia"/>
                <w:color w:val="auto"/>
                <w:lang w:eastAsia="zh-CN"/>
              </w:rPr>
            </w:pPr>
          </w:p>
          <w:p w14:paraId="3AE4FF59">
            <w:pPr>
              <w:rPr>
                <w:rFonts w:hint="eastAsia"/>
                <w:color w:val="auto"/>
                <w:lang w:eastAsia="zh-CN"/>
              </w:rPr>
            </w:pPr>
          </w:p>
          <w:p w14:paraId="6EED159F">
            <w:pPr>
              <w:rPr>
                <w:rFonts w:hint="eastAsia"/>
                <w:color w:val="auto"/>
                <w:lang w:eastAsia="zh-CN"/>
              </w:rPr>
            </w:pPr>
          </w:p>
          <w:p w14:paraId="2A9FE07D">
            <w:pPr>
              <w:rPr>
                <w:rFonts w:hint="eastAsia" w:eastAsia="宋体"/>
                <w:color w:val="auto"/>
                <w:lang w:eastAsia="zh-CN"/>
              </w:rPr>
            </w:pPr>
          </w:p>
        </w:tc>
      </w:tr>
    </w:tbl>
    <w:p w14:paraId="547F2897">
      <w:pPr>
        <w:pStyle w:val="82"/>
        <w:jc w:val="right"/>
        <w:rPr>
          <w:color w:val="auto"/>
        </w:rPr>
        <w:sectPr>
          <w:pgSz w:w="16838" w:h="11906" w:orient="landscape"/>
          <w:pgMar w:top="1531" w:right="1701" w:bottom="1531" w:left="1701" w:header="851" w:footer="1247" w:gutter="0"/>
          <w:cols w:space="720" w:num="1"/>
          <w:docGrid w:linePitch="312" w:charSpace="0"/>
        </w:sectPr>
      </w:pP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9"/>
        <w:gridCol w:w="8601"/>
      </w:tblGrid>
      <w:tr w14:paraId="35FEA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44" w:hRule="atLeast"/>
          <w:jc w:val="center"/>
        </w:trPr>
        <w:tc>
          <w:tcPr>
            <w:tcW w:w="466" w:type="dxa"/>
            <w:tcBorders>
              <w:top w:val="single" w:color="auto" w:sz="4" w:space="0"/>
              <w:left w:val="single" w:color="auto" w:sz="4" w:space="0"/>
              <w:right w:val="single" w:color="auto" w:sz="4" w:space="0"/>
            </w:tcBorders>
            <w:vAlign w:val="center"/>
          </w:tcPr>
          <w:p w14:paraId="1795FC07">
            <w:pPr>
              <w:adjustRightInd w:val="0"/>
              <w:snapToGrid w:val="0"/>
              <w:spacing w:line="420" w:lineRule="exact"/>
              <w:jc w:val="center"/>
              <w:rPr>
                <w:bCs/>
                <w:color w:val="auto"/>
              </w:rPr>
            </w:pPr>
            <w:r>
              <w:rPr>
                <w:bCs/>
                <w:color w:val="auto"/>
              </w:rPr>
              <w:t>运营</w:t>
            </w:r>
          </w:p>
          <w:p w14:paraId="7D62BDB6">
            <w:pPr>
              <w:adjustRightInd w:val="0"/>
              <w:snapToGrid w:val="0"/>
              <w:spacing w:line="420" w:lineRule="exact"/>
              <w:jc w:val="center"/>
              <w:rPr>
                <w:bCs/>
                <w:color w:val="auto"/>
              </w:rPr>
            </w:pPr>
            <w:r>
              <w:rPr>
                <w:bCs/>
                <w:color w:val="auto"/>
              </w:rPr>
              <w:t>期环</w:t>
            </w:r>
          </w:p>
          <w:p w14:paraId="66A40977">
            <w:pPr>
              <w:adjustRightInd w:val="0"/>
              <w:snapToGrid w:val="0"/>
              <w:spacing w:line="420" w:lineRule="exact"/>
              <w:jc w:val="center"/>
              <w:rPr>
                <w:bCs/>
                <w:color w:val="auto"/>
              </w:rPr>
            </w:pPr>
            <w:r>
              <w:rPr>
                <w:bCs/>
                <w:color w:val="auto"/>
              </w:rPr>
              <w:t>境影</w:t>
            </w:r>
          </w:p>
          <w:p w14:paraId="2A9DAC33">
            <w:pPr>
              <w:adjustRightInd w:val="0"/>
              <w:snapToGrid w:val="0"/>
              <w:spacing w:line="420" w:lineRule="exact"/>
              <w:jc w:val="center"/>
              <w:rPr>
                <w:bCs/>
                <w:color w:val="auto"/>
              </w:rPr>
            </w:pPr>
            <w:r>
              <w:rPr>
                <w:bCs/>
                <w:color w:val="auto"/>
              </w:rPr>
              <w:t>响和</w:t>
            </w:r>
          </w:p>
          <w:p w14:paraId="111F9874">
            <w:pPr>
              <w:adjustRightInd w:val="0"/>
              <w:snapToGrid w:val="0"/>
              <w:spacing w:line="420" w:lineRule="exact"/>
              <w:jc w:val="center"/>
              <w:rPr>
                <w:bCs/>
                <w:color w:val="auto"/>
              </w:rPr>
            </w:pPr>
            <w:r>
              <w:rPr>
                <w:bCs/>
                <w:color w:val="auto"/>
              </w:rPr>
              <w:t>保护</w:t>
            </w:r>
          </w:p>
          <w:p w14:paraId="1B2D4669">
            <w:pPr>
              <w:adjustRightInd w:val="0"/>
              <w:snapToGrid w:val="0"/>
              <w:spacing w:line="420" w:lineRule="exact"/>
              <w:jc w:val="center"/>
              <w:rPr>
                <w:bCs/>
                <w:color w:val="auto"/>
              </w:rPr>
            </w:pPr>
            <w:r>
              <w:rPr>
                <w:bCs/>
                <w:color w:val="auto"/>
              </w:rPr>
              <w:t>措施</w:t>
            </w:r>
          </w:p>
        </w:tc>
        <w:tc>
          <w:tcPr>
            <w:tcW w:w="8594" w:type="dxa"/>
            <w:tcBorders>
              <w:top w:val="single" w:color="auto" w:sz="4" w:space="0"/>
              <w:left w:val="single" w:color="auto" w:sz="4" w:space="0"/>
              <w:right w:val="single" w:color="auto" w:sz="4" w:space="0"/>
            </w:tcBorders>
          </w:tcPr>
          <w:p w14:paraId="3A49CFAC">
            <w:pPr>
              <w:pStyle w:val="1042"/>
              <w:adjustRightInd w:val="0"/>
              <w:snapToGrid w:val="0"/>
              <w:spacing w:line="360" w:lineRule="auto"/>
              <w:ind w:firstLine="422"/>
              <w:rPr>
                <w:b/>
                <w:color w:val="auto"/>
                <w:szCs w:val="21"/>
              </w:rPr>
            </w:pPr>
            <w:r>
              <w:rPr>
                <w:b/>
                <w:color w:val="auto"/>
                <w:szCs w:val="21"/>
              </w:rPr>
              <w:t>（</w:t>
            </w:r>
            <w:r>
              <w:rPr>
                <w:rFonts w:hint="eastAsia"/>
                <w:b/>
                <w:color w:val="auto"/>
                <w:szCs w:val="21"/>
                <w:lang w:val="en-US" w:eastAsia="zh-CN"/>
              </w:rPr>
              <w:t>二</w:t>
            </w:r>
            <w:r>
              <w:rPr>
                <w:b/>
                <w:color w:val="auto"/>
                <w:szCs w:val="21"/>
              </w:rPr>
              <w:t>）源强核算过程：</w:t>
            </w:r>
          </w:p>
          <w:p w14:paraId="7E8930A1">
            <w:pPr>
              <w:adjustRightInd w:val="0"/>
              <w:snapToGrid w:val="0"/>
              <w:spacing w:line="360" w:lineRule="auto"/>
              <w:ind w:firstLine="42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本项目</w:t>
            </w:r>
            <w:r>
              <w:rPr>
                <w:rFonts w:hint="eastAsia" w:cs="Times New Roman"/>
                <w:color w:val="auto"/>
                <w:highlight w:val="none"/>
                <w:lang w:val="en-US" w:eastAsia="zh-CN"/>
              </w:rPr>
              <w:t>产生的</w:t>
            </w:r>
            <w:r>
              <w:rPr>
                <w:rFonts w:hint="default" w:ascii="Times New Roman" w:hAnsi="Times New Roman" w:cs="Times New Roman"/>
                <w:color w:val="auto"/>
                <w:highlight w:val="none"/>
                <w:lang w:val="en-US" w:eastAsia="zh-CN"/>
              </w:rPr>
              <w:t>废气主要包括</w:t>
            </w:r>
            <w:r>
              <w:rPr>
                <w:rFonts w:hint="eastAsia" w:cs="Times New Roman"/>
                <w:color w:val="auto"/>
                <w:highlight w:val="none"/>
                <w:lang w:val="en-US" w:eastAsia="zh-CN"/>
              </w:rPr>
              <w:t>溶解废气（G1），板框压滤废气（G2），定容废气（G3），萃取废气（G4），预热分离废气（G5），二次萃取废气（G6），二次预热分离废气（G7），精密过滤废气（G8），蒸发结晶废气（G9、G12）、离心废气（G10、G13）、包装废气（G11、G14）</w:t>
            </w:r>
            <w:r>
              <w:rPr>
                <w:rFonts w:hint="default" w:ascii="Times New Roman" w:hAnsi="Times New Roman" w:cs="Times New Roman"/>
                <w:bCs/>
                <w:color w:val="auto"/>
                <w:highlight w:val="none"/>
              </w:rPr>
              <w:t>。</w:t>
            </w:r>
          </w:p>
          <w:p w14:paraId="6DBDA2B2">
            <w:pPr>
              <w:pStyle w:val="82"/>
              <w:adjustRightInd w:val="0"/>
              <w:snapToGrid w:val="0"/>
              <w:spacing w:after="0" w:line="360" w:lineRule="auto"/>
              <w:ind w:left="0" w:leftChars="0" w:firstLine="0" w:firstLineChars="0"/>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rPr>
              <w:t xml:space="preserve">  </w:t>
            </w:r>
            <w:r>
              <w:rPr>
                <w:rFonts w:hint="default" w:ascii="Times New Roman" w:hAnsi="Times New Roman" w:eastAsia="宋体" w:cs="Times New Roman"/>
                <w:b/>
                <w:color w:val="auto"/>
                <w:kern w:val="2"/>
                <w:sz w:val="21"/>
                <w:szCs w:val="21"/>
                <w:highlight w:val="none"/>
                <w:lang w:val="en-US" w:eastAsia="zh-CN" w:bidi="ar-SA"/>
              </w:rPr>
              <w:t xml:space="preserve">    1、源强分析</w:t>
            </w:r>
          </w:p>
          <w:p w14:paraId="6AB5B16B">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本项目废气主要来自于生产过程中的HCl和VOCs，氧氯化锆含有结晶水，投料产生的粉尘很小，可忽略不计，此次不进行定量分析。</w:t>
            </w:r>
          </w:p>
          <w:p w14:paraId="3DB0BE22">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（1）氯化氢</w:t>
            </w:r>
          </w:p>
          <w:p w14:paraId="248BFDCF">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根据环境统计手册，氯化氢产生量可按以下公式计算：</w:t>
            </w:r>
          </w:p>
          <w:p w14:paraId="0E6D1F21">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Gz=M（0.000352+0.000786V）P·F</w:t>
            </w:r>
          </w:p>
          <w:p w14:paraId="4D636342">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式中，Gz—液体的蒸发量，kg/h；</w:t>
            </w:r>
          </w:p>
          <w:p w14:paraId="33DEA726">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M—液体的分子量；</w:t>
            </w:r>
          </w:p>
          <w:p w14:paraId="2086C01D">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V—蒸发液体表面上的空气流速，m/s，以实测数据为准，无条件实测时，可查表 4-10，一般可取 0.2-0.5；考虑设备上方负压吸风会适当加速液体表面空气流速，故本次取 0.5；</w:t>
            </w:r>
          </w:p>
          <w:p w14:paraId="61F263D1">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 xml:space="preserve">P—相应于液体温度下的空气中的蒸气分压力，mmHg。当液体浓度（重量）低于 10%时，可用水溶液的饱和蒸气压代替，查表 4-15；当液体重量浓度高于 10%时，可查表 4-11、4-12、4-13、4-14。低于10%时25℃取23.756mmHg，高于10%时25℃取 32.5mmHg。本项目使用原料溶解槽、定容槽、萃取槽、浓缩槽、结晶槽小于 10%。 </w:t>
            </w:r>
          </w:p>
          <w:p w14:paraId="20EC7871">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F—液体蒸发面表面积，m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。根据业主提供资料估算，每个槽子均为密闭，管道收集，则原料溶解槽（20个）、标准定容槽（2个）、萃取槽（2套）、结晶槽（10个），管口内径为0.3m，表面积按 0.0707m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计。</w:t>
            </w:r>
          </w:p>
          <w:p w14:paraId="69DE6820">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根据公式计算可知，溶解工序HCl 废气产生量 0.913kg/h（6.574t/a）；定容废气HCl 废气产生量 0.091kg/h（0.658t/a）；萃取废气HCl 废气产生量 0.046kg/h（0.329t/a）；预热分离废气HCl 废气产生量0.046kg/h（0.329t/a）；二次萃取废气HCl 废气产生量 0.046kg/h（0.329t/a）；二次预热分离废气HCl 废气产生量 0.046kg/h（0.329t/a）；蒸发结晶废气HCl 废气产生量 0.457kg/h（3.288t/a）。</w:t>
            </w:r>
          </w:p>
          <w:p w14:paraId="1B2144A3">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18"/>
                <w:highlight w:val="none"/>
                <w:lang w:val="en-US" w:eastAsia="zh-CN"/>
              </w:rPr>
            </w:pPr>
            <w:r>
              <w:rPr>
                <w:rFonts w:hint="eastAsia" w:cs="Times New Roman"/>
                <w:color w:val="auto"/>
                <w:sz w:val="21"/>
                <w:szCs w:val="18"/>
                <w:highlight w:val="none"/>
                <w:lang w:val="en-US" w:eastAsia="zh-CN"/>
              </w:rPr>
              <w:t>板框压滤废气：</w:t>
            </w:r>
            <w:r>
              <w:rPr>
                <w:rFonts w:hint="eastAsia" w:cs="Times New Roman"/>
                <w:color w:val="auto"/>
                <w:sz w:val="21"/>
                <w:szCs w:val="21"/>
                <w:highlight w:val="none"/>
                <w:lang w:val="en-US" w:eastAsia="zh-CN"/>
              </w:rPr>
              <w:t>工业级氧氯化锆原料中游离HCl 含量在10%~20%之间，本次取值15%，本项目原料用量为2600t/a，则游离的HCl 含量为390t/a。氧氯化锆加水溶解过程中每溶解1mol ZrOCl</w:t>
            </w:r>
            <w:r>
              <w:rPr>
                <w:rFonts w:hint="eastAsia" w:cs="Times New Roman"/>
                <w:color w:val="auto"/>
                <w:sz w:val="21"/>
                <w:szCs w:val="21"/>
                <w:highlight w:val="none"/>
                <w:vertAlign w:val="subscript"/>
                <w:lang w:val="en-US" w:eastAsia="zh-CN"/>
              </w:rPr>
              <w:t>2</w:t>
            </w:r>
            <w:r>
              <w:rPr>
                <w:rFonts w:hint="eastAsia" w:cs="Times New Roman"/>
                <w:color w:val="auto"/>
                <w:sz w:val="21"/>
                <w:szCs w:val="21"/>
                <w:highlight w:val="none"/>
                <w:lang w:val="en-US" w:eastAsia="zh-CN"/>
              </w:rPr>
              <w:t>生成2mol HCl（每溶解1kgZrOCl</w:t>
            </w:r>
            <w:r>
              <w:rPr>
                <w:rFonts w:hint="eastAsia" w:cs="Times New Roman"/>
                <w:color w:val="auto"/>
                <w:sz w:val="21"/>
                <w:szCs w:val="21"/>
                <w:highlight w:val="none"/>
                <w:vertAlign w:val="subscript"/>
                <w:lang w:val="en-US" w:eastAsia="zh-CN"/>
              </w:rPr>
              <w:t>2</w:t>
            </w:r>
            <w:r>
              <w:rPr>
                <w:rFonts w:hint="eastAsia" w:cs="Times New Roman"/>
                <w:color w:val="auto"/>
                <w:sz w:val="21"/>
                <w:szCs w:val="21"/>
                <w:highlight w:val="none"/>
                <w:lang w:val="en-US" w:eastAsia="zh-CN"/>
              </w:rPr>
              <w:t>生成0.4kgHCl），根据企业提供资料，</w:t>
            </w:r>
            <w:r>
              <w:rPr>
                <w:rFonts w:hint="eastAsia" w:ascii="Times New Roman" w:hAnsi="Times New Roman" w:eastAsia="宋体" w:cs="Times New Roman"/>
                <w:color w:val="auto"/>
                <w:sz w:val="21"/>
                <w:szCs w:val="21"/>
                <w:highlight w:val="none"/>
                <w:lang w:val="en-US" w:eastAsia="zh-CN"/>
              </w:rPr>
              <w:t>ZrO</w:t>
            </w:r>
            <w:r>
              <w:rPr>
                <w:rFonts w:hint="eastAsia" w:ascii="Times New Roman" w:hAnsi="Times New Roman" w:eastAsia="宋体" w:cs="Times New Roman"/>
                <w:color w:val="auto"/>
                <w:sz w:val="21"/>
                <w:szCs w:val="21"/>
                <w:highlight w:val="none"/>
                <w:vertAlign w:val="subscript"/>
                <w:lang w:val="en-US" w:eastAsia="zh-CN"/>
              </w:rPr>
              <w:t>2</w:t>
            </w:r>
            <w:r>
              <w:rPr>
                <w:rFonts w:hint="eastAsia" w:cs="Times New Roman"/>
                <w:color w:val="auto"/>
                <w:sz w:val="21"/>
                <w:szCs w:val="21"/>
                <w:highlight w:val="none"/>
                <w:vertAlign w:val="baseline"/>
                <w:lang w:val="en-US" w:eastAsia="zh-CN"/>
              </w:rPr>
              <w:t>含量为36%，经</w:t>
            </w:r>
            <w:r>
              <w:rPr>
                <w:rFonts w:hint="eastAsia" w:cs="Times New Roman"/>
                <w:color w:val="auto"/>
                <w:sz w:val="21"/>
                <w:szCs w:val="21"/>
                <w:highlight w:val="none"/>
                <w:lang w:val="en-US" w:eastAsia="zh-CN"/>
              </w:rPr>
              <w:t>计算，ZrOCl</w:t>
            </w:r>
            <w:r>
              <w:rPr>
                <w:rFonts w:hint="eastAsia" w:cs="Times New Roman"/>
                <w:color w:val="auto"/>
                <w:sz w:val="21"/>
                <w:szCs w:val="21"/>
                <w:highlight w:val="none"/>
                <w:vertAlign w:val="subscript"/>
                <w:lang w:val="en-US" w:eastAsia="zh-CN"/>
              </w:rPr>
              <w:t>2</w:t>
            </w:r>
            <w:r>
              <w:rPr>
                <w:rFonts w:hint="eastAsia" w:cs="Times New Roman"/>
                <w:color w:val="auto"/>
                <w:sz w:val="21"/>
                <w:szCs w:val="21"/>
                <w:highlight w:val="none"/>
                <w:vertAlign w:val="baseline"/>
                <w:lang w:val="en-US" w:eastAsia="zh-CN"/>
              </w:rPr>
              <w:t>含量为1352.52</w:t>
            </w:r>
            <w:r>
              <w:rPr>
                <w:rFonts w:hint="eastAsia" w:cs="Times New Roman"/>
                <w:color w:val="auto"/>
                <w:sz w:val="21"/>
                <w:szCs w:val="21"/>
                <w:highlight w:val="none"/>
                <w:lang w:val="en-US" w:eastAsia="zh-CN"/>
              </w:rPr>
              <w:t>t/a</w:t>
            </w:r>
            <w:r>
              <w:rPr>
                <w:rFonts w:hint="eastAsia" w:cs="Times New Roman"/>
                <w:color w:val="auto"/>
                <w:sz w:val="21"/>
                <w:szCs w:val="21"/>
                <w:highlight w:val="none"/>
                <w:vertAlign w:val="baseline"/>
                <w:lang w:val="en-US" w:eastAsia="zh-CN"/>
              </w:rPr>
              <w:t>，</w:t>
            </w:r>
            <w:r>
              <w:rPr>
                <w:rFonts w:hint="eastAsia" w:cs="Times New Roman"/>
                <w:color w:val="auto"/>
                <w:sz w:val="21"/>
                <w:szCs w:val="21"/>
                <w:highlight w:val="none"/>
                <w:lang w:val="en-US" w:eastAsia="zh-CN"/>
              </w:rPr>
              <w:t>溶解过程中HCl产生量为541.008t/a。</w:t>
            </w:r>
            <w:r>
              <w:rPr>
                <w:rFonts w:hint="eastAsia" w:cs="Times New Roman"/>
                <w:color w:val="auto"/>
                <w:sz w:val="21"/>
                <w:szCs w:val="18"/>
                <w:highlight w:val="none"/>
                <w:lang w:val="en-US" w:eastAsia="zh-CN"/>
              </w:rPr>
              <w:t>板框压滤过程</w:t>
            </w:r>
            <w:r>
              <w:rPr>
                <w:rFonts w:hint="eastAsia" w:cs="Times New Roman"/>
                <w:color w:val="auto"/>
                <w:sz w:val="21"/>
                <w:szCs w:val="21"/>
                <w:highlight w:val="none"/>
                <w:lang w:val="en-US" w:eastAsia="zh-CN"/>
              </w:rPr>
              <w:t>HCl 按0.1%计，经计算，</w:t>
            </w:r>
            <w:r>
              <w:rPr>
                <w:rFonts w:hint="eastAsia" w:cs="Times New Roman"/>
                <w:color w:val="auto"/>
                <w:sz w:val="21"/>
                <w:szCs w:val="18"/>
                <w:highlight w:val="none"/>
                <w:lang w:val="en-US" w:eastAsia="zh-CN"/>
              </w:rPr>
              <w:t>板框压滤</w:t>
            </w:r>
            <w:r>
              <w:rPr>
                <w:rFonts w:hint="eastAsia" w:cs="Times New Roman"/>
                <w:color w:val="auto"/>
                <w:sz w:val="21"/>
                <w:szCs w:val="21"/>
                <w:highlight w:val="none"/>
                <w:lang w:val="en-US" w:eastAsia="zh-CN"/>
              </w:rPr>
              <w:t>过程中HCL产生量为0.931t/a。</w:t>
            </w:r>
          </w:p>
          <w:p w14:paraId="540B672A">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cs="Times New Roman"/>
                <w:color w:val="auto"/>
                <w:sz w:val="21"/>
                <w:szCs w:val="18"/>
                <w:highlight w:val="none"/>
                <w:lang w:val="en-US" w:eastAsia="zh-CN"/>
              </w:rPr>
            </w:pPr>
            <w:r>
              <w:rPr>
                <w:rFonts w:hint="eastAsia" w:cs="Times New Roman"/>
                <w:color w:val="auto"/>
                <w:sz w:val="21"/>
                <w:szCs w:val="18"/>
                <w:highlight w:val="none"/>
                <w:lang w:val="en-US" w:eastAsia="zh-CN"/>
              </w:rPr>
              <w:t>精密过滤废气：根据企业提供资料，经萃取后的高纯氧氯化锆溶液中游离的HCL含量在0.5%，精密过滤过程氧氯化锆溶液为3805t/a，精密过滤过程</w:t>
            </w:r>
            <w:r>
              <w:rPr>
                <w:rFonts w:hint="eastAsia" w:cs="Times New Roman"/>
                <w:color w:val="auto"/>
                <w:sz w:val="21"/>
                <w:szCs w:val="21"/>
                <w:highlight w:val="none"/>
                <w:lang w:val="en-US" w:eastAsia="zh-CN"/>
              </w:rPr>
              <w:t>HCL按0.1%计，经计算，</w:t>
            </w:r>
            <w:r>
              <w:rPr>
                <w:rFonts w:hint="eastAsia" w:cs="Times New Roman"/>
                <w:color w:val="auto"/>
                <w:sz w:val="21"/>
                <w:szCs w:val="18"/>
                <w:highlight w:val="none"/>
                <w:lang w:val="en-US" w:eastAsia="zh-CN"/>
              </w:rPr>
              <w:t>板框压滤</w:t>
            </w:r>
            <w:r>
              <w:rPr>
                <w:rFonts w:hint="eastAsia" w:cs="Times New Roman"/>
                <w:color w:val="auto"/>
                <w:sz w:val="21"/>
                <w:szCs w:val="21"/>
                <w:highlight w:val="none"/>
                <w:lang w:val="en-US" w:eastAsia="zh-CN"/>
              </w:rPr>
              <w:t>过程中HCL产生量为0.02t/a。</w:t>
            </w:r>
          </w:p>
          <w:p w14:paraId="1757F2EF">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default" w:cs="Times New Roman"/>
                <w:color w:val="auto"/>
                <w:sz w:val="21"/>
                <w:szCs w:val="18"/>
                <w:highlight w:val="none"/>
                <w:lang w:val="en-US" w:eastAsia="zh-CN"/>
              </w:rPr>
            </w:pPr>
            <w:r>
              <w:rPr>
                <w:rFonts w:hint="eastAsia" w:cs="Times New Roman"/>
                <w:color w:val="auto"/>
                <w:sz w:val="21"/>
                <w:szCs w:val="18"/>
                <w:highlight w:val="none"/>
                <w:lang w:val="en-US" w:eastAsia="zh-CN"/>
              </w:rPr>
              <w:t>离心废气：根据企业提供资料，</w:t>
            </w:r>
            <w:r>
              <w:rPr>
                <w:rFonts w:hint="eastAsia" w:cs="Times New Roman"/>
                <w:color w:val="auto"/>
                <w:sz w:val="21"/>
                <w:szCs w:val="21"/>
                <w:highlight w:val="none"/>
                <w:lang w:val="en-US" w:eastAsia="zh-CN"/>
              </w:rPr>
              <w:t>经蒸发结晶后的高纯氧氯化锆溶液为</w:t>
            </w:r>
            <w:r>
              <w:rPr>
                <w:rFonts w:hint="eastAsia" w:cs="Times New Roman"/>
                <w:color w:val="auto"/>
                <w:sz w:val="21"/>
                <w:szCs w:val="18"/>
                <w:highlight w:val="none"/>
                <w:lang w:val="en-US" w:eastAsia="zh-CN"/>
              </w:rPr>
              <w:t>2500t/a，粗品氧氯化铪溶液为1310.8t/a，游离的HCL含量在0.1%，离心过程中</w:t>
            </w:r>
            <w:r>
              <w:rPr>
                <w:rFonts w:hint="eastAsia" w:cs="Times New Roman"/>
                <w:color w:val="auto"/>
                <w:sz w:val="21"/>
                <w:szCs w:val="21"/>
                <w:highlight w:val="none"/>
                <w:lang w:val="en-US" w:eastAsia="zh-CN"/>
              </w:rPr>
              <w:t>HCL按10%进入废气，10%进入产品，剩余80%进入废水中，经计算，</w:t>
            </w:r>
            <w:r>
              <w:rPr>
                <w:rFonts w:hint="eastAsia" w:cs="Times New Roman"/>
                <w:color w:val="auto"/>
                <w:sz w:val="21"/>
                <w:szCs w:val="18"/>
                <w:highlight w:val="none"/>
                <w:lang w:val="en-US" w:eastAsia="zh-CN"/>
              </w:rPr>
              <w:t>板框压滤</w:t>
            </w:r>
            <w:r>
              <w:rPr>
                <w:rFonts w:hint="eastAsia" w:cs="Times New Roman"/>
                <w:color w:val="auto"/>
                <w:sz w:val="21"/>
                <w:szCs w:val="21"/>
                <w:highlight w:val="none"/>
                <w:lang w:val="en-US" w:eastAsia="zh-CN"/>
              </w:rPr>
              <w:t>过程中HCL产生量为0.381t/a。</w:t>
            </w:r>
          </w:p>
          <w:p w14:paraId="49B9B5E8">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default" w:cs="Times New Roman"/>
                <w:color w:val="auto"/>
                <w:sz w:val="21"/>
                <w:szCs w:val="21"/>
                <w:highlight w:val="none"/>
                <w:lang w:val="en-US" w:eastAsia="zh-CN"/>
              </w:rPr>
            </w:pPr>
            <w:r>
              <w:rPr>
                <w:rFonts w:hint="eastAsia" w:cs="Times New Roman"/>
                <w:color w:val="auto"/>
                <w:sz w:val="21"/>
                <w:szCs w:val="18"/>
                <w:highlight w:val="none"/>
                <w:lang w:val="en-US" w:eastAsia="zh-CN"/>
              </w:rPr>
              <w:t>包装废气：包装过程中HCl产生量</w:t>
            </w:r>
            <w:r>
              <w:rPr>
                <w:rFonts w:hint="eastAsia" w:cs="Times New Roman"/>
                <w:color w:val="auto"/>
                <w:sz w:val="21"/>
                <w:szCs w:val="21"/>
                <w:highlight w:val="none"/>
                <w:lang w:val="en-US" w:eastAsia="zh-CN"/>
              </w:rPr>
              <w:t>按1%计，经计算，</w:t>
            </w:r>
            <w:r>
              <w:rPr>
                <w:rFonts w:hint="eastAsia" w:cs="Times New Roman"/>
                <w:color w:val="auto"/>
                <w:sz w:val="21"/>
                <w:szCs w:val="18"/>
                <w:highlight w:val="none"/>
                <w:lang w:val="en-US" w:eastAsia="zh-CN"/>
              </w:rPr>
              <w:t>包装</w:t>
            </w:r>
            <w:r>
              <w:rPr>
                <w:rFonts w:hint="eastAsia" w:cs="Times New Roman"/>
                <w:color w:val="auto"/>
                <w:sz w:val="21"/>
                <w:szCs w:val="21"/>
                <w:highlight w:val="none"/>
                <w:lang w:val="en-US" w:eastAsia="zh-CN"/>
              </w:rPr>
              <w:t>过程中HCL产生量为0.004t/a。</w:t>
            </w:r>
          </w:p>
          <w:p w14:paraId="2C4FAE5A">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（2）VOCs</w:t>
            </w:r>
          </w:p>
          <w:p w14:paraId="423322A6">
            <w:pPr>
              <w:pStyle w:val="381"/>
              <w:keepNext w:val="0"/>
              <w:keepLines w:val="0"/>
              <w:pageBreakBefore w:val="0"/>
              <w:widowControl w:val="0"/>
              <w:numPr>
                <w:ilvl w:val="0"/>
                <w:numId w:val="0"/>
              </w:numPr>
              <w:kinsoku/>
              <w:wordWrap/>
              <w:overflowPunct/>
              <w:topLinePunct w:val="0"/>
              <w:autoSpaceDE/>
              <w:autoSpaceDN/>
              <w:bidi w:val="0"/>
              <w:adjustRightInd w:val="0"/>
              <w:snapToGrid w:val="0"/>
              <w:ind w:firstLine="420" w:firstLineChars="200"/>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cs="Times New Roman"/>
                <w:color w:val="auto"/>
                <w:sz w:val="21"/>
                <w:szCs w:val="21"/>
                <w:highlight w:val="none"/>
                <w:lang w:val="en-US" w:eastAsia="zh-CN"/>
              </w:rPr>
              <w:t>本项目锆铪一次萃取、一次预热分离、二次萃取、二次预热分离使用的萃取剂含有有机成分，且无机盐行业无相应产污系数，因此参照</w:t>
            </w:r>
            <w:r>
              <w:rPr>
                <w:rFonts w:hint="eastAsia" w:ascii="Times New Roman" w:hAnsi="Times New Roman" w:eastAsia="宋体" w:cs="Times New Roman"/>
                <w:b w:val="0"/>
                <w:bCs w:val="0"/>
                <w:color w:val="auto"/>
                <w:sz w:val="21"/>
                <w:szCs w:val="21"/>
                <w:highlight w:val="none"/>
                <w:lang w:val="en-US" w:eastAsia="zh-CN"/>
              </w:rPr>
              <w:t>《排放源统计调查产排污核算方法和系数手册》“</w:t>
            </w:r>
            <w:r>
              <w:rPr>
                <w:rFonts w:hint="eastAsia" w:cs="Times New Roman"/>
                <w:color w:val="auto"/>
                <w:sz w:val="21"/>
                <w:szCs w:val="21"/>
                <w:highlight w:val="none"/>
                <w:lang w:val="en-US" w:eastAsia="zh-CN"/>
              </w:rPr>
              <w:t>2661 化学试剂和助剂制造业系数表</w:t>
            </w:r>
            <w:r>
              <w:rPr>
                <w:rFonts w:hint="eastAsia" w:ascii="Times New Roman" w:hAnsi="Times New Roman" w:eastAsia="宋体" w:cs="Times New Roman"/>
                <w:b w:val="0"/>
                <w:bCs w:val="0"/>
                <w:color w:val="auto"/>
                <w:sz w:val="21"/>
                <w:szCs w:val="21"/>
                <w:highlight w:val="none"/>
                <w:lang w:val="en-US" w:eastAsia="zh-CN"/>
              </w:rPr>
              <w:t>”中有机助剂的VOCs产污系数0.78kg/t-产品，本项目萃取剂使用量为500t/a，则VOCs产生量为0.39t/a。</w:t>
            </w:r>
          </w:p>
          <w:p w14:paraId="7F31F2EE">
            <w:pPr>
              <w:pStyle w:val="381"/>
              <w:ind w:firstLine="422"/>
              <w:rPr>
                <w:b/>
                <w:bCs/>
                <w:color w:val="auto"/>
                <w:sz w:val="21"/>
                <w:highlight w:val="none"/>
              </w:rPr>
            </w:pPr>
            <w:r>
              <w:rPr>
                <w:rFonts w:hint="eastAsia"/>
                <w:b/>
                <w:bCs/>
                <w:color w:val="auto"/>
                <w:sz w:val="21"/>
                <w:highlight w:val="none"/>
                <w:lang w:val="en-US" w:eastAsia="zh-CN"/>
              </w:rPr>
              <w:t>2</w:t>
            </w:r>
            <w:r>
              <w:rPr>
                <w:b/>
                <w:bCs/>
                <w:color w:val="auto"/>
                <w:sz w:val="21"/>
                <w:highlight w:val="none"/>
                <w:lang w:val="en-US"/>
              </w:rPr>
              <w:t>、</w:t>
            </w:r>
            <w:r>
              <w:rPr>
                <w:b/>
                <w:bCs/>
                <w:color w:val="auto"/>
                <w:sz w:val="21"/>
                <w:highlight w:val="none"/>
              </w:rPr>
              <w:t>污染物排放情况核算</w:t>
            </w:r>
          </w:p>
          <w:p w14:paraId="1CC04E65">
            <w:pPr>
              <w:adjustRightInd w:val="0"/>
              <w:snapToGrid w:val="0"/>
              <w:spacing w:line="360" w:lineRule="auto"/>
              <w:ind w:firstLine="420" w:firstLineChars="200"/>
              <w:rPr>
                <w:rFonts w:hint="default" w:cs="Times New Roman"/>
                <w:color w:val="auto"/>
                <w:kern w:val="2"/>
                <w:sz w:val="21"/>
                <w:szCs w:val="24"/>
                <w:highlight w:val="none"/>
                <w:lang w:val="en-US" w:eastAsia="zh-CN" w:bidi="ar-SA"/>
              </w:rPr>
            </w:pPr>
            <w:r>
              <w:rPr>
                <w:rFonts w:hint="eastAsia" w:cs="Times New Roman"/>
                <w:color w:val="auto"/>
                <w:kern w:val="2"/>
                <w:sz w:val="21"/>
                <w:szCs w:val="24"/>
                <w:highlight w:val="none"/>
                <w:lang w:val="en-US" w:eastAsia="zh-CN" w:bidi="ar-SA"/>
              </w:rPr>
              <w:t>本项目溶解、定容、萃取、预热分离、二次萃取、二次预热分离、蒸发结晶、离心工序产生的废气经管道收集，板框压滤、精密过滤、包装工序产生的废气经集气罩收集，水喷淋+酸雾吸收塔+除雾器+二级活性炭吸附装置处理后由15m高排气筒（P1）有组织排放。溶解、定容、萃取、预热分离、二次萃取、二次预热分离、蒸发结晶、离心工序HCl产生量为11.839t/a，板框压滤、精密过滤、包装工序HCl产生量为1.336t/a，</w:t>
            </w:r>
            <w:r>
              <w:rPr>
                <w:rFonts w:hint="eastAsia" w:cs="Times New Roman"/>
                <w:color w:val="auto"/>
                <w:sz w:val="21"/>
                <w:szCs w:val="21"/>
                <w:highlight w:val="none"/>
                <w:lang w:val="en-US" w:eastAsia="zh-CN"/>
              </w:rPr>
              <w:t>一次萃取、一次预热分离、二次萃取、二次预热分离</w:t>
            </w:r>
            <w:r>
              <w:rPr>
                <w:rFonts w:hint="eastAsia" w:ascii="Times New Roman" w:hAnsi="Times New Roman" w:eastAsia="宋体" w:cs="Times New Roman"/>
                <w:b w:val="0"/>
                <w:bCs w:val="0"/>
                <w:color w:val="auto"/>
                <w:sz w:val="21"/>
                <w:szCs w:val="21"/>
                <w:highlight w:val="none"/>
                <w:lang w:val="en-US" w:eastAsia="zh-CN"/>
              </w:rPr>
              <w:t>VOCs产生量为0.39t/a</w:t>
            </w:r>
            <w:r>
              <w:rPr>
                <w:rFonts w:hint="eastAsia" w:cs="Times New Roman"/>
                <w:b w:val="0"/>
                <w:bCs w:val="0"/>
                <w:color w:val="auto"/>
                <w:sz w:val="21"/>
                <w:szCs w:val="21"/>
                <w:highlight w:val="none"/>
                <w:lang w:val="en-US" w:eastAsia="zh-CN"/>
              </w:rPr>
              <w:t>，集气罩收集效率为90%，管道收集效率为100%，</w:t>
            </w:r>
            <w:r>
              <w:rPr>
                <w:rFonts w:hint="eastAsia" w:cs="Times New Roman"/>
                <w:color w:val="auto"/>
                <w:kern w:val="2"/>
                <w:sz w:val="21"/>
                <w:szCs w:val="24"/>
                <w:highlight w:val="none"/>
                <w:lang w:val="en-US" w:eastAsia="zh-CN" w:bidi="ar-SA"/>
              </w:rPr>
              <w:t>酸雾吸收塔对HCl处理效率为90%，二级活性炭吸附装置对VOCs处理效率为70%，风机风量为25000m</w:t>
            </w:r>
            <w:r>
              <w:rPr>
                <w:rFonts w:hint="eastAsia" w:cs="Times New Roman"/>
                <w:color w:val="auto"/>
                <w:kern w:val="2"/>
                <w:sz w:val="21"/>
                <w:szCs w:val="24"/>
                <w:highlight w:val="none"/>
                <w:vertAlign w:val="superscript"/>
                <w:lang w:val="en-US" w:eastAsia="zh-CN" w:bidi="ar-SA"/>
              </w:rPr>
              <w:t>3</w:t>
            </w:r>
            <w:r>
              <w:rPr>
                <w:rFonts w:hint="eastAsia" w:cs="Times New Roman"/>
                <w:color w:val="auto"/>
                <w:kern w:val="2"/>
                <w:sz w:val="21"/>
                <w:szCs w:val="24"/>
                <w:highlight w:val="none"/>
                <w:lang w:val="en-US" w:eastAsia="zh-CN" w:bidi="ar-SA"/>
              </w:rPr>
              <w:t>/h。</w:t>
            </w:r>
          </w:p>
          <w:p w14:paraId="4817E9E9">
            <w:pPr>
              <w:pStyle w:val="82"/>
              <w:ind w:left="0" w:leftChars="0" w:firstLine="0" w:firstLineChars="0"/>
              <w:jc w:val="center"/>
              <w:rPr>
                <w:rFonts w:hint="default"/>
                <w:b/>
                <w:bCs w:val="0"/>
                <w:color w:val="auto"/>
                <w:highlight w:val="none"/>
                <w:lang w:val="en-US" w:eastAsia="zh-CN"/>
              </w:rPr>
            </w:pPr>
            <w:r>
              <w:rPr>
                <w:rFonts w:hint="eastAsia" w:cs="Times New Roman"/>
                <w:b/>
                <w:bCs w:val="0"/>
                <w:color w:val="auto"/>
                <w:sz w:val="21"/>
                <w:szCs w:val="21"/>
                <w:highlight w:val="none"/>
                <w:vertAlign w:val="baseline"/>
                <w:lang w:val="en-US" w:eastAsia="zh-CN"/>
              </w:rPr>
              <w:t>表</w:t>
            </w:r>
            <w:r>
              <w:rPr>
                <w:rFonts w:hint="eastAsia" w:ascii="Times New Roman" w:hAnsi="Times New Roman" w:eastAsia="宋体" w:cs="Times New Roman"/>
                <w:b/>
                <w:bCs w:val="0"/>
                <w:color w:val="auto"/>
                <w:sz w:val="21"/>
                <w:szCs w:val="21"/>
                <w:highlight w:val="none"/>
                <w:vertAlign w:val="baseline"/>
                <w:lang w:val="en-US" w:eastAsia="zh-CN"/>
              </w:rPr>
              <w:t>4-</w:t>
            </w:r>
            <w:r>
              <w:rPr>
                <w:rFonts w:hint="eastAsia" w:cs="Times New Roman"/>
                <w:b/>
                <w:bCs w:val="0"/>
                <w:color w:val="auto"/>
                <w:sz w:val="21"/>
                <w:szCs w:val="21"/>
                <w:highlight w:val="none"/>
                <w:vertAlign w:val="baseline"/>
                <w:lang w:val="en-US" w:eastAsia="zh-CN"/>
              </w:rPr>
              <w:t>4P1废气排放情况一览表</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69"/>
              <w:gridCol w:w="975"/>
              <w:gridCol w:w="1424"/>
              <w:gridCol w:w="1559"/>
              <w:gridCol w:w="1712"/>
              <w:gridCol w:w="774"/>
              <w:gridCol w:w="1159"/>
            </w:tblGrid>
            <w:tr w14:paraId="5F6EB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459" w:type="pct"/>
                  <w:vMerge w:val="restart"/>
                  <w:tcBorders>
                    <w:top w:val="single" w:color="auto" w:sz="4" w:space="0"/>
                    <w:left w:val="single" w:color="auto" w:sz="4" w:space="0"/>
                    <w:bottom w:val="single" w:color="auto" w:sz="4" w:space="0"/>
                    <w:right w:val="single" w:color="auto" w:sz="4" w:space="0"/>
                  </w:tcBorders>
                  <w:noWrap w:val="0"/>
                  <w:vAlign w:val="center"/>
                </w:tcPr>
                <w:p w14:paraId="457978B4">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产污环节</w:t>
                  </w:r>
                </w:p>
              </w:tc>
              <w:tc>
                <w:tcPr>
                  <w:tcW w:w="582" w:type="pct"/>
                  <w:vMerge w:val="restart"/>
                  <w:tcBorders>
                    <w:top w:val="single" w:color="auto" w:sz="4" w:space="0"/>
                    <w:left w:val="single" w:color="auto" w:sz="4" w:space="0"/>
                    <w:bottom w:val="single" w:color="auto" w:sz="4" w:space="0"/>
                    <w:right w:val="single" w:color="auto" w:sz="4" w:space="0"/>
                  </w:tcBorders>
                  <w:noWrap w:val="0"/>
                  <w:vAlign w:val="center"/>
                </w:tcPr>
                <w:p w14:paraId="7A6001BF">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p w14:paraId="733534A3">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种类</w:t>
                  </w:r>
                </w:p>
              </w:tc>
              <w:tc>
                <w:tcPr>
                  <w:tcW w:w="3957" w:type="pct"/>
                  <w:gridSpan w:val="5"/>
                  <w:tcBorders>
                    <w:top w:val="single" w:color="auto" w:sz="4" w:space="0"/>
                    <w:left w:val="single" w:color="auto" w:sz="4" w:space="0"/>
                    <w:bottom w:val="single" w:color="auto" w:sz="4" w:space="0"/>
                    <w:right w:val="single" w:color="auto" w:sz="4" w:space="0"/>
                  </w:tcBorders>
                  <w:noWrap w:val="0"/>
                  <w:vAlign w:val="center"/>
                </w:tcPr>
                <w:p w14:paraId="14012E4A">
                  <w:pPr>
                    <w:spacing w:line="240" w:lineRule="auto"/>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污染物排放</w:t>
                  </w:r>
                </w:p>
              </w:tc>
            </w:tr>
            <w:tr w14:paraId="348A8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459" w:type="pct"/>
                  <w:vMerge w:val="continue"/>
                  <w:tcBorders>
                    <w:top w:val="single" w:color="auto" w:sz="4" w:space="0"/>
                    <w:left w:val="single" w:color="auto" w:sz="4" w:space="0"/>
                    <w:bottom w:val="single" w:color="auto" w:sz="4" w:space="0"/>
                    <w:right w:val="single" w:color="auto" w:sz="4" w:space="0"/>
                  </w:tcBorders>
                  <w:noWrap w:val="0"/>
                  <w:vAlign w:val="center"/>
                </w:tcPr>
                <w:p w14:paraId="2431E62F">
                  <w:pPr>
                    <w:spacing w:line="240" w:lineRule="auto"/>
                    <w:jc w:val="center"/>
                    <w:rPr>
                      <w:rFonts w:hint="default" w:ascii="Times New Roman" w:hAnsi="Times New Roman" w:eastAsia="宋体" w:cs="Times New Roman"/>
                      <w:color w:val="auto"/>
                      <w:sz w:val="18"/>
                      <w:szCs w:val="18"/>
                      <w:highlight w:val="none"/>
                    </w:rPr>
                  </w:pPr>
                </w:p>
              </w:tc>
              <w:tc>
                <w:tcPr>
                  <w:tcW w:w="582" w:type="pct"/>
                  <w:vMerge w:val="continue"/>
                  <w:tcBorders>
                    <w:top w:val="single" w:color="auto" w:sz="4" w:space="0"/>
                    <w:left w:val="single" w:color="auto" w:sz="4" w:space="0"/>
                    <w:bottom w:val="single" w:color="auto" w:sz="4" w:space="0"/>
                    <w:right w:val="single" w:color="auto" w:sz="4" w:space="0"/>
                  </w:tcBorders>
                  <w:noWrap w:val="0"/>
                  <w:vAlign w:val="center"/>
                </w:tcPr>
                <w:p w14:paraId="16F65905">
                  <w:pPr>
                    <w:spacing w:line="240" w:lineRule="auto"/>
                    <w:jc w:val="center"/>
                    <w:rPr>
                      <w:rFonts w:hint="default" w:ascii="Times New Roman" w:hAnsi="Times New Roman" w:eastAsia="宋体" w:cs="Times New Roman"/>
                      <w:color w:val="auto"/>
                      <w:sz w:val="18"/>
                      <w:szCs w:val="18"/>
                      <w:highlight w:val="none"/>
                    </w:rPr>
                  </w:pPr>
                </w:p>
              </w:tc>
              <w:tc>
                <w:tcPr>
                  <w:tcW w:w="850" w:type="pct"/>
                  <w:tcBorders>
                    <w:top w:val="single" w:color="auto" w:sz="4" w:space="0"/>
                    <w:left w:val="single" w:color="auto" w:sz="4" w:space="0"/>
                    <w:bottom w:val="single" w:color="auto" w:sz="4" w:space="0"/>
                    <w:right w:val="single" w:color="auto" w:sz="4" w:space="0"/>
                  </w:tcBorders>
                  <w:noWrap w:val="0"/>
                  <w:vAlign w:val="center"/>
                </w:tcPr>
                <w:p w14:paraId="6CF31ABD">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排放量t/a</w:t>
                  </w:r>
                </w:p>
              </w:tc>
              <w:tc>
                <w:tcPr>
                  <w:tcW w:w="931" w:type="pct"/>
                  <w:tcBorders>
                    <w:top w:val="single" w:color="auto" w:sz="4" w:space="0"/>
                    <w:left w:val="single" w:color="auto" w:sz="4" w:space="0"/>
                    <w:bottom w:val="single" w:color="auto" w:sz="4" w:space="0"/>
                    <w:right w:val="single" w:color="auto" w:sz="4" w:space="0"/>
                  </w:tcBorders>
                  <w:noWrap w:val="0"/>
                  <w:vAlign w:val="center"/>
                </w:tcPr>
                <w:p w14:paraId="5756EC87">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排放浓度mg/m</w:t>
                  </w:r>
                  <w:r>
                    <w:rPr>
                      <w:rFonts w:hint="default" w:ascii="Times New Roman" w:hAnsi="Times New Roman" w:eastAsia="宋体" w:cs="Times New Roman"/>
                      <w:color w:val="auto"/>
                      <w:sz w:val="18"/>
                      <w:szCs w:val="18"/>
                      <w:highlight w:val="none"/>
                      <w:vertAlign w:val="superscript"/>
                    </w:rPr>
                    <w:t>3</w:t>
                  </w:r>
                </w:p>
              </w:tc>
              <w:tc>
                <w:tcPr>
                  <w:tcW w:w="1022" w:type="pct"/>
                  <w:tcBorders>
                    <w:top w:val="single" w:color="auto" w:sz="4" w:space="0"/>
                    <w:left w:val="single" w:color="auto" w:sz="4" w:space="0"/>
                    <w:bottom w:val="single" w:color="auto" w:sz="4" w:space="0"/>
                    <w:right w:val="single" w:color="auto" w:sz="4" w:space="0"/>
                  </w:tcBorders>
                  <w:noWrap w:val="0"/>
                  <w:vAlign w:val="center"/>
                </w:tcPr>
                <w:p w14:paraId="78967238">
                  <w:pPr>
                    <w:spacing w:line="240" w:lineRule="auto"/>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排放速率kg/h</w:t>
                  </w:r>
                </w:p>
              </w:tc>
              <w:tc>
                <w:tcPr>
                  <w:tcW w:w="462" w:type="pct"/>
                  <w:tcBorders>
                    <w:top w:val="single" w:color="auto" w:sz="4" w:space="0"/>
                    <w:left w:val="single" w:color="auto" w:sz="4" w:space="0"/>
                    <w:bottom w:val="single" w:color="auto" w:sz="4" w:space="0"/>
                    <w:right w:val="single" w:color="auto" w:sz="4" w:space="0"/>
                  </w:tcBorders>
                  <w:noWrap w:val="0"/>
                  <w:vAlign w:val="center"/>
                </w:tcPr>
                <w:p w14:paraId="250DC4B6">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持续时间</w:t>
                  </w:r>
                </w:p>
                <w:p w14:paraId="6ACBC3AC">
                  <w:pPr>
                    <w:pStyle w:val="82"/>
                    <w:spacing w:line="240" w:lineRule="auto"/>
                    <w:ind w:left="0" w:leftChars="0" w:firstLine="0" w:firstLine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h/a</w:t>
                  </w:r>
                </w:p>
              </w:tc>
              <w:tc>
                <w:tcPr>
                  <w:tcW w:w="690" w:type="pct"/>
                  <w:tcBorders>
                    <w:top w:val="single" w:color="auto" w:sz="4" w:space="0"/>
                    <w:left w:val="single" w:color="auto" w:sz="4" w:space="0"/>
                    <w:bottom w:val="single" w:color="auto" w:sz="4" w:space="0"/>
                    <w:right w:val="single" w:color="auto" w:sz="4" w:space="0"/>
                  </w:tcBorders>
                  <w:noWrap w:val="0"/>
                  <w:vAlign w:val="center"/>
                </w:tcPr>
                <w:p w14:paraId="05AA86BB">
                  <w:pPr>
                    <w:spacing w:line="240" w:lineRule="auto"/>
                    <w:jc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sz w:val="18"/>
                      <w:szCs w:val="18"/>
                      <w:highlight w:val="none"/>
                      <w:lang w:eastAsia="zh-CN"/>
                    </w:rPr>
                    <w:t>排放形式</w:t>
                  </w:r>
                </w:p>
              </w:tc>
            </w:tr>
            <w:tr w14:paraId="2FDEB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459" w:type="pct"/>
                  <w:vMerge w:val="restart"/>
                  <w:tcBorders>
                    <w:top w:val="single" w:color="auto" w:sz="2" w:space="0"/>
                    <w:left w:val="single" w:color="auto" w:sz="4" w:space="0"/>
                    <w:right w:val="single" w:color="auto" w:sz="4" w:space="0"/>
                  </w:tcBorders>
                  <w:noWrap w:val="0"/>
                  <w:vAlign w:val="center"/>
                </w:tcPr>
                <w:p w14:paraId="4E9EF690">
                  <w:pPr>
                    <w:spacing w:line="240" w:lineRule="auto"/>
                    <w:jc w:val="center"/>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生产过程</w:t>
                  </w:r>
                </w:p>
              </w:tc>
              <w:tc>
                <w:tcPr>
                  <w:tcW w:w="582" w:type="pct"/>
                  <w:tcBorders>
                    <w:top w:val="single" w:color="auto" w:sz="4" w:space="0"/>
                    <w:left w:val="single" w:color="auto" w:sz="4" w:space="0"/>
                    <w:bottom w:val="single" w:color="auto" w:sz="4" w:space="0"/>
                    <w:right w:val="single" w:color="auto" w:sz="4" w:space="0"/>
                  </w:tcBorders>
                  <w:noWrap w:val="0"/>
                  <w:vAlign w:val="center"/>
                </w:tcPr>
                <w:p w14:paraId="16982C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8"/>
                      <w:szCs w:val="18"/>
                      <w:highlight w:val="none"/>
                      <w:vertAlign w:val="baseline"/>
                      <w:lang w:val="en-US" w:eastAsia="zh-CN"/>
                    </w:rPr>
                  </w:pPr>
                  <w:r>
                    <w:rPr>
                      <w:rFonts w:hint="eastAsia" w:cs="Times New Roman"/>
                      <w:bCs/>
                      <w:color w:val="auto"/>
                      <w:sz w:val="18"/>
                      <w:szCs w:val="18"/>
                      <w:highlight w:val="none"/>
                      <w:vertAlign w:val="baseline"/>
                      <w:lang w:val="en-US" w:eastAsia="zh-CN"/>
                    </w:rPr>
                    <w:t>HCl</w:t>
                  </w:r>
                </w:p>
              </w:tc>
              <w:tc>
                <w:tcPr>
                  <w:tcW w:w="1423" w:type="dxa"/>
                  <w:tcBorders>
                    <w:top w:val="single" w:color="auto" w:sz="4" w:space="0"/>
                    <w:left w:val="single" w:color="auto" w:sz="4" w:space="0"/>
                    <w:right w:val="single" w:color="auto" w:sz="4" w:space="0"/>
                  </w:tcBorders>
                  <w:shd w:val="clear" w:color="auto" w:fill="auto"/>
                  <w:noWrap w:val="0"/>
                  <w:vAlign w:val="center"/>
                </w:tcPr>
                <w:p w14:paraId="3B025CFD">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cs="Times New Roman"/>
                      <w:i w:val="0"/>
                      <w:iCs w:val="0"/>
                      <w:color w:val="auto"/>
                      <w:kern w:val="2"/>
                      <w:sz w:val="18"/>
                      <w:szCs w:val="18"/>
                      <w:highlight w:val="none"/>
                      <w:u w:val="none"/>
                      <w:lang w:val="en-US" w:eastAsia="zh-CN" w:bidi="ar-SA"/>
                    </w:rPr>
                    <w:t>1.304</w:t>
                  </w:r>
                </w:p>
              </w:tc>
              <w:tc>
                <w:tcPr>
                  <w:tcW w:w="1558" w:type="dxa"/>
                  <w:tcBorders>
                    <w:top w:val="single" w:color="auto" w:sz="4" w:space="0"/>
                    <w:left w:val="single" w:color="auto" w:sz="4" w:space="0"/>
                    <w:right w:val="single" w:color="auto" w:sz="4" w:space="0"/>
                  </w:tcBorders>
                  <w:shd w:val="clear" w:color="auto" w:fill="auto"/>
                  <w:noWrap w:val="0"/>
                  <w:vAlign w:val="center"/>
                </w:tcPr>
                <w:p w14:paraId="3DF4A77D">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cs="Times New Roman"/>
                      <w:i w:val="0"/>
                      <w:iCs w:val="0"/>
                      <w:color w:val="auto"/>
                      <w:kern w:val="2"/>
                      <w:sz w:val="18"/>
                      <w:szCs w:val="18"/>
                      <w:highlight w:val="none"/>
                      <w:u w:val="none"/>
                      <w:lang w:val="en-US" w:eastAsia="zh-CN" w:bidi="ar-SA"/>
                    </w:rPr>
                    <w:t>7.24</w:t>
                  </w:r>
                </w:p>
              </w:tc>
              <w:tc>
                <w:tcPr>
                  <w:tcW w:w="1710" w:type="dxa"/>
                  <w:tcBorders>
                    <w:top w:val="single" w:color="auto" w:sz="4" w:space="0"/>
                    <w:left w:val="single" w:color="auto" w:sz="4" w:space="0"/>
                    <w:right w:val="single" w:color="auto" w:sz="4" w:space="0"/>
                  </w:tcBorders>
                  <w:shd w:val="clear" w:color="auto" w:fill="auto"/>
                  <w:noWrap w:val="0"/>
                  <w:vAlign w:val="center"/>
                </w:tcPr>
                <w:p w14:paraId="4F58F0BB">
                  <w:pPr>
                    <w:keepNext w:val="0"/>
                    <w:keepLines w:val="0"/>
                    <w:widowControl/>
                    <w:suppressLineNumbers w:val="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i w:val="0"/>
                      <w:iCs w:val="0"/>
                      <w:color w:val="auto"/>
                      <w:kern w:val="2"/>
                      <w:sz w:val="18"/>
                      <w:szCs w:val="18"/>
                      <w:highlight w:val="none"/>
                      <w:u w:val="none"/>
                      <w:lang w:val="en-US" w:eastAsia="zh-CN" w:bidi="ar-SA"/>
                    </w:rPr>
                    <w:t>0.181</w:t>
                  </w:r>
                </w:p>
              </w:tc>
              <w:tc>
                <w:tcPr>
                  <w:tcW w:w="462" w:type="pct"/>
                  <w:tcBorders>
                    <w:top w:val="single" w:color="auto" w:sz="4" w:space="0"/>
                    <w:left w:val="single" w:color="auto" w:sz="4" w:space="0"/>
                    <w:right w:val="single" w:color="auto" w:sz="4" w:space="0"/>
                  </w:tcBorders>
                  <w:noWrap w:val="0"/>
                  <w:vAlign w:val="center"/>
                </w:tcPr>
                <w:p w14:paraId="071157F3">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7200</w:t>
                  </w:r>
                </w:p>
              </w:tc>
              <w:tc>
                <w:tcPr>
                  <w:tcW w:w="690" w:type="pct"/>
                  <w:vMerge w:val="restart"/>
                  <w:tcBorders>
                    <w:top w:val="single" w:color="auto" w:sz="4" w:space="0"/>
                    <w:left w:val="single" w:color="auto" w:sz="4" w:space="0"/>
                    <w:right w:val="single" w:color="auto" w:sz="4" w:space="0"/>
                  </w:tcBorders>
                  <w:noWrap w:val="0"/>
                  <w:vAlign w:val="center"/>
                </w:tcPr>
                <w:p w14:paraId="38696FFF">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P1</w:t>
                  </w:r>
                </w:p>
              </w:tc>
            </w:tr>
            <w:tr w14:paraId="49A08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459" w:type="pct"/>
                  <w:vMerge w:val="continue"/>
                  <w:tcBorders>
                    <w:left w:val="single" w:color="auto" w:sz="4" w:space="0"/>
                    <w:bottom w:val="single" w:color="auto" w:sz="2" w:space="0"/>
                    <w:right w:val="single" w:color="auto" w:sz="4" w:space="0"/>
                  </w:tcBorders>
                  <w:noWrap w:val="0"/>
                  <w:vAlign w:val="center"/>
                </w:tcPr>
                <w:p w14:paraId="55C001F3">
                  <w:pPr>
                    <w:spacing w:line="240" w:lineRule="auto"/>
                    <w:jc w:val="center"/>
                    <w:rPr>
                      <w:rFonts w:hint="eastAsia" w:cs="Times New Roman"/>
                      <w:bCs/>
                      <w:color w:val="auto"/>
                      <w:sz w:val="18"/>
                      <w:szCs w:val="18"/>
                      <w:highlight w:val="none"/>
                      <w:lang w:val="en-US" w:eastAsia="zh-CN"/>
                    </w:rPr>
                  </w:pPr>
                </w:p>
              </w:tc>
              <w:tc>
                <w:tcPr>
                  <w:tcW w:w="582" w:type="pct"/>
                  <w:tcBorders>
                    <w:top w:val="single" w:color="auto" w:sz="4" w:space="0"/>
                    <w:left w:val="single" w:color="auto" w:sz="4" w:space="0"/>
                    <w:bottom w:val="single" w:color="auto" w:sz="4" w:space="0"/>
                    <w:right w:val="single" w:color="auto" w:sz="4" w:space="0"/>
                  </w:tcBorders>
                  <w:noWrap w:val="0"/>
                  <w:vAlign w:val="center"/>
                </w:tcPr>
                <w:p w14:paraId="2C8AC3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auto"/>
                      <w:sz w:val="18"/>
                      <w:szCs w:val="18"/>
                      <w:highlight w:val="none"/>
                      <w:vertAlign w:val="baseline"/>
                      <w:lang w:val="en-US" w:eastAsia="zh-CN"/>
                    </w:rPr>
                  </w:pPr>
                  <w:r>
                    <w:rPr>
                      <w:rFonts w:hint="eastAsia" w:cs="Times New Roman"/>
                      <w:bCs/>
                      <w:color w:val="auto"/>
                      <w:sz w:val="18"/>
                      <w:szCs w:val="18"/>
                      <w:highlight w:val="none"/>
                      <w:vertAlign w:val="baseline"/>
                      <w:lang w:val="en-US" w:eastAsia="zh-CN"/>
                    </w:rPr>
                    <w:t>VOCs</w:t>
                  </w:r>
                </w:p>
              </w:tc>
              <w:tc>
                <w:tcPr>
                  <w:tcW w:w="850" w:type="pct"/>
                  <w:tcBorders>
                    <w:left w:val="single" w:color="auto" w:sz="4" w:space="0"/>
                    <w:bottom w:val="single" w:color="auto" w:sz="4" w:space="0"/>
                    <w:right w:val="single" w:color="auto" w:sz="4" w:space="0"/>
                  </w:tcBorders>
                  <w:shd w:val="clear" w:color="auto" w:fill="auto"/>
                  <w:noWrap w:val="0"/>
                  <w:vAlign w:val="center"/>
                </w:tcPr>
                <w:p w14:paraId="113DA8EA">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cs="Times New Roman"/>
                      <w:i w:val="0"/>
                      <w:iCs w:val="0"/>
                      <w:color w:val="auto"/>
                      <w:kern w:val="2"/>
                      <w:sz w:val="18"/>
                      <w:szCs w:val="18"/>
                      <w:highlight w:val="none"/>
                      <w:u w:val="none"/>
                      <w:lang w:val="en-US" w:eastAsia="zh-CN" w:bidi="ar-SA"/>
                    </w:rPr>
                    <w:t>0.117</w:t>
                  </w:r>
                </w:p>
              </w:tc>
              <w:tc>
                <w:tcPr>
                  <w:tcW w:w="931" w:type="pct"/>
                  <w:tcBorders>
                    <w:left w:val="single" w:color="auto" w:sz="4" w:space="0"/>
                    <w:bottom w:val="single" w:color="auto" w:sz="4" w:space="0"/>
                    <w:right w:val="single" w:color="auto" w:sz="4" w:space="0"/>
                  </w:tcBorders>
                  <w:shd w:val="clear" w:color="auto" w:fill="auto"/>
                  <w:noWrap w:val="0"/>
                  <w:vAlign w:val="center"/>
                </w:tcPr>
                <w:p w14:paraId="12CAF581">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cs="Times New Roman"/>
                      <w:i w:val="0"/>
                      <w:iCs w:val="0"/>
                      <w:color w:val="auto"/>
                      <w:kern w:val="2"/>
                      <w:sz w:val="18"/>
                      <w:szCs w:val="18"/>
                      <w:highlight w:val="none"/>
                      <w:u w:val="none"/>
                      <w:lang w:val="en-US" w:eastAsia="zh-CN" w:bidi="ar-SA"/>
                    </w:rPr>
                    <w:t>1.95</w:t>
                  </w:r>
                </w:p>
              </w:tc>
              <w:tc>
                <w:tcPr>
                  <w:tcW w:w="1022" w:type="pct"/>
                  <w:tcBorders>
                    <w:left w:val="single" w:color="auto" w:sz="4" w:space="0"/>
                    <w:bottom w:val="single" w:color="auto" w:sz="4" w:space="0"/>
                    <w:right w:val="single" w:color="auto" w:sz="4" w:space="0"/>
                  </w:tcBorders>
                  <w:shd w:val="clear" w:color="auto" w:fill="auto"/>
                  <w:noWrap w:val="0"/>
                  <w:vAlign w:val="center"/>
                </w:tcPr>
                <w:p w14:paraId="57A93258">
                  <w:pPr>
                    <w:keepNext w:val="0"/>
                    <w:keepLines w:val="0"/>
                    <w:widowControl/>
                    <w:suppressLineNumbers w:val="0"/>
                    <w:jc w:val="center"/>
                    <w:textAlignment w:val="auto"/>
                    <w:rPr>
                      <w:rFonts w:hint="default" w:ascii="Times New Roman" w:hAnsi="Times New Roman" w:eastAsia="宋体" w:cs="Times New Roman"/>
                      <w:i w:val="0"/>
                      <w:iCs w:val="0"/>
                      <w:color w:val="auto"/>
                      <w:kern w:val="2"/>
                      <w:sz w:val="18"/>
                      <w:szCs w:val="18"/>
                      <w:highlight w:val="none"/>
                      <w:u w:val="none"/>
                      <w:lang w:val="en-US" w:eastAsia="zh-CN" w:bidi="ar-SA"/>
                    </w:rPr>
                  </w:pPr>
                  <w:r>
                    <w:rPr>
                      <w:rFonts w:hint="eastAsia" w:cs="Times New Roman"/>
                      <w:i w:val="0"/>
                      <w:iCs w:val="0"/>
                      <w:color w:val="auto"/>
                      <w:kern w:val="2"/>
                      <w:sz w:val="18"/>
                      <w:szCs w:val="18"/>
                      <w:highlight w:val="none"/>
                      <w:u w:val="none"/>
                      <w:lang w:val="en-US" w:eastAsia="zh-CN" w:bidi="ar-SA"/>
                    </w:rPr>
                    <w:t>0.049</w:t>
                  </w:r>
                </w:p>
              </w:tc>
              <w:tc>
                <w:tcPr>
                  <w:tcW w:w="462" w:type="pct"/>
                  <w:tcBorders>
                    <w:left w:val="single" w:color="auto" w:sz="4" w:space="0"/>
                    <w:right w:val="single" w:color="auto" w:sz="4" w:space="0"/>
                  </w:tcBorders>
                  <w:noWrap w:val="0"/>
                  <w:vAlign w:val="center"/>
                </w:tcPr>
                <w:p w14:paraId="66A4172C">
                  <w:pPr>
                    <w:spacing w:line="240" w:lineRule="auto"/>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2400</w:t>
                  </w:r>
                </w:p>
              </w:tc>
              <w:tc>
                <w:tcPr>
                  <w:tcW w:w="690" w:type="pct"/>
                  <w:vMerge w:val="continue"/>
                  <w:tcBorders>
                    <w:left w:val="single" w:color="auto" w:sz="4" w:space="0"/>
                    <w:right w:val="single" w:color="auto" w:sz="4" w:space="0"/>
                  </w:tcBorders>
                  <w:noWrap w:val="0"/>
                  <w:vAlign w:val="center"/>
                </w:tcPr>
                <w:p w14:paraId="05FB3706">
                  <w:pPr>
                    <w:spacing w:line="240" w:lineRule="auto"/>
                    <w:jc w:val="center"/>
                    <w:rPr>
                      <w:rFonts w:hint="eastAsia" w:cs="Times New Roman"/>
                      <w:color w:val="auto"/>
                      <w:sz w:val="18"/>
                      <w:szCs w:val="18"/>
                      <w:highlight w:val="none"/>
                      <w:lang w:val="en-US" w:eastAsia="zh-CN"/>
                    </w:rPr>
                  </w:pPr>
                </w:p>
              </w:tc>
            </w:tr>
          </w:tbl>
          <w:p w14:paraId="33A2ABC3">
            <w:pPr>
              <w:adjustRightInd w:val="0"/>
              <w:snapToGrid w:val="0"/>
              <w:spacing w:line="360" w:lineRule="auto"/>
              <w:ind w:firstLine="420" w:firstLineChars="200"/>
              <w:rPr>
                <w:rFonts w:hint="eastAsia" w:eastAsia="宋体" w:cs="Times New Roman"/>
                <w:color w:val="auto"/>
                <w:szCs w:val="21"/>
                <w:highlight w:val="none"/>
                <w:lang w:val="en-US" w:eastAsia="zh-CN"/>
              </w:rPr>
            </w:pPr>
            <w:r>
              <w:rPr>
                <w:rFonts w:hint="eastAsia"/>
                <w:color w:val="auto"/>
                <w:highlight w:val="none"/>
                <w:lang w:val="en-US" w:eastAsia="zh-CN"/>
              </w:rPr>
              <w:t>由上表可知，本项目P1排气筒</w:t>
            </w:r>
            <w:r>
              <w:rPr>
                <w:color w:val="auto"/>
                <w:highlight w:val="none"/>
              </w:rPr>
              <w:t>HCl</w:t>
            </w:r>
            <w:r>
              <w:rPr>
                <w:rFonts w:hint="eastAsia" w:eastAsiaTheme="minorEastAsia"/>
                <w:color w:val="auto"/>
                <w:highlight w:val="none"/>
              </w:rPr>
              <w:t>有</w:t>
            </w:r>
            <w:r>
              <w:rPr>
                <w:rFonts w:eastAsiaTheme="minorEastAsia"/>
                <w:color w:val="auto"/>
                <w:highlight w:val="none"/>
              </w:rPr>
              <w:t>组织排放</w:t>
            </w:r>
            <w:r>
              <w:rPr>
                <w:rFonts w:hint="eastAsia" w:eastAsiaTheme="minorEastAsia"/>
                <w:color w:val="auto"/>
                <w:highlight w:val="none"/>
                <w:lang w:val="en-US" w:eastAsia="zh-CN"/>
              </w:rPr>
              <w:t>满足</w:t>
            </w:r>
            <w:r>
              <w:rPr>
                <w:rFonts w:eastAsiaTheme="minorEastAsia"/>
                <w:color w:val="auto"/>
                <w:highlight w:val="none"/>
              </w:rPr>
              <w:t>《无机化学工业污染物排放标准》</w:t>
            </w:r>
            <w:r>
              <w:rPr>
                <w:rFonts w:hint="eastAsia" w:eastAsiaTheme="minorEastAsia"/>
                <w:color w:val="auto"/>
                <w:highlight w:val="none"/>
              </w:rPr>
              <w:t>（</w:t>
            </w:r>
            <w:r>
              <w:rPr>
                <w:rFonts w:eastAsiaTheme="minorEastAsia"/>
                <w:color w:val="auto"/>
                <w:highlight w:val="none"/>
              </w:rPr>
              <w:t>GB 31573-2015</w:t>
            </w:r>
            <w:r>
              <w:rPr>
                <w:rFonts w:hint="eastAsia" w:eastAsiaTheme="minorEastAsia"/>
                <w:color w:val="auto"/>
                <w:highlight w:val="none"/>
              </w:rPr>
              <w:t>）</w:t>
            </w:r>
            <w:r>
              <w:rPr>
                <w:rFonts w:eastAsiaTheme="minorEastAsia"/>
                <w:color w:val="auto"/>
                <w:highlight w:val="none"/>
              </w:rPr>
              <w:t>表4标准</w:t>
            </w:r>
            <w:r>
              <w:rPr>
                <w:rFonts w:hint="eastAsia" w:eastAsiaTheme="minorEastAsia"/>
                <w:color w:val="auto"/>
                <w:highlight w:val="none"/>
              </w:rPr>
              <w:t>限值</w:t>
            </w:r>
            <w:r>
              <w:rPr>
                <w:rFonts w:hint="eastAsia" w:eastAsiaTheme="minorEastAsia"/>
                <w:color w:val="auto"/>
                <w:highlight w:val="none"/>
                <w:lang w:eastAsia="zh-CN"/>
              </w:rPr>
              <w:t>（HCl</w:t>
            </w:r>
            <w:r>
              <w:rPr>
                <w:rFonts w:hint="eastAsia" w:eastAsiaTheme="minorEastAsia"/>
                <w:color w:val="auto"/>
                <w:highlight w:val="none"/>
                <w:lang w:val="en-US" w:eastAsia="zh-CN"/>
              </w:rPr>
              <w:t xml:space="preserve"> 10</w:t>
            </w:r>
            <w:r>
              <w:rPr>
                <w:rFonts w:eastAsiaTheme="minorEastAsia"/>
                <w:color w:val="auto"/>
                <w:highlight w:val="none"/>
              </w:rPr>
              <w:t>mg/m</w:t>
            </w:r>
            <w:r>
              <w:rPr>
                <w:rFonts w:eastAsiaTheme="minorEastAsia"/>
                <w:color w:val="auto"/>
                <w:highlight w:val="none"/>
                <w:vertAlign w:val="superscript"/>
              </w:rPr>
              <w:t>3</w:t>
            </w:r>
            <w:r>
              <w:rPr>
                <w:rFonts w:hint="eastAsia" w:eastAsiaTheme="minorEastAsia"/>
                <w:color w:val="auto"/>
                <w:highlight w:val="none"/>
                <w:lang w:eastAsia="zh-CN"/>
              </w:rPr>
              <w:t>）；</w:t>
            </w:r>
            <w:r>
              <w:rPr>
                <w:rFonts w:hint="default" w:ascii="Times New Roman" w:hAnsi="Times New Roman" w:cs="Times New Roman"/>
                <w:color w:val="auto"/>
                <w:highlight w:val="none"/>
              </w:rPr>
              <w:t>VOCs有组织</w:t>
            </w:r>
            <w:r>
              <w:rPr>
                <w:rFonts w:hint="eastAsia" w:ascii="Times New Roman" w:hAnsi="Times New Roman" w:cs="Times New Roman"/>
                <w:color w:val="auto"/>
                <w:highlight w:val="none"/>
                <w:lang w:val="en-US" w:eastAsia="zh-CN"/>
              </w:rPr>
              <w:t>排放</w:t>
            </w:r>
            <w:r>
              <w:rPr>
                <w:rFonts w:hint="eastAsia" w:eastAsiaTheme="minorEastAsia"/>
                <w:color w:val="auto"/>
                <w:highlight w:val="none"/>
                <w:lang w:val="en-US" w:eastAsia="zh-CN"/>
              </w:rPr>
              <w:t>满足</w:t>
            </w:r>
            <w:r>
              <w:rPr>
                <w:rFonts w:hint="default" w:ascii="Times New Roman" w:hAnsi="Times New Roman" w:cs="Times New Roman"/>
                <w:color w:val="auto"/>
                <w:szCs w:val="21"/>
                <w:highlight w:val="none"/>
              </w:rPr>
              <w:t>《挥发性有机物排放标准 第</w:t>
            </w:r>
            <w:r>
              <w:rPr>
                <w:rFonts w:hint="eastAsia" w:cs="Times New Roman"/>
                <w:color w:val="auto"/>
                <w:szCs w:val="21"/>
                <w:highlight w:val="none"/>
                <w:lang w:val="en-US" w:eastAsia="zh-CN"/>
              </w:rPr>
              <w:t>7</w:t>
            </w:r>
            <w:r>
              <w:rPr>
                <w:rFonts w:hint="default" w:ascii="Times New Roman" w:hAnsi="Times New Roman" w:cs="Times New Roman"/>
                <w:color w:val="auto"/>
                <w:szCs w:val="21"/>
                <w:highlight w:val="none"/>
              </w:rPr>
              <w:t>部分：</w:t>
            </w:r>
            <w:r>
              <w:rPr>
                <w:rFonts w:hint="eastAsia" w:cs="Times New Roman"/>
                <w:color w:val="auto"/>
                <w:szCs w:val="21"/>
                <w:highlight w:val="none"/>
                <w:lang w:eastAsia="zh-CN"/>
              </w:rPr>
              <w:t>其他</w:t>
            </w:r>
            <w:r>
              <w:rPr>
                <w:rFonts w:hint="default" w:ascii="Times New Roman" w:hAnsi="Times New Roman" w:cs="Times New Roman"/>
                <w:color w:val="auto"/>
                <w:szCs w:val="21"/>
                <w:highlight w:val="none"/>
              </w:rPr>
              <w:t>行业》（DB37/2801.</w:t>
            </w:r>
            <w:r>
              <w:rPr>
                <w:rFonts w:hint="eastAsia" w:cs="Times New Roman"/>
                <w:color w:val="auto"/>
                <w:szCs w:val="21"/>
                <w:highlight w:val="none"/>
                <w:lang w:val="en-US" w:eastAsia="zh-CN"/>
              </w:rPr>
              <w:t>7</w:t>
            </w:r>
            <w:r>
              <w:rPr>
                <w:rFonts w:hint="default" w:ascii="Times New Roman" w:hAnsi="Times New Roman" w:cs="Times New Roman"/>
                <w:color w:val="auto"/>
                <w:szCs w:val="21"/>
                <w:highlight w:val="none"/>
              </w:rPr>
              <w:t>-201</w:t>
            </w:r>
            <w:r>
              <w:rPr>
                <w:rFonts w:hint="eastAsia" w:cs="Times New Roman"/>
                <w:color w:val="auto"/>
                <w:szCs w:val="21"/>
                <w:highlight w:val="none"/>
                <w:lang w:val="en-US" w:eastAsia="zh-CN"/>
              </w:rPr>
              <w:t>9</w:t>
            </w:r>
            <w:r>
              <w:rPr>
                <w:rFonts w:hint="default" w:ascii="Times New Roman" w:hAnsi="Times New Roman" w:cs="Times New Roman"/>
                <w:color w:val="auto"/>
                <w:szCs w:val="21"/>
                <w:highlight w:val="none"/>
              </w:rPr>
              <w:t>）表</w:t>
            </w:r>
            <w:r>
              <w:rPr>
                <w:rFonts w:hint="eastAsia" w:cs="Times New Roman"/>
                <w:color w:val="auto"/>
                <w:szCs w:val="21"/>
                <w:highlight w:val="none"/>
                <w:lang w:val="en-US" w:eastAsia="zh-CN"/>
              </w:rPr>
              <w:t>1中“非重点行业”Ⅱ时段</w:t>
            </w:r>
            <w:r>
              <w:rPr>
                <w:rFonts w:hint="default" w:ascii="Times New Roman" w:hAnsi="Times New Roman" w:cs="Times New Roman"/>
                <w:color w:val="auto"/>
                <w:szCs w:val="21"/>
                <w:highlight w:val="none"/>
              </w:rPr>
              <w:t>VOCs排放限值</w:t>
            </w:r>
            <w:r>
              <w:rPr>
                <w:rFonts w:hint="eastAsia" w:cs="Times New Roman"/>
                <w:color w:val="auto"/>
                <w:szCs w:val="21"/>
                <w:highlight w:val="none"/>
                <w:lang w:eastAsia="zh-CN"/>
              </w:rPr>
              <w:t>（</w:t>
            </w:r>
            <w:r>
              <w:rPr>
                <w:rFonts w:hint="eastAsia" w:cs="Times New Roman"/>
                <w:color w:val="auto"/>
                <w:szCs w:val="21"/>
                <w:highlight w:val="none"/>
                <w:lang w:val="en-US" w:eastAsia="zh-CN"/>
              </w:rPr>
              <w:t>VOCs排放浓度60mg/m</w:t>
            </w:r>
            <w:r>
              <w:rPr>
                <w:rFonts w:hint="eastAsia" w:cs="Times New Roman"/>
                <w:color w:val="auto"/>
                <w:szCs w:val="21"/>
                <w:highlight w:val="none"/>
                <w:vertAlign w:val="superscript"/>
                <w:lang w:val="en-US" w:eastAsia="zh-CN"/>
              </w:rPr>
              <w:t>3</w:t>
            </w:r>
            <w:r>
              <w:rPr>
                <w:rFonts w:hint="eastAsia" w:cs="Times New Roman"/>
                <w:color w:val="auto"/>
                <w:szCs w:val="21"/>
                <w:highlight w:val="none"/>
                <w:lang w:val="en-US" w:eastAsia="zh-CN"/>
              </w:rPr>
              <w:t>、排放速率3.0kg/h</w:t>
            </w:r>
            <w:r>
              <w:rPr>
                <w:rFonts w:hint="eastAsia" w:cs="Times New Roman"/>
                <w:color w:val="auto"/>
                <w:szCs w:val="21"/>
                <w:highlight w:val="none"/>
                <w:lang w:eastAsia="zh-CN"/>
              </w:rPr>
              <w:t>）</w:t>
            </w:r>
            <w:r>
              <w:rPr>
                <w:rFonts w:hint="eastAsia"/>
                <w:color w:val="auto"/>
                <w:highlight w:val="none"/>
                <w:lang w:eastAsia="zh-CN"/>
              </w:rPr>
              <w:t>。</w:t>
            </w:r>
          </w:p>
          <w:p w14:paraId="12844502">
            <w:pPr>
              <w:numPr>
                <w:ilvl w:val="0"/>
                <w:numId w:val="0"/>
              </w:numPr>
              <w:adjustRightInd w:val="0"/>
              <w:snapToGrid w:val="0"/>
              <w:spacing w:line="360" w:lineRule="auto"/>
              <w:ind w:leftChars="200"/>
              <w:rPr>
                <w:rFonts w:hint="eastAsia"/>
                <w:color w:val="auto"/>
                <w:highlight w:val="none"/>
                <w:lang w:val="en-US" w:eastAsia="zh-CN"/>
              </w:rPr>
            </w:pPr>
            <w:r>
              <w:rPr>
                <w:rFonts w:hint="eastAsia"/>
                <w:color w:val="auto"/>
                <w:highlight w:val="none"/>
                <w:lang w:val="en-US" w:eastAsia="zh-CN"/>
              </w:rPr>
              <w:t>（2）无组织废气</w:t>
            </w:r>
          </w:p>
          <w:p w14:paraId="155A696F">
            <w:pPr>
              <w:numPr>
                <w:ilvl w:val="0"/>
                <w:numId w:val="0"/>
              </w:numPr>
              <w:adjustRightInd w:val="0"/>
              <w:snapToGrid w:val="0"/>
              <w:spacing w:line="360" w:lineRule="auto"/>
              <w:ind w:firstLine="420" w:firstLineChars="200"/>
              <w:rPr>
                <w:rFonts w:hint="default" w:eastAsia="宋体"/>
                <w:color w:val="auto"/>
                <w:highlight w:val="none"/>
                <w:lang w:val="en-US" w:eastAsia="zh-CN"/>
              </w:rPr>
            </w:pPr>
            <w:r>
              <w:rPr>
                <w:rFonts w:hint="eastAsia"/>
                <w:color w:val="auto"/>
                <w:highlight w:val="none"/>
                <w:lang w:val="en-US" w:eastAsia="zh-CN"/>
              </w:rPr>
              <w:t>无组织废气主要为</w:t>
            </w:r>
            <w:r>
              <w:rPr>
                <w:rFonts w:hint="eastAsia" w:cs="Times New Roman"/>
                <w:color w:val="auto"/>
                <w:highlight w:val="none"/>
                <w:lang w:val="en-US" w:eastAsia="zh-CN"/>
              </w:rPr>
              <w:t>集气罩未收集的HCl</w:t>
            </w:r>
            <w:r>
              <w:rPr>
                <w:rFonts w:hint="eastAsia" w:ascii="Times New Roman" w:hAnsi="Times New Roman" w:cs="Times New Roman"/>
                <w:bCs/>
                <w:color w:val="auto"/>
                <w:highlight w:val="none"/>
                <w:lang w:val="en-US" w:eastAsia="zh-CN"/>
              </w:rPr>
              <w:t>。</w:t>
            </w:r>
          </w:p>
          <w:p w14:paraId="5F03C38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20" w:firstLineChars="200"/>
              <w:jc w:val="both"/>
              <w:textAlignment w:val="auto"/>
              <w:outlineLvl w:val="9"/>
              <w:rPr>
                <w:rFonts w:hint="eastAsia"/>
                <w:color w:val="auto"/>
                <w:highlight w:val="none"/>
                <w:lang w:eastAsia="zh-CN"/>
              </w:rPr>
            </w:pPr>
            <w:r>
              <w:rPr>
                <w:rFonts w:hint="eastAsia" w:cs="Times New Roman"/>
                <w:color w:val="auto"/>
                <w:kern w:val="2"/>
                <w:sz w:val="21"/>
                <w:szCs w:val="24"/>
                <w:highlight w:val="none"/>
                <w:lang w:val="en-US" w:eastAsia="zh-CN" w:bidi="ar-SA"/>
              </w:rPr>
              <w:t>板框压滤、精密过滤、包装工序HCl产生量为1.336t/a</w:t>
            </w:r>
            <w:r>
              <w:rPr>
                <w:rFonts w:hint="eastAsia" w:cs="Times New Roman"/>
                <w:color w:val="auto"/>
                <w:sz w:val="21"/>
                <w:szCs w:val="21"/>
                <w:highlight w:val="none"/>
                <w:lang w:val="en-US" w:eastAsia="zh-CN"/>
              </w:rPr>
              <w:t>，</w:t>
            </w:r>
            <w:r>
              <w:rPr>
                <w:rFonts w:hint="eastAsia"/>
                <w:color w:val="auto"/>
                <w:sz w:val="21"/>
                <w:szCs w:val="16"/>
                <w:highlight w:val="none"/>
                <w:lang w:val="en-US" w:eastAsia="zh-CN"/>
              </w:rPr>
              <w:t>集气罩收集效率为90%</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10</w:t>
            </w:r>
            <w:r>
              <w:rPr>
                <w:rFonts w:hint="eastAsia" w:ascii="Times New Roman" w:hAnsi="Times New Roman" w:cs="Times New Roman"/>
                <w:color w:val="auto"/>
                <w:sz w:val="21"/>
                <w:szCs w:val="21"/>
                <w:highlight w:val="none"/>
                <w:lang w:val="en-US" w:eastAsia="zh-CN"/>
              </w:rPr>
              <w:t>%未收集，则</w:t>
            </w:r>
            <w:r>
              <w:rPr>
                <w:rFonts w:hint="eastAsia" w:cs="Times New Roman"/>
                <w:color w:val="auto"/>
                <w:kern w:val="2"/>
                <w:sz w:val="21"/>
                <w:szCs w:val="24"/>
                <w:highlight w:val="none"/>
                <w:lang w:val="en-US" w:eastAsia="zh-CN" w:bidi="ar-SA"/>
              </w:rPr>
              <w:t>HCl</w:t>
            </w:r>
            <w:r>
              <w:rPr>
                <w:rFonts w:hint="eastAsia"/>
                <w:bCs/>
                <w:color w:val="auto"/>
                <w:highlight w:val="none"/>
                <w:lang w:val="en-US" w:eastAsia="zh-CN"/>
              </w:rPr>
              <w:t>无组织排放量为0.134t/a</w:t>
            </w:r>
            <w:r>
              <w:rPr>
                <w:rFonts w:hint="eastAsia" w:ascii="Times New Roman" w:hAnsi="Times New Roman" w:eastAsia="宋体" w:cs="Times New Roman"/>
                <w:b w:val="0"/>
                <w:i w:val="0"/>
                <w:color w:val="auto"/>
                <w:kern w:val="0"/>
                <w:sz w:val="21"/>
                <w:szCs w:val="21"/>
                <w:highlight w:val="none"/>
                <w:lang w:eastAsia="zh-CN"/>
              </w:rPr>
              <w:t>。</w:t>
            </w:r>
          </w:p>
          <w:p w14:paraId="1306CB78">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right="0" w:rightChars="0" w:firstLine="420" w:firstLineChars="200"/>
              <w:jc w:val="both"/>
              <w:textAlignment w:val="auto"/>
              <w:outlineLvl w:val="9"/>
              <w:rPr>
                <w:rFonts w:hint="eastAsia" w:ascii="Times New Roman" w:hAnsi="Times New Roman" w:eastAsia="宋体" w:cs="Times New Roman"/>
                <w:b w:val="0"/>
                <w:i w:val="0"/>
                <w:color w:val="auto"/>
                <w:kern w:val="0"/>
                <w:sz w:val="21"/>
                <w:szCs w:val="21"/>
                <w:highlight w:val="none"/>
                <w:lang w:eastAsia="zh-CN"/>
              </w:rPr>
            </w:pPr>
            <w:r>
              <w:rPr>
                <w:rFonts w:hint="eastAsia"/>
                <w:color w:val="auto"/>
                <w:highlight w:val="none"/>
                <w:lang w:val="en-US" w:eastAsia="zh-CN"/>
              </w:rPr>
              <w:t>经估算，</w:t>
            </w:r>
            <w:r>
              <w:rPr>
                <w:rFonts w:hint="default" w:ascii="Times New Roman" w:hAnsi="Times New Roman" w:eastAsia="宋体" w:cs="Times New Roman"/>
                <w:color w:val="auto"/>
                <w:highlight w:val="none"/>
              </w:rPr>
              <w:t>厂界</w:t>
            </w:r>
            <w:r>
              <w:rPr>
                <w:rFonts w:hint="default" w:ascii="Times New Roman" w:hAnsi="Times New Roman" w:eastAsia="宋体" w:cs="Times New Roman"/>
                <w:color w:val="auto"/>
                <w:szCs w:val="21"/>
                <w:highlight w:val="none"/>
              </w:rPr>
              <w:t>无组织</w:t>
            </w:r>
            <w:r>
              <w:rPr>
                <w:rFonts w:hint="eastAsia" w:eastAsiaTheme="minorEastAsia"/>
                <w:color w:val="auto"/>
                <w:highlight w:val="none"/>
                <w:lang w:eastAsia="zh-CN"/>
              </w:rPr>
              <w:t>HCl</w:t>
            </w:r>
            <w:r>
              <w:rPr>
                <w:rFonts w:hint="eastAsia" w:eastAsiaTheme="minorEastAsia"/>
                <w:color w:val="auto"/>
                <w:highlight w:val="none"/>
                <w:lang w:val="en-US" w:eastAsia="zh-CN"/>
              </w:rPr>
              <w:t>满足</w:t>
            </w:r>
            <w:r>
              <w:rPr>
                <w:rFonts w:hint="eastAsia" w:eastAsiaTheme="minorEastAsia"/>
                <w:color w:val="auto"/>
                <w:highlight w:val="none"/>
                <w:lang w:eastAsia="zh-CN"/>
              </w:rPr>
              <w:t>《无机化学工业污染物排放标准》（GB31573-2015）表5</w:t>
            </w:r>
            <w:r>
              <w:rPr>
                <w:rFonts w:hint="eastAsia" w:eastAsiaTheme="minorEastAsia"/>
                <w:color w:val="auto"/>
                <w:highlight w:val="none"/>
                <w:lang w:val="en-US" w:eastAsia="zh-CN"/>
              </w:rPr>
              <w:t>浓度限值</w:t>
            </w:r>
            <w:r>
              <w:rPr>
                <w:rFonts w:hint="default" w:ascii="Times New Roman" w:hAnsi="Times New Roman" w:eastAsia="宋体" w:cs="Times New Roman"/>
                <w:color w:val="auto"/>
                <w:szCs w:val="21"/>
                <w:highlight w:val="none"/>
              </w:rPr>
              <w:t>（</w:t>
            </w:r>
            <w:r>
              <w:rPr>
                <w:rFonts w:hint="eastAsia" w:eastAsiaTheme="minorEastAsia"/>
                <w:color w:val="auto"/>
                <w:highlight w:val="none"/>
                <w:lang w:eastAsia="zh-CN"/>
              </w:rPr>
              <w:t>HCl</w:t>
            </w:r>
            <w:r>
              <w:rPr>
                <w:rFonts w:hint="eastAsia" w:eastAsiaTheme="minorEastAsia"/>
                <w:color w:val="auto"/>
                <w:highlight w:val="none"/>
                <w:lang w:val="en-US" w:eastAsia="zh-CN"/>
              </w:rPr>
              <w:t>0.05</w:t>
            </w:r>
            <w:r>
              <w:rPr>
                <w:rFonts w:hint="default" w:ascii="Times New Roman" w:hAnsi="Times New Roman" w:eastAsia="宋体" w:cs="Times New Roman"/>
                <w:color w:val="auto"/>
                <w:szCs w:val="21"/>
                <w:highlight w:val="none"/>
              </w:rPr>
              <w:t>mg/m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w:t>
            </w:r>
            <w:r>
              <w:rPr>
                <w:rFonts w:hint="eastAsia"/>
                <w:color w:val="auto"/>
                <w:sz w:val="21"/>
                <w:szCs w:val="21"/>
                <w:highlight w:val="none"/>
                <w:lang w:eastAsia="zh-CN"/>
              </w:rPr>
              <w:t>。</w:t>
            </w:r>
          </w:p>
          <w:p w14:paraId="65100C9A">
            <w:pPr>
              <w:pStyle w:val="381"/>
              <w:ind w:firstLine="422"/>
              <w:rPr>
                <w:b/>
                <w:bCs/>
                <w:color w:val="auto"/>
                <w:sz w:val="21"/>
                <w:highlight w:val="none"/>
              </w:rPr>
            </w:pPr>
            <w:r>
              <w:rPr>
                <w:rFonts w:hint="eastAsia"/>
                <w:b/>
                <w:bCs/>
                <w:color w:val="auto"/>
                <w:sz w:val="21"/>
                <w:highlight w:val="none"/>
                <w:lang w:val="en-US" w:eastAsia="zh-CN"/>
              </w:rPr>
              <w:t>3、环保设施</w:t>
            </w:r>
            <w:r>
              <w:rPr>
                <w:b/>
                <w:bCs/>
                <w:color w:val="auto"/>
                <w:sz w:val="21"/>
                <w:highlight w:val="none"/>
              </w:rPr>
              <w:t>可行性分析</w:t>
            </w:r>
          </w:p>
          <w:p w14:paraId="58BD9815">
            <w:pPr>
              <w:pStyle w:val="82"/>
              <w:numPr>
                <w:ilvl w:val="0"/>
                <w:numId w:val="0"/>
              </w:numPr>
              <w:spacing w:after="0" w:line="360" w:lineRule="auto"/>
              <w:ind w:firstLine="420" w:firstLineChars="200"/>
              <w:rPr>
                <w:rFonts w:hint="default"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rPr>
              <w:t>类比《排污许可证申请与核发技术规范</w:t>
            </w:r>
            <w:r>
              <w:rPr>
                <w:rFonts w:hint="default" w:ascii="Times New Roman" w:hAnsi="Times New Roman" w:eastAsia="宋体" w:cs="Times New Roman"/>
                <w:color w:val="auto"/>
                <w:sz w:val="21"/>
                <w:szCs w:val="21"/>
                <w:highlight w:val="none"/>
                <w:lang w:val="en-US" w:eastAsia="zh-CN"/>
              </w:rPr>
              <w:t xml:space="preserve"> 有机化学工业</w:t>
            </w:r>
            <w:r>
              <w:rPr>
                <w:rFonts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rPr>
              <w:t>HJ 1035</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2019</w:t>
            </w:r>
            <w:r>
              <w:rPr>
                <w:rFonts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 xml:space="preserve">附录A  </w:t>
            </w:r>
            <w:r>
              <w:rPr>
                <w:rFonts w:ascii="Times New Roman" w:hAnsi="Times New Roman" w:eastAsia="宋体" w:cs="Times New Roman"/>
                <w:color w:val="auto"/>
                <w:sz w:val="21"/>
                <w:szCs w:val="21"/>
                <w:highlight w:val="none"/>
              </w:rPr>
              <w:t>废气污染防治可行技术”，</w:t>
            </w:r>
            <w:r>
              <w:rPr>
                <w:rFonts w:hint="default" w:ascii="Times New Roman" w:hAnsi="Times New Roman" w:eastAsia="宋体" w:cs="Times New Roman"/>
                <w:color w:val="auto"/>
                <w:sz w:val="21"/>
                <w:szCs w:val="21"/>
                <w:highlight w:val="none"/>
                <w:lang w:val="en-US" w:eastAsia="zh-CN"/>
              </w:rPr>
              <w:t>氯化氢</w:t>
            </w:r>
            <w:r>
              <w:rPr>
                <w:rFonts w:ascii="Times New Roman" w:hAnsi="Times New Roman" w:eastAsia="宋体" w:cs="Times New Roman"/>
                <w:color w:val="auto"/>
                <w:sz w:val="21"/>
                <w:szCs w:val="21"/>
                <w:highlight w:val="none"/>
              </w:rPr>
              <w:t>可行技术</w:t>
            </w:r>
            <w:r>
              <w:rPr>
                <w:rFonts w:hint="default" w:ascii="Times New Roman" w:hAnsi="Times New Roman" w:eastAsia="宋体" w:cs="Times New Roman"/>
                <w:color w:val="auto"/>
                <w:sz w:val="21"/>
                <w:szCs w:val="21"/>
                <w:highlight w:val="none"/>
                <w:lang w:val="en-US" w:eastAsia="zh-CN"/>
              </w:rPr>
              <w:t>为多级水淋（降膜吸收塔-尾气吸收塔-水力喷射器），</w:t>
            </w:r>
            <w:r>
              <w:rPr>
                <w:rFonts w:ascii="Times New Roman" w:hAnsi="Times New Roman" w:eastAsia="宋体" w:cs="Times New Roman"/>
                <w:color w:val="auto"/>
                <w:sz w:val="21"/>
                <w:szCs w:val="21"/>
                <w:highlight w:val="none"/>
              </w:rPr>
              <w:t>本项目使用</w:t>
            </w:r>
            <w:r>
              <w:rPr>
                <w:rFonts w:hint="default" w:ascii="Times New Roman" w:hAnsi="Times New Roman" w:eastAsia="宋体" w:cs="Times New Roman"/>
                <w:color w:val="auto"/>
                <w:kern w:val="0"/>
                <w:sz w:val="21"/>
                <w:szCs w:val="21"/>
                <w:highlight w:val="none"/>
                <w:lang w:val="en-US" w:eastAsia="zh-CN" w:bidi="ar-SA"/>
              </w:rPr>
              <w:t>水喷淋+酸雾吸收塔</w:t>
            </w:r>
            <w:r>
              <w:rPr>
                <w:rFonts w:hint="default" w:ascii="Times New Roman" w:hAnsi="Times New Roman" w:eastAsia="宋体" w:cs="Times New Roman"/>
                <w:color w:val="auto"/>
                <w:sz w:val="21"/>
                <w:szCs w:val="21"/>
                <w:highlight w:val="none"/>
                <w:lang w:val="en-US" w:eastAsia="zh-CN"/>
              </w:rPr>
              <w:t>处理氯化氢</w:t>
            </w:r>
            <w:r>
              <w:rPr>
                <w:rFonts w:ascii="Times New Roman" w:hAnsi="Times New Roman" w:eastAsia="宋体" w:cs="Times New Roman"/>
                <w:color w:val="auto"/>
                <w:sz w:val="21"/>
                <w:szCs w:val="21"/>
                <w:highlight w:val="none"/>
              </w:rPr>
              <w:t>是可行技术</w:t>
            </w:r>
            <w:r>
              <w:rPr>
                <w:rFonts w:hint="default" w:ascii="Times New Roman" w:hAnsi="Times New Roman" w:eastAsia="宋体" w:cs="Times New Roman"/>
                <w:color w:val="auto"/>
                <w:sz w:val="21"/>
                <w:szCs w:val="21"/>
                <w:highlight w:val="none"/>
                <w:lang w:eastAsia="zh-CN"/>
              </w:rPr>
              <w:t>。</w:t>
            </w:r>
          </w:p>
          <w:p w14:paraId="2E0FD01E">
            <w:pPr>
              <w:pStyle w:val="82"/>
              <w:numPr>
                <w:ilvl w:val="0"/>
                <w:numId w:val="0"/>
              </w:numPr>
              <w:spacing w:after="0" w:line="360" w:lineRule="auto"/>
              <w:ind w:firstLine="420" w:firstLineChars="200"/>
              <w:rPr>
                <w:color w:val="auto"/>
                <w:sz w:val="21"/>
                <w:szCs w:val="21"/>
                <w:highlight w:val="none"/>
              </w:rPr>
            </w:pPr>
            <w:r>
              <w:rPr>
                <w:rFonts w:ascii="Times New Roman" w:hAnsi="Times New Roman" w:eastAsia="宋体" w:cs="Times New Roman"/>
                <w:color w:val="auto"/>
                <w:sz w:val="21"/>
                <w:szCs w:val="21"/>
                <w:highlight w:val="none"/>
              </w:rPr>
              <w:t>类比《排污许可证申请与核发技术规范</w:t>
            </w:r>
            <w:r>
              <w:rPr>
                <w:rFonts w:hint="default" w:ascii="Times New Roman" w:hAnsi="Times New Roman" w:eastAsia="宋体" w:cs="Times New Roman"/>
                <w:color w:val="auto"/>
                <w:sz w:val="21"/>
                <w:szCs w:val="21"/>
                <w:highlight w:val="none"/>
                <w:lang w:val="en-US" w:eastAsia="zh-CN"/>
              </w:rPr>
              <w:t xml:space="preserve"> 专用化学产品制造工业</w:t>
            </w:r>
            <w:r>
              <w:rPr>
                <w:rFonts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rPr>
              <w:t>（HJ 1103</w:t>
            </w:r>
            <w:r>
              <w:rPr>
                <w:rFonts w:hint="default" w:ascii="Times New Roman" w:hAnsi="Times New Roman" w:eastAsia="宋体" w:cs="Times New Roman"/>
                <w:color w:val="auto"/>
                <w:sz w:val="21"/>
                <w:szCs w:val="21"/>
                <w:highlight w:val="none"/>
                <w:lang w:val="en-US" w:eastAsia="zh-CN"/>
              </w:rPr>
              <w:t>-</w:t>
            </w:r>
            <w:r>
              <w:rPr>
                <w:rFonts w:hint="eastAsia"/>
                <w:color w:val="auto"/>
                <w:sz w:val="21"/>
                <w:szCs w:val="21"/>
                <w:highlight w:val="none"/>
              </w:rPr>
              <w:t>2020）</w:t>
            </w:r>
            <w:r>
              <w:rPr>
                <w:color w:val="auto"/>
                <w:sz w:val="21"/>
                <w:szCs w:val="21"/>
                <w:highlight w:val="none"/>
              </w:rPr>
              <w:t>“</w:t>
            </w:r>
            <w:r>
              <w:rPr>
                <w:rFonts w:hint="eastAsia"/>
                <w:color w:val="auto"/>
                <w:sz w:val="21"/>
                <w:szCs w:val="21"/>
                <w:highlight w:val="none"/>
                <w:lang w:val="en-US" w:eastAsia="zh-CN"/>
              </w:rPr>
              <w:t xml:space="preserve">附录C </w:t>
            </w:r>
            <w:r>
              <w:rPr>
                <w:color w:val="auto"/>
                <w:sz w:val="21"/>
                <w:szCs w:val="21"/>
                <w:highlight w:val="none"/>
              </w:rPr>
              <w:t>废气污染防治可行技术”，</w:t>
            </w:r>
            <w:r>
              <w:rPr>
                <w:rFonts w:hint="eastAsia"/>
                <w:color w:val="auto"/>
                <w:sz w:val="21"/>
                <w:szCs w:val="21"/>
                <w:highlight w:val="none"/>
                <w:lang w:val="en-US" w:eastAsia="zh-CN"/>
              </w:rPr>
              <w:t>挥发性有机物</w:t>
            </w:r>
            <w:r>
              <w:rPr>
                <w:color w:val="auto"/>
                <w:sz w:val="21"/>
                <w:szCs w:val="21"/>
                <w:highlight w:val="none"/>
              </w:rPr>
              <w:t>可行技术</w:t>
            </w:r>
            <w:r>
              <w:rPr>
                <w:rFonts w:hint="eastAsia"/>
                <w:color w:val="auto"/>
                <w:sz w:val="21"/>
                <w:szCs w:val="21"/>
                <w:highlight w:val="none"/>
                <w:lang w:val="en-US" w:eastAsia="zh-CN"/>
              </w:rPr>
              <w:t>为冷凝、吸收、吸附、燃烧（直接燃烧、热力燃烧、催化燃烧）、冷凝-吸附、冷凝-吸附-燃烧，</w:t>
            </w:r>
            <w:r>
              <w:rPr>
                <w:color w:val="auto"/>
                <w:sz w:val="21"/>
                <w:szCs w:val="21"/>
                <w:highlight w:val="none"/>
              </w:rPr>
              <w:t>本项目使用</w:t>
            </w:r>
            <w:r>
              <w:rPr>
                <w:rFonts w:hint="eastAsia" w:cs="Times New Roman"/>
                <w:color w:val="auto"/>
                <w:kern w:val="2"/>
                <w:sz w:val="21"/>
                <w:szCs w:val="24"/>
                <w:highlight w:val="none"/>
                <w:lang w:val="en-US" w:eastAsia="zh-CN" w:bidi="ar-SA"/>
              </w:rPr>
              <w:t>二级活性炭吸附装置</w:t>
            </w:r>
            <w:r>
              <w:rPr>
                <w:rFonts w:hint="eastAsia"/>
                <w:color w:val="auto"/>
                <w:sz w:val="21"/>
                <w:szCs w:val="21"/>
                <w:highlight w:val="none"/>
                <w:lang w:val="en-US" w:eastAsia="zh-CN"/>
              </w:rPr>
              <w:t>处理挥发性有机物</w:t>
            </w:r>
            <w:r>
              <w:rPr>
                <w:color w:val="auto"/>
                <w:sz w:val="21"/>
                <w:szCs w:val="21"/>
                <w:highlight w:val="none"/>
              </w:rPr>
              <w:t>是可行技术。</w:t>
            </w:r>
          </w:p>
          <w:p w14:paraId="461E9BD1">
            <w:pPr>
              <w:spacing w:line="360" w:lineRule="auto"/>
              <w:ind w:firstLine="422" w:firstLineChars="200"/>
              <w:rPr>
                <w:rFonts w:hint="default" w:eastAsia="宋体"/>
                <w:b/>
                <w:bCs/>
                <w:color w:val="auto"/>
                <w:highlight w:val="none"/>
                <w:lang w:val="en-US" w:eastAsia="zh-CN"/>
              </w:rPr>
            </w:pPr>
            <w:r>
              <w:rPr>
                <w:rFonts w:hint="eastAsia"/>
                <w:b/>
                <w:bCs/>
                <w:color w:val="auto"/>
                <w:sz w:val="21"/>
                <w:szCs w:val="21"/>
                <w:highlight w:val="none"/>
                <w:lang w:val="en-US" w:eastAsia="zh-CN"/>
              </w:rPr>
              <w:t>3</w:t>
            </w:r>
            <w:r>
              <w:rPr>
                <w:rFonts w:hint="eastAsia"/>
                <w:b/>
                <w:bCs/>
                <w:color w:val="auto"/>
                <w:highlight w:val="none"/>
              </w:rPr>
              <w:t>、</w:t>
            </w:r>
            <w:r>
              <w:rPr>
                <w:rFonts w:hint="eastAsia"/>
                <w:b/>
                <w:bCs/>
                <w:color w:val="auto"/>
                <w:highlight w:val="none"/>
                <w:lang w:val="en-US" w:eastAsia="zh-CN"/>
              </w:rPr>
              <w:t>排气筒内径</w:t>
            </w:r>
          </w:p>
          <w:p w14:paraId="27C33AC7">
            <w:pPr>
              <w:spacing w:line="360" w:lineRule="auto"/>
              <w:ind w:firstLine="420" w:firstLineChars="200"/>
              <w:rPr>
                <w:rFonts w:hint="eastAsia"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rPr>
              <w:t>根据《大气污染治理工程技术导则》（HJ2000-2010），排气筒的出口直径根据出口流速确定，流速宜取15m/s左右，当采用钢管烟囱且高度较高时或烟气量较大时，可适当提高出口流速至20m/s～25m/s左右。</w:t>
            </w:r>
            <w:r>
              <w:rPr>
                <w:rFonts w:hint="eastAsia" w:ascii="Times New Roman" w:hAnsi="Times New Roman" w:eastAsia="宋体" w:cs="Times New Roman"/>
                <w:color w:val="auto"/>
                <w:lang w:val="en-US" w:eastAsia="zh-CN"/>
              </w:rPr>
              <w:t>本项目建成后，DA001排气筒内径设计为0.</w:t>
            </w:r>
            <w:r>
              <w:rPr>
                <w:rFonts w:hint="eastAsia" w:cs="Times New Roman"/>
                <w:color w:val="auto"/>
                <w:lang w:val="en-US" w:eastAsia="zh-CN"/>
              </w:rPr>
              <w:t>6</w:t>
            </w:r>
            <w:r>
              <w:rPr>
                <w:rFonts w:hint="eastAsia" w:ascii="Times New Roman" w:hAnsi="Times New Roman" w:eastAsia="宋体" w:cs="Times New Roman"/>
                <w:color w:val="auto"/>
                <w:lang w:val="en-US" w:eastAsia="zh-CN"/>
              </w:rPr>
              <w:t>m，</w:t>
            </w:r>
            <w:r>
              <w:rPr>
                <w:rFonts w:hint="default" w:ascii="Times New Roman" w:hAnsi="Times New Roman" w:eastAsia="宋体" w:cs="Times New Roman"/>
                <w:color w:val="auto"/>
              </w:rPr>
              <w:t>本项目</w:t>
            </w:r>
            <w:r>
              <w:rPr>
                <w:rFonts w:hint="eastAsia" w:ascii="Times New Roman" w:hAnsi="Times New Roman" w:eastAsia="宋体" w:cs="Times New Roman"/>
                <w:color w:val="auto"/>
                <w:lang w:val="en-US" w:eastAsia="zh-CN"/>
              </w:rPr>
              <w:t>DA001</w:t>
            </w:r>
            <w:r>
              <w:rPr>
                <w:rFonts w:hint="eastAsia" w:eastAsia="宋体" w:cs="Times New Roman"/>
                <w:color w:val="auto"/>
                <w:lang w:eastAsia="zh-CN"/>
              </w:rPr>
              <w:t>排气筒风机风量</w:t>
            </w:r>
            <w:r>
              <w:rPr>
                <w:rFonts w:hint="eastAsia" w:cs="Times New Roman"/>
                <w:color w:val="auto"/>
                <w:lang w:val="en-US" w:eastAsia="zh-CN"/>
              </w:rPr>
              <w:t>25</w:t>
            </w:r>
            <w:r>
              <w:rPr>
                <w:rFonts w:hint="eastAsia" w:eastAsia="宋体" w:cs="Times New Roman"/>
                <w:color w:val="auto"/>
                <w:lang w:val="en-US" w:eastAsia="zh-CN"/>
              </w:rPr>
              <w:t>000m</w:t>
            </w:r>
            <w:r>
              <w:rPr>
                <w:rFonts w:hint="eastAsia" w:eastAsia="宋体" w:cs="Times New Roman"/>
                <w:color w:val="auto"/>
                <w:vertAlign w:val="superscript"/>
                <w:lang w:val="en-US" w:eastAsia="zh-CN"/>
              </w:rPr>
              <w:t>3</w:t>
            </w:r>
            <w:r>
              <w:rPr>
                <w:rFonts w:hint="eastAsia" w:eastAsia="宋体" w:cs="Times New Roman"/>
                <w:color w:val="auto"/>
                <w:vertAlign w:val="baseline"/>
                <w:lang w:val="en-US" w:eastAsia="zh-CN"/>
              </w:rPr>
              <w:t>/h，</w:t>
            </w:r>
            <w:r>
              <w:rPr>
                <w:rFonts w:hint="eastAsia" w:ascii="Times New Roman" w:hAnsi="Times New Roman" w:eastAsia="宋体" w:cs="Times New Roman"/>
                <w:color w:val="auto"/>
                <w:lang w:val="en-US" w:eastAsia="zh-CN"/>
              </w:rPr>
              <w:t>根据设计内径计算，DA001排气筒出口流速为</w:t>
            </w:r>
            <w:r>
              <w:rPr>
                <w:rFonts w:hint="eastAsia" w:cs="Times New Roman"/>
                <w:color w:val="auto"/>
                <w:lang w:val="en-US" w:eastAsia="zh-CN"/>
              </w:rPr>
              <w:t>24.57</w:t>
            </w:r>
            <w:r>
              <w:rPr>
                <w:rFonts w:hint="eastAsia" w:ascii="Times New Roman" w:hAnsi="Times New Roman" w:eastAsia="宋体" w:cs="Times New Roman"/>
                <w:color w:val="auto"/>
                <w:lang w:val="en-US" w:eastAsia="zh-CN"/>
              </w:rPr>
              <w:t>m/s</w:t>
            </w:r>
            <w:r>
              <w:rPr>
                <w:rFonts w:hint="default" w:ascii="Times New Roman" w:hAnsi="Times New Roman" w:eastAsia="宋体" w:cs="Times New Roman"/>
                <w:color w:val="auto"/>
              </w:rPr>
              <w:t>，</w:t>
            </w:r>
            <w:r>
              <w:rPr>
                <w:rFonts w:hint="eastAsia" w:ascii="Times New Roman" w:hAnsi="Times New Roman" w:eastAsia="宋体" w:cs="Times New Roman"/>
                <w:color w:val="auto"/>
                <w:lang w:val="en-US" w:eastAsia="zh-CN"/>
              </w:rPr>
              <w:t>满足</w:t>
            </w:r>
            <w:r>
              <w:rPr>
                <w:rFonts w:hint="default" w:ascii="Times New Roman" w:hAnsi="Times New Roman" w:eastAsia="宋体" w:cs="Times New Roman"/>
                <w:color w:val="auto"/>
              </w:rPr>
              <w:t>20m/s～25m/s</w:t>
            </w:r>
            <w:r>
              <w:rPr>
                <w:rFonts w:hint="eastAsia" w:ascii="Times New Roman" w:hAnsi="Times New Roman" w:eastAsia="宋体" w:cs="Times New Roman"/>
                <w:color w:val="auto"/>
                <w:lang w:val="en-US" w:eastAsia="zh-CN"/>
              </w:rPr>
              <w:t>要求</w:t>
            </w:r>
            <w:r>
              <w:rPr>
                <w:rFonts w:hint="eastAsia" w:ascii="Times New Roman" w:hAnsi="Times New Roman" w:cs="Times New Roman"/>
                <w:color w:val="auto"/>
                <w:sz w:val="21"/>
                <w:szCs w:val="21"/>
                <w:highlight w:val="none"/>
                <w:lang w:val="en-US" w:eastAsia="zh-CN"/>
              </w:rPr>
              <w:t>。</w:t>
            </w:r>
          </w:p>
          <w:p w14:paraId="7FED60D3">
            <w:pPr>
              <w:spacing w:line="360" w:lineRule="auto"/>
              <w:ind w:firstLine="422" w:firstLineChars="200"/>
              <w:rPr>
                <w:rFonts w:hint="eastAsia"/>
                <w:b/>
                <w:bCs/>
                <w:color w:val="auto"/>
                <w:highlight w:val="none"/>
              </w:rPr>
            </w:pPr>
            <w:r>
              <w:rPr>
                <w:rFonts w:hint="eastAsia"/>
                <w:b/>
                <w:bCs/>
                <w:color w:val="auto"/>
                <w:highlight w:val="none"/>
                <w:lang w:val="en-US" w:eastAsia="zh-CN"/>
              </w:rPr>
              <w:t>4</w:t>
            </w:r>
            <w:r>
              <w:rPr>
                <w:rFonts w:hint="eastAsia"/>
                <w:b/>
                <w:bCs/>
                <w:color w:val="auto"/>
                <w:highlight w:val="none"/>
              </w:rPr>
              <w:t>、结论</w:t>
            </w:r>
          </w:p>
          <w:p w14:paraId="7A610827">
            <w:pPr>
              <w:widowControl/>
              <w:adjustRightInd w:val="0"/>
              <w:snapToGrid w:val="0"/>
              <w:spacing w:line="360" w:lineRule="auto"/>
              <w:ind w:firstLine="420" w:firstLineChars="200"/>
              <w:rPr>
                <w:rFonts w:hint="eastAsia" w:ascii="Times New Roman" w:hAnsi="Times New Roman" w:eastAsia="宋体" w:cs="Times New Roman"/>
                <w:color w:val="auto"/>
                <w:sz w:val="21"/>
                <w:szCs w:val="21"/>
                <w:highlight w:val="none"/>
                <w:lang w:val="en-US" w:eastAsia="zh-CN"/>
              </w:rPr>
            </w:pPr>
            <w:r>
              <w:rPr>
                <w:rFonts w:hint="eastAsia"/>
                <w:color w:val="auto"/>
                <w:highlight w:val="none"/>
                <w:lang w:eastAsia="zh-CN"/>
              </w:rPr>
              <w:t>本项目</w:t>
            </w:r>
            <w:r>
              <w:rPr>
                <w:rFonts w:hint="eastAsia"/>
                <w:color w:val="auto"/>
                <w:highlight w:val="none"/>
                <w:lang w:val="en-US" w:eastAsia="zh-CN"/>
              </w:rPr>
              <w:t>P1排气筒</w:t>
            </w:r>
            <w:r>
              <w:rPr>
                <w:color w:val="auto"/>
                <w:highlight w:val="none"/>
              </w:rPr>
              <w:t>HCl</w:t>
            </w:r>
            <w:r>
              <w:rPr>
                <w:rFonts w:hint="eastAsia" w:eastAsiaTheme="minorEastAsia"/>
                <w:color w:val="auto"/>
                <w:highlight w:val="none"/>
              </w:rPr>
              <w:t>有</w:t>
            </w:r>
            <w:r>
              <w:rPr>
                <w:rFonts w:eastAsiaTheme="minorEastAsia"/>
                <w:color w:val="auto"/>
                <w:highlight w:val="none"/>
              </w:rPr>
              <w:t>组织排放</w:t>
            </w:r>
            <w:r>
              <w:rPr>
                <w:rFonts w:hint="eastAsia" w:eastAsiaTheme="minorEastAsia"/>
                <w:color w:val="auto"/>
                <w:highlight w:val="none"/>
                <w:lang w:val="en-US" w:eastAsia="zh-CN"/>
              </w:rPr>
              <w:t>满足</w:t>
            </w:r>
            <w:r>
              <w:rPr>
                <w:rFonts w:eastAsiaTheme="minorEastAsia"/>
                <w:color w:val="auto"/>
                <w:highlight w:val="none"/>
              </w:rPr>
              <w:t>《无机化学工业污染物排放标准》</w:t>
            </w:r>
            <w:r>
              <w:rPr>
                <w:rFonts w:hint="eastAsia" w:eastAsiaTheme="minorEastAsia"/>
                <w:color w:val="auto"/>
                <w:highlight w:val="none"/>
              </w:rPr>
              <w:t>（</w:t>
            </w:r>
            <w:r>
              <w:rPr>
                <w:rFonts w:eastAsiaTheme="minorEastAsia"/>
                <w:color w:val="auto"/>
                <w:highlight w:val="none"/>
              </w:rPr>
              <w:t>GB 31573-2015</w:t>
            </w:r>
            <w:r>
              <w:rPr>
                <w:rFonts w:hint="eastAsia" w:eastAsiaTheme="minorEastAsia"/>
                <w:color w:val="auto"/>
                <w:highlight w:val="none"/>
              </w:rPr>
              <w:t>）</w:t>
            </w:r>
            <w:r>
              <w:rPr>
                <w:rFonts w:eastAsiaTheme="minorEastAsia"/>
                <w:color w:val="auto"/>
                <w:highlight w:val="none"/>
              </w:rPr>
              <w:t>表4标准</w:t>
            </w:r>
            <w:r>
              <w:rPr>
                <w:rFonts w:hint="eastAsia" w:eastAsiaTheme="minorEastAsia"/>
                <w:color w:val="auto"/>
                <w:highlight w:val="none"/>
              </w:rPr>
              <w:t>限值</w:t>
            </w:r>
            <w:r>
              <w:rPr>
                <w:rFonts w:hint="eastAsia" w:eastAsiaTheme="minorEastAsia"/>
                <w:color w:val="auto"/>
                <w:highlight w:val="none"/>
                <w:lang w:eastAsia="zh-CN"/>
              </w:rPr>
              <w:t>（HCl</w:t>
            </w:r>
            <w:r>
              <w:rPr>
                <w:rFonts w:hint="eastAsia" w:eastAsiaTheme="minorEastAsia"/>
                <w:color w:val="auto"/>
                <w:highlight w:val="none"/>
                <w:lang w:val="en-US" w:eastAsia="zh-CN"/>
              </w:rPr>
              <w:t xml:space="preserve"> 10</w:t>
            </w:r>
            <w:r>
              <w:rPr>
                <w:rFonts w:eastAsiaTheme="minorEastAsia"/>
                <w:color w:val="auto"/>
                <w:highlight w:val="none"/>
              </w:rPr>
              <w:t>mg/m</w:t>
            </w:r>
            <w:r>
              <w:rPr>
                <w:rFonts w:eastAsiaTheme="minorEastAsia"/>
                <w:color w:val="auto"/>
                <w:highlight w:val="none"/>
                <w:vertAlign w:val="superscript"/>
              </w:rPr>
              <w:t>3</w:t>
            </w:r>
            <w:r>
              <w:rPr>
                <w:rFonts w:hint="eastAsia" w:eastAsiaTheme="minorEastAsia"/>
                <w:color w:val="auto"/>
                <w:highlight w:val="none"/>
                <w:lang w:eastAsia="zh-CN"/>
              </w:rPr>
              <w:t>）；</w:t>
            </w:r>
            <w:r>
              <w:rPr>
                <w:rFonts w:hint="default" w:ascii="Times New Roman" w:hAnsi="Times New Roman" w:cs="Times New Roman"/>
                <w:color w:val="auto"/>
                <w:highlight w:val="none"/>
              </w:rPr>
              <w:t>VOCs有组织</w:t>
            </w:r>
            <w:r>
              <w:rPr>
                <w:rFonts w:hint="eastAsia" w:ascii="Times New Roman" w:hAnsi="Times New Roman" w:cs="Times New Roman"/>
                <w:color w:val="auto"/>
                <w:highlight w:val="none"/>
                <w:lang w:val="en-US" w:eastAsia="zh-CN"/>
              </w:rPr>
              <w:t>排放</w:t>
            </w:r>
            <w:r>
              <w:rPr>
                <w:rFonts w:hint="eastAsia" w:eastAsiaTheme="minorEastAsia"/>
                <w:color w:val="auto"/>
                <w:highlight w:val="none"/>
                <w:lang w:val="en-US" w:eastAsia="zh-CN"/>
              </w:rPr>
              <w:t>满足</w:t>
            </w:r>
            <w:r>
              <w:rPr>
                <w:rFonts w:hint="default" w:ascii="Times New Roman" w:hAnsi="Times New Roman" w:cs="Times New Roman"/>
                <w:color w:val="auto"/>
                <w:szCs w:val="21"/>
                <w:highlight w:val="none"/>
              </w:rPr>
              <w:t>《挥发性有机物排放标准 第</w:t>
            </w:r>
            <w:r>
              <w:rPr>
                <w:rFonts w:hint="eastAsia" w:cs="Times New Roman"/>
                <w:color w:val="auto"/>
                <w:szCs w:val="21"/>
                <w:highlight w:val="none"/>
                <w:lang w:val="en-US" w:eastAsia="zh-CN"/>
              </w:rPr>
              <w:t>7</w:t>
            </w:r>
            <w:r>
              <w:rPr>
                <w:rFonts w:hint="default" w:ascii="Times New Roman" w:hAnsi="Times New Roman" w:cs="Times New Roman"/>
                <w:color w:val="auto"/>
                <w:szCs w:val="21"/>
                <w:highlight w:val="none"/>
              </w:rPr>
              <w:t>部分：</w:t>
            </w:r>
            <w:r>
              <w:rPr>
                <w:rFonts w:hint="eastAsia" w:cs="Times New Roman"/>
                <w:color w:val="auto"/>
                <w:szCs w:val="21"/>
                <w:highlight w:val="none"/>
                <w:lang w:eastAsia="zh-CN"/>
              </w:rPr>
              <w:t>其他</w:t>
            </w:r>
            <w:r>
              <w:rPr>
                <w:rFonts w:hint="default" w:ascii="Times New Roman" w:hAnsi="Times New Roman" w:cs="Times New Roman"/>
                <w:color w:val="auto"/>
                <w:szCs w:val="21"/>
                <w:highlight w:val="none"/>
              </w:rPr>
              <w:t>行业》（DB37/2801.</w:t>
            </w:r>
            <w:r>
              <w:rPr>
                <w:rFonts w:hint="eastAsia" w:cs="Times New Roman"/>
                <w:color w:val="auto"/>
                <w:szCs w:val="21"/>
                <w:highlight w:val="none"/>
                <w:lang w:val="en-US" w:eastAsia="zh-CN"/>
              </w:rPr>
              <w:t>7</w:t>
            </w:r>
            <w:r>
              <w:rPr>
                <w:rFonts w:hint="default" w:ascii="Times New Roman" w:hAnsi="Times New Roman" w:cs="Times New Roman"/>
                <w:color w:val="auto"/>
                <w:szCs w:val="21"/>
                <w:highlight w:val="none"/>
              </w:rPr>
              <w:t>-201</w:t>
            </w:r>
            <w:r>
              <w:rPr>
                <w:rFonts w:hint="eastAsia" w:cs="Times New Roman"/>
                <w:color w:val="auto"/>
                <w:szCs w:val="21"/>
                <w:highlight w:val="none"/>
                <w:lang w:val="en-US" w:eastAsia="zh-CN"/>
              </w:rPr>
              <w:t>9</w:t>
            </w:r>
            <w:r>
              <w:rPr>
                <w:rFonts w:hint="default" w:ascii="Times New Roman" w:hAnsi="Times New Roman" w:cs="Times New Roman"/>
                <w:color w:val="auto"/>
                <w:szCs w:val="21"/>
                <w:highlight w:val="none"/>
              </w:rPr>
              <w:t>）表</w:t>
            </w:r>
            <w:r>
              <w:rPr>
                <w:rFonts w:hint="eastAsia" w:cs="Times New Roman"/>
                <w:color w:val="auto"/>
                <w:szCs w:val="21"/>
                <w:highlight w:val="none"/>
                <w:lang w:val="en-US" w:eastAsia="zh-CN"/>
              </w:rPr>
              <w:t>1中“非重点行业”Ⅱ时段</w:t>
            </w:r>
            <w:r>
              <w:rPr>
                <w:rFonts w:hint="default" w:ascii="Times New Roman" w:hAnsi="Times New Roman" w:cs="Times New Roman"/>
                <w:color w:val="auto"/>
                <w:szCs w:val="21"/>
                <w:highlight w:val="none"/>
              </w:rPr>
              <w:t>VOCs排放限值</w:t>
            </w:r>
            <w:r>
              <w:rPr>
                <w:rFonts w:hint="eastAsia" w:cs="Times New Roman"/>
                <w:color w:val="auto"/>
                <w:szCs w:val="21"/>
                <w:highlight w:val="none"/>
                <w:lang w:eastAsia="zh-CN"/>
              </w:rPr>
              <w:t>（</w:t>
            </w:r>
            <w:r>
              <w:rPr>
                <w:rFonts w:hint="eastAsia" w:cs="Times New Roman"/>
                <w:color w:val="auto"/>
                <w:szCs w:val="21"/>
                <w:highlight w:val="none"/>
                <w:lang w:val="en-US" w:eastAsia="zh-CN"/>
              </w:rPr>
              <w:t>VOCs排放浓度60mg/m</w:t>
            </w:r>
            <w:r>
              <w:rPr>
                <w:rFonts w:hint="eastAsia" w:cs="Times New Roman"/>
                <w:color w:val="auto"/>
                <w:szCs w:val="21"/>
                <w:highlight w:val="none"/>
                <w:vertAlign w:val="superscript"/>
                <w:lang w:val="en-US" w:eastAsia="zh-CN"/>
              </w:rPr>
              <w:t>3</w:t>
            </w:r>
            <w:r>
              <w:rPr>
                <w:rFonts w:hint="eastAsia" w:cs="Times New Roman"/>
                <w:color w:val="auto"/>
                <w:szCs w:val="21"/>
                <w:highlight w:val="none"/>
                <w:lang w:val="en-US" w:eastAsia="zh-CN"/>
              </w:rPr>
              <w:t>、排放速率3.0kg/h</w:t>
            </w:r>
            <w:r>
              <w:rPr>
                <w:rFonts w:hint="eastAsia" w:cs="Times New Roman"/>
                <w:color w:val="auto"/>
                <w:szCs w:val="21"/>
                <w:highlight w:val="none"/>
                <w:lang w:eastAsia="zh-CN"/>
              </w:rPr>
              <w:t>）</w:t>
            </w:r>
            <w:r>
              <w:rPr>
                <w:rFonts w:hint="eastAsia" w:ascii="Times New Roman" w:hAnsi="Times New Roman" w:eastAsia="宋体" w:cs="Times New Roman"/>
                <w:color w:val="auto"/>
                <w:sz w:val="21"/>
                <w:szCs w:val="21"/>
                <w:highlight w:val="none"/>
                <w:lang w:val="en-US" w:eastAsia="zh-CN"/>
              </w:rPr>
              <w:t>。</w:t>
            </w:r>
          </w:p>
          <w:p w14:paraId="032595B3">
            <w:pPr>
              <w:widowControl/>
              <w:adjustRightInd w:val="0"/>
              <w:snapToGrid w:val="0"/>
              <w:spacing w:line="360" w:lineRule="auto"/>
              <w:ind w:firstLine="420" w:firstLineChars="200"/>
              <w:rPr>
                <w:rFonts w:hint="eastAsia" w:cs="Times New Roman"/>
                <w:color w:val="auto"/>
                <w:sz w:val="21"/>
                <w:szCs w:val="21"/>
                <w:highlight w:val="none"/>
                <w:lang w:eastAsia="zh-CN"/>
              </w:rPr>
            </w:pPr>
            <w:r>
              <w:rPr>
                <w:rFonts w:hint="eastAsia"/>
                <w:color w:val="auto"/>
                <w:highlight w:val="none"/>
                <w:lang w:val="en-US" w:eastAsia="zh-CN"/>
              </w:rPr>
              <w:t>经估算，</w:t>
            </w:r>
            <w:r>
              <w:rPr>
                <w:rFonts w:hint="default" w:ascii="Times New Roman" w:hAnsi="Times New Roman" w:eastAsia="宋体" w:cs="Times New Roman"/>
                <w:color w:val="auto"/>
                <w:highlight w:val="none"/>
              </w:rPr>
              <w:t>厂界</w:t>
            </w:r>
            <w:r>
              <w:rPr>
                <w:rFonts w:hint="default" w:ascii="Times New Roman" w:hAnsi="Times New Roman" w:eastAsia="宋体" w:cs="Times New Roman"/>
                <w:color w:val="auto"/>
                <w:szCs w:val="21"/>
                <w:highlight w:val="none"/>
              </w:rPr>
              <w:t>无组织</w:t>
            </w:r>
            <w:r>
              <w:rPr>
                <w:rFonts w:hint="eastAsia" w:eastAsiaTheme="minorEastAsia"/>
                <w:color w:val="auto"/>
                <w:highlight w:val="none"/>
                <w:lang w:eastAsia="zh-CN"/>
              </w:rPr>
              <w:t>HCl</w:t>
            </w:r>
            <w:r>
              <w:rPr>
                <w:rFonts w:hint="eastAsia" w:eastAsiaTheme="minorEastAsia"/>
                <w:color w:val="auto"/>
                <w:highlight w:val="none"/>
                <w:lang w:val="en-US" w:eastAsia="zh-CN"/>
              </w:rPr>
              <w:t>满足</w:t>
            </w:r>
            <w:r>
              <w:rPr>
                <w:rFonts w:hint="eastAsia" w:eastAsiaTheme="minorEastAsia"/>
                <w:color w:val="auto"/>
                <w:highlight w:val="none"/>
                <w:lang w:eastAsia="zh-CN"/>
              </w:rPr>
              <w:t>《无机化学工业污染物排放标准》（GB31573-2015）表5</w:t>
            </w:r>
            <w:r>
              <w:rPr>
                <w:rFonts w:hint="eastAsia" w:eastAsiaTheme="minorEastAsia"/>
                <w:color w:val="auto"/>
                <w:highlight w:val="none"/>
                <w:lang w:val="en-US" w:eastAsia="zh-CN"/>
              </w:rPr>
              <w:t>浓度限值</w:t>
            </w:r>
            <w:r>
              <w:rPr>
                <w:rFonts w:hint="default" w:ascii="Times New Roman" w:hAnsi="Times New Roman" w:eastAsia="宋体" w:cs="Times New Roman"/>
                <w:color w:val="auto"/>
                <w:szCs w:val="21"/>
                <w:highlight w:val="none"/>
              </w:rPr>
              <w:t>（</w:t>
            </w:r>
            <w:r>
              <w:rPr>
                <w:rFonts w:hint="eastAsia" w:eastAsiaTheme="minorEastAsia"/>
                <w:color w:val="auto"/>
                <w:highlight w:val="none"/>
                <w:lang w:eastAsia="zh-CN"/>
              </w:rPr>
              <w:t>HCl</w:t>
            </w:r>
            <w:r>
              <w:rPr>
                <w:rFonts w:hint="eastAsia" w:eastAsiaTheme="minorEastAsia"/>
                <w:color w:val="auto"/>
                <w:highlight w:val="none"/>
                <w:lang w:val="en-US" w:eastAsia="zh-CN"/>
              </w:rPr>
              <w:t>0.05</w:t>
            </w:r>
            <w:r>
              <w:rPr>
                <w:rFonts w:hint="default" w:ascii="Times New Roman" w:hAnsi="Times New Roman" w:eastAsia="宋体" w:cs="Times New Roman"/>
                <w:color w:val="auto"/>
                <w:szCs w:val="21"/>
                <w:highlight w:val="none"/>
              </w:rPr>
              <w:t>mg/m</w:t>
            </w:r>
            <w:r>
              <w:rPr>
                <w:rFonts w:hint="default" w:ascii="Times New Roman" w:hAnsi="Times New Roman" w:eastAsia="宋体" w:cs="Times New Roman"/>
                <w:color w:val="auto"/>
                <w:szCs w:val="21"/>
                <w:highlight w:val="none"/>
                <w:vertAlign w:val="superscript"/>
              </w:rPr>
              <w:t>3</w:t>
            </w:r>
            <w:r>
              <w:rPr>
                <w:rFonts w:hint="default" w:ascii="Times New Roman" w:hAnsi="Times New Roman" w:eastAsia="宋体" w:cs="Times New Roman"/>
                <w:color w:val="auto"/>
                <w:szCs w:val="21"/>
                <w:highlight w:val="none"/>
              </w:rPr>
              <w:t>）</w:t>
            </w:r>
            <w:r>
              <w:rPr>
                <w:rFonts w:hint="eastAsia" w:cs="Times New Roman"/>
                <w:color w:val="auto"/>
                <w:sz w:val="21"/>
                <w:szCs w:val="21"/>
                <w:highlight w:val="none"/>
                <w:lang w:eastAsia="zh-CN"/>
              </w:rPr>
              <w:t>。</w:t>
            </w:r>
          </w:p>
          <w:p w14:paraId="0501A679">
            <w:pPr>
              <w:widowControl/>
              <w:adjustRightInd w:val="0"/>
              <w:snapToGrid w:val="0"/>
              <w:spacing w:line="360" w:lineRule="auto"/>
              <w:ind w:firstLine="420" w:firstLineChars="200"/>
              <w:rPr>
                <w:rFonts w:hint="eastAsia" w:cs="Times New Roman"/>
                <w:color w:val="auto"/>
                <w:sz w:val="21"/>
                <w:szCs w:val="21"/>
                <w:highlight w:val="none"/>
                <w:lang w:eastAsia="zh-CN"/>
              </w:rPr>
            </w:pPr>
            <w:r>
              <w:rPr>
                <w:rFonts w:hint="default" w:ascii="Times New Roman" w:hAnsi="Times New Roman" w:cs="Times New Roman"/>
                <w:color w:val="auto"/>
                <w:sz w:val="21"/>
                <w:szCs w:val="21"/>
                <w:highlight w:val="none"/>
              </w:rPr>
              <w:t>经上文分析，本项目废气经过治理后有组织废气和无组织废气均能达标排放，污染物最大落地浓度较小，均满足相应的环境质量标准，在落实污染物治理方案后和总量倍量替代后，对大气环境影响较小</w:t>
            </w:r>
            <w:r>
              <w:rPr>
                <w:rFonts w:hint="eastAsia" w:cs="Times New Roman"/>
                <w:color w:val="auto"/>
                <w:sz w:val="21"/>
                <w:szCs w:val="21"/>
                <w:highlight w:val="none"/>
                <w:lang w:eastAsia="zh-CN"/>
              </w:rPr>
              <w:t>。</w:t>
            </w:r>
          </w:p>
          <w:p w14:paraId="1CABC489">
            <w:pPr>
              <w:adjustRightInd w:val="0"/>
              <w:snapToGrid w:val="0"/>
              <w:spacing w:line="360" w:lineRule="auto"/>
              <w:ind w:firstLine="422" w:firstLineChars="200"/>
              <w:rPr>
                <w:b/>
                <w:bCs/>
                <w:color w:val="auto"/>
                <w:highlight w:val="none"/>
              </w:rPr>
            </w:pPr>
            <w:r>
              <w:rPr>
                <w:rFonts w:hint="eastAsia"/>
                <w:b/>
                <w:bCs/>
                <w:color w:val="auto"/>
                <w:highlight w:val="none"/>
                <w:lang w:val="en-US" w:eastAsia="zh-CN"/>
              </w:rPr>
              <w:t>7</w:t>
            </w:r>
            <w:r>
              <w:rPr>
                <w:rFonts w:hint="eastAsia"/>
                <w:b/>
                <w:bCs/>
                <w:color w:val="auto"/>
                <w:highlight w:val="none"/>
              </w:rPr>
              <w:t>、</w:t>
            </w:r>
            <w:r>
              <w:rPr>
                <w:b/>
                <w:bCs/>
                <w:color w:val="auto"/>
                <w:highlight w:val="none"/>
              </w:rPr>
              <w:t>非正常工况分析</w:t>
            </w:r>
          </w:p>
          <w:p w14:paraId="539E36A3">
            <w:pPr>
              <w:adjustRightInd w:val="0"/>
              <w:snapToGrid w:val="0"/>
              <w:spacing w:line="360" w:lineRule="auto"/>
              <w:ind w:firstLine="420" w:firstLineChars="200"/>
              <w:rPr>
                <w:color w:val="auto"/>
                <w:highlight w:val="none"/>
              </w:rPr>
            </w:pPr>
            <w:r>
              <w:rPr>
                <w:color w:val="auto"/>
                <w:highlight w:val="none"/>
              </w:rPr>
              <w:t>非正常工况是指工艺运行中所有生产运行技术参数未达到设计范围的情况。包括生产运行阶段的开停车、检修，工艺设备的运转异常、污染物排放控制措施达不到应有的效率、一般性事故和泄漏，以及发生严重的环境事故等。</w:t>
            </w:r>
          </w:p>
          <w:p w14:paraId="5F681D4C">
            <w:pPr>
              <w:adjustRightInd w:val="0"/>
              <w:snapToGrid w:val="0"/>
              <w:spacing w:line="360" w:lineRule="auto"/>
              <w:ind w:firstLine="420" w:firstLineChars="200"/>
              <w:rPr>
                <w:color w:val="auto"/>
                <w:highlight w:val="none"/>
              </w:rPr>
            </w:pPr>
            <w:r>
              <w:rPr>
                <w:color w:val="auto"/>
                <w:highlight w:val="none"/>
              </w:rPr>
              <w:t>本项目非正常工况主要为废气处理设备运转失灵导致大气污染物直接排放。非正常工况废气排放源强见下表：</w:t>
            </w:r>
          </w:p>
          <w:p w14:paraId="5EBC4299">
            <w:pPr>
              <w:adjustRightInd w:val="0"/>
              <w:snapToGrid w:val="0"/>
              <w:spacing w:line="360" w:lineRule="auto"/>
              <w:jc w:val="center"/>
              <w:rPr>
                <w:color w:val="auto"/>
                <w:highlight w:val="none"/>
              </w:rPr>
            </w:pPr>
            <w:r>
              <w:rPr>
                <w:b/>
                <w:color w:val="auto"/>
                <w:highlight w:val="none"/>
              </w:rPr>
              <w:t>表4-</w:t>
            </w:r>
            <w:r>
              <w:rPr>
                <w:rFonts w:hint="eastAsia"/>
                <w:b/>
                <w:color w:val="auto"/>
                <w:highlight w:val="none"/>
                <w:lang w:val="en-US" w:eastAsia="zh-CN"/>
              </w:rPr>
              <w:t>5</w:t>
            </w:r>
            <w:r>
              <w:rPr>
                <w:b/>
                <w:color w:val="auto"/>
                <w:highlight w:val="none"/>
              </w:rPr>
              <w:t xml:space="preserve"> 非正常工况下污染物排放源强</w:t>
            </w:r>
          </w:p>
          <w:tbl>
            <w:tblPr>
              <w:tblStyle w:val="8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7"/>
              <w:gridCol w:w="978"/>
              <w:gridCol w:w="979"/>
              <w:gridCol w:w="979"/>
              <w:gridCol w:w="982"/>
              <w:gridCol w:w="1076"/>
              <w:gridCol w:w="796"/>
              <w:gridCol w:w="796"/>
              <w:gridCol w:w="797"/>
            </w:tblGrid>
            <w:tr w14:paraId="4BF2E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7" w:type="dxa"/>
                  <w:noWrap w:val="0"/>
                  <w:vAlign w:val="center"/>
                </w:tcPr>
                <w:p w14:paraId="3A116291">
                  <w:pPr>
                    <w:pStyle w:val="200"/>
                    <w:spacing w:before="24" w:after="24"/>
                    <w:rPr>
                      <w:rFonts w:ascii="Times New Roman"/>
                      <w:b/>
                      <w:bCs/>
                      <w:color w:val="auto"/>
                      <w:sz w:val="18"/>
                      <w:szCs w:val="16"/>
                      <w:highlight w:val="none"/>
                    </w:rPr>
                  </w:pPr>
                  <w:r>
                    <w:rPr>
                      <w:rFonts w:ascii="Times New Roman"/>
                      <w:b/>
                      <w:bCs/>
                      <w:color w:val="auto"/>
                      <w:sz w:val="18"/>
                      <w:szCs w:val="16"/>
                      <w:highlight w:val="none"/>
                    </w:rPr>
                    <w:t>污染源</w:t>
                  </w:r>
                </w:p>
              </w:tc>
              <w:tc>
                <w:tcPr>
                  <w:tcW w:w="978" w:type="dxa"/>
                  <w:noWrap w:val="0"/>
                  <w:vAlign w:val="center"/>
                </w:tcPr>
                <w:p w14:paraId="14DE5250">
                  <w:pPr>
                    <w:pStyle w:val="200"/>
                    <w:spacing w:before="24" w:after="24"/>
                    <w:rPr>
                      <w:rFonts w:ascii="Times New Roman"/>
                      <w:b/>
                      <w:bCs/>
                      <w:color w:val="auto"/>
                      <w:sz w:val="18"/>
                      <w:szCs w:val="16"/>
                      <w:highlight w:val="none"/>
                    </w:rPr>
                  </w:pPr>
                  <w:r>
                    <w:rPr>
                      <w:rFonts w:ascii="Times New Roman"/>
                      <w:b/>
                      <w:bCs/>
                      <w:color w:val="auto"/>
                      <w:sz w:val="18"/>
                      <w:szCs w:val="16"/>
                      <w:highlight w:val="none"/>
                    </w:rPr>
                    <w:t>非正常排放原因</w:t>
                  </w:r>
                </w:p>
              </w:tc>
              <w:tc>
                <w:tcPr>
                  <w:tcW w:w="979" w:type="dxa"/>
                  <w:noWrap w:val="0"/>
                  <w:vAlign w:val="center"/>
                </w:tcPr>
                <w:p w14:paraId="154DBA6F">
                  <w:pPr>
                    <w:pStyle w:val="200"/>
                    <w:spacing w:before="24" w:after="24"/>
                    <w:rPr>
                      <w:rFonts w:ascii="Times New Roman"/>
                      <w:b/>
                      <w:bCs/>
                      <w:color w:val="auto"/>
                      <w:sz w:val="18"/>
                      <w:szCs w:val="16"/>
                      <w:highlight w:val="none"/>
                    </w:rPr>
                  </w:pPr>
                  <w:r>
                    <w:rPr>
                      <w:rFonts w:ascii="Times New Roman"/>
                      <w:b/>
                      <w:bCs/>
                      <w:color w:val="auto"/>
                      <w:sz w:val="18"/>
                      <w:szCs w:val="16"/>
                      <w:highlight w:val="none"/>
                    </w:rPr>
                    <w:t>污染物</w:t>
                  </w:r>
                </w:p>
              </w:tc>
              <w:tc>
                <w:tcPr>
                  <w:tcW w:w="979" w:type="dxa"/>
                  <w:noWrap w:val="0"/>
                  <w:vAlign w:val="center"/>
                </w:tcPr>
                <w:p w14:paraId="18907295">
                  <w:pPr>
                    <w:pStyle w:val="200"/>
                    <w:spacing w:before="24" w:after="24"/>
                    <w:rPr>
                      <w:rFonts w:hint="eastAsia" w:ascii="Times New Roman" w:eastAsia="宋体"/>
                      <w:b/>
                      <w:bCs/>
                      <w:color w:val="auto"/>
                      <w:sz w:val="18"/>
                      <w:szCs w:val="16"/>
                      <w:highlight w:val="none"/>
                      <w:lang w:val="en-US" w:eastAsia="zh-CN"/>
                    </w:rPr>
                  </w:pPr>
                  <w:r>
                    <w:rPr>
                      <w:rFonts w:hint="eastAsia" w:ascii="Times New Roman"/>
                      <w:b/>
                      <w:bCs/>
                      <w:color w:val="auto"/>
                      <w:sz w:val="18"/>
                      <w:szCs w:val="16"/>
                      <w:highlight w:val="none"/>
                      <w:lang w:val="en-US" w:eastAsia="zh-CN"/>
                    </w:rPr>
                    <w:t>排放量（kg）</w:t>
                  </w:r>
                </w:p>
              </w:tc>
              <w:tc>
                <w:tcPr>
                  <w:tcW w:w="982" w:type="dxa"/>
                  <w:noWrap w:val="0"/>
                  <w:vAlign w:val="center"/>
                </w:tcPr>
                <w:p w14:paraId="1B6513EC">
                  <w:pPr>
                    <w:pStyle w:val="200"/>
                    <w:spacing w:before="24" w:after="24"/>
                    <w:rPr>
                      <w:rFonts w:ascii="Times New Roman"/>
                      <w:b/>
                      <w:bCs/>
                      <w:color w:val="auto"/>
                      <w:sz w:val="18"/>
                      <w:szCs w:val="16"/>
                      <w:highlight w:val="none"/>
                    </w:rPr>
                  </w:pPr>
                  <w:r>
                    <w:rPr>
                      <w:rFonts w:ascii="Times New Roman"/>
                      <w:b/>
                      <w:bCs/>
                      <w:color w:val="auto"/>
                      <w:sz w:val="18"/>
                      <w:szCs w:val="16"/>
                      <w:highlight w:val="none"/>
                    </w:rPr>
                    <w:t>排放速率（kg/h）</w:t>
                  </w:r>
                </w:p>
              </w:tc>
              <w:tc>
                <w:tcPr>
                  <w:tcW w:w="1076" w:type="dxa"/>
                  <w:noWrap w:val="0"/>
                  <w:vAlign w:val="center"/>
                </w:tcPr>
                <w:p w14:paraId="4614BA6F">
                  <w:pPr>
                    <w:pStyle w:val="200"/>
                    <w:spacing w:before="24" w:after="24"/>
                    <w:rPr>
                      <w:rFonts w:ascii="Times New Roman"/>
                      <w:b/>
                      <w:bCs/>
                      <w:color w:val="auto"/>
                      <w:sz w:val="18"/>
                      <w:szCs w:val="16"/>
                      <w:highlight w:val="none"/>
                    </w:rPr>
                  </w:pPr>
                  <w:r>
                    <w:rPr>
                      <w:rFonts w:ascii="Times New Roman"/>
                      <w:b/>
                      <w:bCs/>
                      <w:color w:val="auto"/>
                      <w:sz w:val="18"/>
                      <w:szCs w:val="16"/>
                      <w:highlight w:val="none"/>
                    </w:rPr>
                    <w:t>排放浓度（mg/m</w:t>
                  </w:r>
                  <w:r>
                    <w:rPr>
                      <w:rFonts w:ascii="Times New Roman"/>
                      <w:b/>
                      <w:bCs/>
                      <w:color w:val="auto"/>
                      <w:sz w:val="18"/>
                      <w:szCs w:val="16"/>
                      <w:highlight w:val="none"/>
                      <w:vertAlign w:val="superscript"/>
                    </w:rPr>
                    <w:t>3</w:t>
                  </w:r>
                  <w:r>
                    <w:rPr>
                      <w:rFonts w:ascii="Times New Roman"/>
                      <w:b/>
                      <w:bCs/>
                      <w:color w:val="auto"/>
                      <w:sz w:val="18"/>
                      <w:szCs w:val="16"/>
                      <w:highlight w:val="none"/>
                    </w:rPr>
                    <w:t>）</w:t>
                  </w:r>
                </w:p>
              </w:tc>
              <w:tc>
                <w:tcPr>
                  <w:tcW w:w="796" w:type="dxa"/>
                  <w:noWrap w:val="0"/>
                  <w:vAlign w:val="center"/>
                </w:tcPr>
                <w:p w14:paraId="3A27F9D6">
                  <w:pPr>
                    <w:pStyle w:val="200"/>
                    <w:spacing w:before="24" w:after="24"/>
                    <w:rPr>
                      <w:rFonts w:ascii="Times New Roman"/>
                      <w:b/>
                      <w:bCs/>
                      <w:color w:val="auto"/>
                      <w:sz w:val="18"/>
                      <w:szCs w:val="16"/>
                      <w:highlight w:val="none"/>
                    </w:rPr>
                  </w:pPr>
                  <w:r>
                    <w:rPr>
                      <w:rFonts w:ascii="Times New Roman"/>
                      <w:b/>
                      <w:bCs/>
                      <w:color w:val="auto"/>
                      <w:sz w:val="18"/>
                      <w:szCs w:val="16"/>
                      <w:highlight w:val="none"/>
                    </w:rPr>
                    <w:t>单次持续时间/h</w:t>
                  </w:r>
                </w:p>
              </w:tc>
              <w:tc>
                <w:tcPr>
                  <w:tcW w:w="796" w:type="dxa"/>
                  <w:noWrap w:val="0"/>
                  <w:vAlign w:val="center"/>
                </w:tcPr>
                <w:p w14:paraId="14C8151D">
                  <w:pPr>
                    <w:pStyle w:val="200"/>
                    <w:spacing w:before="24" w:after="24"/>
                    <w:rPr>
                      <w:rFonts w:ascii="Times New Roman"/>
                      <w:b/>
                      <w:bCs/>
                      <w:color w:val="auto"/>
                      <w:sz w:val="18"/>
                      <w:szCs w:val="16"/>
                      <w:highlight w:val="none"/>
                    </w:rPr>
                  </w:pPr>
                  <w:r>
                    <w:rPr>
                      <w:rFonts w:ascii="Times New Roman"/>
                      <w:b/>
                      <w:bCs/>
                      <w:color w:val="auto"/>
                      <w:sz w:val="18"/>
                      <w:szCs w:val="16"/>
                      <w:highlight w:val="none"/>
                    </w:rPr>
                    <w:t>年发生频次/次</w:t>
                  </w:r>
                </w:p>
              </w:tc>
              <w:tc>
                <w:tcPr>
                  <w:tcW w:w="797" w:type="dxa"/>
                  <w:noWrap w:val="0"/>
                  <w:vAlign w:val="center"/>
                </w:tcPr>
                <w:p w14:paraId="2DFA2920">
                  <w:pPr>
                    <w:pStyle w:val="200"/>
                    <w:spacing w:before="24" w:after="24"/>
                    <w:rPr>
                      <w:rFonts w:ascii="Times New Roman"/>
                      <w:b/>
                      <w:bCs/>
                      <w:color w:val="auto"/>
                      <w:sz w:val="18"/>
                      <w:szCs w:val="16"/>
                      <w:highlight w:val="none"/>
                    </w:rPr>
                  </w:pPr>
                  <w:r>
                    <w:rPr>
                      <w:rFonts w:ascii="Times New Roman"/>
                      <w:b/>
                      <w:bCs/>
                      <w:color w:val="auto"/>
                      <w:sz w:val="18"/>
                      <w:szCs w:val="16"/>
                      <w:highlight w:val="none"/>
                    </w:rPr>
                    <w:t>应对措施</w:t>
                  </w:r>
                </w:p>
              </w:tc>
            </w:tr>
            <w:tr w14:paraId="13435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987" w:type="dxa"/>
                  <w:vMerge w:val="restart"/>
                  <w:noWrap w:val="0"/>
                  <w:vAlign w:val="center"/>
                </w:tcPr>
                <w:p w14:paraId="366D552A">
                  <w:pPr>
                    <w:pStyle w:val="200"/>
                    <w:spacing w:before="24" w:after="24"/>
                    <w:rPr>
                      <w:rFonts w:hint="eastAsia" w:ascii="Times New Roman"/>
                      <w:color w:val="auto"/>
                      <w:sz w:val="18"/>
                      <w:szCs w:val="16"/>
                      <w:highlight w:val="none"/>
                    </w:rPr>
                  </w:pPr>
                  <w:r>
                    <w:rPr>
                      <w:rFonts w:hint="eastAsia" w:ascii="Times New Roman"/>
                      <w:color w:val="auto"/>
                      <w:sz w:val="18"/>
                      <w:szCs w:val="16"/>
                      <w:highlight w:val="none"/>
                      <w:lang w:val="en-US" w:eastAsia="zh-CN"/>
                    </w:rPr>
                    <w:t>P1</w:t>
                  </w:r>
                  <w:r>
                    <w:rPr>
                      <w:rFonts w:hint="eastAsia" w:ascii="Times New Roman"/>
                      <w:color w:val="auto"/>
                      <w:sz w:val="18"/>
                      <w:szCs w:val="16"/>
                      <w:highlight w:val="none"/>
                    </w:rPr>
                    <w:t>排气筒</w:t>
                  </w:r>
                </w:p>
              </w:tc>
              <w:tc>
                <w:tcPr>
                  <w:tcW w:w="978" w:type="dxa"/>
                  <w:noWrap w:val="0"/>
                  <w:vAlign w:val="center"/>
                </w:tcPr>
                <w:p w14:paraId="7A4B0C30">
                  <w:pPr>
                    <w:pStyle w:val="200"/>
                    <w:spacing w:before="24" w:after="24"/>
                    <w:rPr>
                      <w:rFonts w:hint="eastAsia" w:ascii="Times New Roman" w:eastAsia="宋体"/>
                      <w:color w:val="auto"/>
                      <w:kern w:val="0"/>
                      <w:sz w:val="18"/>
                      <w:szCs w:val="16"/>
                      <w:highlight w:val="none"/>
                      <w:lang w:val="en-US" w:eastAsia="zh-CN" w:bidi="ar-SA"/>
                    </w:rPr>
                  </w:pPr>
                  <w:r>
                    <w:rPr>
                      <w:rFonts w:hint="eastAsia" w:ascii="Times New Roman"/>
                      <w:color w:val="auto"/>
                      <w:sz w:val="18"/>
                      <w:szCs w:val="16"/>
                      <w:highlight w:val="none"/>
                      <w:lang w:val="en-US" w:eastAsia="zh-CN"/>
                    </w:rPr>
                    <w:t>酸雾吸收塔</w:t>
                  </w:r>
                  <w:r>
                    <w:rPr>
                      <w:rFonts w:hint="eastAsia" w:ascii="Times New Roman"/>
                      <w:color w:val="auto"/>
                      <w:sz w:val="18"/>
                      <w:szCs w:val="16"/>
                      <w:highlight w:val="none"/>
                    </w:rPr>
                    <w:t>运转异常</w:t>
                  </w:r>
                </w:p>
              </w:tc>
              <w:tc>
                <w:tcPr>
                  <w:tcW w:w="979" w:type="dxa"/>
                  <w:noWrap w:val="0"/>
                  <w:vAlign w:val="center"/>
                </w:tcPr>
                <w:p w14:paraId="10A92509">
                  <w:pPr>
                    <w:pStyle w:val="200"/>
                    <w:spacing w:before="24" w:after="24"/>
                    <w:rPr>
                      <w:rFonts w:hint="default" w:ascii="Times New Roman" w:eastAsia="宋体"/>
                      <w:color w:val="auto"/>
                      <w:kern w:val="0"/>
                      <w:sz w:val="18"/>
                      <w:szCs w:val="16"/>
                      <w:highlight w:val="none"/>
                      <w:lang w:val="en-US" w:eastAsia="zh-CN" w:bidi="ar-SA"/>
                    </w:rPr>
                  </w:pPr>
                  <w:r>
                    <w:rPr>
                      <w:rFonts w:hint="eastAsia" w:ascii="Times New Roman" w:eastAsia="宋体"/>
                      <w:color w:val="auto"/>
                      <w:kern w:val="0"/>
                      <w:sz w:val="18"/>
                      <w:szCs w:val="16"/>
                      <w:highlight w:val="none"/>
                      <w:lang w:val="en-US" w:eastAsia="zh-CN" w:bidi="ar-SA"/>
                    </w:rPr>
                    <w:t>HCl</w:t>
                  </w:r>
                </w:p>
              </w:tc>
              <w:tc>
                <w:tcPr>
                  <w:tcW w:w="979" w:type="dxa"/>
                  <w:noWrap w:val="0"/>
                  <w:vAlign w:val="center"/>
                </w:tcPr>
                <w:p w14:paraId="03A0E05A">
                  <w:pPr>
                    <w:pStyle w:val="200"/>
                    <w:spacing w:before="24" w:after="24"/>
                    <w:rPr>
                      <w:rFonts w:hint="default" w:ascii="Times New Roman"/>
                      <w:color w:val="auto"/>
                      <w:kern w:val="0"/>
                      <w:sz w:val="18"/>
                      <w:szCs w:val="16"/>
                      <w:highlight w:val="none"/>
                      <w:lang w:val="en-US" w:eastAsia="zh-CN" w:bidi="ar-SA"/>
                    </w:rPr>
                  </w:pPr>
                  <w:r>
                    <w:rPr>
                      <w:rFonts w:hint="eastAsia" w:ascii="Times New Roman"/>
                      <w:color w:val="auto"/>
                      <w:sz w:val="18"/>
                      <w:szCs w:val="16"/>
                      <w:highlight w:val="none"/>
                      <w:lang w:val="en-US" w:eastAsia="zh-CN"/>
                    </w:rPr>
                    <w:t>3.28</w:t>
                  </w:r>
                </w:p>
              </w:tc>
              <w:tc>
                <w:tcPr>
                  <w:tcW w:w="982" w:type="dxa"/>
                  <w:noWrap w:val="0"/>
                  <w:vAlign w:val="center"/>
                </w:tcPr>
                <w:p w14:paraId="751FFF78">
                  <w:pPr>
                    <w:pStyle w:val="200"/>
                    <w:spacing w:before="24" w:after="24"/>
                    <w:rPr>
                      <w:rFonts w:hint="default" w:ascii="Times New Roman"/>
                      <w:color w:val="auto"/>
                      <w:kern w:val="0"/>
                      <w:sz w:val="18"/>
                      <w:szCs w:val="16"/>
                      <w:highlight w:val="none"/>
                      <w:lang w:val="en-US" w:eastAsia="zh-CN" w:bidi="ar-SA"/>
                    </w:rPr>
                  </w:pPr>
                  <w:r>
                    <w:rPr>
                      <w:rFonts w:hint="eastAsia" w:ascii="Times New Roman"/>
                      <w:color w:val="auto"/>
                      <w:sz w:val="18"/>
                      <w:szCs w:val="16"/>
                      <w:highlight w:val="none"/>
                      <w:lang w:val="en-US" w:eastAsia="zh-CN"/>
                    </w:rPr>
                    <w:t>1.64</w:t>
                  </w:r>
                </w:p>
              </w:tc>
              <w:tc>
                <w:tcPr>
                  <w:tcW w:w="1076" w:type="dxa"/>
                  <w:noWrap w:val="0"/>
                  <w:vAlign w:val="center"/>
                </w:tcPr>
                <w:p w14:paraId="1ED29EF1">
                  <w:pPr>
                    <w:pStyle w:val="200"/>
                    <w:spacing w:before="24" w:after="24"/>
                    <w:rPr>
                      <w:rFonts w:hint="default" w:ascii="Times New Roman"/>
                      <w:color w:val="auto"/>
                      <w:kern w:val="0"/>
                      <w:sz w:val="18"/>
                      <w:szCs w:val="16"/>
                      <w:highlight w:val="none"/>
                      <w:lang w:val="en-US" w:eastAsia="zh-CN" w:bidi="ar-SA"/>
                    </w:rPr>
                  </w:pPr>
                  <w:r>
                    <w:rPr>
                      <w:rFonts w:hint="eastAsia" w:ascii="Times New Roman"/>
                      <w:color w:val="auto"/>
                      <w:sz w:val="18"/>
                      <w:szCs w:val="16"/>
                      <w:highlight w:val="none"/>
                      <w:lang w:val="en-US" w:eastAsia="zh-CN"/>
                    </w:rPr>
                    <w:t>72.43</w:t>
                  </w:r>
                </w:p>
              </w:tc>
              <w:tc>
                <w:tcPr>
                  <w:tcW w:w="796" w:type="dxa"/>
                  <w:noWrap w:val="0"/>
                  <w:vAlign w:val="center"/>
                </w:tcPr>
                <w:p w14:paraId="334F3117">
                  <w:pPr>
                    <w:pStyle w:val="200"/>
                    <w:spacing w:before="24" w:after="24"/>
                    <w:rPr>
                      <w:rFonts w:hint="eastAsia" w:ascii="Times New Roman" w:eastAsia="宋体"/>
                      <w:color w:val="auto"/>
                      <w:kern w:val="0"/>
                      <w:sz w:val="18"/>
                      <w:szCs w:val="16"/>
                      <w:highlight w:val="none"/>
                      <w:lang w:val="en-US" w:eastAsia="zh-CN" w:bidi="ar-SA"/>
                    </w:rPr>
                  </w:pPr>
                  <w:r>
                    <w:rPr>
                      <w:rFonts w:hint="eastAsia" w:ascii="Times New Roman"/>
                      <w:color w:val="auto"/>
                      <w:sz w:val="18"/>
                      <w:szCs w:val="16"/>
                      <w:highlight w:val="none"/>
                      <w:lang w:val="en-US" w:eastAsia="zh-CN"/>
                    </w:rPr>
                    <w:t>1</w:t>
                  </w:r>
                </w:p>
              </w:tc>
              <w:tc>
                <w:tcPr>
                  <w:tcW w:w="796" w:type="dxa"/>
                  <w:noWrap w:val="0"/>
                  <w:vAlign w:val="center"/>
                </w:tcPr>
                <w:p w14:paraId="2AAE9B45">
                  <w:pPr>
                    <w:pStyle w:val="200"/>
                    <w:spacing w:before="24" w:after="24"/>
                    <w:rPr>
                      <w:rFonts w:hint="eastAsia" w:ascii="Times New Roman" w:eastAsia="宋体"/>
                      <w:color w:val="auto"/>
                      <w:kern w:val="0"/>
                      <w:sz w:val="18"/>
                      <w:szCs w:val="16"/>
                      <w:highlight w:val="none"/>
                      <w:lang w:val="en-US" w:eastAsia="zh-CN" w:bidi="ar-SA"/>
                    </w:rPr>
                  </w:pPr>
                  <w:r>
                    <w:rPr>
                      <w:rFonts w:hint="eastAsia" w:ascii="Times New Roman"/>
                      <w:color w:val="auto"/>
                      <w:sz w:val="18"/>
                      <w:szCs w:val="16"/>
                      <w:highlight w:val="none"/>
                      <w:lang w:val="en-US" w:eastAsia="zh-CN"/>
                    </w:rPr>
                    <w:t>2</w:t>
                  </w:r>
                </w:p>
              </w:tc>
              <w:tc>
                <w:tcPr>
                  <w:tcW w:w="797" w:type="dxa"/>
                  <w:vMerge w:val="restart"/>
                  <w:noWrap w:val="0"/>
                  <w:vAlign w:val="center"/>
                </w:tcPr>
                <w:p w14:paraId="04F91052">
                  <w:pPr>
                    <w:pStyle w:val="200"/>
                    <w:spacing w:before="24" w:after="24"/>
                    <w:rPr>
                      <w:rFonts w:ascii="Times New Roman"/>
                      <w:color w:val="auto"/>
                      <w:sz w:val="18"/>
                      <w:szCs w:val="16"/>
                      <w:highlight w:val="none"/>
                    </w:rPr>
                  </w:pPr>
                  <w:r>
                    <w:rPr>
                      <w:rFonts w:ascii="Times New Roman"/>
                      <w:color w:val="auto"/>
                      <w:sz w:val="18"/>
                      <w:szCs w:val="16"/>
                      <w:highlight w:val="none"/>
                    </w:rPr>
                    <w:t>立即启动紧急停车装置</w:t>
                  </w:r>
                </w:p>
              </w:tc>
            </w:tr>
            <w:tr w14:paraId="5829C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987" w:type="dxa"/>
                  <w:vMerge w:val="continue"/>
                  <w:noWrap w:val="0"/>
                  <w:vAlign w:val="center"/>
                </w:tcPr>
                <w:p w14:paraId="28C57E82">
                  <w:pPr>
                    <w:pStyle w:val="200"/>
                    <w:spacing w:before="24" w:after="24"/>
                    <w:rPr>
                      <w:rFonts w:hint="eastAsia" w:ascii="Times New Roman"/>
                      <w:color w:val="auto"/>
                      <w:sz w:val="18"/>
                      <w:szCs w:val="16"/>
                      <w:highlight w:val="none"/>
                    </w:rPr>
                  </w:pPr>
                </w:p>
              </w:tc>
              <w:tc>
                <w:tcPr>
                  <w:tcW w:w="978" w:type="dxa"/>
                  <w:noWrap w:val="0"/>
                  <w:vAlign w:val="center"/>
                </w:tcPr>
                <w:p w14:paraId="6CED20AB">
                  <w:pPr>
                    <w:pStyle w:val="200"/>
                    <w:spacing w:before="24" w:after="24"/>
                    <w:rPr>
                      <w:rFonts w:hint="default" w:ascii="Times New Roman" w:eastAsia="宋体"/>
                      <w:color w:val="auto"/>
                      <w:sz w:val="18"/>
                      <w:szCs w:val="16"/>
                      <w:highlight w:val="none"/>
                      <w:lang w:val="en-US" w:eastAsia="zh-CN"/>
                    </w:rPr>
                  </w:pPr>
                  <w:r>
                    <w:rPr>
                      <w:rFonts w:hint="eastAsia" w:ascii="Times New Roman"/>
                      <w:color w:val="auto"/>
                      <w:sz w:val="18"/>
                      <w:szCs w:val="16"/>
                      <w:highlight w:val="none"/>
                      <w:lang w:val="en-US" w:eastAsia="zh-CN"/>
                    </w:rPr>
                    <w:t>二级活性炭吸附装置</w:t>
                  </w:r>
                  <w:r>
                    <w:rPr>
                      <w:rFonts w:hint="eastAsia" w:ascii="Times New Roman"/>
                      <w:color w:val="auto"/>
                      <w:sz w:val="18"/>
                      <w:szCs w:val="16"/>
                      <w:highlight w:val="none"/>
                    </w:rPr>
                    <w:t>运转异常</w:t>
                  </w:r>
                </w:p>
              </w:tc>
              <w:tc>
                <w:tcPr>
                  <w:tcW w:w="979" w:type="dxa"/>
                  <w:noWrap w:val="0"/>
                  <w:vAlign w:val="center"/>
                </w:tcPr>
                <w:p w14:paraId="5D49A745">
                  <w:pPr>
                    <w:pStyle w:val="200"/>
                    <w:spacing w:before="24" w:after="24"/>
                    <w:rPr>
                      <w:rFonts w:hint="default" w:ascii="Times New Roman" w:eastAsia="宋体"/>
                      <w:color w:val="auto"/>
                      <w:sz w:val="18"/>
                      <w:szCs w:val="16"/>
                      <w:highlight w:val="none"/>
                      <w:lang w:val="en-US" w:eastAsia="zh-CN"/>
                    </w:rPr>
                  </w:pPr>
                  <w:r>
                    <w:rPr>
                      <w:rFonts w:hint="eastAsia" w:ascii="Times New Roman" w:eastAsia="宋体"/>
                      <w:color w:val="auto"/>
                      <w:sz w:val="18"/>
                      <w:szCs w:val="16"/>
                      <w:highlight w:val="none"/>
                      <w:lang w:val="en-US" w:eastAsia="zh-CN"/>
                    </w:rPr>
                    <w:t>VOCs</w:t>
                  </w:r>
                </w:p>
              </w:tc>
              <w:tc>
                <w:tcPr>
                  <w:tcW w:w="979" w:type="dxa"/>
                  <w:noWrap w:val="0"/>
                  <w:vAlign w:val="center"/>
                </w:tcPr>
                <w:p w14:paraId="1B7AE30A">
                  <w:pPr>
                    <w:pStyle w:val="200"/>
                    <w:spacing w:before="24" w:after="24"/>
                    <w:rPr>
                      <w:rFonts w:hint="default" w:ascii="Times New Roman"/>
                      <w:color w:val="auto"/>
                      <w:sz w:val="18"/>
                      <w:szCs w:val="16"/>
                      <w:highlight w:val="none"/>
                      <w:lang w:val="en-US" w:eastAsia="zh-CN"/>
                    </w:rPr>
                  </w:pPr>
                  <w:r>
                    <w:rPr>
                      <w:rFonts w:hint="eastAsia" w:ascii="Times New Roman"/>
                      <w:color w:val="auto"/>
                      <w:sz w:val="18"/>
                      <w:szCs w:val="16"/>
                      <w:highlight w:val="none"/>
                      <w:lang w:val="en-US" w:eastAsia="zh-CN"/>
                    </w:rPr>
                    <w:t>0.326</w:t>
                  </w:r>
                </w:p>
              </w:tc>
              <w:tc>
                <w:tcPr>
                  <w:tcW w:w="982" w:type="dxa"/>
                  <w:noWrap w:val="0"/>
                  <w:vAlign w:val="center"/>
                </w:tcPr>
                <w:p w14:paraId="51E9E21D">
                  <w:pPr>
                    <w:pStyle w:val="200"/>
                    <w:spacing w:before="24" w:after="24"/>
                    <w:rPr>
                      <w:rFonts w:hint="default" w:ascii="Times New Roman"/>
                      <w:color w:val="auto"/>
                      <w:sz w:val="18"/>
                      <w:szCs w:val="16"/>
                      <w:highlight w:val="none"/>
                      <w:lang w:val="en-US" w:eastAsia="zh-CN"/>
                    </w:rPr>
                  </w:pPr>
                  <w:r>
                    <w:rPr>
                      <w:rFonts w:hint="eastAsia" w:ascii="Times New Roman"/>
                      <w:color w:val="auto"/>
                      <w:sz w:val="18"/>
                      <w:szCs w:val="16"/>
                      <w:highlight w:val="none"/>
                      <w:lang w:val="en-US" w:eastAsia="zh-CN"/>
                    </w:rPr>
                    <w:t>0.163</w:t>
                  </w:r>
                </w:p>
              </w:tc>
              <w:tc>
                <w:tcPr>
                  <w:tcW w:w="1076" w:type="dxa"/>
                  <w:noWrap w:val="0"/>
                  <w:vAlign w:val="center"/>
                </w:tcPr>
                <w:p w14:paraId="2E053BA5">
                  <w:pPr>
                    <w:pStyle w:val="200"/>
                    <w:spacing w:before="24" w:after="24"/>
                    <w:rPr>
                      <w:rFonts w:hint="default" w:ascii="Times New Roman"/>
                      <w:color w:val="auto"/>
                      <w:sz w:val="18"/>
                      <w:szCs w:val="16"/>
                      <w:highlight w:val="none"/>
                      <w:lang w:val="en-US" w:eastAsia="zh-CN"/>
                    </w:rPr>
                  </w:pPr>
                  <w:r>
                    <w:rPr>
                      <w:rFonts w:hint="eastAsia" w:ascii="Times New Roman"/>
                      <w:color w:val="auto"/>
                      <w:sz w:val="18"/>
                      <w:szCs w:val="16"/>
                      <w:highlight w:val="none"/>
                      <w:lang w:val="en-US" w:eastAsia="zh-CN"/>
                    </w:rPr>
                    <w:t>6.5</w:t>
                  </w:r>
                </w:p>
              </w:tc>
              <w:tc>
                <w:tcPr>
                  <w:tcW w:w="796" w:type="dxa"/>
                  <w:noWrap w:val="0"/>
                  <w:vAlign w:val="center"/>
                </w:tcPr>
                <w:p w14:paraId="2FE492F2">
                  <w:pPr>
                    <w:pStyle w:val="200"/>
                    <w:spacing w:before="24" w:after="24"/>
                    <w:rPr>
                      <w:rFonts w:hint="eastAsia" w:ascii="Times New Roman" w:eastAsia="宋体"/>
                      <w:color w:val="auto"/>
                      <w:sz w:val="18"/>
                      <w:szCs w:val="16"/>
                      <w:highlight w:val="none"/>
                      <w:lang w:val="en-US" w:eastAsia="zh-CN"/>
                    </w:rPr>
                  </w:pPr>
                  <w:r>
                    <w:rPr>
                      <w:rFonts w:hint="eastAsia" w:ascii="Times New Roman"/>
                      <w:color w:val="auto"/>
                      <w:sz w:val="18"/>
                      <w:szCs w:val="16"/>
                      <w:highlight w:val="none"/>
                      <w:lang w:val="en-US" w:eastAsia="zh-CN"/>
                    </w:rPr>
                    <w:t>1</w:t>
                  </w:r>
                </w:p>
              </w:tc>
              <w:tc>
                <w:tcPr>
                  <w:tcW w:w="796" w:type="dxa"/>
                  <w:noWrap w:val="0"/>
                  <w:vAlign w:val="center"/>
                </w:tcPr>
                <w:p w14:paraId="020DFCAC">
                  <w:pPr>
                    <w:pStyle w:val="200"/>
                    <w:spacing w:before="24" w:after="24"/>
                    <w:rPr>
                      <w:rFonts w:hint="eastAsia" w:ascii="Times New Roman" w:eastAsia="宋体"/>
                      <w:color w:val="auto"/>
                      <w:sz w:val="18"/>
                      <w:szCs w:val="16"/>
                      <w:highlight w:val="none"/>
                      <w:lang w:val="en-US" w:eastAsia="zh-CN"/>
                    </w:rPr>
                  </w:pPr>
                  <w:r>
                    <w:rPr>
                      <w:rFonts w:hint="eastAsia" w:ascii="Times New Roman"/>
                      <w:color w:val="auto"/>
                      <w:sz w:val="18"/>
                      <w:szCs w:val="16"/>
                      <w:highlight w:val="none"/>
                      <w:lang w:val="en-US" w:eastAsia="zh-CN"/>
                    </w:rPr>
                    <w:t>2</w:t>
                  </w:r>
                </w:p>
              </w:tc>
              <w:tc>
                <w:tcPr>
                  <w:tcW w:w="797" w:type="dxa"/>
                  <w:vMerge w:val="continue"/>
                  <w:noWrap w:val="0"/>
                  <w:vAlign w:val="center"/>
                </w:tcPr>
                <w:p w14:paraId="477EFDC0">
                  <w:pPr>
                    <w:pStyle w:val="200"/>
                    <w:spacing w:before="24" w:after="24"/>
                    <w:rPr>
                      <w:rFonts w:ascii="Times New Roman"/>
                      <w:color w:val="auto"/>
                      <w:sz w:val="18"/>
                      <w:szCs w:val="16"/>
                      <w:highlight w:val="none"/>
                    </w:rPr>
                  </w:pPr>
                </w:p>
              </w:tc>
            </w:tr>
          </w:tbl>
          <w:p w14:paraId="4C91B7ED">
            <w:pPr>
              <w:adjustRightInd w:val="0"/>
              <w:snapToGrid w:val="0"/>
              <w:spacing w:line="360" w:lineRule="auto"/>
              <w:ind w:firstLine="420" w:firstLineChars="200"/>
              <w:rPr>
                <w:color w:val="auto"/>
                <w:highlight w:val="none"/>
              </w:rPr>
            </w:pPr>
            <w:r>
              <w:rPr>
                <w:color w:val="auto"/>
                <w:highlight w:val="none"/>
              </w:rPr>
              <w:t>由上表可知，非正常工况下，</w:t>
            </w:r>
            <w:r>
              <w:rPr>
                <w:rFonts w:hint="eastAsia"/>
                <w:color w:val="auto"/>
                <w:highlight w:val="none"/>
                <w:lang w:val="en-US" w:eastAsia="zh-CN"/>
              </w:rPr>
              <w:t>P1</w:t>
            </w:r>
            <w:r>
              <w:rPr>
                <w:rFonts w:hint="eastAsia"/>
                <w:color w:val="auto"/>
                <w:highlight w:val="none"/>
              </w:rPr>
              <w:t>排气筒HCl</w:t>
            </w:r>
            <w:r>
              <w:rPr>
                <w:color w:val="auto"/>
                <w:highlight w:val="none"/>
              </w:rPr>
              <w:t>超标。因此，为防止生产废气非正常工况排放，企业必须加强废气处理设施的管理，定期检修，确保废气处理设施正常运行，在废气处理设备停止运行或出现故障时，产生废气的各工序也必须相应停止生产。为杜绝废气非正常排放，应采取以下措施确保废气达标排放：</w:t>
            </w:r>
          </w:p>
          <w:p w14:paraId="786B6F8B">
            <w:pPr>
              <w:adjustRightInd w:val="0"/>
              <w:snapToGrid w:val="0"/>
              <w:spacing w:line="360" w:lineRule="auto"/>
              <w:ind w:firstLine="420" w:firstLineChars="200"/>
              <w:rPr>
                <w:color w:val="auto"/>
                <w:highlight w:val="none"/>
              </w:rPr>
            </w:pPr>
            <w:r>
              <w:rPr>
                <w:color w:val="auto"/>
                <w:highlight w:val="none"/>
              </w:rPr>
              <w:t>①安排专人负责环保设备的日常维护和管理，每个固定时间检查、汇报情况，及时发现废气处理设备的隐患，确保废气处理系统正常运行；</w:t>
            </w:r>
          </w:p>
          <w:p w14:paraId="543BB31F">
            <w:pPr>
              <w:adjustRightInd w:val="0"/>
              <w:snapToGrid w:val="0"/>
              <w:spacing w:line="360" w:lineRule="auto"/>
              <w:ind w:firstLine="420" w:firstLineChars="200"/>
              <w:rPr>
                <w:color w:val="auto"/>
                <w:highlight w:val="none"/>
              </w:rPr>
            </w:pPr>
            <w:r>
              <w:rPr>
                <w:color w:val="auto"/>
                <w:highlight w:val="none"/>
              </w:rPr>
              <w:t>②建立健全的环保管理机构，对环保管理人员和技术人员进行岗位培训，委托具有专业资质的环境检测单位对项目排放的各类污染物进行定期检测；</w:t>
            </w:r>
          </w:p>
          <w:p w14:paraId="28DEE40A">
            <w:pPr>
              <w:adjustRightInd w:val="0"/>
              <w:snapToGrid w:val="0"/>
              <w:spacing w:line="360" w:lineRule="auto"/>
              <w:ind w:firstLine="420" w:firstLineChars="200"/>
              <w:rPr>
                <w:color w:val="auto"/>
                <w:highlight w:val="none"/>
              </w:rPr>
            </w:pPr>
            <w:r>
              <w:rPr>
                <w:color w:val="auto"/>
                <w:highlight w:val="none"/>
              </w:rPr>
              <w:t>③应定期维护、检修废气净化装置，以保持废气处理装置的净化能力和净化容量。</w:t>
            </w:r>
          </w:p>
          <w:p w14:paraId="54AD57B9">
            <w:pPr>
              <w:spacing w:line="360" w:lineRule="auto"/>
              <w:ind w:firstLine="422" w:firstLineChars="200"/>
              <w:rPr>
                <w:b/>
                <w:bCs/>
                <w:color w:val="auto"/>
                <w:highlight w:val="none"/>
              </w:rPr>
            </w:pPr>
            <w:r>
              <w:rPr>
                <w:rFonts w:hint="eastAsia"/>
                <w:b/>
                <w:bCs/>
                <w:color w:val="auto"/>
                <w:highlight w:val="none"/>
                <w:lang w:val="en-US" w:eastAsia="zh-CN"/>
              </w:rPr>
              <w:t>8</w:t>
            </w:r>
            <w:r>
              <w:rPr>
                <w:rFonts w:hint="eastAsia"/>
                <w:b/>
                <w:bCs/>
                <w:color w:val="auto"/>
                <w:highlight w:val="none"/>
              </w:rPr>
              <w:t>、</w:t>
            </w:r>
            <w:r>
              <w:rPr>
                <w:b/>
                <w:bCs/>
                <w:color w:val="auto"/>
                <w:highlight w:val="none"/>
                <w:lang w:val="zh-CN"/>
              </w:rPr>
              <w:t>监测要求</w:t>
            </w:r>
          </w:p>
          <w:p w14:paraId="4DE14BF5">
            <w:pPr>
              <w:adjustRightInd w:val="0"/>
              <w:snapToGrid w:val="0"/>
              <w:spacing w:line="360" w:lineRule="auto"/>
              <w:ind w:firstLine="420" w:firstLineChars="200"/>
              <w:rPr>
                <w:color w:val="auto"/>
                <w:highlight w:val="none"/>
              </w:rPr>
            </w:pPr>
            <w:r>
              <w:rPr>
                <w:color w:val="auto"/>
                <w:highlight w:val="none"/>
              </w:rPr>
              <w:t>根据</w:t>
            </w:r>
            <w:r>
              <w:rPr>
                <w:rFonts w:hint="eastAsia"/>
                <w:color w:val="auto"/>
                <w:highlight w:val="none"/>
                <w:lang w:eastAsia="zh-CN"/>
              </w:rPr>
              <w:t>《</w:t>
            </w:r>
            <w:r>
              <w:rPr>
                <w:rFonts w:hint="eastAsia"/>
                <w:color w:val="auto"/>
                <w:highlight w:val="none"/>
              </w:rPr>
              <w:t>排污单位自行监测技术指南 总则</w:t>
            </w:r>
            <w:r>
              <w:rPr>
                <w:rFonts w:hint="eastAsia"/>
                <w:color w:val="auto"/>
                <w:highlight w:val="none"/>
                <w:lang w:eastAsia="zh-CN"/>
              </w:rPr>
              <w:t>》（</w:t>
            </w:r>
            <w:r>
              <w:rPr>
                <w:rFonts w:hint="eastAsia"/>
                <w:color w:val="auto"/>
                <w:highlight w:val="none"/>
              </w:rPr>
              <w:t>HJ 819-2017</w:t>
            </w:r>
            <w:r>
              <w:rPr>
                <w:rFonts w:hint="eastAsia"/>
                <w:color w:val="auto"/>
                <w:highlight w:val="none"/>
                <w:lang w:eastAsia="zh-CN"/>
              </w:rPr>
              <w:t>）、《排污单位自行监测技术指南 无机化学工业》（HJ 1138—2020</w:t>
            </w:r>
            <w:r>
              <w:rPr>
                <w:rFonts w:hint="eastAsia"/>
                <w:color w:val="auto"/>
                <w:highlight w:val="none"/>
                <w:lang w:val="en-US" w:eastAsia="zh-CN"/>
              </w:rPr>
              <w:t>）</w:t>
            </w:r>
            <w:r>
              <w:rPr>
                <w:color w:val="auto"/>
                <w:highlight w:val="none"/>
              </w:rPr>
              <w:t>，排污许可证管理级别为</w:t>
            </w:r>
            <w:r>
              <w:rPr>
                <w:rFonts w:hint="eastAsia"/>
                <w:color w:val="auto"/>
                <w:highlight w:val="none"/>
                <w:lang w:val="en-US" w:eastAsia="zh-CN"/>
              </w:rPr>
              <w:t>简化</w:t>
            </w:r>
            <w:r>
              <w:rPr>
                <w:color w:val="auto"/>
                <w:highlight w:val="none"/>
              </w:rPr>
              <w:t>管理</w:t>
            </w:r>
            <w:r>
              <w:rPr>
                <w:rFonts w:hint="eastAsia"/>
                <w:color w:val="auto"/>
                <w:highlight w:val="none"/>
                <w:lang w:eastAsia="zh-CN"/>
              </w:rPr>
              <w:t>，</w:t>
            </w:r>
            <w:r>
              <w:rPr>
                <w:color w:val="auto"/>
                <w:highlight w:val="none"/>
              </w:rPr>
              <w:t>本项目废气自行监测方案如下：</w:t>
            </w:r>
          </w:p>
          <w:p w14:paraId="38C265C1">
            <w:pPr>
              <w:adjustRightInd w:val="0"/>
              <w:snapToGrid w:val="0"/>
              <w:ind w:firstLine="422" w:firstLineChars="200"/>
              <w:jc w:val="center"/>
              <w:rPr>
                <w:b/>
                <w:bCs/>
                <w:color w:val="auto"/>
                <w:highlight w:val="none"/>
              </w:rPr>
            </w:pPr>
            <w:r>
              <w:rPr>
                <w:b/>
                <w:bCs/>
                <w:color w:val="auto"/>
                <w:highlight w:val="none"/>
              </w:rPr>
              <w:t>表4-</w:t>
            </w:r>
            <w:r>
              <w:rPr>
                <w:rFonts w:hint="eastAsia"/>
                <w:b/>
                <w:bCs/>
                <w:color w:val="auto"/>
                <w:highlight w:val="none"/>
                <w:lang w:val="en-US" w:eastAsia="zh-CN"/>
              </w:rPr>
              <w:t>6</w:t>
            </w:r>
            <w:r>
              <w:rPr>
                <w:b/>
                <w:bCs/>
                <w:color w:val="auto"/>
                <w:highlight w:val="none"/>
              </w:rPr>
              <w:t>本项目废气自行监测方案</w:t>
            </w:r>
          </w:p>
          <w:tbl>
            <w:tblPr>
              <w:tblStyle w:val="83"/>
              <w:tblW w:w="83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0"/>
              <w:gridCol w:w="1454"/>
              <w:gridCol w:w="1714"/>
              <w:gridCol w:w="12"/>
              <w:gridCol w:w="1401"/>
              <w:gridCol w:w="2174"/>
            </w:tblGrid>
            <w:tr w14:paraId="7CCAD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0" w:type="dxa"/>
                  <w:noWrap w:val="0"/>
                  <w:tcMar>
                    <w:top w:w="0" w:type="dxa"/>
                    <w:left w:w="0" w:type="dxa"/>
                    <w:bottom w:w="0" w:type="dxa"/>
                    <w:right w:w="0" w:type="dxa"/>
                  </w:tcMar>
                  <w:vAlign w:val="center"/>
                </w:tcPr>
                <w:p w14:paraId="3D4491B5">
                  <w:pPr>
                    <w:contextualSpacing/>
                    <w:jc w:val="center"/>
                    <w:rPr>
                      <w:b/>
                      <w:bCs/>
                      <w:color w:val="auto"/>
                      <w:sz w:val="18"/>
                      <w:szCs w:val="18"/>
                      <w:highlight w:val="none"/>
                    </w:rPr>
                  </w:pPr>
                  <w:r>
                    <w:rPr>
                      <w:b/>
                      <w:bCs/>
                      <w:color w:val="auto"/>
                      <w:sz w:val="18"/>
                      <w:szCs w:val="18"/>
                      <w:highlight w:val="none"/>
                    </w:rPr>
                    <w:t>排放口编号</w:t>
                  </w:r>
                </w:p>
              </w:tc>
              <w:tc>
                <w:tcPr>
                  <w:tcW w:w="1454" w:type="dxa"/>
                  <w:noWrap w:val="0"/>
                  <w:tcMar>
                    <w:top w:w="0" w:type="dxa"/>
                    <w:left w:w="0" w:type="dxa"/>
                    <w:bottom w:w="0" w:type="dxa"/>
                    <w:right w:w="0" w:type="dxa"/>
                  </w:tcMar>
                  <w:vAlign w:val="center"/>
                </w:tcPr>
                <w:p w14:paraId="6805824C">
                  <w:pPr>
                    <w:contextualSpacing/>
                    <w:jc w:val="center"/>
                    <w:rPr>
                      <w:b/>
                      <w:bCs/>
                      <w:color w:val="auto"/>
                      <w:sz w:val="18"/>
                      <w:szCs w:val="18"/>
                      <w:highlight w:val="none"/>
                    </w:rPr>
                  </w:pPr>
                  <w:r>
                    <w:rPr>
                      <w:b/>
                      <w:bCs/>
                      <w:color w:val="auto"/>
                      <w:sz w:val="18"/>
                      <w:szCs w:val="18"/>
                      <w:highlight w:val="none"/>
                    </w:rPr>
                    <w:t>监测点位</w:t>
                  </w:r>
                </w:p>
              </w:tc>
              <w:tc>
                <w:tcPr>
                  <w:tcW w:w="1726" w:type="dxa"/>
                  <w:gridSpan w:val="2"/>
                  <w:noWrap w:val="0"/>
                  <w:tcMar>
                    <w:top w:w="0" w:type="dxa"/>
                    <w:left w:w="0" w:type="dxa"/>
                    <w:bottom w:w="0" w:type="dxa"/>
                    <w:right w:w="0" w:type="dxa"/>
                  </w:tcMar>
                  <w:vAlign w:val="center"/>
                </w:tcPr>
                <w:p w14:paraId="3C227C73">
                  <w:pPr>
                    <w:contextualSpacing/>
                    <w:jc w:val="center"/>
                    <w:rPr>
                      <w:b/>
                      <w:bCs/>
                      <w:color w:val="auto"/>
                      <w:sz w:val="18"/>
                      <w:szCs w:val="18"/>
                      <w:highlight w:val="none"/>
                    </w:rPr>
                  </w:pPr>
                  <w:r>
                    <w:rPr>
                      <w:b/>
                      <w:bCs/>
                      <w:color w:val="auto"/>
                      <w:sz w:val="18"/>
                      <w:szCs w:val="18"/>
                      <w:highlight w:val="none"/>
                    </w:rPr>
                    <w:t>监测因子</w:t>
                  </w:r>
                </w:p>
              </w:tc>
              <w:tc>
                <w:tcPr>
                  <w:tcW w:w="1401" w:type="dxa"/>
                  <w:noWrap w:val="0"/>
                  <w:tcMar>
                    <w:top w:w="0" w:type="dxa"/>
                    <w:left w:w="0" w:type="dxa"/>
                    <w:bottom w:w="0" w:type="dxa"/>
                    <w:right w:w="0" w:type="dxa"/>
                  </w:tcMar>
                  <w:vAlign w:val="center"/>
                </w:tcPr>
                <w:p w14:paraId="02C76900">
                  <w:pPr>
                    <w:contextualSpacing/>
                    <w:jc w:val="center"/>
                    <w:rPr>
                      <w:b/>
                      <w:bCs/>
                      <w:color w:val="auto"/>
                      <w:sz w:val="18"/>
                      <w:szCs w:val="18"/>
                      <w:highlight w:val="none"/>
                    </w:rPr>
                  </w:pPr>
                  <w:r>
                    <w:rPr>
                      <w:b/>
                      <w:bCs/>
                      <w:color w:val="auto"/>
                      <w:sz w:val="18"/>
                      <w:szCs w:val="18"/>
                      <w:highlight w:val="none"/>
                    </w:rPr>
                    <w:t>监测频次</w:t>
                  </w:r>
                </w:p>
              </w:tc>
              <w:tc>
                <w:tcPr>
                  <w:tcW w:w="2174" w:type="dxa"/>
                  <w:noWrap w:val="0"/>
                  <w:tcMar>
                    <w:top w:w="0" w:type="dxa"/>
                    <w:left w:w="0" w:type="dxa"/>
                    <w:bottom w:w="0" w:type="dxa"/>
                    <w:right w:w="0" w:type="dxa"/>
                  </w:tcMar>
                  <w:vAlign w:val="center"/>
                </w:tcPr>
                <w:p w14:paraId="3EAB8C5A">
                  <w:pPr>
                    <w:contextualSpacing/>
                    <w:jc w:val="center"/>
                    <w:rPr>
                      <w:b/>
                      <w:bCs/>
                      <w:color w:val="auto"/>
                      <w:sz w:val="18"/>
                      <w:szCs w:val="18"/>
                      <w:highlight w:val="none"/>
                    </w:rPr>
                  </w:pPr>
                  <w:r>
                    <w:rPr>
                      <w:b/>
                      <w:bCs/>
                      <w:color w:val="auto"/>
                      <w:sz w:val="18"/>
                      <w:szCs w:val="18"/>
                      <w:highlight w:val="none"/>
                    </w:rPr>
                    <w:t>标准限值</w:t>
                  </w:r>
                </w:p>
              </w:tc>
            </w:tr>
            <w:tr w14:paraId="4C4D4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0" w:type="dxa"/>
                  <w:noWrap w:val="0"/>
                  <w:tcMar>
                    <w:top w:w="0" w:type="dxa"/>
                    <w:left w:w="0" w:type="dxa"/>
                    <w:bottom w:w="0" w:type="dxa"/>
                    <w:right w:w="0" w:type="dxa"/>
                  </w:tcMar>
                  <w:vAlign w:val="center"/>
                </w:tcPr>
                <w:p w14:paraId="65EDEDE6">
                  <w:pPr>
                    <w:spacing w:line="240" w:lineRule="exact"/>
                    <w:jc w:val="center"/>
                    <w:rPr>
                      <w:rFonts w:hint="eastAsia" w:eastAsia="宋体"/>
                      <w:color w:val="auto"/>
                      <w:sz w:val="18"/>
                      <w:szCs w:val="18"/>
                      <w:highlight w:val="none"/>
                      <w:lang w:eastAsia="zh-CN"/>
                    </w:rPr>
                  </w:pPr>
                  <w:r>
                    <w:rPr>
                      <w:rFonts w:hint="eastAsia"/>
                      <w:color w:val="auto"/>
                      <w:sz w:val="18"/>
                      <w:szCs w:val="18"/>
                      <w:highlight w:val="none"/>
                      <w:lang w:val="en-US" w:eastAsia="zh-CN"/>
                    </w:rPr>
                    <w:t>P</w:t>
                  </w:r>
                </w:p>
              </w:tc>
              <w:tc>
                <w:tcPr>
                  <w:tcW w:w="1454" w:type="dxa"/>
                  <w:noWrap w:val="0"/>
                  <w:tcMar>
                    <w:top w:w="0" w:type="dxa"/>
                    <w:left w:w="0" w:type="dxa"/>
                    <w:bottom w:w="0" w:type="dxa"/>
                    <w:right w:w="0" w:type="dxa"/>
                  </w:tcMar>
                  <w:vAlign w:val="center"/>
                </w:tcPr>
                <w:p w14:paraId="09960B20">
                  <w:pPr>
                    <w:spacing w:line="240" w:lineRule="exact"/>
                    <w:jc w:val="center"/>
                    <w:rPr>
                      <w:color w:val="auto"/>
                      <w:sz w:val="18"/>
                      <w:szCs w:val="18"/>
                      <w:highlight w:val="none"/>
                    </w:rPr>
                  </w:pPr>
                  <w:r>
                    <w:rPr>
                      <w:rFonts w:hint="eastAsia"/>
                      <w:color w:val="auto"/>
                      <w:sz w:val="18"/>
                      <w:szCs w:val="18"/>
                      <w:highlight w:val="none"/>
                    </w:rPr>
                    <w:t>进、</w:t>
                  </w:r>
                  <w:r>
                    <w:rPr>
                      <w:color w:val="auto"/>
                      <w:sz w:val="18"/>
                      <w:szCs w:val="18"/>
                      <w:highlight w:val="none"/>
                    </w:rPr>
                    <w:t>出口</w:t>
                  </w:r>
                </w:p>
              </w:tc>
              <w:tc>
                <w:tcPr>
                  <w:tcW w:w="1726" w:type="dxa"/>
                  <w:gridSpan w:val="2"/>
                  <w:noWrap w:val="0"/>
                  <w:tcMar>
                    <w:top w:w="0" w:type="dxa"/>
                    <w:left w:w="0" w:type="dxa"/>
                    <w:bottom w:w="0" w:type="dxa"/>
                    <w:right w:w="0" w:type="dxa"/>
                  </w:tcMar>
                  <w:vAlign w:val="center"/>
                </w:tcPr>
                <w:p w14:paraId="76779014">
                  <w:pPr>
                    <w:spacing w:line="240" w:lineRule="exact"/>
                    <w:jc w:val="center"/>
                    <w:rPr>
                      <w:rFonts w:hint="default" w:eastAsia="宋体"/>
                      <w:color w:val="auto"/>
                      <w:sz w:val="18"/>
                      <w:szCs w:val="18"/>
                      <w:highlight w:val="none"/>
                      <w:lang w:val="en-US" w:eastAsia="zh-CN"/>
                    </w:rPr>
                  </w:pPr>
                  <w:r>
                    <w:rPr>
                      <w:rFonts w:hint="eastAsia" w:eastAsia="宋体"/>
                      <w:color w:val="auto"/>
                      <w:sz w:val="18"/>
                      <w:szCs w:val="18"/>
                      <w:highlight w:val="none"/>
                      <w:lang w:val="en-US" w:eastAsia="zh-CN"/>
                    </w:rPr>
                    <w:t>氯化氢、VOCs</w:t>
                  </w:r>
                </w:p>
              </w:tc>
              <w:tc>
                <w:tcPr>
                  <w:tcW w:w="1401" w:type="dxa"/>
                  <w:noWrap w:val="0"/>
                  <w:tcMar>
                    <w:top w:w="0" w:type="dxa"/>
                    <w:left w:w="0" w:type="dxa"/>
                    <w:bottom w:w="0" w:type="dxa"/>
                    <w:right w:w="0" w:type="dxa"/>
                  </w:tcMar>
                  <w:vAlign w:val="top"/>
                </w:tcPr>
                <w:p w14:paraId="3AECFD08">
                  <w:pPr>
                    <w:spacing w:line="240" w:lineRule="exact"/>
                    <w:jc w:val="center"/>
                    <w:rPr>
                      <w:rFonts w:hint="eastAsia" w:eastAsia="宋体"/>
                      <w:color w:val="auto"/>
                      <w:sz w:val="18"/>
                      <w:szCs w:val="18"/>
                      <w:highlight w:val="none"/>
                      <w:lang w:eastAsia="zh-CN"/>
                    </w:rPr>
                  </w:pPr>
                  <w:r>
                    <w:rPr>
                      <w:rFonts w:hint="eastAsia"/>
                      <w:color w:val="auto"/>
                      <w:sz w:val="18"/>
                      <w:szCs w:val="18"/>
                      <w:highlight w:val="none"/>
                      <w:lang w:eastAsia="zh-CN"/>
                    </w:rPr>
                    <w:t>1次/半年</w:t>
                  </w:r>
                </w:p>
              </w:tc>
              <w:tc>
                <w:tcPr>
                  <w:tcW w:w="2174" w:type="dxa"/>
                  <w:noWrap w:val="0"/>
                  <w:tcMar>
                    <w:top w:w="0" w:type="dxa"/>
                    <w:left w:w="0" w:type="dxa"/>
                    <w:bottom w:w="0" w:type="dxa"/>
                    <w:right w:w="0" w:type="dxa"/>
                  </w:tcMar>
                  <w:vAlign w:val="center"/>
                </w:tcPr>
                <w:p w14:paraId="007EB768">
                  <w:pPr>
                    <w:spacing w:line="240" w:lineRule="exact"/>
                    <w:jc w:val="center"/>
                    <w:rPr>
                      <w:rFonts w:hint="eastAsia" w:eastAsia="宋体"/>
                      <w:color w:val="auto"/>
                      <w:sz w:val="18"/>
                      <w:szCs w:val="18"/>
                      <w:highlight w:val="none"/>
                      <w:vertAlign w:val="baseline"/>
                      <w:lang w:eastAsia="zh-CN"/>
                    </w:rPr>
                  </w:pPr>
                  <w:r>
                    <w:rPr>
                      <w:rFonts w:hint="eastAsia"/>
                      <w:color w:val="auto"/>
                      <w:sz w:val="18"/>
                      <w:szCs w:val="18"/>
                      <w:highlight w:val="none"/>
                      <w:lang w:val="en-US" w:eastAsia="zh-CN"/>
                    </w:rPr>
                    <w:t>氯化氢10</w:t>
                  </w:r>
                  <w:r>
                    <w:rPr>
                      <w:color w:val="auto"/>
                      <w:sz w:val="18"/>
                      <w:szCs w:val="18"/>
                      <w:highlight w:val="none"/>
                    </w:rPr>
                    <w:t xml:space="preserve"> mg/m</w:t>
                  </w:r>
                  <w:r>
                    <w:rPr>
                      <w:color w:val="auto"/>
                      <w:sz w:val="18"/>
                      <w:szCs w:val="18"/>
                      <w:highlight w:val="none"/>
                      <w:vertAlign w:val="superscript"/>
                    </w:rPr>
                    <w:t>3</w:t>
                  </w:r>
                  <w:r>
                    <w:rPr>
                      <w:rFonts w:hint="eastAsia"/>
                      <w:color w:val="auto"/>
                      <w:sz w:val="18"/>
                      <w:szCs w:val="18"/>
                      <w:highlight w:val="none"/>
                      <w:lang w:val="en-US" w:eastAsia="zh-CN"/>
                    </w:rPr>
                    <w:t>、</w:t>
                  </w:r>
                  <w:r>
                    <w:rPr>
                      <w:rFonts w:hint="eastAsia" w:eastAsia="宋体"/>
                      <w:color w:val="auto"/>
                      <w:sz w:val="18"/>
                      <w:szCs w:val="18"/>
                      <w:highlight w:val="none"/>
                      <w:lang w:val="en-US" w:eastAsia="zh-CN"/>
                    </w:rPr>
                    <w:t>VOCs</w:t>
                  </w:r>
                  <w:r>
                    <w:rPr>
                      <w:rFonts w:hint="eastAsia"/>
                      <w:color w:val="auto"/>
                      <w:sz w:val="18"/>
                      <w:szCs w:val="18"/>
                      <w:highlight w:val="none"/>
                      <w:lang w:val="en-US" w:eastAsia="zh-CN"/>
                    </w:rPr>
                    <w:t>60</w:t>
                  </w:r>
                  <w:r>
                    <w:rPr>
                      <w:color w:val="auto"/>
                      <w:sz w:val="18"/>
                      <w:szCs w:val="18"/>
                      <w:highlight w:val="none"/>
                    </w:rPr>
                    <w:t>mg/m</w:t>
                  </w:r>
                  <w:r>
                    <w:rPr>
                      <w:color w:val="auto"/>
                      <w:sz w:val="18"/>
                      <w:szCs w:val="18"/>
                      <w:highlight w:val="none"/>
                      <w:vertAlign w:val="superscript"/>
                    </w:rPr>
                    <w:t>3</w:t>
                  </w:r>
                  <w:r>
                    <w:rPr>
                      <w:rFonts w:hint="eastAsia"/>
                      <w:color w:val="auto"/>
                      <w:sz w:val="18"/>
                      <w:szCs w:val="18"/>
                      <w:highlight w:val="none"/>
                      <w:vertAlign w:val="baseline"/>
                      <w:lang w:eastAsia="zh-CN"/>
                    </w:rPr>
                    <w:t>、</w:t>
                  </w:r>
                  <w:r>
                    <w:rPr>
                      <w:rFonts w:hint="eastAsia"/>
                      <w:color w:val="auto"/>
                      <w:sz w:val="18"/>
                      <w:szCs w:val="18"/>
                      <w:highlight w:val="none"/>
                      <w:vertAlign w:val="baseline"/>
                      <w:lang w:val="en-US" w:eastAsia="zh-CN"/>
                    </w:rPr>
                    <w:t>3.0kg/h</w:t>
                  </w:r>
                </w:p>
              </w:tc>
            </w:tr>
            <w:tr w14:paraId="51B9C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0" w:type="dxa"/>
                  <w:tcBorders>
                    <w:left w:val="single" w:color="auto" w:sz="2" w:space="0"/>
                  </w:tcBorders>
                  <w:noWrap w:val="0"/>
                  <w:vAlign w:val="center"/>
                </w:tcPr>
                <w:p w14:paraId="3A234527">
                  <w:pPr>
                    <w:spacing w:line="240" w:lineRule="exact"/>
                    <w:jc w:val="center"/>
                    <w:rPr>
                      <w:color w:val="auto"/>
                      <w:sz w:val="18"/>
                      <w:szCs w:val="18"/>
                      <w:highlight w:val="none"/>
                    </w:rPr>
                  </w:pPr>
                  <w:r>
                    <w:rPr>
                      <w:color w:val="auto"/>
                      <w:sz w:val="18"/>
                      <w:szCs w:val="18"/>
                      <w:highlight w:val="none"/>
                    </w:rPr>
                    <w:t>无组织</w:t>
                  </w:r>
                </w:p>
              </w:tc>
              <w:tc>
                <w:tcPr>
                  <w:tcW w:w="1454" w:type="dxa"/>
                  <w:noWrap w:val="0"/>
                  <w:tcMar>
                    <w:top w:w="0" w:type="dxa"/>
                    <w:left w:w="0" w:type="dxa"/>
                    <w:bottom w:w="0" w:type="dxa"/>
                    <w:right w:w="0" w:type="dxa"/>
                  </w:tcMar>
                  <w:vAlign w:val="center"/>
                </w:tcPr>
                <w:p w14:paraId="5CFAF220">
                  <w:pPr>
                    <w:spacing w:line="240" w:lineRule="exact"/>
                    <w:jc w:val="center"/>
                    <w:rPr>
                      <w:color w:val="auto"/>
                      <w:sz w:val="18"/>
                      <w:szCs w:val="18"/>
                      <w:highlight w:val="none"/>
                    </w:rPr>
                  </w:pPr>
                  <w:r>
                    <w:rPr>
                      <w:color w:val="auto"/>
                      <w:sz w:val="18"/>
                      <w:szCs w:val="18"/>
                      <w:highlight w:val="none"/>
                    </w:rPr>
                    <w:t>厂界外</w:t>
                  </w:r>
                </w:p>
              </w:tc>
              <w:tc>
                <w:tcPr>
                  <w:tcW w:w="1714" w:type="dxa"/>
                  <w:noWrap w:val="0"/>
                  <w:tcMar>
                    <w:top w:w="0" w:type="dxa"/>
                    <w:left w:w="0" w:type="dxa"/>
                    <w:bottom w:w="0" w:type="dxa"/>
                    <w:right w:w="0" w:type="dxa"/>
                  </w:tcMar>
                  <w:vAlign w:val="center"/>
                </w:tcPr>
                <w:p w14:paraId="3D93B5B5">
                  <w:pPr>
                    <w:spacing w:line="240" w:lineRule="exact"/>
                    <w:jc w:val="center"/>
                    <w:rPr>
                      <w:rFonts w:hint="eastAsia" w:eastAsia="宋体"/>
                      <w:color w:val="auto"/>
                      <w:kern w:val="0"/>
                      <w:sz w:val="18"/>
                      <w:szCs w:val="18"/>
                      <w:highlight w:val="none"/>
                      <w:lang w:eastAsia="zh-CN"/>
                    </w:rPr>
                  </w:pPr>
                  <w:r>
                    <w:rPr>
                      <w:rFonts w:hint="eastAsia" w:eastAsia="宋体"/>
                      <w:color w:val="auto"/>
                      <w:sz w:val="18"/>
                      <w:szCs w:val="18"/>
                      <w:highlight w:val="none"/>
                      <w:lang w:val="en-US" w:eastAsia="zh-CN"/>
                    </w:rPr>
                    <w:t>氯化氢</w:t>
                  </w:r>
                </w:p>
              </w:tc>
              <w:tc>
                <w:tcPr>
                  <w:tcW w:w="1413" w:type="dxa"/>
                  <w:gridSpan w:val="2"/>
                  <w:noWrap w:val="0"/>
                  <w:tcMar>
                    <w:top w:w="0" w:type="dxa"/>
                    <w:left w:w="0" w:type="dxa"/>
                    <w:bottom w:w="0" w:type="dxa"/>
                    <w:right w:w="0" w:type="dxa"/>
                  </w:tcMar>
                  <w:vAlign w:val="center"/>
                </w:tcPr>
                <w:p w14:paraId="77FF33E3">
                  <w:pPr>
                    <w:widowControl/>
                    <w:jc w:val="center"/>
                    <w:textAlignment w:val="center"/>
                    <w:rPr>
                      <w:rFonts w:hint="eastAsia" w:eastAsia="宋体"/>
                      <w:color w:val="auto"/>
                      <w:kern w:val="0"/>
                      <w:sz w:val="18"/>
                      <w:szCs w:val="18"/>
                      <w:highlight w:val="none"/>
                      <w:lang w:eastAsia="zh-CN" w:bidi="ar"/>
                    </w:rPr>
                  </w:pPr>
                  <w:r>
                    <w:rPr>
                      <w:rFonts w:hint="eastAsia"/>
                      <w:color w:val="auto"/>
                      <w:sz w:val="18"/>
                      <w:szCs w:val="18"/>
                      <w:highlight w:val="none"/>
                      <w:lang w:eastAsia="zh-CN"/>
                    </w:rPr>
                    <w:t>1次/半年</w:t>
                  </w:r>
                </w:p>
              </w:tc>
              <w:tc>
                <w:tcPr>
                  <w:tcW w:w="2174" w:type="dxa"/>
                  <w:noWrap w:val="0"/>
                  <w:tcMar>
                    <w:top w:w="0" w:type="dxa"/>
                    <w:left w:w="0" w:type="dxa"/>
                    <w:bottom w:w="0" w:type="dxa"/>
                    <w:right w:w="0" w:type="dxa"/>
                  </w:tcMar>
                  <w:vAlign w:val="center"/>
                </w:tcPr>
                <w:p w14:paraId="50DA2272">
                  <w:pPr>
                    <w:jc w:val="center"/>
                    <w:rPr>
                      <w:color w:val="auto"/>
                      <w:sz w:val="18"/>
                      <w:szCs w:val="18"/>
                      <w:highlight w:val="none"/>
                    </w:rPr>
                  </w:pPr>
                  <w:r>
                    <w:rPr>
                      <w:rFonts w:hint="eastAsia"/>
                      <w:color w:val="auto"/>
                      <w:sz w:val="18"/>
                      <w:szCs w:val="18"/>
                      <w:highlight w:val="none"/>
                      <w:lang w:val="en-US" w:eastAsia="zh-CN"/>
                    </w:rPr>
                    <w:t>氯化氢0.05</w:t>
                  </w:r>
                  <w:r>
                    <w:rPr>
                      <w:color w:val="auto"/>
                      <w:sz w:val="18"/>
                      <w:szCs w:val="18"/>
                      <w:highlight w:val="none"/>
                    </w:rPr>
                    <w:t>mg/m</w:t>
                  </w:r>
                  <w:r>
                    <w:rPr>
                      <w:color w:val="auto"/>
                      <w:sz w:val="18"/>
                      <w:szCs w:val="18"/>
                      <w:highlight w:val="none"/>
                      <w:vertAlign w:val="superscript"/>
                    </w:rPr>
                    <w:t>3</w:t>
                  </w:r>
                </w:p>
              </w:tc>
            </w:tr>
          </w:tbl>
          <w:p w14:paraId="5AB7E601">
            <w:pPr>
              <w:tabs>
                <w:tab w:val="left" w:pos="1800"/>
              </w:tabs>
              <w:adjustRightInd w:val="0"/>
              <w:snapToGrid w:val="0"/>
              <w:spacing w:line="360" w:lineRule="auto"/>
              <w:ind w:firstLine="422" w:firstLineChars="200"/>
              <w:rPr>
                <w:b/>
                <w:bCs/>
                <w:color w:val="auto"/>
                <w:kern w:val="24"/>
                <w:highlight w:val="none"/>
              </w:rPr>
            </w:pPr>
            <w:r>
              <w:rPr>
                <w:b/>
                <w:bCs/>
                <w:color w:val="auto"/>
                <w:kern w:val="24"/>
                <w:highlight w:val="none"/>
              </w:rPr>
              <w:t>二、废水</w:t>
            </w:r>
          </w:p>
          <w:p w14:paraId="7794C1C4">
            <w:pPr>
              <w:pStyle w:val="82"/>
              <w:spacing w:after="0" w:line="360" w:lineRule="auto"/>
              <w:ind w:left="0" w:leftChars="0"/>
              <w:jc w:val="left"/>
              <w:rPr>
                <w:color w:val="auto"/>
                <w:sz w:val="21"/>
                <w:szCs w:val="18"/>
              </w:rPr>
            </w:pPr>
            <w:r>
              <w:rPr>
                <w:color w:val="auto"/>
                <w:sz w:val="21"/>
                <w:szCs w:val="18"/>
              </w:rPr>
              <w:t>1、产排污环节、污染物治理设施及废气排放情况汇总</w:t>
            </w:r>
          </w:p>
          <w:p w14:paraId="1D9E0C3F">
            <w:pPr>
              <w:spacing w:line="360" w:lineRule="auto"/>
              <w:ind w:firstLine="422" w:firstLineChars="200"/>
              <w:jc w:val="center"/>
              <w:rPr>
                <w:b/>
                <w:bCs/>
                <w:color w:val="auto"/>
              </w:rPr>
            </w:pPr>
            <w:r>
              <w:rPr>
                <w:b/>
                <w:bCs/>
                <w:color w:val="auto"/>
              </w:rPr>
              <w:t>表4-</w:t>
            </w:r>
            <w:r>
              <w:rPr>
                <w:rFonts w:hint="eastAsia"/>
                <w:b/>
                <w:bCs/>
                <w:color w:val="auto"/>
                <w:lang w:val="en-US" w:eastAsia="zh-CN"/>
              </w:rPr>
              <w:t>7</w:t>
            </w:r>
            <w:r>
              <w:rPr>
                <w:b/>
                <w:bCs/>
                <w:color w:val="auto"/>
              </w:rPr>
              <w:t>废水类别、污染物及污染治理设施信息表</w:t>
            </w:r>
          </w:p>
          <w:tbl>
            <w:tblPr>
              <w:tblStyle w:val="83"/>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43"/>
              <w:gridCol w:w="895"/>
              <w:gridCol w:w="474"/>
              <w:gridCol w:w="534"/>
              <w:gridCol w:w="509"/>
              <w:gridCol w:w="618"/>
              <w:gridCol w:w="692"/>
              <w:gridCol w:w="531"/>
              <w:gridCol w:w="603"/>
              <w:gridCol w:w="596"/>
              <w:gridCol w:w="588"/>
              <w:gridCol w:w="611"/>
              <w:gridCol w:w="658"/>
              <w:gridCol w:w="615"/>
            </w:tblGrid>
            <w:tr w14:paraId="3116FA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65" w:type="pct"/>
                  <w:vMerge w:val="restart"/>
                  <w:noWrap w:val="0"/>
                  <w:vAlign w:val="center"/>
                </w:tcPr>
                <w:p w14:paraId="3633D58B">
                  <w:pPr>
                    <w:jc w:val="center"/>
                    <w:rPr>
                      <w:b/>
                      <w:bCs/>
                      <w:color w:val="auto"/>
                      <w:sz w:val="18"/>
                      <w:szCs w:val="18"/>
                    </w:rPr>
                  </w:pPr>
                  <w:r>
                    <w:rPr>
                      <w:b/>
                      <w:bCs/>
                      <w:color w:val="auto"/>
                      <w:sz w:val="18"/>
                      <w:szCs w:val="18"/>
                    </w:rPr>
                    <w:t>产污环节</w:t>
                  </w:r>
                </w:p>
              </w:tc>
              <w:tc>
                <w:tcPr>
                  <w:tcW w:w="535" w:type="pct"/>
                  <w:vMerge w:val="restart"/>
                  <w:noWrap w:val="0"/>
                  <w:vAlign w:val="center"/>
                </w:tcPr>
                <w:p w14:paraId="7463ABB9">
                  <w:pPr>
                    <w:jc w:val="center"/>
                    <w:rPr>
                      <w:b/>
                      <w:bCs/>
                      <w:color w:val="auto"/>
                      <w:sz w:val="18"/>
                      <w:szCs w:val="18"/>
                    </w:rPr>
                  </w:pPr>
                  <w:r>
                    <w:rPr>
                      <w:b/>
                      <w:bCs/>
                      <w:color w:val="auto"/>
                      <w:sz w:val="18"/>
                      <w:szCs w:val="18"/>
                    </w:rPr>
                    <w:t>污染物</w:t>
                  </w:r>
                </w:p>
                <w:p w14:paraId="780E40B1">
                  <w:pPr>
                    <w:jc w:val="center"/>
                    <w:rPr>
                      <w:b/>
                      <w:bCs/>
                      <w:color w:val="auto"/>
                      <w:sz w:val="18"/>
                      <w:szCs w:val="18"/>
                    </w:rPr>
                  </w:pPr>
                  <w:r>
                    <w:rPr>
                      <w:b/>
                      <w:bCs/>
                      <w:color w:val="auto"/>
                      <w:sz w:val="18"/>
                      <w:szCs w:val="18"/>
                    </w:rPr>
                    <w:t>种类</w:t>
                  </w:r>
                </w:p>
              </w:tc>
              <w:tc>
                <w:tcPr>
                  <w:tcW w:w="283" w:type="pct"/>
                  <w:vMerge w:val="restart"/>
                  <w:noWrap w:val="0"/>
                  <w:vAlign w:val="center"/>
                </w:tcPr>
                <w:p w14:paraId="7599028D">
                  <w:pPr>
                    <w:jc w:val="center"/>
                    <w:rPr>
                      <w:b/>
                      <w:bCs/>
                      <w:color w:val="auto"/>
                      <w:sz w:val="18"/>
                      <w:szCs w:val="18"/>
                    </w:rPr>
                  </w:pPr>
                  <w:r>
                    <w:rPr>
                      <w:b/>
                      <w:bCs/>
                      <w:color w:val="auto"/>
                      <w:sz w:val="18"/>
                      <w:szCs w:val="18"/>
                    </w:rPr>
                    <w:t>废水类别</w:t>
                  </w:r>
                </w:p>
              </w:tc>
              <w:tc>
                <w:tcPr>
                  <w:tcW w:w="1722" w:type="pct"/>
                  <w:gridSpan w:val="5"/>
                  <w:noWrap w:val="0"/>
                  <w:vAlign w:val="center"/>
                </w:tcPr>
                <w:p w14:paraId="7EBB2733">
                  <w:pPr>
                    <w:jc w:val="center"/>
                    <w:rPr>
                      <w:b/>
                      <w:bCs/>
                      <w:color w:val="auto"/>
                      <w:sz w:val="18"/>
                      <w:szCs w:val="18"/>
                    </w:rPr>
                  </w:pPr>
                  <w:r>
                    <w:rPr>
                      <w:b/>
                      <w:bCs/>
                      <w:color w:val="auto"/>
                      <w:sz w:val="18"/>
                      <w:szCs w:val="18"/>
                    </w:rPr>
                    <w:t>污染治理设施</w:t>
                  </w:r>
                </w:p>
              </w:tc>
              <w:tc>
                <w:tcPr>
                  <w:tcW w:w="360" w:type="pct"/>
                  <w:vMerge w:val="restart"/>
                  <w:noWrap w:val="0"/>
                  <w:vAlign w:val="center"/>
                </w:tcPr>
                <w:p w14:paraId="06D92DDC">
                  <w:pPr>
                    <w:jc w:val="center"/>
                    <w:rPr>
                      <w:b/>
                      <w:bCs/>
                      <w:color w:val="auto"/>
                      <w:sz w:val="18"/>
                      <w:szCs w:val="18"/>
                    </w:rPr>
                  </w:pPr>
                  <w:r>
                    <w:rPr>
                      <w:b/>
                      <w:bCs/>
                      <w:color w:val="auto"/>
                      <w:sz w:val="18"/>
                      <w:szCs w:val="18"/>
                    </w:rPr>
                    <w:t>排放</w:t>
                  </w:r>
                </w:p>
                <w:p w14:paraId="6354F92A">
                  <w:pPr>
                    <w:jc w:val="center"/>
                    <w:rPr>
                      <w:b/>
                      <w:bCs/>
                      <w:color w:val="auto"/>
                      <w:sz w:val="18"/>
                      <w:szCs w:val="18"/>
                    </w:rPr>
                  </w:pPr>
                  <w:r>
                    <w:rPr>
                      <w:b/>
                      <w:bCs/>
                      <w:color w:val="auto"/>
                      <w:sz w:val="18"/>
                      <w:szCs w:val="18"/>
                    </w:rPr>
                    <w:t>去向</w:t>
                  </w:r>
                </w:p>
              </w:tc>
              <w:tc>
                <w:tcPr>
                  <w:tcW w:w="356" w:type="pct"/>
                  <w:vMerge w:val="restart"/>
                  <w:noWrap w:val="0"/>
                  <w:vAlign w:val="center"/>
                </w:tcPr>
                <w:p w14:paraId="4E15A7C9">
                  <w:pPr>
                    <w:jc w:val="center"/>
                    <w:rPr>
                      <w:b/>
                      <w:bCs/>
                      <w:color w:val="auto"/>
                      <w:sz w:val="18"/>
                      <w:szCs w:val="18"/>
                    </w:rPr>
                  </w:pPr>
                  <w:r>
                    <w:rPr>
                      <w:b/>
                      <w:bCs/>
                      <w:color w:val="auto"/>
                      <w:sz w:val="18"/>
                      <w:szCs w:val="18"/>
                    </w:rPr>
                    <w:t>排放</w:t>
                  </w:r>
                </w:p>
                <w:p w14:paraId="3BB5E94A">
                  <w:pPr>
                    <w:jc w:val="center"/>
                    <w:rPr>
                      <w:b/>
                      <w:bCs/>
                      <w:color w:val="auto"/>
                      <w:sz w:val="18"/>
                      <w:szCs w:val="18"/>
                    </w:rPr>
                  </w:pPr>
                  <w:r>
                    <w:rPr>
                      <w:b/>
                      <w:bCs/>
                      <w:color w:val="auto"/>
                      <w:sz w:val="18"/>
                      <w:szCs w:val="18"/>
                    </w:rPr>
                    <w:t>方式</w:t>
                  </w:r>
                </w:p>
              </w:tc>
              <w:tc>
                <w:tcPr>
                  <w:tcW w:w="351" w:type="pct"/>
                  <w:vMerge w:val="restart"/>
                  <w:noWrap w:val="0"/>
                  <w:vAlign w:val="center"/>
                </w:tcPr>
                <w:p w14:paraId="5C7EF8D9">
                  <w:pPr>
                    <w:jc w:val="center"/>
                    <w:rPr>
                      <w:b/>
                      <w:bCs/>
                      <w:color w:val="auto"/>
                      <w:sz w:val="18"/>
                      <w:szCs w:val="18"/>
                    </w:rPr>
                  </w:pPr>
                  <w:r>
                    <w:rPr>
                      <w:b/>
                      <w:bCs/>
                      <w:color w:val="auto"/>
                      <w:sz w:val="18"/>
                      <w:szCs w:val="18"/>
                    </w:rPr>
                    <w:t>排放</w:t>
                  </w:r>
                </w:p>
                <w:p w14:paraId="23106938">
                  <w:pPr>
                    <w:jc w:val="center"/>
                    <w:rPr>
                      <w:b/>
                      <w:bCs/>
                      <w:color w:val="auto"/>
                      <w:sz w:val="18"/>
                      <w:szCs w:val="18"/>
                    </w:rPr>
                  </w:pPr>
                  <w:r>
                    <w:rPr>
                      <w:b/>
                      <w:bCs/>
                      <w:color w:val="auto"/>
                      <w:sz w:val="18"/>
                      <w:szCs w:val="18"/>
                    </w:rPr>
                    <w:t>规律</w:t>
                  </w:r>
                </w:p>
              </w:tc>
              <w:tc>
                <w:tcPr>
                  <w:tcW w:w="365" w:type="pct"/>
                  <w:vMerge w:val="restart"/>
                  <w:noWrap w:val="0"/>
                  <w:vAlign w:val="center"/>
                </w:tcPr>
                <w:p w14:paraId="0691907C">
                  <w:pPr>
                    <w:jc w:val="center"/>
                    <w:rPr>
                      <w:b/>
                      <w:bCs/>
                      <w:color w:val="auto"/>
                      <w:sz w:val="18"/>
                      <w:szCs w:val="18"/>
                    </w:rPr>
                  </w:pPr>
                  <w:r>
                    <w:rPr>
                      <w:b/>
                      <w:bCs/>
                      <w:color w:val="auto"/>
                      <w:sz w:val="18"/>
                      <w:szCs w:val="18"/>
                    </w:rPr>
                    <w:t>排放口编号</w:t>
                  </w:r>
                </w:p>
              </w:tc>
              <w:tc>
                <w:tcPr>
                  <w:tcW w:w="393" w:type="pct"/>
                  <w:vMerge w:val="restart"/>
                  <w:noWrap w:val="0"/>
                  <w:vAlign w:val="center"/>
                </w:tcPr>
                <w:p w14:paraId="1062D9D5">
                  <w:pPr>
                    <w:jc w:val="center"/>
                    <w:rPr>
                      <w:b/>
                      <w:bCs/>
                      <w:color w:val="auto"/>
                      <w:sz w:val="18"/>
                      <w:szCs w:val="18"/>
                    </w:rPr>
                  </w:pPr>
                  <w:r>
                    <w:rPr>
                      <w:b/>
                      <w:bCs/>
                      <w:color w:val="auto"/>
                      <w:sz w:val="18"/>
                      <w:szCs w:val="18"/>
                    </w:rPr>
                    <w:t>排放口名称</w:t>
                  </w:r>
                </w:p>
              </w:tc>
              <w:tc>
                <w:tcPr>
                  <w:tcW w:w="367" w:type="pct"/>
                  <w:vMerge w:val="restart"/>
                  <w:noWrap w:val="0"/>
                  <w:vAlign w:val="center"/>
                </w:tcPr>
                <w:p w14:paraId="687AE6A3">
                  <w:pPr>
                    <w:jc w:val="center"/>
                    <w:rPr>
                      <w:b/>
                      <w:bCs/>
                      <w:color w:val="auto"/>
                      <w:sz w:val="18"/>
                      <w:szCs w:val="18"/>
                    </w:rPr>
                  </w:pPr>
                  <w:r>
                    <w:rPr>
                      <w:b/>
                      <w:bCs/>
                      <w:color w:val="auto"/>
                      <w:sz w:val="18"/>
                      <w:szCs w:val="18"/>
                    </w:rPr>
                    <w:t>排放口类型</w:t>
                  </w:r>
                </w:p>
              </w:tc>
            </w:tr>
            <w:tr w14:paraId="19425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65" w:type="pct"/>
                  <w:vMerge w:val="continue"/>
                  <w:noWrap w:val="0"/>
                  <w:vAlign w:val="center"/>
                </w:tcPr>
                <w:p w14:paraId="5AB4AAD8">
                  <w:pPr>
                    <w:jc w:val="center"/>
                    <w:rPr>
                      <w:color w:val="auto"/>
                      <w:sz w:val="18"/>
                      <w:szCs w:val="18"/>
                    </w:rPr>
                  </w:pPr>
                </w:p>
              </w:tc>
              <w:tc>
                <w:tcPr>
                  <w:tcW w:w="535" w:type="pct"/>
                  <w:vMerge w:val="continue"/>
                  <w:noWrap w:val="0"/>
                  <w:vAlign w:val="center"/>
                </w:tcPr>
                <w:p w14:paraId="4490FBF1">
                  <w:pPr>
                    <w:jc w:val="center"/>
                    <w:rPr>
                      <w:color w:val="auto"/>
                      <w:sz w:val="18"/>
                      <w:szCs w:val="18"/>
                    </w:rPr>
                  </w:pPr>
                </w:p>
              </w:tc>
              <w:tc>
                <w:tcPr>
                  <w:tcW w:w="283" w:type="pct"/>
                  <w:vMerge w:val="continue"/>
                  <w:noWrap w:val="0"/>
                  <w:vAlign w:val="center"/>
                </w:tcPr>
                <w:p w14:paraId="44A61692">
                  <w:pPr>
                    <w:jc w:val="center"/>
                    <w:rPr>
                      <w:color w:val="auto"/>
                      <w:sz w:val="18"/>
                      <w:szCs w:val="18"/>
                    </w:rPr>
                  </w:pPr>
                </w:p>
              </w:tc>
              <w:tc>
                <w:tcPr>
                  <w:tcW w:w="319" w:type="pct"/>
                  <w:noWrap w:val="0"/>
                  <w:vAlign w:val="center"/>
                </w:tcPr>
                <w:p w14:paraId="2CA24FDF">
                  <w:pPr>
                    <w:jc w:val="center"/>
                    <w:rPr>
                      <w:b/>
                      <w:bCs/>
                      <w:color w:val="auto"/>
                      <w:sz w:val="18"/>
                      <w:szCs w:val="18"/>
                    </w:rPr>
                  </w:pPr>
                  <w:r>
                    <w:rPr>
                      <w:b/>
                      <w:bCs/>
                      <w:color w:val="auto"/>
                      <w:sz w:val="18"/>
                      <w:szCs w:val="18"/>
                    </w:rPr>
                    <w:t>设施类型</w:t>
                  </w:r>
                </w:p>
              </w:tc>
              <w:tc>
                <w:tcPr>
                  <w:tcW w:w="304" w:type="pct"/>
                  <w:noWrap w:val="0"/>
                  <w:vAlign w:val="center"/>
                </w:tcPr>
                <w:p w14:paraId="0FB87ED8">
                  <w:pPr>
                    <w:jc w:val="center"/>
                    <w:rPr>
                      <w:b/>
                      <w:bCs/>
                      <w:color w:val="auto"/>
                      <w:sz w:val="18"/>
                      <w:szCs w:val="18"/>
                    </w:rPr>
                  </w:pPr>
                  <w:r>
                    <w:rPr>
                      <w:b/>
                      <w:bCs/>
                      <w:color w:val="auto"/>
                      <w:sz w:val="18"/>
                      <w:szCs w:val="18"/>
                    </w:rPr>
                    <w:t>处理</w:t>
                  </w:r>
                </w:p>
                <w:p w14:paraId="6EBD975F">
                  <w:pPr>
                    <w:jc w:val="center"/>
                    <w:rPr>
                      <w:b/>
                      <w:bCs/>
                      <w:color w:val="auto"/>
                      <w:sz w:val="18"/>
                      <w:szCs w:val="18"/>
                    </w:rPr>
                  </w:pPr>
                  <w:r>
                    <w:rPr>
                      <w:b/>
                      <w:bCs/>
                      <w:color w:val="auto"/>
                      <w:sz w:val="18"/>
                      <w:szCs w:val="18"/>
                    </w:rPr>
                    <w:t>工艺</w:t>
                  </w:r>
                </w:p>
              </w:tc>
              <w:tc>
                <w:tcPr>
                  <w:tcW w:w="369" w:type="pct"/>
                  <w:noWrap w:val="0"/>
                  <w:vAlign w:val="center"/>
                </w:tcPr>
                <w:p w14:paraId="1DDFE890">
                  <w:pPr>
                    <w:jc w:val="center"/>
                    <w:rPr>
                      <w:b/>
                      <w:bCs/>
                      <w:color w:val="auto"/>
                      <w:sz w:val="18"/>
                      <w:szCs w:val="18"/>
                    </w:rPr>
                  </w:pPr>
                  <w:r>
                    <w:rPr>
                      <w:b/>
                      <w:bCs/>
                      <w:color w:val="auto"/>
                      <w:sz w:val="18"/>
                      <w:szCs w:val="18"/>
                    </w:rPr>
                    <w:t>处理</w:t>
                  </w:r>
                </w:p>
                <w:p w14:paraId="3560D83B">
                  <w:pPr>
                    <w:jc w:val="center"/>
                    <w:rPr>
                      <w:b/>
                      <w:bCs/>
                      <w:color w:val="auto"/>
                      <w:sz w:val="18"/>
                      <w:szCs w:val="18"/>
                    </w:rPr>
                  </w:pPr>
                  <w:r>
                    <w:rPr>
                      <w:b/>
                      <w:bCs/>
                      <w:color w:val="auto"/>
                      <w:sz w:val="18"/>
                      <w:szCs w:val="18"/>
                    </w:rPr>
                    <w:t>能力（t/h）</w:t>
                  </w:r>
                </w:p>
              </w:tc>
              <w:tc>
                <w:tcPr>
                  <w:tcW w:w="413" w:type="pct"/>
                  <w:noWrap w:val="0"/>
                  <w:vAlign w:val="center"/>
                </w:tcPr>
                <w:p w14:paraId="042C358D">
                  <w:pPr>
                    <w:jc w:val="center"/>
                    <w:rPr>
                      <w:b/>
                      <w:bCs/>
                      <w:color w:val="auto"/>
                      <w:sz w:val="18"/>
                      <w:szCs w:val="18"/>
                    </w:rPr>
                  </w:pPr>
                  <w:r>
                    <w:rPr>
                      <w:b/>
                      <w:bCs/>
                      <w:color w:val="auto"/>
                      <w:sz w:val="18"/>
                      <w:szCs w:val="18"/>
                    </w:rPr>
                    <w:t>是否为可行技术</w:t>
                  </w:r>
                </w:p>
              </w:tc>
              <w:tc>
                <w:tcPr>
                  <w:tcW w:w="316" w:type="pct"/>
                  <w:noWrap w:val="0"/>
                  <w:vAlign w:val="center"/>
                </w:tcPr>
                <w:p w14:paraId="0414805E">
                  <w:pPr>
                    <w:jc w:val="center"/>
                    <w:rPr>
                      <w:b/>
                      <w:bCs/>
                      <w:color w:val="auto"/>
                      <w:sz w:val="18"/>
                      <w:szCs w:val="18"/>
                    </w:rPr>
                  </w:pPr>
                  <w:r>
                    <w:rPr>
                      <w:b/>
                      <w:bCs/>
                      <w:color w:val="auto"/>
                      <w:sz w:val="18"/>
                      <w:szCs w:val="18"/>
                    </w:rPr>
                    <w:t>设施名称</w:t>
                  </w:r>
                </w:p>
              </w:tc>
              <w:tc>
                <w:tcPr>
                  <w:tcW w:w="360" w:type="pct"/>
                  <w:vMerge w:val="continue"/>
                  <w:noWrap w:val="0"/>
                  <w:vAlign w:val="center"/>
                </w:tcPr>
                <w:p w14:paraId="674966C0">
                  <w:pPr>
                    <w:jc w:val="center"/>
                    <w:rPr>
                      <w:color w:val="auto"/>
                      <w:sz w:val="18"/>
                      <w:szCs w:val="18"/>
                    </w:rPr>
                  </w:pPr>
                </w:p>
              </w:tc>
              <w:tc>
                <w:tcPr>
                  <w:tcW w:w="356" w:type="pct"/>
                  <w:vMerge w:val="continue"/>
                  <w:noWrap w:val="0"/>
                  <w:vAlign w:val="center"/>
                </w:tcPr>
                <w:p w14:paraId="623FDC5C">
                  <w:pPr>
                    <w:jc w:val="center"/>
                    <w:rPr>
                      <w:color w:val="auto"/>
                      <w:sz w:val="18"/>
                      <w:szCs w:val="18"/>
                    </w:rPr>
                  </w:pPr>
                </w:p>
              </w:tc>
              <w:tc>
                <w:tcPr>
                  <w:tcW w:w="351" w:type="pct"/>
                  <w:vMerge w:val="continue"/>
                  <w:noWrap w:val="0"/>
                  <w:vAlign w:val="center"/>
                </w:tcPr>
                <w:p w14:paraId="1DD0E975">
                  <w:pPr>
                    <w:jc w:val="center"/>
                    <w:rPr>
                      <w:color w:val="auto"/>
                      <w:sz w:val="18"/>
                      <w:szCs w:val="18"/>
                    </w:rPr>
                  </w:pPr>
                </w:p>
              </w:tc>
              <w:tc>
                <w:tcPr>
                  <w:tcW w:w="365" w:type="pct"/>
                  <w:vMerge w:val="continue"/>
                  <w:noWrap w:val="0"/>
                  <w:vAlign w:val="center"/>
                </w:tcPr>
                <w:p w14:paraId="48689976">
                  <w:pPr>
                    <w:jc w:val="center"/>
                    <w:rPr>
                      <w:color w:val="auto"/>
                      <w:sz w:val="18"/>
                      <w:szCs w:val="18"/>
                    </w:rPr>
                  </w:pPr>
                </w:p>
              </w:tc>
              <w:tc>
                <w:tcPr>
                  <w:tcW w:w="393" w:type="pct"/>
                  <w:vMerge w:val="continue"/>
                  <w:noWrap w:val="0"/>
                  <w:vAlign w:val="center"/>
                </w:tcPr>
                <w:p w14:paraId="6351449D">
                  <w:pPr>
                    <w:jc w:val="center"/>
                    <w:rPr>
                      <w:color w:val="auto"/>
                      <w:sz w:val="18"/>
                      <w:szCs w:val="18"/>
                    </w:rPr>
                  </w:pPr>
                </w:p>
              </w:tc>
              <w:tc>
                <w:tcPr>
                  <w:tcW w:w="367" w:type="pct"/>
                  <w:vMerge w:val="continue"/>
                  <w:noWrap w:val="0"/>
                  <w:vAlign w:val="center"/>
                </w:tcPr>
                <w:p w14:paraId="28473A91">
                  <w:pPr>
                    <w:jc w:val="center"/>
                    <w:rPr>
                      <w:color w:val="auto"/>
                      <w:sz w:val="18"/>
                      <w:szCs w:val="18"/>
                    </w:rPr>
                  </w:pPr>
                </w:p>
              </w:tc>
            </w:tr>
            <w:tr w14:paraId="716A0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65" w:type="pct"/>
                  <w:noWrap w:val="0"/>
                  <w:vAlign w:val="center"/>
                </w:tcPr>
                <w:p w14:paraId="5C192D46">
                  <w:pPr>
                    <w:jc w:val="center"/>
                    <w:rPr>
                      <w:color w:val="auto"/>
                      <w:sz w:val="18"/>
                      <w:szCs w:val="18"/>
                      <w:highlight w:val="none"/>
                    </w:rPr>
                  </w:pPr>
                  <w:r>
                    <w:rPr>
                      <w:color w:val="auto"/>
                      <w:sz w:val="18"/>
                      <w:szCs w:val="18"/>
                      <w:highlight w:val="none"/>
                    </w:rPr>
                    <w:t>职工生活</w:t>
                  </w:r>
                </w:p>
              </w:tc>
              <w:tc>
                <w:tcPr>
                  <w:tcW w:w="535" w:type="pct"/>
                  <w:noWrap w:val="0"/>
                  <w:vAlign w:val="center"/>
                </w:tcPr>
                <w:p w14:paraId="1D6BC5AF">
                  <w:pPr>
                    <w:jc w:val="center"/>
                    <w:rPr>
                      <w:rFonts w:hint="default" w:eastAsia="宋体"/>
                      <w:color w:val="auto"/>
                      <w:sz w:val="18"/>
                      <w:szCs w:val="18"/>
                      <w:highlight w:val="none"/>
                      <w:lang w:val="en-US" w:eastAsia="zh-CN"/>
                    </w:rPr>
                  </w:pPr>
                  <w:r>
                    <w:rPr>
                      <w:color w:val="auto"/>
                      <w:sz w:val="18"/>
                      <w:szCs w:val="18"/>
                      <w:highlight w:val="none"/>
                    </w:rPr>
                    <w:t>pH、COD、氨氮、BOD</w:t>
                  </w:r>
                  <w:r>
                    <w:rPr>
                      <w:color w:val="auto"/>
                      <w:sz w:val="18"/>
                      <w:szCs w:val="18"/>
                      <w:highlight w:val="none"/>
                      <w:vertAlign w:val="subscript"/>
                    </w:rPr>
                    <w:t>5</w:t>
                  </w:r>
                  <w:r>
                    <w:rPr>
                      <w:color w:val="auto"/>
                      <w:sz w:val="18"/>
                      <w:szCs w:val="18"/>
                      <w:highlight w:val="none"/>
                    </w:rPr>
                    <w:t>、悬浮物</w:t>
                  </w:r>
                  <w:r>
                    <w:rPr>
                      <w:rFonts w:hint="eastAsia"/>
                      <w:color w:val="auto"/>
                      <w:sz w:val="18"/>
                      <w:szCs w:val="18"/>
                      <w:highlight w:val="none"/>
                      <w:lang w:eastAsia="zh-CN"/>
                    </w:rPr>
                    <w:t>、</w:t>
                  </w:r>
                  <w:r>
                    <w:rPr>
                      <w:rFonts w:hint="eastAsia"/>
                      <w:color w:val="auto"/>
                      <w:sz w:val="18"/>
                      <w:szCs w:val="18"/>
                      <w:highlight w:val="none"/>
                      <w:lang w:val="en-US" w:eastAsia="zh-CN"/>
                    </w:rPr>
                    <w:t>总磷</w:t>
                  </w:r>
                </w:p>
              </w:tc>
              <w:tc>
                <w:tcPr>
                  <w:tcW w:w="283" w:type="pct"/>
                  <w:noWrap w:val="0"/>
                  <w:vAlign w:val="center"/>
                </w:tcPr>
                <w:p w14:paraId="06E2A92A">
                  <w:pPr>
                    <w:jc w:val="center"/>
                    <w:rPr>
                      <w:color w:val="auto"/>
                      <w:sz w:val="18"/>
                      <w:szCs w:val="18"/>
                    </w:rPr>
                  </w:pPr>
                  <w:r>
                    <w:rPr>
                      <w:color w:val="auto"/>
                      <w:sz w:val="18"/>
                      <w:szCs w:val="18"/>
                    </w:rPr>
                    <w:t>生活废水</w:t>
                  </w:r>
                </w:p>
              </w:tc>
              <w:tc>
                <w:tcPr>
                  <w:tcW w:w="319" w:type="pct"/>
                  <w:noWrap w:val="0"/>
                  <w:vAlign w:val="center"/>
                </w:tcPr>
                <w:p w14:paraId="2A8FC495">
                  <w:pPr>
                    <w:jc w:val="center"/>
                    <w:rPr>
                      <w:color w:val="auto"/>
                      <w:sz w:val="18"/>
                      <w:szCs w:val="18"/>
                    </w:rPr>
                  </w:pPr>
                  <w:r>
                    <w:rPr>
                      <w:color w:val="auto"/>
                      <w:sz w:val="18"/>
                      <w:szCs w:val="18"/>
                    </w:rPr>
                    <w:t>预处理设施</w:t>
                  </w:r>
                </w:p>
              </w:tc>
              <w:tc>
                <w:tcPr>
                  <w:tcW w:w="304" w:type="pct"/>
                  <w:noWrap w:val="0"/>
                  <w:vAlign w:val="center"/>
                </w:tcPr>
                <w:p w14:paraId="0BD01551">
                  <w:pPr>
                    <w:jc w:val="center"/>
                    <w:rPr>
                      <w:color w:val="auto"/>
                      <w:sz w:val="18"/>
                      <w:szCs w:val="18"/>
                    </w:rPr>
                  </w:pPr>
                  <w:r>
                    <w:rPr>
                      <w:color w:val="auto"/>
                      <w:sz w:val="18"/>
                      <w:szCs w:val="18"/>
                    </w:rPr>
                    <w:t>沉淀</w:t>
                  </w:r>
                </w:p>
              </w:tc>
              <w:tc>
                <w:tcPr>
                  <w:tcW w:w="369" w:type="pct"/>
                  <w:noWrap w:val="0"/>
                  <w:vAlign w:val="center"/>
                </w:tcPr>
                <w:p w14:paraId="37CBC8C6">
                  <w:pPr>
                    <w:jc w:val="center"/>
                    <w:rPr>
                      <w:color w:val="auto"/>
                      <w:sz w:val="18"/>
                      <w:szCs w:val="18"/>
                    </w:rPr>
                  </w:pPr>
                  <w:r>
                    <w:rPr>
                      <w:color w:val="auto"/>
                      <w:sz w:val="18"/>
                      <w:szCs w:val="18"/>
                    </w:rPr>
                    <w:t>2</w:t>
                  </w:r>
                </w:p>
              </w:tc>
              <w:tc>
                <w:tcPr>
                  <w:tcW w:w="413" w:type="pct"/>
                  <w:noWrap w:val="0"/>
                  <w:vAlign w:val="center"/>
                </w:tcPr>
                <w:p w14:paraId="27831190">
                  <w:pPr>
                    <w:jc w:val="center"/>
                    <w:rPr>
                      <w:color w:val="auto"/>
                      <w:sz w:val="18"/>
                      <w:szCs w:val="18"/>
                    </w:rPr>
                  </w:pPr>
                  <w:r>
                    <w:rPr>
                      <w:color w:val="auto"/>
                      <w:sz w:val="18"/>
                      <w:szCs w:val="18"/>
                    </w:rPr>
                    <w:t>是</w:t>
                  </w:r>
                </w:p>
              </w:tc>
              <w:tc>
                <w:tcPr>
                  <w:tcW w:w="316" w:type="pct"/>
                  <w:noWrap w:val="0"/>
                  <w:vAlign w:val="center"/>
                </w:tcPr>
                <w:p w14:paraId="6B497849">
                  <w:pPr>
                    <w:jc w:val="center"/>
                    <w:rPr>
                      <w:color w:val="auto"/>
                      <w:sz w:val="18"/>
                      <w:szCs w:val="18"/>
                    </w:rPr>
                  </w:pPr>
                  <w:r>
                    <w:rPr>
                      <w:color w:val="auto"/>
                      <w:sz w:val="18"/>
                      <w:szCs w:val="18"/>
                    </w:rPr>
                    <w:t>化粪池</w:t>
                  </w:r>
                </w:p>
              </w:tc>
              <w:tc>
                <w:tcPr>
                  <w:tcW w:w="360" w:type="pct"/>
                  <w:noWrap w:val="0"/>
                  <w:vAlign w:val="center"/>
                </w:tcPr>
                <w:p w14:paraId="13A731B3">
                  <w:pPr>
                    <w:jc w:val="center"/>
                    <w:rPr>
                      <w:color w:val="auto"/>
                      <w:sz w:val="18"/>
                      <w:szCs w:val="18"/>
                    </w:rPr>
                  </w:pPr>
                  <w:r>
                    <w:rPr>
                      <w:rFonts w:hint="default"/>
                      <w:color w:val="auto"/>
                      <w:sz w:val="18"/>
                      <w:szCs w:val="18"/>
                      <w:lang w:val="en-US" w:eastAsia="zh-CN"/>
                    </w:rPr>
                    <w:t>由环卫部门定期清运</w:t>
                  </w:r>
                </w:p>
              </w:tc>
              <w:tc>
                <w:tcPr>
                  <w:tcW w:w="356" w:type="pct"/>
                  <w:noWrap w:val="0"/>
                  <w:vAlign w:val="center"/>
                </w:tcPr>
                <w:p w14:paraId="1CBFB922">
                  <w:pPr>
                    <w:jc w:val="center"/>
                    <w:rPr>
                      <w:color w:val="auto"/>
                      <w:sz w:val="18"/>
                      <w:szCs w:val="18"/>
                    </w:rPr>
                  </w:pPr>
                  <w:r>
                    <w:rPr>
                      <w:rFonts w:hint="eastAsia"/>
                      <w:color w:val="auto"/>
                      <w:sz w:val="18"/>
                      <w:szCs w:val="18"/>
                      <w:lang w:val="en-US" w:eastAsia="zh-CN"/>
                    </w:rPr>
                    <w:t>不外排</w:t>
                  </w:r>
                </w:p>
              </w:tc>
              <w:tc>
                <w:tcPr>
                  <w:tcW w:w="351" w:type="pct"/>
                  <w:vMerge w:val="restart"/>
                  <w:noWrap w:val="0"/>
                  <w:vAlign w:val="center"/>
                </w:tcPr>
                <w:p w14:paraId="1B6BBF8C">
                  <w:pPr>
                    <w:jc w:val="center"/>
                    <w:rPr>
                      <w:color w:val="auto"/>
                      <w:sz w:val="18"/>
                      <w:szCs w:val="18"/>
                    </w:rPr>
                  </w:pPr>
                  <w:r>
                    <w:rPr>
                      <w:rFonts w:hint="eastAsia"/>
                      <w:color w:val="auto"/>
                      <w:sz w:val="18"/>
                      <w:szCs w:val="18"/>
                      <w:lang w:val="en-US" w:eastAsia="zh-CN"/>
                    </w:rPr>
                    <w:t>--</w:t>
                  </w:r>
                </w:p>
              </w:tc>
              <w:tc>
                <w:tcPr>
                  <w:tcW w:w="365" w:type="pct"/>
                  <w:vMerge w:val="restart"/>
                  <w:noWrap w:val="0"/>
                  <w:vAlign w:val="center"/>
                </w:tcPr>
                <w:p w14:paraId="1D3B5F81">
                  <w:pPr>
                    <w:jc w:val="center"/>
                    <w:rPr>
                      <w:color w:val="auto"/>
                      <w:sz w:val="18"/>
                      <w:szCs w:val="18"/>
                    </w:rPr>
                  </w:pPr>
                  <w:r>
                    <w:rPr>
                      <w:rFonts w:hint="eastAsia"/>
                      <w:color w:val="auto"/>
                      <w:sz w:val="18"/>
                      <w:szCs w:val="18"/>
                      <w:lang w:val="en-US" w:eastAsia="zh-CN"/>
                    </w:rPr>
                    <w:t>--</w:t>
                  </w:r>
                </w:p>
              </w:tc>
              <w:tc>
                <w:tcPr>
                  <w:tcW w:w="393" w:type="pct"/>
                  <w:vMerge w:val="restart"/>
                  <w:noWrap w:val="0"/>
                  <w:vAlign w:val="center"/>
                </w:tcPr>
                <w:p w14:paraId="7D39F917">
                  <w:pPr>
                    <w:jc w:val="center"/>
                    <w:rPr>
                      <w:color w:val="auto"/>
                      <w:sz w:val="18"/>
                      <w:szCs w:val="18"/>
                    </w:rPr>
                  </w:pPr>
                  <w:r>
                    <w:rPr>
                      <w:rFonts w:hint="eastAsia"/>
                      <w:color w:val="auto"/>
                      <w:sz w:val="18"/>
                      <w:szCs w:val="18"/>
                      <w:lang w:val="en-US" w:eastAsia="zh-CN"/>
                    </w:rPr>
                    <w:t>--</w:t>
                  </w:r>
                </w:p>
              </w:tc>
              <w:tc>
                <w:tcPr>
                  <w:tcW w:w="367" w:type="pct"/>
                  <w:vMerge w:val="restart"/>
                  <w:noWrap w:val="0"/>
                  <w:vAlign w:val="center"/>
                </w:tcPr>
                <w:p w14:paraId="1741747F">
                  <w:pPr>
                    <w:jc w:val="center"/>
                    <w:rPr>
                      <w:color w:val="auto"/>
                      <w:sz w:val="18"/>
                      <w:szCs w:val="18"/>
                    </w:rPr>
                  </w:pPr>
                  <w:r>
                    <w:rPr>
                      <w:rFonts w:hint="eastAsia"/>
                      <w:color w:val="auto"/>
                      <w:sz w:val="18"/>
                      <w:szCs w:val="18"/>
                      <w:lang w:val="en-US" w:eastAsia="zh-CN"/>
                    </w:rPr>
                    <w:t>--</w:t>
                  </w:r>
                </w:p>
              </w:tc>
            </w:tr>
            <w:tr w14:paraId="35610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8" w:hRule="atLeast"/>
                <w:jc w:val="center"/>
              </w:trPr>
              <w:tc>
                <w:tcPr>
                  <w:tcW w:w="265" w:type="pct"/>
                  <w:noWrap w:val="0"/>
                  <w:vAlign w:val="center"/>
                </w:tcPr>
                <w:p w14:paraId="048106A9">
                  <w:pPr>
                    <w:jc w:val="center"/>
                    <w:rPr>
                      <w:rFonts w:hint="eastAsia" w:eastAsia="宋体"/>
                      <w:color w:val="auto"/>
                      <w:sz w:val="18"/>
                      <w:szCs w:val="18"/>
                      <w:lang w:val="en-US" w:eastAsia="zh-CN"/>
                    </w:rPr>
                  </w:pPr>
                  <w:r>
                    <w:rPr>
                      <w:rFonts w:hint="eastAsia" w:eastAsia="宋体"/>
                      <w:color w:val="auto"/>
                      <w:sz w:val="18"/>
                      <w:szCs w:val="18"/>
                      <w:lang w:val="en-US" w:eastAsia="zh-CN"/>
                    </w:rPr>
                    <w:t>离心废水</w:t>
                  </w:r>
                </w:p>
              </w:tc>
              <w:tc>
                <w:tcPr>
                  <w:tcW w:w="535" w:type="pct"/>
                  <w:vMerge w:val="restart"/>
                  <w:noWrap w:val="0"/>
                  <w:vAlign w:val="center"/>
                </w:tcPr>
                <w:p w14:paraId="22552760">
                  <w:pPr>
                    <w:jc w:val="center"/>
                    <w:rPr>
                      <w:rFonts w:hint="default" w:eastAsia="宋体"/>
                      <w:color w:val="auto"/>
                      <w:sz w:val="18"/>
                      <w:szCs w:val="18"/>
                      <w:lang w:val="en-US" w:eastAsia="zh-CN"/>
                    </w:rPr>
                  </w:pPr>
                  <w:r>
                    <w:rPr>
                      <w:color w:val="auto"/>
                      <w:sz w:val="18"/>
                      <w:szCs w:val="18"/>
                    </w:rPr>
                    <w:t>pH、COD、氨氮、BOD</w:t>
                  </w:r>
                  <w:r>
                    <w:rPr>
                      <w:color w:val="auto"/>
                      <w:sz w:val="18"/>
                      <w:szCs w:val="18"/>
                      <w:vertAlign w:val="subscript"/>
                    </w:rPr>
                    <w:t>5</w:t>
                  </w:r>
                  <w:r>
                    <w:rPr>
                      <w:color w:val="auto"/>
                      <w:sz w:val="18"/>
                      <w:szCs w:val="18"/>
                    </w:rPr>
                    <w:t>、悬浮物</w:t>
                  </w:r>
                  <w:r>
                    <w:rPr>
                      <w:rFonts w:hint="eastAsia"/>
                      <w:color w:val="auto"/>
                      <w:sz w:val="18"/>
                      <w:szCs w:val="18"/>
                      <w:lang w:eastAsia="zh-CN"/>
                    </w:rPr>
                    <w:t>、</w:t>
                  </w:r>
                  <w:r>
                    <w:rPr>
                      <w:rFonts w:hint="eastAsia"/>
                      <w:color w:val="auto"/>
                      <w:sz w:val="18"/>
                      <w:szCs w:val="18"/>
                      <w:lang w:val="en-US" w:eastAsia="zh-CN"/>
                    </w:rPr>
                    <w:t>全盐量</w:t>
                  </w:r>
                </w:p>
              </w:tc>
              <w:tc>
                <w:tcPr>
                  <w:tcW w:w="283" w:type="pct"/>
                  <w:vMerge w:val="restart"/>
                  <w:noWrap w:val="0"/>
                  <w:vAlign w:val="center"/>
                </w:tcPr>
                <w:p w14:paraId="638ED88E">
                  <w:pPr>
                    <w:jc w:val="center"/>
                    <w:rPr>
                      <w:rFonts w:hint="default" w:eastAsia="宋体"/>
                      <w:color w:val="auto"/>
                      <w:sz w:val="18"/>
                      <w:szCs w:val="18"/>
                      <w:lang w:val="en-US" w:eastAsia="zh-CN"/>
                    </w:rPr>
                  </w:pPr>
                  <w:r>
                    <w:rPr>
                      <w:rFonts w:hint="eastAsia"/>
                      <w:color w:val="auto"/>
                      <w:sz w:val="18"/>
                      <w:szCs w:val="18"/>
                      <w:lang w:val="en-US" w:eastAsia="zh-CN"/>
                    </w:rPr>
                    <w:t>生产废水</w:t>
                  </w:r>
                </w:p>
              </w:tc>
              <w:tc>
                <w:tcPr>
                  <w:tcW w:w="319" w:type="pct"/>
                  <w:vMerge w:val="restart"/>
                  <w:noWrap w:val="0"/>
                  <w:vAlign w:val="center"/>
                </w:tcPr>
                <w:p w14:paraId="7C917B55">
                  <w:pPr>
                    <w:jc w:val="center"/>
                    <w:rPr>
                      <w:rFonts w:hint="eastAsia" w:eastAsia="宋体"/>
                      <w:color w:val="auto"/>
                      <w:sz w:val="18"/>
                      <w:szCs w:val="18"/>
                      <w:lang w:eastAsia="zh-CN"/>
                    </w:rPr>
                  </w:pPr>
                  <w:r>
                    <w:rPr>
                      <w:rFonts w:hint="eastAsia"/>
                      <w:color w:val="auto"/>
                      <w:sz w:val="18"/>
                      <w:szCs w:val="18"/>
                      <w:lang w:val="en-US" w:eastAsia="zh-CN"/>
                    </w:rPr>
                    <w:t>污水处理</w:t>
                  </w:r>
                </w:p>
              </w:tc>
              <w:tc>
                <w:tcPr>
                  <w:tcW w:w="304" w:type="pct"/>
                  <w:vMerge w:val="restart"/>
                  <w:noWrap w:val="0"/>
                  <w:vAlign w:val="center"/>
                </w:tcPr>
                <w:p w14:paraId="638FA8CA">
                  <w:pPr>
                    <w:jc w:val="center"/>
                    <w:rPr>
                      <w:rFonts w:hint="default" w:eastAsia="宋体"/>
                      <w:color w:val="auto"/>
                      <w:sz w:val="18"/>
                      <w:szCs w:val="18"/>
                      <w:lang w:val="en-US" w:eastAsia="zh-CN"/>
                    </w:rPr>
                  </w:pPr>
                  <w:r>
                    <w:rPr>
                      <w:rFonts w:hint="default" w:eastAsia="宋体"/>
                      <w:color w:val="auto"/>
                      <w:sz w:val="18"/>
                      <w:szCs w:val="18"/>
                      <w:lang w:val="en-US" w:eastAsia="zh-CN"/>
                    </w:rPr>
                    <w:t>中和、多效蒸发器</w:t>
                  </w:r>
                </w:p>
              </w:tc>
              <w:tc>
                <w:tcPr>
                  <w:tcW w:w="369" w:type="pct"/>
                  <w:vMerge w:val="restart"/>
                  <w:noWrap w:val="0"/>
                  <w:vAlign w:val="center"/>
                </w:tcPr>
                <w:p w14:paraId="44209BB3">
                  <w:pPr>
                    <w:jc w:val="center"/>
                    <w:rPr>
                      <w:rFonts w:hint="eastAsia" w:eastAsia="宋体"/>
                      <w:color w:val="auto"/>
                      <w:sz w:val="18"/>
                      <w:szCs w:val="18"/>
                      <w:highlight w:val="none"/>
                      <w:lang w:val="en-US" w:eastAsia="zh-CN"/>
                    </w:rPr>
                  </w:pPr>
                  <w:r>
                    <w:rPr>
                      <w:rFonts w:hint="eastAsia"/>
                      <w:color w:val="auto"/>
                      <w:sz w:val="18"/>
                      <w:szCs w:val="18"/>
                      <w:highlight w:val="none"/>
                      <w:lang w:val="en-US" w:eastAsia="zh-CN"/>
                    </w:rPr>
                    <w:t>2</w:t>
                  </w:r>
                </w:p>
              </w:tc>
              <w:tc>
                <w:tcPr>
                  <w:tcW w:w="413" w:type="pct"/>
                  <w:vMerge w:val="restart"/>
                  <w:noWrap w:val="0"/>
                  <w:vAlign w:val="center"/>
                </w:tcPr>
                <w:p w14:paraId="5D44A9FB">
                  <w:pPr>
                    <w:jc w:val="center"/>
                    <w:rPr>
                      <w:color w:val="auto"/>
                      <w:sz w:val="18"/>
                      <w:szCs w:val="18"/>
                      <w:highlight w:val="none"/>
                    </w:rPr>
                  </w:pPr>
                  <w:r>
                    <w:rPr>
                      <w:color w:val="auto"/>
                      <w:sz w:val="18"/>
                      <w:szCs w:val="18"/>
                      <w:highlight w:val="none"/>
                    </w:rPr>
                    <w:t>是</w:t>
                  </w:r>
                </w:p>
              </w:tc>
              <w:tc>
                <w:tcPr>
                  <w:tcW w:w="316" w:type="pct"/>
                  <w:vMerge w:val="restart"/>
                  <w:noWrap w:val="0"/>
                  <w:vAlign w:val="center"/>
                </w:tcPr>
                <w:p w14:paraId="232B8CE7">
                  <w:pPr>
                    <w:jc w:val="center"/>
                    <w:rPr>
                      <w:rFonts w:hint="default"/>
                      <w:color w:val="auto"/>
                      <w:sz w:val="18"/>
                      <w:szCs w:val="18"/>
                      <w:highlight w:val="none"/>
                      <w:lang w:val="en-US"/>
                    </w:rPr>
                  </w:pPr>
                  <w:r>
                    <w:rPr>
                      <w:rFonts w:hint="eastAsia"/>
                      <w:color w:val="auto"/>
                      <w:sz w:val="18"/>
                      <w:szCs w:val="18"/>
                      <w:highlight w:val="none"/>
                      <w:lang w:val="en-US" w:eastAsia="zh-CN"/>
                    </w:rPr>
                    <w:t>中和槽、多效蒸发器</w:t>
                  </w:r>
                </w:p>
              </w:tc>
              <w:tc>
                <w:tcPr>
                  <w:tcW w:w="360" w:type="pct"/>
                  <w:vMerge w:val="restart"/>
                  <w:noWrap w:val="0"/>
                  <w:vAlign w:val="center"/>
                </w:tcPr>
                <w:p w14:paraId="477F4D22">
                  <w:pPr>
                    <w:jc w:val="center"/>
                    <w:rPr>
                      <w:color w:val="auto"/>
                      <w:sz w:val="18"/>
                      <w:szCs w:val="18"/>
                    </w:rPr>
                  </w:pPr>
                  <w:r>
                    <w:rPr>
                      <w:rFonts w:hint="default"/>
                      <w:color w:val="auto"/>
                      <w:sz w:val="18"/>
                      <w:szCs w:val="18"/>
                      <w:lang w:val="en-US" w:eastAsia="zh-CN"/>
                    </w:rPr>
                    <w:t>回用于预热分离用水和地面清扫用水</w:t>
                  </w:r>
                </w:p>
              </w:tc>
              <w:tc>
                <w:tcPr>
                  <w:tcW w:w="356" w:type="pct"/>
                  <w:vMerge w:val="restart"/>
                  <w:noWrap w:val="0"/>
                  <w:vAlign w:val="center"/>
                </w:tcPr>
                <w:p w14:paraId="3E3C5975">
                  <w:pPr>
                    <w:jc w:val="center"/>
                    <w:rPr>
                      <w:color w:val="auto"/>
                      <w:sz w:val="18"/>
                      <w:szCs w:val="18"/>
                    </w:rPr>
                  </w:pPr>
                  <w:r>
                    <w:rPr>
                      <w:rFonts w:hint="eastAsia"/>
                      <w:color w:val="auto"/>
                      <w:sz w:val="18"/>
                      <w:szCs w:val="18"/>
                      <w:lang w:val="en-US" w:eastAsia="zh-CN"/>
                    </w:rPr>
                    <w:t>不外排</w:t>
                  </w:r>
                </w:p>
              </w:tc>
              <w:tc>
                <w:tcPr>
                  <w:tcW w:w="351" w:type="pct"/>
                  <w:vMerge w:val="continue"/>
                  <w:noWrap w:val="0"/>
                  <w:vAlign w:val="center"/>
                </w:tcPr>
                <w:p w14:paraId="46605E1E">
                  <w:pPr>
                    <w:jc w:val="center"/>
                    <w:rPr>
                      <w:color w:val="auto"/>
                      <w:sz w:val="18"/>
                      <w:szCs w:val="18"/>
                    </w:rPr>
                  </w:pPr>
                </w:p>
              </w:tc>
              <w:tc>
                <w:tcPr>
                  <w:tcW w:w="365" w:type="pct"/>
                  <w:vMerge w:val="continue"/>
                  <w:noWrap w:val="0"/>
                  <w:vAlign w:val="center"/>
                </w:tcPr>
                <w:p w14:paraId="57D409B1">
                  <w:pPr>
                    <w:jc w:val="center"/>
                    <w:rPr>
                      <w:color w:val="auto"/>
                      <w:sz w:val="18"/>
                      <w:szCs w:val="18"/>
                    </w:rPr>
                  </w:pPr>
                </w:p>
              </w:tc>
              <w:tc>
                <w:tcPr>
                  <w:tcW w:w="393" w:type="pct"/>
                  <w:vMerge w:val="continue"/>
                  <w:noWrap w:val="0"/>
                  <w:vAlign w:val="center"/>
                </w:tcPr>
                <w:p w14:paraId="70464FED">
                  <w:pPr>
                    <w:jc w:val="center"/>
                    <w:rPr>
                      <w:rFonts w:hint="eastAsia"/>
                      <w:color w:val="auto"/>
                      <w:sz w:val="18"/>
                      <w:szCs w:val="18"/>
                      <w:lang w:val="en-US" w:eastAsia="zh-CN"/>
                    </w:rPr>
                  </w:pPr>
                </w:p>
              </w:tc>
              <w:tc>
                <w:tcPr>
                  <w:tcW w:w="367" w:type="pct"/>
                  <w:vMerge w:val="continue"/>
                  <w:noWrap w:val="0"/>
                  <w:vAlign w:val="center"/>
                </w:tcPr>
                <w:p w14:paraId="607429A7">
                  <w:pPr>
                    <w:jc w:val="center"/>
                    <w:rPr>
                      <w:color w:val="auto"/>
                      <w:sz w:val="18"/>
                      <w:szCs w:val="18"/>
                    </w:rPr>
                  </w:pPr>
                </w:p>
              </w:tc>
            </w:tr>
            <w:tr w14:paraId="4B9F2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9" w:hRule="atLeast"/>
                <w:jc w:val="center"/>
              </w:trPr>
              <w:tc>
                <w:tcPr>
                  <w:tcW w:w="265" w:type="pct"/>
                  <w:noWrap w:val="0"/>
                  <w:vAlign w:val="center"/>
                </w:tcPr>
                <w:p w14:paraId="058B512C">
                  <w:pPr>
                    <w:jc w:val="center"/>
                    <w:rPr>
                      <w:rFonts w:hint="eastAsia" w:eastAsia="宋体"/>
                      <w:color w:val="auto"/>
                      <w:sz w:val="18"/>
                      <w:szCs w:val="18"/>
                      <w:lang w:eastAsia="zh-CN"/>
                    </w:rPr>
                  </w:pPr>
                  <w:r>
                    <w:rPr>
                      <w:rFonts w:hint="eastAsia"/>
                      <w:color w:val="auto"/>
                      <w:sz w:val="18"/>
                      <w:szCs w:val="18"/>
                      <w:lang w:eastAsia="zh-CN"/>
                    </w:rPr>
                    <w:t>酸雾吸收废水</w:t>
                  </w:r>
                </w:p>
              </w:tc>
              <w:tc>
                <w:tcPr>
                  <w:tcW w:w="535" w:type="pct"/>
                  <w:vMerge w:val="continue"/>
                  <w:noWrap w:val="0"/>
                  <w:vAlign w:val="center"/>
                </w:tcPr>
                <w:p w14:paraId="1936D695">
                  <w:pPr>
                    <w:jc w:val="center"/>
                    <w:rPr>
                      <w:rFonts w:hint="eastAsia"/>
                      <w:color w:val="auto"/>
                      <w:sz w:val="18"/>
                      <w:szCs w:val="18"/>
                    </w:rPr>
                  </w:pPr>
                </w:p>
              </w:tc>
              <w:tc>
                <w:tcPr>
                  <w:tcW w:w="283" w:type="pct"/>
                  <w:vMerge w:val="continue"/>
                  <w:noWrap w:val="0"/>
                  <w:vAlign w:val="center"/>
                </w:tcPr>
                <w:p w14:paraId="61BBBB8C">
                  <w:pPr>
                    <w:jc w:val="center"/>
                    <w:rPr>
                      <w:rFonts w:hint="eastAsia"/>
                      <w:color w:val="auto"/>
                      <w:sz w:val="18"/>
                      <w:szCs w:val="18"/>
                    </w:rPr>
                  </w:pPr>
                </w:p>
              </w:tc>
              <w:tc>
                <w:tcPr>
                  <w:tcW w:w="319" w:type="pct"/>
                  <w:vMerge w:val="continue"/>
                  <w:noWrap w:val="0"/>
                  <w:vAlign w:val="center"/>
                </w:tcPr>
                <w:p w14:paraId="37018B33">
                  <w:pPr>
                    <w:jc w:val="center"/>
                    <w:rPr>
                      <w:color w:val="auto"/>
                      <w:sz w:val="18"/>
                      <w:szCs w:val="18"/>
                    </w:rPr>
                  </w:pPr>
                </w:p>
              </w:tc>
              <w:tc>
                <w:tcPr>
                  <w:tcW w:w="304" w:type="pct"/>
                  <w:vMerge w:val="continue"/>
                  <w:noWrap w:val="0"/>
                  <w:vAlign w:val="center"/>
                </w:tcPr>
                <w:p w14:paraId="28F0C74C">
                  <w:pPr>
                    <w:jc w:val="center"/>
                    <w:rPr>
                      <w:color w:val="auto"/>
                      <w:sz w:val="18"/>
                      <w:szCs w:val="18"/>
                    </w:rPr>
                  </w:pPr>
                </w:p>
              </w:tc>
              <w:tc>
                <w:tcPr>
                  <w:tcW w:w="369" w:type="pct"/>
                  <w:vMerge w:val="continue"/>
                  <w:noWrap w:val="0"/>
                  <w:vAlign w:val="center"/>
                </w:tcPr>
                <w:p w14:paraId="0D03A418">
                  <w:pPr>
                    <w:jc w:val="center"/>
                    <w:rPr>
                      <w:color w:val="auto"/>
                      <w:sz w:val="18"/>
                      <w:szCs w:val="18"/>
                    </w:rPr>
                  </w:pPr>
                </w:p>
              </w:tc>
              <w:tc>
                <w:tcPr>
                  <w:tcW w:w="413" w:type="pct"/>
                  <w:vMerge w:val="continue"/>
                  <w:noWrap w:val="0"/>
                  <w:vAlign w:val="center"/>
                </w:tcPr>
                <w:p w14:paraId="57D0BE37">
                  <w:pPr>
                    <w:jc w:val="center"/>
                    <w:rPr>
                      <w:color w:val="auto"/>
                      <w:sz w:val="18"/>
                      <w:szCs w:val="18"/>
                    </w:rPr>
                  </w:pPr>
                </w:p>
              </w:tc>
              <w:tc>
                <w:tcPr>
                  <w:tcW w:w="316" w:type="pct"/>
                  <w:vMerge w:val="continue"/>
                  <w:noWrap w:val="0"/>
                  <w:vAlign w:val="center"/>
                </w:tcPr>
                <w:p w14:paraId="20354ED2">
                  <w:pPr>
                    <w:jc w:val="center"/>
                    <w:rPr>
                      <w:color w:val="auto"/>
                      <w:sz w:val="18"/>
                      <w:szCs w:val="18"/>
                    </w:rPr>
                  </w:pPr>
                </w:p>
              </w:tc>
              <w:tc>
                <w:tcPr>
                  <w:tcW w:w="360" w:type="pct"/>
                  <w:vMerge w:val="continue"/>
                  <w:noWrap w:val="0"/>
                  <w:vAlign w:val="center"/>
                </w:tcPr>
                <w:p w14:paraId="41ABC282">
                  <w:pPr>
                    <w:jc w:val="center"/>
                    <w:rPr>
                      <w:color w:val="auto"/>
                      <w:sz w:val="18"/>
                      <w:szCs w:val="18"/>
                    </w:rPr>
                  </w:pPr>
                </w:p>
              </w:tc>
              <w:tc>
                <w:tcPr>
                  <w:tcW w:w="356" w:type="pct"/>
                  <w:vMerge w:val="continue"/>
                  <w:noWrap w:val="0"/>
                  <w:vAlign w:val="center"/>
                </w:tcPr>
                <w:p w14:paraId="2F308633">
                  <w:pPr>
                    <w:jc w:val="center"/>
                    <w:rPr>
                      <w:color w:val="auto"/>
                      <w:sz w:val="18"/>
                      <w:szCs w:val="18"/>
                    </w:rPr>
                  </w:pPr>
                </w:p>
              </w:tc>
              <w:tc>
                <w:tcPr>
                  <w:tcW w:w="351" w:type="pct"/>
                  <w:vMerge w:val="continue"/>
                  <w:noWrap w:val="0"/>
                  <w:vAlign w:val="center"/>
                </w:tcPr>
                <w:p w14:paraId="23DBF75D">
                  <w:pPr>
                    <w:jc w:val="center"/>
                    <w:rPr>
                      <w:color w:val="auto"/>
                      <w:sz w:val="18"/>
                      <w:szCs w:val="18"/>
                    </w:rPr>
                  </w:pPr>
                </w:p>
              </w:tc>
              <w:tc>
                <w:tcPr>
                  <w:tcW w:w="365" w:type="pct"/>
                  <w:vMerge w:val="continue"/>
                  <w:noWrap w:val="0"/>
                  <w:vAlign w:val="center"/>
                </w:tcPr>
                <w:p w14:paraId="56284737">
                  <w:pPr>
                    <w:jc w:val="center"/>
                    <w:rPr>
                      <w:color w:val="auto"/>
                      <w:sz w:val="18"/>
                      <w:szCs w:val="18"/>
                    </w:rPr>
                  </w:pPr>
                </w:p>
              </w:tc>
              <w:tc>
                <w:tcPr>
                  <w:tcW w:w="393" w:type="pct"/>
                  <w:vMerge w:val="continue"/>
                  <w:noWrap w:val="0"/>
                  <w:vAlign w:val="center"/>
                </w:tcPr>
                <w:p w14:paraId="2BB55DC8">
                  <w:pPr>
                    <w:jc w:val="center"/>
                    <w:rPr>
                      <w:rFonts w:hint="eastAsia"/>
                      <w:color w:val="auto"/>
                      <w:sz w:val="18"/>
                      <w:szCs w:val="18"/>
                      <w:lang w:val="en-US" w:eastAsia="zh-CN"/>
                    </w:rPr>
                  </w:pPr>
                </w:p>
              </w:tc>
              <w:tc>
                <w:tcPr>
                  <w:tcW w:w="367" w:type="pct"/>
                  <w:vMerge w:val="continue"/>
                  <w:noWrap w:val="0"/>
                  <w:vAlign w:val="center"/>
                </w:tcPr>
                <w:p w14:paraId="00421C7B">
                  <w:pPr>
                    <w:jc w:val="center"/>
                    <w:rPr>
                      <w:color w:val="auto"/>
                      <w:sz w:val="18"/>
                      <w:szCs w:val="18"/>
                    </w:rPr>
                  </w:pPr>
                </w:p>
              </w:tc>
            </w:tr>
            <w:tr w14:paraId="77744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265" w:type="pct"/>
                  <w:noWrap w:val="0"/>
                  <w:vAlign w:val="center"/>
                </w:tcPr>
                <w:p w14:paraId="045A8B78">
                  <w:pPr>
                    <w:jc w:val="center"/>
                    <w:rPr>
                      <w:rFonts w:hint="eastAsia"/>
                      <w:color w:val="auto"/>
                      <w:sz w:val="18"/>
                      <w:szCs w:val="18"/>
                    </w:rPr>
                  </w:pPr>
                  <w:r>
                    <w:rPr>
                      <w:rFonts w:hint="eastAsia"/>
                      <w:color w:val="auto"/>
                      <w:sz w:val="18"/>
                      <w:szCs w:val="18"/>
                      <w:lang w:val="en-US" w:eastAsia="zh-CN"/>
                    </w:rPr>
                    <w:t>地面冲洗废水</w:t>
                  </w:r>
                </w:p>
              </w:tc>
              <w:tc>
                <w:tcPr>
                  <w:tcW w:w="535" w:type="pct"/>
                  <w:vMerge w:val="continue"/>
                  <w:noWrap w:val="0"/>
                  <w:vAlign w:val="center"/>
                </w:tcPr>
                <w:p w14:paraId="66AB18F1">
                  <w:pPr>
                    <w:jc w:val="center"/>
                    <w:rPr>
                      <w:rFonts w:hint="eastAsia"/>
                      <w:color w:val="auto"/>
                      <w:sz w:val="18"/>
                      <w:szCs w:val="18"/>
                    </w:rPr>
                  </w:pPr>
                </w:p>
              </w:tc>
              <w:tc>
                <w:tcPr>
                  <w:tcW w:w="283" w:type="pct"/>
                  <w:vMerge w:val="continue"/>
                  <w:noWrap w:val="0"/>
                  <w:vAlign w:val="center"/>
                </w:tcPr>
                <w:p w14:paraId="57099448">
                  <w:pPr>
                    <w:jc w:val="center"/>
                    <w:rPr>
                      <w:rFonts w:hint="eastAsia"/>
                      <w:color w:val="auto"/>
                      <w:sz w:val="18"/>
                      <w:szCs w:val="18"/>
                    </w:rPr>
                  </w:pPr>
                </w:p>
              </w:tc>
              <w:tc>
                <w:tcPr>
                  <w:tcW w:w="319" w:type="pct"/>
                  <w:vMerge w:val="continue"/>
                  <w:noWrap w:val="0"/>
                  <w:vAlign w:val="center"/>
                </w:tcPr>
                <w:p w14:paraId="2F6BB564">
                  <w:pPr>
                    <w:jc w:val="center"/>
                    <w:rPr>
                      <w:color w:val="auto"/>
                      <w:sz w:val="18"/>
                      <w:szCs w:val="18"/>
                    </w:rPr>
                  </w:pPr>
                </w:p>
              </w:tc>
              <w:tc>
                <w:tcPr>
                  <w:tcW w:w="304" w:type="pct"/>
                  <w:vMerge w:val="continue"/>
                  <w:noWrap w:val="0"/>
                  <w:vAlign w:val="center"/>
                </w:tcPr>
                <w:p w14:paraId="69167D18">
                  <w:pPr>
                    <w:jc w:val="center"/>
                    <w:rPr>
                      <w:color w:val="auto"/>
                      <w:sz w:val="18"/>
                      <w:szCs w:val="18"/>
                    </w:rPr>
                  </w:pPr>
                </w:p>
              </w:tc>
              <w:tc>
                <w:tcPr>
                  <w:tcW w:w="369" w:type="pct"/>
                  <w:vMerge w:val="continue"/>
                  <w:noWrap w:val="0"/>
                  <w:vAlign w:val="center"/>
                </w:tcPr>
                <w:p w14:paraId="5A2F0EB9">
                  <w:pPr>
                    <w:jc w:val="center"/>
                    <w:rPr>
                      <w:color w:val="auto"/>
                      <w:sz w:val="18"/>
                      <w:szCs w:val="18"/>
                    </w:rPr>
                  </w:pPr>
                </w:p>
              </w:tc>
              <w:tc>
                <w:tcPr>
                  <w:tcW w:w="413" w:type="pct"/>
                  <w:vMerge w:val="continue"/>
                  <w:noWrap w:val="0"/>
                  <w:vAlign w:val="center"/>
                </w:tcPr>
                <w:p w14:paraId="0DCC7D7C">
                  <w:pPr>
                    <w:jc w:val="center"/>
                    <w:rPr>
                      <w:color w:val="auto"/>
                      <w:sz w:val="18"/>
                      <w:szCs w:val="18"/>
                    </w:rPr>
                  </w:pPr>
                </w:p>
              </w:tc>
              <w:tc>
                <w:tcPr>
                  <w:tcW w:w="316" w:type="pct"/>
                  <w:vMerge w:val="continue"/>
                  <w:noWrap w:val="0"/>
                  <w:vAlign w:val="center"/>
                </w:tcPr>
                <w:p w14:paraId="1117C792">
                  <w:pPr>
                    <w:jc w:val="center"/>
                    <w:rPr>
                      <w:color w:val="auto"/>
                      <w:sz w:val="18"/>
                      <w:szCs w:val="18"/>
                    </w:rPr>
                  </w:pPr>
                </w:p>
              </w:tc>
              <w:tc>
                <w:tcPr>
                  <w:tcW w:w="360" w:type="pct"/>
                  <w:vMerge w:val="continue"/>
                  <w:noWrap w:val="0"/>
                  <w:vAlign w:val="center"/>
                </w:tcPr>
                <w:p w14:paraId="3829A43A">
                  <w:pPr>
                    <w:jc w:val="center"/>
                    <w:rPr>
                      <w:color w:val="auto"/>
                      <w:sz w:val="18"/>
                      <w:szCs w:val="18"/>
                    </w:rPr>
                  </w:pPr>
                </w:p>
              </w:tc>
              <w:tc>
                <w:tcPr>
                  <w:tcW w:w="356" w:type="pct"/>
                  <w:vMerge w:val="continue"/>
                  <w:noWrap w:val="0"/>
                  <w:vAlign w:val="center"/>
                </w:tcPr>
                <w:p w14:paraId="40F6B76D">
                  <w:pPr>
                    <w:jc w:val="center"/>
                    <w:rPr>
                      <w:color w:val="auto"/>
                      <w:sz w:val="18"/>
                      <w:szCs w:val="18"/>
                    </w:rPr>
                  </w:pPr>
                </w:p>
              </w:tc>
              <w:tc>
                <w:tcPr>
                  <w:tcW w:w="351" w:type="pct"/>
                  <w:vMerge w:val="continue"/>
                  <w:noWrap w:val="0"/>
                  <w:vAlign w:val="center"/>
                </w:tcPr>
                <w:p w14:paraId="19BB26E0">
                  <w:pPr>
                    <w:jc w:val="center"/>
                    <w:rPr>
                      <w:color w:val="auto"/>
                      <w:sz w:val="18"/>
                      <w:szCs w:val="18"/>
                    </w:rPr>
                  </w:pPr>
                </w:p>
              </w:tc>
              <w:tc>
                <w:tcPr>
                  <w:tcW w:w="365" w:type="pct"/>
                  <w:vMerge w:val="continue"/>
                  <w:noWrap w:val="0"/>
                  <w:vAlign w:val="center"/>
                </w:tcPr>
                <w:p w14:paraId="2F92DAC1">
                  <w:pPr>
                    <w:jc w:val="center"/>
                    <w:rPr>
                      <w:color w:val="auto"/>
                      <w:sz w:val="18"/>
                      <w:szCs w:val="18"/>
                    </w:rPr>
                  </w:pPr>
                </w:p>
              </w:tc>
              <w:tc>
                <w:tcPr>
                  <w:tcW w:w="393" w:type="pct"/>
                  <w:vMerge w:val="continue"/>
                  <w:noWrap w:val="0"/>
                  <w:vAlign w:val="center"/>
                </w:tcPr>
                <w:p w14:paraId="448C9DA6">
                  <w:pPr>
                    <w:jc w:val="center"/>
                    <w:rPr>
                      <w:rFonts w:hint="eastAsia"/>
                      <w:color w:val="auto"/>
                      <w:sz w:val="18"/>
                      <w:szCs w:val="18"/>
                      <w:lang w:val="en-US" w:eastAsia="zh-CN"/>
                    </w:rPr>
                  </w:pPr>
                </w:p>
              </w:tc>
              <w:tc>
                <w:tcPr>
                  <w:tcW w:w="367" w:type="pct"/>
                  <w:vMerge w:val="continue"/>
                  <w:noWrap w:val="0"/>
                  <w:vAlign w:val="center"/>
                </w:tcPr>
                <w:p w14:paraId="34216EE1">
                  <w:pPr>
                    <w:jc w:val="center"/>
                    <w:rPr>
                      <w:color w:val="auto"/>
                      <w:sz w:val="18"/>
                      <w:szCs w:val="18"/>
                    </w:rPr>
                  </w:pPr>
                </w:p>
              </w:tc>
            </w:tr>
          </w:tbl>
          <w:p w14:paraId="4D05AF1A">
            <w:pPr>
              <w:pStyle w:val="732"/>
              <w:spacing w:line="360" w:lineRule="auto"/>
              <w:ind w:firstLine="420" w:firstLineChars="200"/>
              <w:rPr>
                <w:color w:val="auto"/>
                <w:sz w:val="21"/>
                <w:szCs w:val="21"/>
              </w:rPr>
            </w:pPr>
            <w:r>
              <w:rPr>
                <w:color w:val="auto"/>
                <w:sz w:val="21"/>
                <w:szCs w:val="21"/>
              </w:rPr>
              <w:t>2、源强分析</w:t>
            </w:r>
          </w:p>
          <w:p w14:paraId="7D89EEA4">
            <w:pPr>
              <w:adjustRightInd w:val="0"/>
              <w:snapToGrid w:val="0"/>
              <w:spacing w:line="360" w:lineRule="auto"/>
              <w:ind w:firstLine="420" w:firstLineChars="200"/>
              <w:rPr>
                <w:color w:val="auto"/>
                <w:sz w:val="21"/>
                <w:szCs w:val="21"/>
                <w:highlight w:val="none"/>
              </w:rPr>
            </w:pPr>
            <w:r>
              <w:rPr>
                <w:rFonts w:hint="eastAsia"/>
                <w:color w:val="auto"/>
                <w:sz w:val="21"/>
                <w:szCs w:val="21"/>
                <w:highlight w:val="none"/>
                <w:lang w:val="en-US" w:eastAsia="zh-CN"/>
              </w:rPr>
              <w:t>本</w:t>
            </w:r>
            <w:r>
              <w:rPr>
                <w:color w:val="auto"/>
                <w:sz w:val="21"/>
                <w:szCs w:val="21"/>
                <w:highlight w:val="none"/>
              </w:rPr>
              <w:t>项目产生的废水主要为职工生活污水</w:t>
            </w:r>
            <w:r>
              <w:rPr>
                <w:rFonts w:hint="eastAsia"/>
                <w:color w:val="auto"/>
                <w:sz w:val="21"/>
                <w:szCs w:val="21"/>
                <w:highlight w:val="none"/>
              </w:rPr>
              <w:t>、</w:t>
            </w:r>
            <w:r>
              <w:rPr>
                <w:rFonts w:hint="eastAsia"/>
                <w:color w:val="auto"/>
                <w:sz w:val="21"/>
                <w:szCs w:val="21"/>
                <w:highlight w:val="none"/>
                <w:lang w:val="en-US" w:eastAsia="zh-CN"/>
              </w:rPr>
              <w:t>离心废水、</w:t>
            </w:r>
            <w:r>
              <w:rPr>
                <w:rFonts w:hint="eastAsia"/>
                <w:color w:val="auto"/>
                <w:sz w:val="21"/>
                <w:szCs w:val="21"/>
                <w:highlight w:val="none"/>
                <w:lang w:eastAsia="zh-CN"/>
              </w:rPr>
              <w:t>酸雾吸收废水</w:t>
            </w:r>
            <w:r>
              <w:rPr>
                <w:rFonts w:hint="eastAsia"/>
                <w:color w:val="auto"/>
                <w:sz w:val="21"/>
                <w:szCs w:val="21"/>
                <w:highlight w:val="none"/>
                <w:lang w:val="en-US" w:eastAsia="zh-CN"/>
              </w:rPr>
              <w:t>、蒸汽冷凝水、蒸发冷凝水。</w:t>
            </w:r>
            <w:r>
              <w:rPr>
                <w:rFonts w:hint="default" w:ascii="Times New Roman" w:hAnsi="Times New Roman" w:eastAsia="宋体" w:cs="Times New Roman"/>
                <w:color w:val="auto"/>
                <w:sz w:val="21"/>
                <w:szCs w:val="21"/>
                <w:highlight w:val="none"/>
                <w:lang w:val="en-US" w:eastAsia="zh-CN"/>
              </w:rPr>
              <w:t>生活污水经化粪池暂存后由环卫部门定期清运，</w:t>
            </w:r>
            <w:r>
              <w:rPr>
                <w:rFonts w:hint="default" w:ascii="Times New Roman" w:hAnsi="Times New Roman" w:eastAsia="宋体" w:cs="Times New Roman"/>
                <w:color w:val="auto"/>
                <w:sz w:val="21"/>
                <w:szCs w:val="21"/>
                <w:highlight w:val="none"/>
                <w:lang w:eastAsia="zh-CN"/>
              </w:rPr>
              <w:t>蒸汽冷凝水、蒸发冷凝水回用于原料溶解用水、酸雾吸收塔用水。离心废水、酸雾吸收废水经厂内</w:t>
            </w:r>
            <w:r>
              <w:rPr>
                <w:rFonts w:hint="default" w:ascii="Times New Roman" w:hAnsi="Times New Roman" w:eastAsia="宋体" w:cs="Times New Roman"/>
                <w:color w:val="auto"/>
                <w:sz w:val="21"/>
                <w:szCs w:val="21"/>
                <w:highlight w:val="none"/>
                <w:lang w:val="en-US" w:eastAsia="zh-CN"/>
              </w:rPr>
              <w:t>污水处理站中和、多效蒸发器蒸发出来的蒸汽经冷凝后回用于预热分离用水和地面清扫用水，地面清扫用水</w:t>
            </w:r>
            <w:r>
              <w:rPr>
                <w:rFonts w:hint="eastAsia" w:ascii="Times New Roman" w:hAnsi="Times New Roman" w:eastAsia="宋体" w:cs="Times New Roman"/>
                <w:color w:val="auto"/>
                <w:sz w:val="21"/>
                <w:szCs w:val="21"/>
                <w:highlight w:val="none"/>
                <w:lang w:val="en-US" w:eastAsia="zh-CN"/>
              </w:rPr>
              <w:t>蒸发损耗，</w:t>
            </w:r>
            <w:r>
              <w:rPr>
                <w:rFonts w:hint="default" w:ascii="Times New Roman" w:hAnsi="Times New Roman" w:eastAsia="宋体" w:cs="Times New Roman"/>
                <w:color w:val="auto"/>
                <w:sz w:val="21"/>
                <w:szCs w:val="21"/>
                <w:highlight w:val="none"/>
                <w:lang w:val="en-US" w:eastAsia="zh-CN"/>
              </w:rPr>
              <w:t>不外排</w:t>
            </w:r>
            <w:r>
              <w:rPr>
                <w:color w:val="auto"/>
                <w:sz w:val="21"/>
                <w:szCs w:val="21"/>
                <w:highlight w:val="none"/>
              </w:rPr>
              <w:t>。</w:t>
            </w:r>
          </w:p>
          <w:p w14:paraId="3937430D">
            <w:pPr>
              <w:numPr>
                <w:ilvl w:val="0"/>
                <w:numId w:val="0"/>
              </w:numPr>
              <w:adjustRightInd w:val="0"/>
              <w:snapToGrid w:val="0"/>
              <w:spacing w:line="360" w:lineRule="auto"/>
              <w:ind w:firstLine="420" w:firstLineChars="200"/>
              <w:rPr>
                <w:color w:val="auto"/>
                <w:highlight w:val="none"/>
              </w:rPr>
            </w:pPr>
            <w:r>
              <w:rPr>
                <w:rFonts w:hint="default" w:ascii="Times New Roman" w:hAnsi="Times New Roman" w:cs="Times New Roman"/>
                <w:color w:val="auto"/>
                <w:kern w:val="24"/>
                <w:sz w:val="21"/>
                <w:szCs w:val="21"/>
                <w:highlight w:val="none"/>
              </w:rPr>
              <w:t>①</w:t>
            </w:r>
            <w:r>
              <w:rPr>
                <w:rFonts w:hint="eastAsia"/>
                <w:color w:val="auto"/>
                <w:sz w:val="21"/>
                <w:szCs w:val="21"/>
                <w:highlight w:val="none"/>
                <w:lang w:val="en-US" w:eastAsia="zh-CN"/>
              </w:rPr>
              <w:t>生活污水：</w:t>
            </w:r>
            <w:r>
              <w:rPr>
                <w:color w:val="auto"/>
                <w:sz w:val="21"/>
                <w:szCs w:val="21"/>
                <w:highlight w:val="none"/>
              </w:rPr>
              <w:t>生活污水产生量按用水量的80%计，为</w:t>
            </w:r>
            <w:r>
              <w:rPr>
                <w:rFonts w:hint="eastAsia"/>
                <w:color w:val="auto"/>
                <w:sz w:val="21"/>
                <w:szCs w:val="21"/>
                <w:highlight w:val="none"/>
                <w:lang w:val="en-US" w:eastAsia="zh-CN"/>
              </w:rPr>
              <w:t>192</w:t>
            </w:r>
            <w:r>
              <w:rPr>
                <w:color w:val="auto"/>
                <w:sz w:val="21"/>
                <w:szCs w:val="21"/>
                <w:highlight w:val="none"/>
              </w:rPr>
              <w:t>m</w:t>
            </w:r>
            <w:r>
              <w:rPr>
                <w:color w:val="auto"/>
                <w:sz w:val="21"/>
                <w:szCs w:val="21"/>
                <w:highlight w:val="none"/>
                <w:vertAlign w:val="superscript"/>
              </w:rPr>
              <w:t>3</w:t>
            </w:r>
            <w:r>
              <w:rPr>
                <w:color w:val="auto"/>
                <w:sz w:val="21"/>
                <w:szCs w:val="21"/>
                <w:highlight w:val="none"/>
              </w:rPr>
              <w:t>/a</w:t>
            </w:r>
            <w:r>
              <w:rPr>
                <w:rFonts w:hint="default" w:ascii="Times New Roman" w:hAnsi="Times New Roman" w:eastAsia="宋体" w:cs="Times New Roman"/>
                <w:color w:val="auto"/>
                <w:sz w:val="21"/>
                <w:szCs w:val="21"/>
                <w:highlight w:val="none"/>
                <w:lang w:val="en-US" w:eastAsia="zh-CN"/>
              </w:rPr>
              <w:t>经化粪池暂存后由环卫部门定期清运</w:t>
            </w:r>
            <w:r>
              <w:rPr>
                <w:rFonts w:hint="eastAsia" w:ascii="Times New Roman" w:hAnsi="Times New Roman" w:eastAsia="宋体" w:cs="Times New Roman"/>
                <w:color w:val="auto"/>
                <w:kern w:val="24"/>
                <w:highlight w:val="none"/>
                <w:lang w:eastAsia="zh-CN"/>
              </w:rPr>
              <w:t>。，</w:t>
            </w:r>
            <w:r>
              <w:rPr>
                <w:rFonts w:hint="default" w:ascii="Times New Roman" w:hAnsi="Times New Roman" w:eastAsia="宋体" w:cs="Times New Roman"/>
                <w:color w:val="auto"/>
                <w:kern w:val="24"/>
                <w:highlight w:val="none"/>
              </w:rPr>
              <w:t>主要污染因子为COD、BOD</w:t>
            </w:r>
            <w:r>
              <w:rPr>
                <w:rFonts w:hint="default" w:ascii="Times New Roman" w:hAnsi="Times New Roman" w:eastAsia="宋体" w:cs="Times New Roman"/>
                <w:color w:val="auto"/>
                <w:kern w:val="24"/>
                <w:highlight w:val="none"/>
                <w:vertAlign w:val="subscript"/>
              </w:rPr>
              <w:t>5</w:t>
            </w:r>
            <w:r>
              <w:rPr>
                <w:rFonts w:hint="default" w:ascii="Times New Roman" w:hAnsi="Times New Roman" w:eastAsia="宋体" w:cs="Times New Roman"/>
                <w:color w:val="auto"/>
                <w:kern w:val="24"/>
                <w:highlight w:val="none"/>
              </w:rPr>
              <w:t>、NH</w:t>
            </w:r>
            <w:r>
              <w:rPr>
                <w:rFonts w:hint="default" w:ascii="Times New Roman" w:hAnsi="Times New Roman" w:eastAsia="宋体" w:cs="Times New Roman"/>
                <w:color w:val="auto"/>
                <w:kern w:val="24"/>
                <w:highlight w:val="none"/>
                <w:vertAlign w:val="subscript"/>
              </w:rPr>
              <w:t>3</w:t>
            </w:r>
            <w:r>
              <w:rPr>
                <w:rFonts w:hint="default" w:ascii="Times New Roman" w:hAnsi="Times New Roman" w:eastAsia="宋体" w:cs="Times New Roman"/>
                <w:color w:val="auto"/>
                <w:kern w:val="24"/>
                <w:highlight w:val="none"/>
              </w:rPr>
              <w:t>-N、SS等。</w:t>
            </w:r>
            <w:r>
              <w:rPr>
                <w:rFonts w:hint="default" w:ascii="Times New Roman" w:hAnsi="Times New Roman" w:cs="Times New Roman" w:eastAsiaTheme="minorEastAsia"/>
                <w:color w:val="auto"/>
                <w:kern w:val="24"/>
                <w:szCs w:val="21"/>
                <w:highlight w:val="none"/>
              </w:rPr>
              <w:t>参照《排放源统计调查产排污核算方法和系数手册附表生活源产排污核算系数手册》和类比相关行业废水源强</w:t>
            </w:r>
            <w:r>
              <w:rPr>
                <w:rFonts w:hint="eastAsia"/>
                <w:color w:val="auto"/>
                <w:highlight w:val="none"/>
                <w:lang w:eastAsia="zh-CN"/>
              </w:rPr>
              <w:t>，</w:t>
            </w:r>
            <w:r>
              <w:rPr>
                <w:snapToGrid w:val="0"/>
                <w:color w:val="auto"/>
                <w:kern w:val="0"/>
                <w:highlight w:val="none"/>
              </w:rPr>
              <w:t>废水污染物主要指标见表4-</w:t>
            </w:r>
            <w:r>
              <w:rPr>
                <w:rFonts w:hint="eastAsia"/>
                <w:snapToGrid w:val="0"/>
                <w:color w:val="auto"/>
                <w:kern w:val="0"/>
                <w:highlight w:val="none"/>
                <w:lang w:val="en-US" w:eastAsia="zh-CN"/>
              </w:rPr>
              <w:t>8</w:t>
            </w:r>
            <w:r>
              <w:rPr>
                <w:color w:val="auto"/>
                <w:highlight w:val="none"/>
              </w:rPr>
              <w:t>。</w:t>
            </w:r>
          </w:p>
          <w:p w14:paraId="3F4EF492">
            <w:pPr>
              <w:adjustRightInd w:val="0"/>
              <w:snapToGrid w:val="0"/>
              <w:spacing w:line="360" w:lineRule="auto"/>
              <w:jc w:val="center"/>
              <w:rPr>
                <w:b/>
                <w:color w:val="auto"/>
                <w:highlight w:val="none"/>
              </w:rPr>
            </w:pPr>
            <w:r>
              <w:rPr>
                <w:b/>
                <w:color w:val="auto"/>
                <w:highlight w:val="none"/>
              </w:rPr>
              <w:t>表4-</w:t>
            </w:r>
            <w:r>
              <w:rPr>
                <w:rFonts w:hint="eastAsia"/>
                <w:b/>
                <w:color w:val="auto"/>
                <w:highlight w:val="none"/>
                <w:lang w:val="en-US" w:eastAsia="zh-CN"/>
              </w:rPr>
              <w:t>8生活污水</w:t>
            </w:r>
            <w:r>
              <w:rPr>
                <w:b/>
                <w:color w:val="auto"/>
                <w:highlight w:val="none"/>
              </w:rPr>
              <w:t>污染物产生、排放情况一览表</w:t>
            </w:r>
          </w:p>
          <w:tbl>
            <w:tblPr>
              <w:tblStyle w:val="83"/>
              <w:tblW w:w="5000" w:type="pct"/>
              <w:jc w:val="center"/>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Layout w:type="autofit"/>
              <w:tblCellMar>
                <w:top w:w="0" w:type="dxa"/>
                <w:left w:w="0" w:type="dxa"/>
                <w:bottom w:w="0" w:type="dxa"/>
                <w:right w:w="0" w:type="dxa"/>
              </w:tblCellMar>
            </w:tblPr>
            <w:tblGrid>
              <w:gridCol w:w="1280"/>
              <w:gridCol w:w="1813"/>
              <w:gridCol w:w="1838"/>
              <w:gridCol w:w="1649"/>
              <w:gridCol w:w="1790"/>
            </w:tblGrid>
            <w:tr w14:paraId="58B887D7">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80" w:type="dxa"/>
                  <w:tcBorders>
                    <w:top w:val="single" w:color="000000" w:sz="6" w:space="0"/>
                    <w:left w:val="single" w:color="000000" w:sz="6" w:space="0"/>
                    <w:bottom w:val="single" w:color="000000" w:sz="6" w:space="0"/>
                    <w:right w:val="single" w:color="000000" w:sz="6" w:space="0"/>
                  </w:tcBorders>
                  <w:vAlign w:val="center"/>
                </w:tcPr>
                <w:p w14:paraId="73A1EB27">
                  <w:pPr>
                    <w:widowControl/>
                    <w:jc w:val="center"/>
                    <w:rPr>
                      <w:b/>
                      <w:caps/>
                      <w:color w:val="auto"/>
                      <w:sz w:val="18"/>
                      <w:szCs w:val="18"/>
                      <w:highlight w:val="none"/>
                    </w:rPr>
                  </w:pPr>
                  <w:r>
                    <w:rPr>
                      <w:b/>
                      <w:caps/>
                      <w:color w:val="auto"/>
                      <w:sz w:val="18"/>
                      <w:szCs w:val="18"/>
                      <w:highlight w:val="none"/>
                    </w:rPr>
                    <w:t>污染物</w:t>
                  </w:r>
                </w:p>
              </w:tc>
              <w:tc>
                <w:tcPr>
                  <w:tcW w:w="1813" w:type="dxa"/>
                  <w:tcBorders>
                    <w:top w:val="single" w:color="000000" w:sz="6" w:space="0"/>
                    <w:left w:val="single" w:color="000000" w:sz="6" w:space="0"/>
                    <w:bottom w:val="single" w:color="000000" w:sz="6" w:space="0"/>
                    <w:right w:val="single" w:color="000000" w:sz="6" w:space="0"/>
                  </w:tcBorders>
                  <w:vAlign w:val="center"/>
                </w:tcPr>
                <w:p w14:paraId="25BBA6E3">
                  <w:pPr>
                    <w:widowControl/>
                    <w:jc w:val="center"/>
                    <w:rPr>
                      <w:b/>
                      <w:caps/>
                      <w:color w:val="auto"/>
                      <w:sz w:val="18"/>
                      <w:szCs w:val="18"/>
                      <w:highlight w:val="none"/>
                    </w:rPr>
                  </w:pPr>
                  <w:r>
                    <w:rPr>
                      <w:b/>
                      <w:caps/>
                      <w:color w:val="auto"/>
                      <w:sz w:val="18"/>
                      <w:szCs w:val="18"/>
                      <w:highlight w:val="none"/>
                    </w:rPr>
                    <w:t>产生浓度（</w:t>
                  </w:r>
                  <w:r>
                    <w:rPr>
                      <w:b/>
                      <w:color w:val="auto"/>
                      <w:sz w:val="18"/>
                      <w:szCs w:val="18"/>
                      <w:highlight w:val="none"/>
                    </w:rPr>
                    <w:t>mg/L</w:t>
                  </w:r>
                  <w:r>
                    <w:rPr>
                      <w:b/>
                      <w:caps/>
                      <w:color w:val="auto"/>
                      <w:sz w:val="18"/>
                      <w:szCs w:val="18"/>
                      <w:highlight w:val="none"/>
                    </w:rPr>
                    <w:t>）</w:t>
                  </w:r>
                </w:p>
              </w:tc>
              <w:tc>
                <w:tcPr>
                  <w:tcW w:w="1838" w:type="dxa"/>
                  <w:tcBorders>
                    <w:top w:val="single" w:color="000000" w:sz="6" w:space="0"/>
                    <w:left w:val="single" w:color="000000" w:sz="6" w:space="0"/>
                    <w:bottom w:val="single" w:color="000000" w:sz="6" w:space="0"/>
                    <w:right w:val="single" w:color="000000" w:sz="6" w:space="0"/>
                  </w:tcBorders>
                  <w:vAlign w:val="center"/>
                </w:tcPr>
                <w:p w14:paraId="214E8936">
                  <w:pPr>
                    <w:widowControl/>
                    <w:jc w:val="center"/>
                    <w:rPr>
                      <w:b/>
                      <w:caps/>
                      <w:color w:val="auto"/>
                      <w:sz w:val="18"/>
                      <w:szCs w:val="18"/>
                      <w:highlight w:val="none"/>
                    </w:rPr>
                  </w:pPr>
                  <w:r>
                    <w:rPr>
                      <w:b/>
                      <w:caps/>
                      <w:color w:val="auto"/>
                      <w:sz w:val="18"/>
                      <w:szCs w:val="18"/>
                      <w:highlight w:val="none"/>
                    </w:rPr>
                    <w:t>产生量（</w:t>
                  </w:r>
                  <w:r>
                    <w:rPr>
                      <w:b/>
                      <w:color w:val="auto"/>
                      <w:sz w:val="18"/>
                      <w:highlight w:val="none"/>
                    </w:rPr>
                    <w:t>t/a</w:t>
                  </w:r>
                  <w:r>
                    <w:rPr>
                      <w:b/>
                      <w:caps/>
                      <w:color w:val="auto"/>
                      <w:sz w:val="18"/>
                      <w:szCs w:val="18"/>
                      <w:highlight w:val="none"/>
                    </w:rPr>
                    <w:t>）</w:t>
                  </w:r>
                </w:p>
              </w:tc>
              <w:tc>
                <w:tcPr>
                  <w:tcW w:w="1649" w:type="dxa"/>
                  <w:tcBorders>
                    <w:top w:val="single" w:color="000000" w:sz="6" w:space="0"/>
                    <w:left w:val="single" w:color="000000" w:sz="6" w:space="0"/>
                    <w:bottom w:val="single" w:color="000000" w:sz="6" w:space="0"/>
                    <w:right w:val="single" w:color="auto" w:sz="4" w:space="0"/>
                  </w:tcBorders>
                  <w:vAlign w:val="center"/>
                </w:tcPr>
                <w:p w14:paraId="7F66CAF8">
                  <w:pPr>
                    <w:widowControl/>
                    <w:jc w:val="center"/>
                    <w:rPr>
                      <w:b/>
                      <w:caps/>
                      <w:color w:val="auto"/>
                      <w:sz w:val="18"/>
                      <w:szCs w:val="18"/>
                      <w:highlight w:val="none"/>
                    </w:rPr>
                  </w:pPr>
                  <w:r>
                    <w:rPr>
                      <w:b/>
                      <w:caps/>
                      <w:color w:val="auto"/>
                      <w:sz w:val="18"/>
                      <w:szCs w:val="18"/>
                      <w:highlight w:val="none"/>
                    </w:rPr>
                    <w:t>排放浓度（</w:t>
                  </w:r>
                  <w:r>
                    <w:rPr>
                      <w:b/>
                      <w:color w:val="auto"/>
                      <w:sz w:val="18"/>
                      <w:szCs w:val="18"/>
                      <w:highlight w:val="none"/>
                    </w:rPr>
                    <w:t>mg/L</w:t>
                  </w:r>
                  <w:r>
                    <w:rPr>
                      <w:b/>
                      <w:caps/>
                      <w:color w:val="auto"/>
                      <w:sz w:val="18"/>
                      <w:szCs w:val="18"/>
                      <w:highlight w:val="none"/>
                    </w:rPr>
                    <w:t>）</w:t>
                  </w:r>
                </w:p>
              </w:tc>
              <w:tc>
                <w:tcPr>
                  <w:tcW w:w="1790" w:type="dxa"/>
                  <w:tcBorders>
                    <w:top w:val="single" w:color="000000" w:sz="6" w:space="0"/>
                    <w:left w:val="single" w:color="auto" w:sz="4" w:space="0"/>
                    <w:bottom w:val="single" w:color="000000" w:sz="6" w:space="0"/>
                    <w:right w:val="single" w:color="000000" w:sz="6" w:space="0"/>
                  </w:tcBorders>
                  <w:vAlign w:val="center"/>
                </w:tcPr>
                <w:p w14:paraId="399C03B8">
                  <w:pPr>
                    <w:jc w:val="center"/>
                    <w:rPr>
                      <w:b/>
                      <w:caps/>
                      <w:color w:val="auto"/>
                      <w:sz w:val="18"/>
                      <w:szCs w:val="18"/>
                      <w:highlight w:val="none"/>
                    </w:rPr>
                  </w:pPr>
                  <w:r>
                    <w:rPr>
                      <w:b/>
                      <w:caps/>
                      <w:color w:val="auto"/>
                      <w:sz w:val="18"/>
                      <w:szCs w:val="18"/>
                      <w:highlight w:val="none"/>
                    </w:rPr>
                    <w:t>排放量（</w:t>
                  </w:r>
                  <w:r>
                    <w:rPr>
                      <w:b/>
                      <w:color w:val="auto"/>
                      <w:sz w:val="18"/>
                      <w:highlight w:val="none"/>
                    </w:rPr>
                    <w:t>t/a</w:t>
                  </w:r>
                  <w:r>
                    <w:rPr>
                      <w:b/>
                      <w:caps/>
                      <w:color w:val="auto"/>
                      <w:sz w:val="18"/>
                      <w:szCs w:val="18"/>
                      <w:highlight w:val="none"/>
                    </w:rPr>
                    <w:t>）</w:t>
                  </w:r>
                </w:p>
              </w:tc>
            </w:tr>
            <w:tr w14:paraId="613BFA2C">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8370" w:type="dxa"/>
                  <w:gridSpan w:val="5"/>
                  <w:tcBorders>
                    <w:top w:val="single" w:color="000000" w:sz="6" w:space="0"/>
                    <w:left w:val="single" w:color="000000" w:sz="6" w:space="0"/>
                    <w:bottom w:val="single" w:color="000000" w:sz="6" w:space="0"/>
                    <w:right w:val="single" w:color="000000" w:sz="6" w:space="0"/>
                  </w:tcBorders>
                  <w:vAlign w:val="center"/>
                </w:tcPr>
                <w:p w14:paraId="2D8D69A9">
                  <w:pPr>
                    <w:jc w:val="center"/>
                    <w:rPr>
                      <w:color w:val="auto"/>
                      <w:sz w:val="18"/>
                      <w:szCs w:val="18"/>
                      <w:highlight w:val="none"/>
                    </w:rPr>
                  </w:pPr>
                  <w:r>
                    <w:rPr>
                      <w:color w:val="auto"/>
                      <w:sz w:val="18"/>
                      <w:szCs w:val="18"/>
                      <w:highlight w:val="none"/>
                    </w:rPr>
                    <w:t>生活污水量</w:t>
                  </w:r>
                  <w:r>
                    <w:rPr>
                      <w:rFonts w:hint="eastAsia"/>
                      <w:color w:val="auto"/>
                      <w:sz w:val="18"/>
                      <w:szCs w:val="18"/>
                      <w:highlight w:val="none"/>
                      <w:lang w:val="en-US" w:eastAsia="zh-CN"/>
                    </w:rPr>
                    <w:t>192</w:t>
                  </w:r>
                  <w:r>
                    <w:rPr>
                      <w:bCs/>
                      <w:color w:val="auto"/>
                      <w:sz w:val="18"/>
                      <w:szCs w:val="18"/>
                      <w:highlight w:val="none"/>
                    </w:rPr>
                    <w:t>m</w:t>
                  </w:r>
                  <w:r>
                    <w:rPr>
                      <w:bCs/>
                      <w:color w:val="auto"/>
                      <w:sz w:val="18"/>
                      <w:szCs w:val="18"/>
                      <w:highlight w:val="none"/>
                      <w:vertAlign w:val="superscript"/>
                    </w:rPr>
                    <w:t>3</w:t>
                  </w:r>
                  <w:r>
                    <w:rPr>
                      <w:bCs/>
                      <w:color w:val="auto"/>
                      <w:sz w:val="18"/>
                      <w:szCs w:val="18"/>
                      <w:highlight w:val="none"/>
                    </w:rPr>
                    <w:t>/a</w:t>
                  </w:r>
                  <w:r>
                    <w:rPr>
                      <w:color w:val="auto"/>
                      <w:sz w:val="18"/>
                      <w:szCs w:val="18"/>
                      <w:highlight w:val="none"/>
                    </w:rPr>
                    <w:t xml:space="preserve"> </w:t>
                  </w:r>
                </w:p>
              </w:tc>
            </w:tr>
            <w:tr w14:paraId="05E065F6">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80" w:type="dxa"/>
                  <w:tcBorders>
                    <w:top w:val="single" w:color="000000" w:sz="6" w:space="0"/>
                    <w:left w:val="single" w:color="000000" w:sz="6" w:space="0"/>
                    <w:bottom w:val="single" w:color="000000" w:sz="6" w:space="0"/>
                    <w:right w:val="single" w:color="000000" w:sz="6" w:space="0"/>
                  </w:tcBorders>
                  <w:vAlign w:val="center"/>
                </w:tcPr>
                <w:p w14:paraId="4580E817">
                  <w:pPr>
                    <w:jc w:val="center"/>
                    <w:rPr>
                      <w:rFonts w:hint="default" w:eastAsia="宋体"/>
                      <w:color w:val="auto"/>
                      <w:sz w:val="18"/>
                      <w:szCs w:val="18"/>
                      <w:highlight w:val="none"/>
                      <w:lang w:val="en-US" w:eastAsia="zh-CN"/>
                    </w:rPr>
                  </w:pPr>
                  <w:r>
                    <w:rPr>
                      <w:rFonts w:hint="default" w:ascii="Times New Roman" w:hAnsi="Times New Roman" w:cs="Times New Roman"/>
                      <w:color w:val="auto"/>
                      <w:sz w:val="18"/>
                      <w:szCs w:val="18"/>
                      <w:highlight w:val="none"/>
                    </w:rPr>
                    <w:t>pH</w:t>
                  </w:r>
                </w:p>
              </w:tc>
              <w:tc>
                <w:tcPr>
                  <w:tcW w:w="1813" w:type="dxa"/>
                  <w:tcBorders>
                    <w:top w:val="single" w:color="000000" w:sz="6" w:space="0"/>
                    <w:left w:val="single" w:color="000000" w:sz="6" w:space="0"/>
                    <w:bottom w:val="single" w:color="000000" w:sz="6" w:space="0"/>
                    <w:right w:val="single" w:color="000000" w:sz="6" w:space="0"/>
                  </w:tcBorders>
                  <w:vAlign w:val="center"/>
                </w:tcPr>
                <w:p w14:paraId="73087F34">
                  <w:pPr>
                    <w:jc w:val="center"/>
                    <w:rPr>
                      <w:rFonts w:hint="eastAsia" w:eastAsia="宋体"/>
                      <w:color w:val="auto"/>
                      <w:sz w:val="18"/>
                      <w:szCs w:val="18"/>
                      <w:highlight w:val="none"/>
                      <w:lang w:val="en-US" w:eastAsia="zh-CN"/>
                    </w:rPr>
                  </w:pPr>
                  <w:r>
                    <w:rPr>
                      <w:rFonts w:hint="default" w:ascii="Times New Roman" w:hAnsi="Times New Roman" w:cs="Times New Roman"/>
                      <w:color w:val="auto"/>
                      <w:sz w:val="18"/>
                      <w:szCs w:val="18"/>
                      <w:highlight w:val="none"/>
                    </w:rPr>
                    <w:t>6.5-7.5</w:t>
                  </w:r>
                  <w:r>
                    <w:rPr>
                      <w:rFonts w:hint="eastAsia" w:ascii="Times New Roman" w:hAnsi="Times New Roman" w:cs="Times New Roman"/>
                      <w:color w:val="auto"/>
                      <w:sz w:val="18"/>
                      <w:szCs w:val="18"/>
                      <w:highlight w:val="none"/>
                      <w:lang w:eastAsia="zh-CN"/>
                    </w:rPr>
                    <w:t>无量纲</w:t>
                  </w:r>
                </w:p>
              </w:tc>
              <w:tc>
                <w:tcPr>
                  <w:tcW w:w="1838" w:type="dxa"/>
                  <w:tcBorders>
                    <w:top w:val="single" w:color="000000" w:sz="6" w:space="0"/>
                    <w:left w:val="single" w:color="000000" w:sz="6" w:space="0"/>
                    <w:bottom w:val="single" w:color="000000" w:sz="6" w:space="0"/>
                    <w:right w:val="single" w:color="000000" w:sz="6" w:space="0"/>
                  </w:tcBorders>
                  <w:vAlign w:val="center"/>
                </w:tcPr>
                <w:p w14:paraId="7E178800">
                  <w:pPr>
                    <w:keepNext w:val="0"/>
                    <w:keepLines w:val="0"/>
                    <w:widowControl/>
                    <w:suppressLineNumbers w:val="0"/>
                    <w:jc w:val="center"/>
                    <w:textAlignment w:val="bottom"/>
                    <w:rPr>
                      <w:rFonts w:hint="default" w:ascii="Times New Roman" w:hAnsi="Times New Roman" w:eastAsia="宋体" w:cs="Times New Roman"/>
                      <w:i w:val="0"/>
                      <w:iCs w:val="0"/>
                      <w:color w:val="auto"/>
                      <w:kern w:val="0"/>
                      <w:sz w:val="18"/>
                      <w:szCs w:val="18"/>
                      <w:highlight w:val="none"/>
                      <w:u w:val="none"/>
                      <w:lang w:val="en-US" w:eastAsia="zh-CN" w:bidi="ar"/>
                    </w:rPr>
                  </w:pPr>
                  <w:r>
                    <w:rPr>
                      <w:rFonts w:hint="eastAsia" w:cs="Times New Roman"/>
                      <w:i w:val="0"/>
                      <w:iCs w:val="0"/>
                      <w:color w:val="auto"/>
                      <w:kern w:val="0"/>
                      <w:sz w:val="18"/>
                      <w:szCs w:val="18"/>
                      <w:highlight w:val="none"/>
                      <w:u w:val="none"/>
                      <w:lang w:val="en-US" w:eastAsia="zh-CN" w:bidi="ar"/>
                    </w:rPr>
                    <w:t>/</w:t>
                  </w:r>
                </w:p>
              </w:tc>
              <w:tc>
                <w:tcPr>
                  <w:tcW w:w="1649" w:type="dxa"/>
                  <w:tcBorders>
                    <w:top w:val="single" w:color="000000" w:sz="6" w:space="0"/>
                    <w:left w:val="single" w:color="000000" w:sz="6" w:space="0"/>
                    <w:bottom w:val="single" w:color="000000" w:sz="6" w:space="0"/>
                    <w:right w:val="single" w:color="auto" w:sz="4" w:space="0"/>
                  </w:tcBorders>
                  <w:vAlign w:val="center"/>
                </w:tcPr>
                <w:p w14:paraId="6E3BD877">
                  <w:pPr>
                    <w:jc w:val="center"/>
                    <w:rPr>
                      <w:color w:val="auto"/>
                      <w:sz w:val="18"/>
                      <w:szCs w:val="18"/>
                      <w:highlight w:val="none"/>
                    </w:rPr>
                  </w:pPr>
                  <w:r>
                    <w:rPr>
                      <w:rFonts w:hint="default" w:ascii="Times New Roman" w:hAnsi="Times New Roman" w:cs="Times New Roman"/>
                      <w:color w:val="auto"/>
                      <w:sz w:val="18"/>
                      <w:szCs w:val="18"/>
                      <w:highlight w:val="none"/>
                    </w:rPr>
                    <w:t>6.5-7.5</w:t>
                  </w:r>
                  <w:r>
                    <w:rPr>
                      <w:rFonts w:hint="eastAsia" w:ascii="Times New Roman" w:hAnsi="Times New Roman" w:cs="Times New Roman"/>
                      <w:color w:val="auto"/>
                      <w:sz w:val="18"/>
                      <w:szCs w:val="18"/>
                      <w:highlight w:val="none"/>
                      <w:lang w:eastAsia="zh-CN"/>
                    </w:rPr>
                    <w:t>无量纲</w:t>
                  </w:r>
                </w:p>
              </w:tc>
              <w:tc>
                <w:tcPr>
                  <w:tcW w:w="1790" w:type="dxa"/>
                  <w:tcBorders>
                    <w:top w:val="single" w:color="000000" w:sz="6" w:space="0"/>
                    <w:left w:val="single" w:color="auto" w:sz="4" w:space="0"/>
                    <w:bottom w:val="single" w:color="000000" w:sz="6" w:space="0"/>
                    <w:right w:val="single" w:color="000000" w:sz="6" w:space="0"/>
                  </w:tcBorders>
                  <w:vAlign w:val="center"/>
                </w:tcPr>
                <w:p w14:paraId="0057AA14">
                  <w:pPr>
                    <w:keepNext w:val="0"/>
                    <w:keepLines w:val="0"/>
                    <w:widowControl/>
                    <w:suppressLineNumbers w:val="0"/>
                    <w:jc w:val="center"/>
                    <w:textAlignment w:val="bottom"/>
                    <w:rPr>
                      <w:rFonts w:hint="eastAsia" w:ascii="Times New Roman" w:hAnsi="Times New Roman" w:eastAsia="宋体" w:cs="Times New Roman"/>
                      <w:i w:val="0"/>
                      <w:iCs w:val="0"/>
                      <w:color w:val="auto"/>
                      <w:kern w:val="0"/>
                      <w:sz w:val="18"/>
                      <w:szCs w:val="18"/>
                      <w:highlight w:val="none"/>
                      <w:u w:val="none"/>
                      <w:lang w:val="en-US" w:eastAsia="zh-CN" w:bidi="ar"/>
                    </w:rPr>
                  </w:pPr>
                  <w:r>
                    <w:rPr>
                      <w:rFonts w:hint="eastAsia" w:ascii="Times New Roman" w:hAnsi="Times New Roman" w:cs="Times New Roman"/>
                      <w:color w:val="auto"/>
                      <w:sz w:val="18"/>
                      <w:szCs w:val="18"/>
                      <w:highlight w:val="none"/>
                      <w:lang w:val="en-US" w:eastAsia="zh-CN"/>
                    </w:rPr>
                    <w:t>/</w:t>
                  </w:r>
                </w:p>
              </w:tc>
            </w:tr>
            <w:tr w14:paraId="40D9C4F7">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80" w:type="dxa"/>
                  <w:tcBorders>
                    <w:top w:val="single" w:color="000000" w:sz="6" w:space="0"/>
                    <w:left w:val="single" w:color="000000" w:sz="6" w:space="0"/>
                    <w:bottom w:val="single" w:color="000000" w:sz="6" w:space="0"/>
                    <w:right w:val="single" w:color="000000" w:sz="6" w:space="0"/>
                  </w:tcBorders>
                  <w:vAlign w:val="center"/>
                </w:tcPr>
                <w:p w14:paraId="526C8960">
                  <w:pPr>
                    <w:jc w:val="center"/>
                    <w:rPr>
                      <w:color w:val="auto"/>
                      <w:sz w:val="18"/>
                      <w:szCs w:val="18"/>
                      <w:highlight w:val="none"/>
                    </w:rPr>
                  </w:pPr>
                  <w:r>
                    <w:rPr>
                      <w:rFonts w:hint="default" w:ascii="Times New Roman" w:hAnsi="Times New Roman" w:cs="Times New Roman"/>
                      <w:color w:val="auto"/>
                      <w:sz w:val="18"/>
                      <w:szCs w:val="18"/>
                      <w:highlight w:val="none"/>
                    </w:rPr>
                    <w:t>COD</w:t>
                  </w:r>
                </w:p>
              </w:tc>
              <w:tc>
                <w:tcPr>
                  <w:tcW w:w="1813" w:type="dxa"/>
                  <w:tcBorders>
                    <w:top w:val="single" w:color="000000" w:sz="6" w:space="0"/>
                    <w:left w:val="single" w:color="000000" w:sz="6" w:space="0"/>
                    <w:bottom w:val="single" w:color="000000" w:sz="6" w:space="0"/>
                    <w:right w:val="single" w:color="000000" w:sz="6" w:space="0"/>
                  </w:tcBorders>
                  <w:shd w:val="clear" w:color="auto" w:fill="auto"/>
                  <w:vAlign w:val="center"/>
                </w:tcPr>
                <w:p w14:paraId="51F7B966">
                  <w:pPr>
                    <w:widowControl/>
                    <w:spacing w:line="240" w:lineRule="auto"/>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495</w:t>
                  </w:r>
                </w:p>
              </w:tc>
              <w:tc>
                <w:tcPr>
                  <w:tcW w:w="1838" w:type="dxa"/>
                  <w:tcBorders>
                    <w:top w:val="single" w:color="000000" w:sz="6" w:space="0"/>
                    <w:left w:val="single" w:color="000000" w:sz="6" w:space="0"/>
                    <w:bottom w:val="single" w:color="000000" w:sz="6" w:space="0"/>
                    <w:right w:val="single" w:color="000000" w:sz="6" w:space="0"/>
                  </w:tcBorders>
                  <w:shd w:val="clear" w:color="auto" w:fill="auto"/>
                  <w:vAlign w:val="center"/>
                </w:tcPr>
                <w:p w14:paraId="1E0F0318">
                  <w:pPr>
                    <w:widowControl/>
                    <w:spacing w:line="240" w:lineRule="auto"/>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0.089</w:t>
                  </w:r>
                </w:p>
              </w:tc>
              <w:tc>
                <w:tcPr>
                  <w:tcW w:w="1649" w:type="dxa"/>
                  <w:tcBorders>
                    <w:top w:val="single" w:color="000000" w:sz="6" w:space="0"/>
                    <w:left w:val="single" w:color="000000" w:sz="6" w:space="0"/>
                    <w:bottom w:val="single" w:color="000000" w:sz="6" w:space="0"/>
                    <w:right w:val="single" w:color="auto" w:sz="4" w:space="0"/>
                  </w:tcBorders>
                  <w:shd w:val="clear" w:color="auto" w:fill="auto"/>
                  <w:vAlign w:val="center"/>
                </w:tcPr>
                <w:p w14:paraId="247F6F0C">
                  <w:pPr>
                    <w:widowControl/>
                    <w:spacing w:line="240" w:lineRule="auto"/>
                    <w:jc w:val="center"/>
                    <w:textAlignment w:val="bottom"/>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495</w:t>
                  </w:r>
                </w:p>
              </w:tc>
              <w:tc>
                <w:tcPr>
                  <w:tcW w:w="1790" w:type="dxa"/>
                  <w:tcBorders>
                    <w:top w:val="single" w:color="000000" w:sz="6" w:space="0"/>
                    <w:left w:val="single" w:color="auto" w:sz="4" w:space="0"/>
                    <w:bottom w:val="single" w:color="000000" w:sz="6" w:space="0"/>
                    <w:right w:val="single" w:color="000000" w:sz="6" w:space="0"/>
                  </w:tcBorders>
                  <w:shd w:val="clear" w:color="auto" w:fill="auto"/>
                  <w:vAlign w:val="center"/>
                </w:tcPr>
                <w:p w14:paraId="4C46695D">
                  <w:pPr>
                    <w:widowControl/>
                    <w:spacing w:line="240" w:lineRule="auto"/>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0.089</w:t>
                  </w:r>
                </w:p>
              </w:tc>
            </w:tr>
            <w:tr w14:paraId="0A11D160">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292" w:hRule="atLeast"/>
                <w:jc w:val="center"/>
              </w:trPr>
              <w:tc>
                <w:tcPr>
                  <w:tcW w:w="1280" w:type="dxa"/>
                  <w:tcBorders>
                    <w:top w:val="single" w:color="000000" w:sz="6" w:space="0"/>
                    <w:left w:val="single" w:color="000000" w:sz="6" w:space="0"/>
                    <w:bottom w:val="single" w:color="000000" w:sz="6" w:space="0"/>
                    <w:right w:val="single" w:color="000000" w:sz="6" w:space="0"/>
                  </w:tcBorders>
                  <w:vAlign w:val="center"/>
                </w:tcPr>
                <w:p w14:paraId="762E9A0D">
                  <w:pPr>
                    <w:jc w:val="center"/>
                    <w:rPr>
                      <w:color w:val="auto"/>
                      <w:sz w:val="18"/>
                      <w:szCs w:val="18"/>
                      <w:highlight w:val="none"/>
                    </w:rPr>
                  </w:pPr>
                  <w:r>
                    <w:rPr>
                      <w:rFonts w:hint="default" w:ascii="Times New Roman" w:hAnsi="Times New Roman" w:cs="Times New Roman"/>
                      <w:color w:val="auto"/>
                      <w:sz w:val="18"/>
                      <w:szCs w:val="18"/>
                      <w:highlight w:val="none"/>
                    </w:rPr>
                    <w:t>BOD</w:t>
                  </w:r>
                  <w:r>
                    <w:rPr>
                      <w:rFonts w:hint="default" w:ascii="Times New Roman" w:hAnsi="Times New Roman" w:cs="Times New Roman"/>
                      <w:color w:val="auto"/>
                      <w:sz w:val="18"/>
                      <w:szCs w:val="18"/>
                      <w:highlight w:val="none"/>
                      <w:vertAlign w:val="subscript"/>
                    </w:rPr>
                    <w:t>5</w:t>
                  </w:r>
                </w:p>
              </w:tc>
              <w:tc>
                <w:tcPr>
                  <w:tcW w:w="1813" w:type="dxa"/>
                  <w:tcBorders>
                    <w:top w:val="single" w:color="000000" w:sz="6" w:space="0"/>
                    <w:left w:val="single" w:color="000000" w:sz="6" w:space="0"/>
                    <w:bottom w:val="single" w:color="000000" w:sz="6" w:space="0"/>
                    <w:right w:val="single" w:color="000000" w:sz="6" w:space="0"/>
                  </w:tcBorders>
                  <w:shd w:val="clear" w:color="auto" w:fill="auto"/>
                  <w:vAlign w:val="center"/>
                </w:tcPr>
                <w:p w14:paraId="69345B06">
                  <w:pPr>
                    <w:widowControl/>
                    <w:spacing w:line="240" w:lineRule="auto"/>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150</w:t>
                  </w:r>
                </w:p>
              </w:tc>
              <w:tc>
                <w:tcPr>
                  <w:tcW w:w="1838" w:type="dxa"/>
                  <w:tcBorders>
                    <w:top w:val="single" w:color="000000" w:sz="6" w:space="0"/>
                    <w:left w:val="single" w:color="000000" w:sz="6" w:space="0"/>
                    <w:bottom w:val="single" w:color="000000" w:sz="6" w:space="0"/>
                    <w:right w:val="single" w:color="000000" w:sz="6" w:space="0"/>
                  </w:tcBorders>
                  <w:shd w:val="clear" w:color="auto" w:fill="auto"/>
                  <w:vAlign w:val="center"/>
                </w:tcPr>
                <w:p w14:paraId="37FAC653">
                  <w:pPr>
                    <w:widowControl/>
                    <w:spacing w:line="240" w:lineRule="auto"/>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0.029</w:t>
                  </w:r>
                </w:p>
              </w:tc>
              <w:tc>
                <w:tcPr>
                  <w:tcW w:w="1649" w:type="dxa"/>
                  <w:tcBorders>
                    <w:top w:val="single" w:color="000000" w:sz="6" w:space="0"/>
                    <w:left w:val="single" w:color="000000" w:sz="6" w:space="0"/>
                    <w:bottom w:val="single" w:color="000000" w:sz="6" w:space="0"/>
                    <w:right w:val="single" w:color="auto" w:sz="4" w:space="0"/>
                  </w:tcBorders>
                  <w:shd w:val="clear" w:color="auto" w:fill="auto"/>
                  <w:vAlign w:val="center"/>
                </w:tcPr>
                <w:p w14:paraId="62A3AA3D">
                  <w:pPr>
                    <w:widowControl/>
                    <w:spacing w:line="240" w:lineRule="auto"/>
                    <w:jc w:val="center"/>
                    <w:textAlignment w:val="bottom"/>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150</w:t>
                  </w:r>
                </w:p>
              </w:tc>
              <w:tc>
                <w:tcPr>
                  <w:tcW w:w="1790" w:type="dxa"/>
                  <w:tcBorders>
                    <w:top w:val="single" w:color="000000" w:sz="6" w:space="0"/>
                    <w:left w:val="single" w:color="auto" w:sz="4" w:space="0"/>
                    <w:bottom w:val="single" w:color="000000" w:sz="6" w:space="0"/>
                    <w:right w:val="single" w:color="000000" w:sz="6" w:space="0"/>
                  </w:tcBorders>
                  <w:shd w:val="clear" w:color="auto" w:fill="auto"/>
                  <w:vAlign w:val="center"/>
                </w:tcPr>
                <w:p w14:paraId="5087879A">
                  <w:pPr>
                    <w:widowControl/>
                    <w:spacing w:line="240" w:lineRule="auto"/>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0.029</w:t>
                  </w:r>
                </w:p>
              </w:tc>
            </w:tr>
            <w:tr w14:paraId="3689576B">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80" w:type="dxa"/>
                  <w:tcBorders>
                    <w:top w:val="single" w:color="000000" w:sz="6" w:space="0"/>
                    <w:left w:val="single" w:color="000000" w:sz="6" w:space="0"/>
                    <w:bottom w:val="single" w:color="000000" w:sz="6" w:space="0"/>
                    <w:right w:val="single" w:color="000000" w:sz="6" w:space="0"/>
                  </w:tcBorders>
                  <w:vAlign w:val="center"/>
                </w:tcPr>
                <w:p w14:paraId="50CCB3B9">
                  <w:pPr>
                    <w:jc w:val="center"/>
                    <w:rPr>
                      <w:color w:val="auto"/>
                      <w:sz w:val="18"/>
                      <w:szCs w:val="18"/>
                      <w:highlight w:val="none"/>
                    </w:rPr>
                  </w:pPr>
                  <w:r>
                    <w:rPr>
                      <w:rFonts w:hint="default" w:ascii="Times New Roman" w:hAnsi="Times New Roman" w:cs="Times New Roman"/>
                      <w:color w:val="auto"/>
                      <w:sz w:val="18"/>
                      <w:szCs w:val="18"/>
                      <w:highlight w:val="none"/>
                    </w:rPr>
                    <w:t>SS</w:t>
                  </w:r>
                </w:p>
              </w:tc>
              <w:tc>
                <w:tcPr>
                  <w:tcW w:w="1813" w:type="dxa"/>
                  <w:tcBorders>
                    <w:top w:val="single" w:color="000000" w:sz="6" w:space="0"/>
                    <w:left w:val="single" w:color="000000" w:sz="6" w:space="0"/>
                    <w:bottom w:val="single" w:color="000000" w:sz="6" w:space="0"/>
                    <w:right w:val="single" w:color="000000" w:sz="6" w:space="0"/>
                  </w:tcBorders>
                  <w:shd w:val="clear" w:color="auto" w:fill="auto"/>
                  <w:vAlign w:val="center"/>
                </w:tcPr>
                <w:p w14:paraId="66C7C89C">
                  <w:pPr>
                    <w:widowControl/>
                    <w:spacing w:line="240" w:lineRule="auto"/>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300</w:t>
                  </w:r>
                </w:p>
              </w:tc>
              <w:tc>
                <w:tcPr>
                  <w:tcW w:w="1838" w:type="dxa"/>
                  <w:tcBorders>
                    <w:top w:val="single" w:color="000000" w:sz="6" w:space="0"/>
                    <w:left w:val="single" w:color="000000" w:sz="6" w:space="0"/>
                    <w:bottom w:val="single" w:color="000000" w:sz="6" w:space="0"/>
                    <w:right w:val="single" w:color="000000" w:sz="6" w:space="0"/>
                  </w:tcBorders>
                  <w:shd w:val="clear" w:color="auto" w:fill="auto"/>
                  <w:vAlign w:val="center"/>
                </w:tcPr>
                <w:p w14:paraId="362D3C47">
                  <w:pPr>
                    <w:widowControl/>
                    <w:spacing w:line="240" w:lineRule="auto"/>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0.058</w:t>
                  </w:r>
                </w:p>
              </w:tc>
              <w:tc>
                <w:tcPr>
                  <w:tcW w:w="1649" w:type="dxa"/>
                  <w:tcBorders>
                    <w:top w:val="single" w:color="000000" w:sz="6" w:space="0"/>
                    <w:left w:val="single" w:color="000000" w:sz="6" w:space="0"/>
                    <w:bottom w:val="single" w:color="000000" w:sz="6" w:space="0"/>
                    <w:right w:val="single" w:color="auto" w:sz="4" w:space="0"/>
                  </w:tcBorders>
                  <w:shd w:val="clear" w:color="auto" w:fill="auto"/>
                  <w:vAlign w:val="center"/>
                </w:tcPr>
                <w:p w14:paraId="69368BA9">
                  <w:pPr>
                    <w:widowControl/>
                    <w:spacing w:line="240" w:lineRule="auto"/>
                    <w:jc w:val="center"/>
                    <w:textAlignment w:val="bottom"/>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300</w:t>
                  </w:r>
                </w:p>
              </w:tc>
              <w:tc>
                <w:tcPr>
                  <w:tcW w:w="1790" w:type="dxa"/>
                  <w:tcBorders>
                    <w:top w:val="single" w:color="000000" w:sz="6" w:space="0"/>
                    <w:left w:val="single" w:color="auto" w:sz="4" w:space="0"/>
                    <w:bottom w:val="single" w:color="000000" w:sz="6" w:space="0"/>
                    <w:right w:val="single" w:color="000000" w:sz="6" w:space="0"/>
                  </w:tcBorders>
                  <w:shd w:val="clear" w:color="auto" w:fill="auto"/>
                  <w:vAlign w:val="center"/>
                </w:tcPr>
                <w:p w14:paraId="3DB1A6C7">
                  <w:pPr>
                    <w:widowControl/>
                    <w:spacing w:line="240" w:lineRule="auto"/>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0.058</w:t>
                  </w:r>
                </w:p>
              </w:tc>
            </w:tr>
            <w:tr w14:paraId="0CDBC459">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80" w:type="dxa"/>
                  <w:tcBorders>
                    <w:top w:val="single" w:color="000000" w:sz="6" w:space="0"/>
                    <w:left w:val="single" w:color="000000" w:sz="6" w:space="0"/>
                    <w:bottom w:val="single" w:color="000000" w:sz="6" w:space="0"/>
                    <w:right w:val="single" w:color="000000" w:sz="6" w:space="0"/>
                  </w:tcBorders>
                  <w:vAlign w:val="center"/>
                </w:tcPr>
                <w:p w14:paraId="747BE983">
                  <w:pPr>
                    <w:jc w:val="center"/>
                    <w:rPr>
                      <w:color w:val="auto"/>
                      <w:sz w:val="18"/>
                      <w:szCs w:val="18"/>
                      <w:highlight w:val="none"/>
                    </w:rPr>
                  </w:pPr>
                  <w:r>
                    <w:rPr>
                      <w:rFonts w:hint="default" w:ascii="Times New Roman" w:hAnsi="Times New Roman" w:cs="Times New Roman"/>
                      <w:color w:val="auto"/>
                      <w:sz w:val="18"/>
                      <w:szCs w:val="18"/>
                      <w:highlight w:val="none"/>
                    </w:rPr>
                    <w:t>氨氮</w:t>
                  </w:r>
                </w:p>
              </w:tc>
              <w:tc>
                <w:tcPr>
                  <w:tcW w:w="1813" w:type="dxa"/>
                  <w:tcBorders>
                    <w:top w:val="single" w:color="000000" w:sz="6" w:space="0"/>
                    <w:left w:val="single" w:color="000000" w:sz="6" w:space="0"/>
                    <w:bottom w:val="single" w:color="000000" w:sz="6" w:space="0"/>
                    <w:right w:val="single" w:color="000000" w:sz="6" w:space="0"/>
                  </w:tcBorders>
                  <w:shd w:val="clear" w:color="auto" w:fill="auto"/>
                  <w:vAlign w:val="center"/>
                </w:tcPr>
                <w:p w14:paraId="0A8F1454">
                  <w:pPr>
                    <w:widowControl/>
                    <w:spacing w:line="240" w:lineRule="auto"/>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30</w:t>
                  </w:r>
                </w:p>
              </w:tc>
              <w:tc>
                <w:tcPr>
                  <w:tcW w:w="1838" w:type="dxa"/>
                  <w:tcBorders>
                    <w:top w:val="single" w:color="000000" w:sz="6" w:space="0"/>
                    <w:left w:val="single" w:color="000000" w:sz="6" w:space="0"/>
                    <w:bottom w:val="single" w:color="000000" w:sz="6" w:space="0"/>
                    <w:right w:val="single" w:color="000000" w:sz="6" w:space="0"/>
                  </w:tcBorders>
                  <w:shd w:val="clear" w:color="auto" w:fill="auto"/>
                  <w:vAlign w:val="center"/>
                </w:tcPr>
                <w:p w14:paraId="61BFF920">
                  <w:pPr>
                    <w:widowControl/>
                    <w:spacing w:line="240" w:lineRule="auto"/>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0.006</w:t>
                  </w:r>
                </w:p>
              </w:tc>
              <w:tc>
                <w:tcPr>
                  <w:tcW w:w="1649" w:type="dxa"/>
                  <w:tcBorders>
                    <w:top w:val="single" w:color="000000" w:sz="6" w:space="0"/>
                    <w:left w:val="single" w:color="000000" w:sz="6" w:space="0"/>
                    <w:bottom w:val="single" w:color="000000" w:sz="6" w:space="0"/>
                    <w:right w:val="single" w:color="auto" w:sz="4" w:space="0"/>
                  </w:tcBorders>
                  <w:shd w:val="clear" w:color="auto" w:fill="auto"/>
                  <w:vAlign w:val="center"/>
                </w:tcPr>
                <w:p w14:paraId="7AA743FB">
                  <w:pPr>
                    <w:widowControl/>
                    <w:spacing w:line="240" w:lineRule="auto"/>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30</w:t>
                  </w:r>
                </w:p>
              </w:tc>
              <w:tc>
                <w:tcPr>
                  <w:tcW w:w="1790" w:type="dxa"/>
                  <w:tcBorders>
                    <w:top w:val="single" w:color="000000" w:sz="6" w:space="0"/>
                    <w:left w:val="single" w:color="auto" w:sz="4" w:space="0"/>
                    <w:bottom w:val="single" w:color="000000" w:sz="6" w:space="0"/>
                    <w:right w:val="single" w:color="000000" w:sz="6" w:space="0"/>
                  </w:tcBorders>
                  <w:shd w:val="clear" w:color="auto" w:fill="auto"/>
                  <w:vAlign w:val="center"/>
                </w:tcPr>
                <w:p w14:paraId="516073B7">
                  <w:pPr>
                    <w:widowControl/>
                    <w:spacing w:line="240" w:lineRule="auto"/>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0.006</w:t>
                  </w:r>
                </w:p>
              </w:tc>
            </w:tr>
            <w:tr w14:paraId="78878EC6">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80" w:type="dxa"/>
                  <w:tcBorders>
                    <w:top w:val="single" w:color="000000" w:sz="6" w:space="0"/>
                    <w:left w:val="single" w:color="000000" w:sz="6" w:space="0"/>
                    <w:bottom w:val="single" w:color="000000" w:sz="6" w:space="0"/>
                    <w:right w:val="single" w:color="000000" w:sz="6" w:space="0"/>
                  </w:tcBorders>
                  <w:vAlign w:val="center"/>
                </w:tcPr>
                <w:p w14:paraId="16E5B0F7">
                  <w:pPr>
                    <w:jc w:val="center"/>
                    <w:rPr>
                      <w:color w:val="auto"/>
                      <w:sz w:val="18"/>
                      <w:szCs w:val="18"/>
                      <w:highlight w:val="none"/>
                    </w:rPr>
                  </w:pPr>
                  <w:r>
                    <w:rPr>
                      <w:rFonts w:hint="default" w:ascii="Times New Roman" w:hAnsi="Times New Roman" w:cs="Times New Roman"/>
                      <w:color w:val="auto"/>
                      <w:sz w:val="18"/>
                      <w:szCs w:val="18"/>
                      <w:highlight w:val="none"/>
                    </w:rPr>
                    <w:t>总磷</w:t>
                  </w:r>
                </w:p>
              </w:tc>
              <w:tc>
                <w:tcPr>
                  <w:tcW w:w="1813" w:type="dxa"/>
                  <w:tcBorders>
                    <w:top w:val="single" w:color="000000" w:sz="6" w:space="0"/>
                    <w:left w:val="single" w:color="000000" w:sz="6" w:space="0"/>
                    <w:bottom w:val="single" w:color="000000" w:sz="6" w:space="0"/>
                    <w:right w:val="single" w:color="000000" w:sz="6" w:space="0"/>
                  </w:tcBorders>
                  <w:shd w:val="clear" w:color="auto" w:fill="auto"/>
                  <w:vAlign w:val="center"/>
                </w:tcPr>
                <w:p w14:paraId="55403E07">
                  <w:pPr>
                    <w:widowControl/>
                    <w:spacing w:line="240" w:lineRule="auto"/>
                    <w:jc w:val="center"/>
                    <w:textAlignment w:val="bottom"/>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5.76</w:t>
                  </w:r>
                </w:p>
              </w:tc>
              <w:tc>
                <w:tcPr>
                  <w:tcW w:w="1838" w:type="dxa"/>
                  <w:tcBorders>
                    <w:top w:val="single" w:color="000000" w:sz="6" w:space="0"/>
                    <w:left w:val="single" w:color="000000" w:sz="6" w:space="0"/>
                    <w:bottom w:val="single" w:color="000000" w:sz="6" w:space="0"/>
                    <w:right w:val="single" w:color="000000" w:sz="6" w:space="0"/>
                  </w:tcBorders>
                  <w:shd w:val="clear" w:color="auto" w:fill="auto"/>
                  <w:vAlign w:val="center"/>
                </w:tcPr>
                <w:p w14:paraId="21C7BC0C">
                  <w:pPr>
                    <w:widowControl/>
                    <w:spacing w:line="240" w:lineRule="auto"/>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0.001</w:t>
                  </w:r>
                </w:p>
              </w:tc>
              <w:tc>
                <w:tcPr>
                  <w:tcW w:w="1649" w:type="dxa"/>
                  <w:tcBorders>
                    <w:top w:val="single" w:color="000000" w:sz="6" w:space="0"/>
                    <w:left w:val="single" w:color="000000" w:sz="6" w:space="0"/>
                    <w:bottom w:val="single" w:color="000000" w:sz="6" w:space="0"/>
                    <w:right w:val="single" w:color="auto" w:sz="4" w:space="0"/>
                  </w:tcBorders>
                  <w:shd w:val="clear" w:color="auto" w:fill="auto"/>
                  <w:vAlign w:val="center"/>
                </w:tcPr>
                <w:p w14:paraId="65D11541">
                  <w:pPr>
                    <w:widowControl/>
                    <w:spacing w:line="240" w:lineRule="auto"/>
                    <w:jc w:val="center"/>
                    <w:textAlignment w:val="bottom"/>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5.76</w:t>
                  </w:r>
                </w:p>
              </w:tc>
              <w:tc>
                <w:tcPr>
                  <w:tcW w:w="1790" w:type="dxa"/>
                  <w:tcBorders>
                    <w:top w:val="single" w:color="000000" w:sz="6" w:space="0"/>
                    <w:left w:val="single" w:color="auto" w:sz="4" w:space="0"/>
                    <w:bottom w:val="single" w:color="000000" w:sz="6" w:space="0"/>
                    <w:right w:val="single" w:color="000000" w:sz="6" w:space="0"/>
                  </w:tcBorders>
                  <w:shd w:val="clear" w:color="auto" w:fill="auto"/>
                  <w:vAlign w:val="center"/>
                </w:tcPr>
                <w:p w14:paraId="3684B749">
                  <w:pPr>
                    <w:widowControl/>
                    <w:spacing w:line="240" w:lineRule="auto"/>
                    <w:jc w:val="center"/>
                    <w:textAlignment w:val="bottom"/>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cs="Times New Roman"/>
                      <w:color w:val="auto"/>
                      <w:kern w:val="2"/>
                      <w:sz w:val="18"/>
                      <w:szCs w:val="18"/>
                      <w:highlight w:val="none"/>
                      <w:lang w:val="en-US" w:eastAsia="zh-CN" w:bidi="ar-SA"/>
                    </w:rPr>
                    <w:t>0.001</w:t>
                  </w:r>
                </w:p>
              </w:tc>
            </w:tr>
          </w:tbl>
          <w:p w14:paraId="789282BF">
            <w:pPr>
              <w:keepNext w:val="0"/>
              <w:keepLines w:val="0"/>
              <w:pageBreakBefore w:val="0"/>
              <w:widowControl w:val="0"/>
              <w:tabs>
                <w:tab w:val="left" w:pos="1800"/>
              </w:tabs>
              <w:kinsoku/>
              <w:wordWrap/>
              <w:overflowPunct/>
              <w:topLinePunct w:val="0"/>
              <w:autoSpaceDE/>
              <w:autoSpaceDN/>
              <w:bidi w:val="0"/>
              <w:adjustRightInd w:val="0"/>
              <w:snapToGrid w:val="0"/>
              <w:spacing w:line="360" w:lineRule="auto"/>
              <w:ind w:firstLine="420" w:firstLineChars="200"/>
              <w:textAlignment w:val="auto"/>
              <w:rPr>
                <w:rFonts w:hint="default"/>
                <w:color w:val="auto"/>
                <w:highlight w:val="yellow"/>
                <w:lang w:val="en-US"/>
              </w:rPr>
            </w:pPr>
            <w:r>
              <w:rPr>
                <w:rFonts w:hint="default" w:ascii="Times New Roman" w:hAnsi="Times New Roman" w:cs="Times New Roman"/>
                <w:color w:val="auto"/>
                <w:highlight w:val="none"/>
              </w:rPr>
              <w:t>②</w:t>
            </w:r>
            <w:r>
              <w:rPr>
                <w:rFonts w:hint="eastAsia"/>
                <w:color w:val="auto"/>
                <w:sz w:val="21"/>
                <w:szCs w:val="21"/>
                <w:highlight w:val="none"/>
                <w:lang w:val="en-US" w:eastAsia="zh-CN"/>
              </w:rPr>
              <w:t>蒸发冷凝水：原料经萃取、</w:t>
            </w:r>
            <w:r>
              <w:rPr>
                <w:rFonts w:hint="eastAsia" w:cs="Times New Roman"/>
                <w:color w:val="auto"/>
                <w:highlight w:val="none"/>
                <w:lang w:val="en-US" w:eastAsia="zh-CN"/>
              </w:rPr>
              <w:t>一次预热分离和二次预热分离</w:t>
            </w:r>
            <w:r>
              <w:rPr>
                <w:rFonts w:hint="eastAsia"/>
                <w:color w:val="auto"/>
                <w:sz w:val="21"/>
                <w:szCs w:val="21"/>
                <w:highlight w:val="none"/>
                <w:lang w:val="en-US" w:eastAsia="zh-CN"/>
              </w:rPr>
              <w:t>后的氧氯化锆溶液和氧氯化铪溶液进入钛材加热器进行蒸发结晶，原料溶解和定容用水量为1560m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w:t>
            </w:r>
            <w:r>
              <w:rPr>
                <w:rFonts w:hint="eastAsia" w:cs="Times New Roman"/>
                <w:color w:val="auto"/>
                <w:highlight w:val="none"/>
                <w:lang w:val="en-US" w:eastAsia="zh-CN"/>
              </w:rPr>
              <w:t>一次预热分离和二次预热分离纯水总用量为4000</w:t>
            </w:r>
            <w:r>
              <w:rPr>
                <w:rFonts w:hint="eastAsia"/>
                <w:color w:val="auto"/>
                <w:sz w:val="21"/>
                <w:szCs w:val="21"/>
                <w:highlight w:val="none"/>
                <w:lang w:val="en-US" w:eastAsia="zh-CN"/>
              </w:rPr>
              <w:t>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w:t>
            </w:r>
            <w:r>
              <w:rPr>
                <w:rFonts w:hint="eastAsia" w:cs="Times New Roman"/>
                <w:color w:val="auto"/>
                <w:highlight w:val="none"/>
                <w:lang w:val="en-US" w:eastAsia="zh-CN"/>
              </w:rPr>
              <w:t>，</w:t>
            </w:r>
            <w:r>
              <w:rPr>
                <w:rFonts w:hint="eastAsia"/>
                <w:color w:val="auto"/>
                <w:sz w:val="21"/>
                <w:szCs w:val="21"/>
                <w:highlight w:val="none"/>
                <w:lang w:val="en-US" w:eastAsia="zh-CN"/>
              </w:rPr>
              <w:t>原料含水率为26%，自带游离水676m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/a，总计6236m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/a。其中70%的水（4365.2m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/a）在蒸发结晶工序蒸发，其中95%的水蒸气经自带冷凝器收集后（4146.9m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/a）回用于原料溶解和定容工序、</w:t>
            </w:r>
            <w:r>
              <w:rPr>
                <w:rFonts w:hint="eastAsia" w:cs="Times New Roman"/>
                <w:color w:val="auto"/>
                <w:highlight w:val="none"/>
                <w:lang w:val="en-US" w:eastAsia="zh-CN"/>
              </w:rPr>
              <w:t>一次预热分离和二次预热分离工序</w:t>
            </w:r>
            <w:r>
              <w:rPr>
                <w:rFonts w:hint="eastAsia"/>
                <w:color w:val="auto"/>
                <w:sz w:val="21"/>
                <w:szCs w:val="21"/>
                <w:highlight w:val="none"/>
                <w:lang w:val="en-US" w:eastAsia="zh-CN"/>
              </w:rPr>
              <w:t>，5%（218.3m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/a）蒸发损耗和进入产品。</w:t>
            </w:r>
          </w:p>
          <w:p w14:paraId="2333D15C">
            <w:pPr>
              <w:keepNext w:val="0"/>
              <w:keepLines w:val="0"/>
              <w:pageBreakBefore w:val="0"/>
              <w:widowControl w:val="0"/>
              <w:tabs>
                <w:tab w:val="left" w:pos="1800"/>
              </w:tabs>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eastAsia="zh-CN"/>
              </w:rPr>
              <w:t>③</w:t>
            </w:r>
            <w:r>
              <w:rPr>
                <w:rFonts w:hint="eastAsia"/>
                <w:color w:val="auto"/>
                <w:sz w:val="21"/>
                <w:szCs w:val="21"/>
                <w:highlight w:val="none"/>
                <w:lang w:val="en-US" w:eastAsia="zh-CN"/>
              </w:rPr>
              <w:t>蒸汽冷凝水：本项目蒸汽用量为300t/a，蒸汽经冷凝后用于</w:t>
            </w:r>
            <w:r>
              <w:rPr>
                <w:rFonts w:hint="eastAsia" w:cs="Times New Roman"/>
                <w:color w:val="auto"/>
                <w:spacing w:val="-2"/>
                <w:kern w:val="0"/>
                <w:highlight w:val="none"/>
                <w:lang w:val="en-US" w:eastAsia="zh-CN"/>
              </w:rPr>
              <w:t>酸雾吸收塔用水和原料溶解用水，冷凝率为95%，则</w:t>
            </w:r>
            <w:r>
              <w:rPr>
                <w:rFonts w:hint="eastAsia"/>
                <w:color w:val="auto"/>
                <w:sz w:val="21"/>
                <w:szCs w:val="21"/>
                <w:highlight w:val="none"/>
                <w:lang w:val="en-US" w:eastAsia="zh-CN"/>
              </w:rPr>
              <w:t>5%（5m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/a）蒸发损耗，蒸汽冷凝水产生量为285m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/a，回用于原料溶解工序、水喷淋和</w:t>
            </w:r>
            <w:r>
              <w:rPr>
                <w:rFonts w:hint="eastAsia" w:cs="Times New Roman"/>
                <w:color w:val="auto"/>
                <w:spacing w:val="-2"/>
                <w:kern w:val="0"/>
                <w:highlight w:val="none"/>
                <w:lang w:val="en-US" w:eastAsia="zh-CN"/>
              </w:rPr>
              <w:t>酸雾吸收塔用水</w:t>
            </w:r>
            <w:r>
              <w:rPr>
                <w:rFonts w:hint="eastAsia"/>
                <w:color w:val="auto"/>
                <w:sz w:val="21"/>
                <w:szCs w:val="21"/>
                <w:highlight w:val="none"/>
                <w:lang w:val="en-US" w:eastAsia="zh-CN"/>
              </w:rPr>
              <w:t>。</w:t>
            </w:r>
          </w:p>
          <w:p w14:paraId="53390B5B">
            <w:pPr>
              <w:keepNext w:val="0"/>
              <w:keepLines w:val="0"/>
              <w:pageBreakBefore w:val="0"/>
              <w:widowControl w:val="0"/>
              <w:tabs>
                <w:tab w:val="left" w:pos="1800"/>
              </w:tabs>
              <w:kinsoku/>
              <w:wordWrap/>
              <w:overflowPunct/>
              <w:topLinePunct w:val="0"/>
              <w:autoSpaceDE/>
              <w:autoSpaceDN/>
              <w:bidi w:val="0"/>
              <w:adjustRightInd w:val="0"/>
              <w:snapToGrid w:val="0"/>
              <w:spacing w:line="360" w:lineRule="auto"/>
              <w:ind w:firstLine="420" w:firstLineChars="200"/>
              <w:textAlignment w:val="auto"/>
              <w:rPr>
                <w:rFonts w:hint="eastAsia"/>
                <w:color w:val="auto"/>
                <w:sz w:val="21"/>
                <w:szCs w:val="21"/>
                <w:highlight w:val="none"/>
                <w:lang w:val="en-US" w:eastAsia="zh-CN"/>
              </w:rPr>
            </w:pPr>
            <w:r>
              <w:rPr>
                <w:rFonts w:hint="eastAsia" w:ascii="Times New Roman" w:hAnsi="Times New Roman" w:eastAsia="宋体" w:cs="Times New Roman"/>
                <w:color w:val="auto"/>
                <w:highlight w:val="none"/>
                <w:lang w:eastAsia="zh-CN"/>
              </w:rPr>
              <w:t>④</w:t>
            </w:r>
            <w:r>
              <w:rPr>
                <w:rFonts w:hint="eastAsia"/>
                <w:color w:val="auto"/>
                <w:sz w:val="21"/>
                <w:szCs w:val="21"/>
                <w:highlight w:val="none"/>
                <w:lang w:val="en-US" w:eastAsia="zh-CN"/>
              </w:rPr>
              <w:t>离心废水：本项目原料溶解和定容用水、</w:t>
            </w:r>
            <w:r>
              <w:rPr>
                <w:rFonts w:hint="eastAsia" w:cs="Times New Roman"/>
                <w:color w:val="auto"/>
                <w:highlight w:val="none"/>
                <w:lang w:val="en-US" w:eastAsia="zh-CN"/>
              </w:rPr>
              <w:t>一次预热分离和二次预热分离用水</w:t>
            </w:r>
            <w:r>
              <w:rPr>
                <w:rFonts w:hint="eastAsia"/>
                <w:color w:val="auto"/>
                <w:sz w:val="21"/>
                <w:szCs w:val="21"/>
                <w:highlight w:val="none"/>
                <w:lang w:val="en-US" w:eastAsia="zh-CN"/>
              </w:rPr>
              <w:t>及产品自带水70%（4365.2m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/a）经蒸发结晶工序蒸发，剩余30%（1870.8m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/a）进入离心机离心，离心机分离效率一般为95%-99.5%，本次取值99%，则离心废水产生量为1852.1m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w:t>
            </w:r>
            <w:r>
              <w:rPr>
                <w:rFonts w:hint="eastAsia" w:cs="Times New Roman"/>
                <w:color w:val="auto"/>
                <w:sz w:val="21"/>
                <w:szCs w:val="18"/>
                <w:highlight w:val="none"/>
                <w:lang w:val="en-US" w:eastAsia="zh-CN"/>
              </w:rPr>
              <w:t>根据企业提供资料，</w:t>
            </w:r>
            <w:r>
              <w:rPr>
                <w:rFonts w:hint="eastAsia" w:cs="Times New Roman"/>
                <w:color w:val="auto"/>
                <w:sz w:val="21"/>
                <w:szCs w:val="21"/>
                <w:highlight w:val="none"/>
                <w:lang w:val="en-US" w:eastAsia="zh-CN"/>
              </w:rPr>
              <w:t>经蒸发结晶后的高纯氧氯化锆溶液为</w:t>
            </w:r>
            <w:r>
              <w:rPr>
                <w:rFonts w:hint="eastAsia" w:cs="Times New Roman"/>
                <w:color w:val="auto"/>
                <w:sz w:val="21"/>
                <w:szCs w:val="18"/>
                <w:highlight w:val="none"/>
                <w:lang w:val="en-US" w:eastAsia="zh-CN"/>
              </w:rPr>
              <w:t>2500t/a，粗品氧氯化铪溶液为1310.8t/a，游离的HCL含量在0.1%，离心过程中</w:t>
            </w:r>
            <w:r>
              <w:rPr>
                <w:rFonts w:hint="eastAsia" w:cs="Times New Roman"/>
                <w:color w:val="auto"/>
                <w:sz w:val="21"/>
                <w:szCs w:val="21"/>
                <w:highlight w:val="none"/>
                <w:lang w:val="en-US" w:eastAsia="zh-CN"/>
              </w:rPr>
              <w:t>HCL按10%进入废气，10%进入产品，剩余80%进入废水中，则废水中HCl含量为3.049t/a，</w:t>
            </w:r>
            <w:r>
              <w:rPr>
                <w:rFonts w:hint="eastAsia"/>
                <w:color w:val="auto"/>
                <w:sz w:val="21"/>
                <w:szCs w:val="21"/>
                <w:highlight w:val="none"/>
                <w:lang w:val="en-US" w:eastAsia="zh-CN"/>
              </w:rPr>
              <w:t>与</w:t>
            </w:r>
            <w:r>
              <w:rPr>
                <w:rFonts w:hint="eastAsia"/>
                <w:color w:val="auto"/>
                <w:sz w:val="21"/>
                <w:szCs w:val="21"/>
                <w:highlight w:val="none"/>
                <w:lang w:eastAsia="zh-CN"/>
              </w:rPr>
              <w:t>酸雾吸收废水（</w:t>
            </w:r>
            <w:r>
              <w:rPr>
                <w:rFonts w:hint="eastAsia"/>
                <w:color w:val="auto"/>
                <w:sz w:val="21"/>
                <w:szCs w:val="21"/>
                <w:highlight w:val="none"/>
                <w:lang w:val="en-US" w:eastAsia="zh-CN"/>
              </w:rPr>
              <w:t>109.331m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w:t>
            </w:r>
            <w:r>
              <w:rPr>
                <w:rFonts w:hint="eastAsia"/>
                <w:color w:val="auto"/>
                <w:sz w:val="21"/>
                <w:szCs w:val="21"/>
                <w:highlight w:val="none"/>
                <w:lang w:eastAsia="zh-CN"/>
              </w:rPr>
              <w:t>）</w:t>
            </w:r>
            <w:r>
              <w:rPr>
                <w:rFonts w:hint="eastAsia"/>
                <w:color w:val="auto"/>
                <w:sz w:val="21"/>
                <w:szCs w:val="21"/>
                <w:highlight w:val="none"/>
                <w:lang w:val="en-US" w:eastAsia="zh-CN"/>
              </w:rPr>
              <w:t>、氢氧化钠（0.759t/a）中和、多效蒸发器蒸发后，80%冷凝后（1577.752m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/a）回用于预热分离用水和地面清扫用水，15%（295.828m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/a）进入废盐中，5%（98.109m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/a）蒸发损耗。</w:t>
            </w:r>
          </w:p>
          <w:p w14:paraId="24ECC532">
            <w:pPr>
              <w:pStyle w:val="732"/>
              <w:snapToGrid w:val="0"/>
              <w:spacing w:line="360" w:lineRule="auto"/>
              <w:ind w:firstLine="420" w:firstLineChars="200"/>
              <w:jc w:val="both"/>
              <w:rPr>
                <w:rFonts w:hint="default" w:ascii="Times New Roman" w:hAnsi="Times New Roman" w:eastAsia="宋体" w:cs="Times New Roman"/>
                <w:color w:val="auto"/>
                <w:sz w:val="21"/>
                <w:szCs w:val="21"/>
                <w:highlight w:val="none"/>
              </w:rPr>
            </w:pPr>
            <w:r>
              <w:rPr>
                <w:rFonts w:hint="eastAsia" w:ascii="宋体" w:hAnsi="宋体" w:eastAsia="宋体" w:cs="宋体"/>
                <w:color w:val="auto"/>
                <w:sz w:val="21"/>
                <w:szCs w:val="21"/>
                <w:highlight w:val="none"/>
                <w:lang w:val="en-US" w:eastAsia="zh-CN"/>
              </w:rPr>
              <w:t>⑤</w:t>
            </w:r>
            <w:r>
              <w:rPr>
                <w:rFonts w:hint="eastAsia"/>
                <w:color w:val="auto"/>
                <w:sz w:val="21"/>
                <w:szCs w:val="21"/>
                <w:highlight w:val="none"/>
                <w:lang w:eastAsia="zh-CN"/>
              </w:rPr>
              <w:t>酸雾吸收废水</w:t>
            </w:r>
            <w:r>
              <w:rPr>
                <w:rFonts w:hint="eastAsia"/>
                <w:color w:val="auto"/>
                <w:sz w:val="21"/>
                <w:szCs w:val="21"/>
                <w:highlight w:val="none"/>
                <w:lang w:val="en-US" w:eastAsia="zh-CN"/>
              </w:rPr>
              <w:t>：水喷淋</w:t>
            </w:r>
            <w:r>
              <w:rPr>
                <w:rFonts w:hint="eastAsia" w:cs="Times New Roman"/>
                <w:color w:val="auto"/>
                <w:spacing w:val="-2"/>
                <w:kern w:val="0"/>
                <w:highlight w:val="none"/>
                <w:lang w:val="en-US" w:eastAsia="zh-CN"/>
              </w:rPr>
              <w:t>塔</w:t>
            </w:r>
            <w:r>
              <w:rPr>
                <w:rFonts w:hint="eastAsia"/>
                <w:color w:val="auto"/>
                <w:highlight w:val="none"/>
                <w:lang w:val="en-US" w:eastAsia="zh-CN"/>
              </w:rPr>
              <w:t>填充量为2t，</w:t>
            </w:r>
            <w:r>
              <w:rPr>
                <w:rFonts w:hint="eastAsia" w:cs="Times New Roman"/>
                <w:color w:val="auto"/>
                <w:spacing w:val="-2"/>
                <w:kern w:val="0"/>
                <w:highlight w:val="none"/>
                <w:lang w:val="en-US" w:eastAsia="zh-CN"/>
              </w:rPr>
              <w:t>酸雾吸收塔用水</w:t>
            </w:r>
            <w:r>
              <w:rPr>
                <w:rFonts w:hint="eastAsia"/>
                <w:color w:val="auto"/>
                <w:highlight w:val="none"/>
                <w:lang w:val="en-US" w:eastAsia="zh-CN"/>
              </w:rPr>
              <w:t>填充量为2t，循环使用，每10天更换一次，其中10%蒸发损耗，其余（108</w:t>
            </w:r>
            <w:r>
              <w:rPr>
                <w:rFonts w:hint="eastAsia"/>
                <w:color w:val="auto"/>
                <w:sz w:val="21"/>
                <w:szCs w:val="21"/>
                <w:highlight w:val="none"/>
                <w:lang w:val="en-US" w:eastAsia="zh-CN"/>
              </w:rPr>
              <w:t>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w:t>
            </w:r>
            <w:r>
              <w:rPr>
                <w:rFonts w:hint="eastAsia"/>
                <w:color w:val="auto"/>
                <w:highlight w:val="none"/>
                <w:lang w:val="en-US" w:eastAsia="zh-CN"/>
              </w:rPr>
              <w:t>）进入</w:t>
            </w:r>
            <w:r>
              <w:rPr>
                <w:rFonts w:hint="eastAsia"/>
                <w:color w:val="auto"/>
                <w:sz w:val="21"/>
                <w:szCs w:val="21"/>
                <w:highlight w:val="none"/>
                <w:lang w:eastAsia="zh-CN"/>
              </w:rPr>
              <w:t>酸雾吸收废水</w:t>
            </w:r>
            <w:r>
              <w:rPr>
                <w:rFonts w:hint="eastAsia"/>
                <w:color w:val="auto"/>
                <w:sz w:val="21"/>
                <w:szCs w:val="21"/>
                <w:highlight w:val="none"/>
                <w:lang w:val="en-US" w:eastAsia="zh-CN"/>
              </w:rPr>
              <w:t>，本项目吸收HCl11.331t/a，则</w:t>
            </w:r>
            <w:r>
              <w:rPr>
                <w:rFonts w:hint="eastAsia"/>
                <w:color w:val="auto"/>
                <w:sz w:val="21"/>
                <w:szCs w:val="21"/>
                <w:highlight w:val="none"/>
                <w:lang w:eastAsia="zh-CN"/>
              </w:rPr>
              <w:t>酸雾吸收废水</w:t>
            </w:r>
            <w:r>
              <w:rPr>
                <w:rFonts w:hint="eastAsia"/>
                <w:color w:val="auto"/>
                <w:sz w:val="21"/>
                <w:szCs w:val="21"/>
                <w:highlight w:val="none"/>
                <w:lang w:val="en-US" w:eastAsia="zh-CN"/>
              </w:rPr>
              <w:t>产生量为109.331m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/a，与离心废水中和、加氢氧化钠（0.759t/a）再次中和、多效蒸发器蒸发后，70%冷凝后回用于预热分离用水和地面清扫用水，15%进入废盐中，5%蒸发损耗</w:t>
            </w:r>
            <w:r>
              <w:rPr>
                <w:rFonts w:hint="default" w:ascii="Times New Roman" w:hAnsi="Times New Roman" w:eastAsia="宋体" w:cs="Times New Roman"/>
                <w:color w:val="auto"/>
                <w:sz w:val="21"/>
                <w:szCs w:val="21"/>
                <w:highlight w:val="none"/>
              </w:rPr>
              <w:t>。</w:t>
            </w:r>
          </w:p>
          <w:p w14:paraId="6390D4E5">
            <w:pPr>
              <w:pStyle w:val="732"/>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color w:val="auto"/>
                <w:sz w:val="21"/>
                <w:szCs w:val="21"/>
                <w:highlight w:val="none"/>
              </w:rPr>
            </w:pPr>
            <w:r>
              <w:rPr>
                <w:color w:val="auto"/>
                <w:sz w:val="21"/>
                <w:szCs w:val="21"/>
                <w:highlight w:val="none"/>
              </w:rPr>
              <w:t>4、影响分析</w:t>
            </w:r>
          </w:p>
          <w:p w14:paraId="65BB8FE6">
            <w:pPr>
              <w:pStyle w:val="381"/>
              <w:keepNext w:val="0"/>
              <w:keepLines w:val="0"/>
              <w:pageBreakBefore w:val="0"/>
              <w:widowControl w:val="0"/>
              <w:kinsoku/>
              <w:wordWrap/>
              <w:overflowPunct/>
              <w:topLinePunct w:val="0"/>
              <w:bidi w:val="0"/>
              <w:adjustRightInd w:val="0"/>
              <w:snapToGrid w:val="0"/>
              <w:spacing w:line="360" w:lineRule="auto"/>
              <w:ind w:firstLine="420"/>
              <w:textAlignment w:val="auto"/>
              <w:rPr>
                <w:color w:val="auto"/>
                <w:sz w:val="21"/>
                <w:highlight w:val="none"/>
              </w:rPr>
            </w:pPr>
            <w:r>
              <w:rPr>
                <w:rFonts w:hint="eastAsia"/>
                <w:color w:val="auto"/>
                <w:sz w:val="21"/>
                <w:szCs w:val="21"/>
                <w:highlight w:val="none"/>
                <w:lang w:val="en-US" w:eastAsia="zh-CN"/>
              </w:rPr>
              <w:t xml:space="preserve">本项目无 </w:t>
            </w:r>
            <w:r>
              <w:rPr>
                <w:rFonts w:hint="eastAsia"/>
                <w:color w:val="auto"/>
                <w:sz w:val="21"/>
                <w:highlight w:val="none"/>
                <w:lang w:val="en-US" w:eastAsia="zh-CN"/>
              </w:rPr>
              <w:t>外排废水</w:t>
            </w:r>
            <w:r>
              <w:rPr>
                <w:rFonts w:hint="eastAsia"/>
                <w:color w:val="auto"/>
                <w:sz w:val="21"/>
                <w:highlight w:val="none"/>
                <w:lang w:eastAsia="zh-CN"/>
              </w:rPr>
              <w:t>，项目化粪池、</w:t>
            </w:r>
            <w:r>
              <w:rPr>
                <w:rFonts w:hint="eastAsia"/>
                <w:color w:val="auto"/>
                <w:sz w:val="21"/>
                <w:highlight w:val="none"/>
                <w:lang w:val="en-US" w:eastAsia="zh-CN"/>
              </w:rPr>
              <w:t>中和槽拟</w:t>
            </w:r>
            <w:r>
              <w:rPr>
                <w:rFonts w:hint="eastAsia"/>
                <w:color w:val="auto"/>
                <w:sz w:val="21"/>
                <w:highlight w:val="none"/>
                <w:lang w:eastAsia="zh-CN"/>
              </w:rPr>
              <w:t>做好防渗、防泄漏措施，项目在落实好各项环保设施的情况下，不会对周边地表水环境造成影响</w:t>
            </w:r>
            <w:r>
              <w:rPr>
                <w:color w:val="auto"/>
                <w:sz w:val="21"/>
                <w:highlight w:val="none"/>
              </w:rPr>
              <w:t>。</w:t>
            </w:r>
          </w:p>
          <w:p w14:paraId="63C32C8F">
            <w:pPr>
              <w:spacing w:line="420" w:lineRule="exact"/>
              <w:ind w:firstLine="422" w:firstLineChars="200"/>
              <w:rPr>
                <w:b/>
                <w:bCs/>
                <w:color w:val="auto"/>
              </w:rPr>
            </w:pPr>
            <w:r>
              <w:rPr>
                <w:b/>
                <w:bCs/>
                <w:color w:val="auto"/>
              </w:rPr>
              <w:t>三、噪声：</w:t>
            </w:r>
          </w:p>
          <w:p w14:paraId="097D68E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黑体" w:cs="Times New Roman"/>
                <w:color w:val="auto"/>
                <w:lang w:val="de-DE"/>
              </w:rPr>
            </w:pPr>
            <w:r>
              <w:rPr>
                <w:rFonts w:hint="default" w:ascii="Times New Roman" w:hAnsi="Times New Roman" w:eastAsia="黑体" w:cs="Times New Roman"/>
                <w:color w:val="auto"/>
                <w:lang w:val="de-DE"/>
              </w:rPr>
              <w:t>1、噪声源描述</w:t>
            </w:r>
          </w:p>
          <w:p w14:paraId="354EE5D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highlight w:val="none"/>
              </w:rPr>
            </w:pPr>
            <w:r>
              <w:rPr>
                <w:rFonts w:hint="default" w:ascii="Times New Roman" w:hAnsi="Times New Roman" w:cs="Times New Roman"/>
                <w:bCs/>
                <w:color w:val="auto"/>
                <w:szCs w:val="21"/>
                <w:highlight w:val="none"/>
              </w:rPr>
              <w:t>本项目噪声主要为</w:t>
            </w:r>
            <w:r>
              <w:rPr>
                <w:rFonts w:hint="eastAsia" w:cs="Times New Roman"/>
                <w:bCs/>
                <w:color w:val="auto"/>
                <w:szCs w:val="21"/>
                <w:highlight w:val="none"/>
                <w:lang w:val="en-US" w:eastAsia="zh-CN"/>
              </w:rPr>
              <w:t>泵、离心机</w:t>
            </w:r>
            <w:r>
              <w:rPr>
                <w:rFonts w:hint="eastAsia" w:cs="Times New Roman"/>
                <w:bCs/>
                <w:color w:val="auto"/>
                <w:szCs w:val="21"/>
                <w:highlight w:val="none"/>
                <w:lang w:eastAsia="zh-CN"/>
              </w:rPr>
              <w:t>、风机</w:t>
            </w:r>
            <w:r>
              <w:rPr>
                <w:rFonts w:hint="default" w:ascii="Times New Roman" w:hAnsi="Times New Roman" w:cs="Times New Roman"/>
                <w:bCs/>
                <w:color w:val="auto"/>
                <w:szCs w:val="21"/>
                <w:highlight w:val="none"/>
              </w:rPr>
              <w:t>等设备运行产生的噪声，其噪声级在</w:t>
            </w:r>
            <w:r>
              <w:rPr>
                <w:rFonts w:hint="eastAsia" w:cs="Times New Roman"/>
                <w:bCs/>
                <w:color w:val="auto"/>
                <w:szCs w:val="21"/>
                <w:highlight w:val="none"/>
                <w:lang w:val="en-US" w:eastAsia="zh-CN"/>
              </w:rPr>
              <w:t>80~85</w:t>
            </w:r>
            <w:r>
              <w:rPr>
                <w:rFonts w:hint="default" w:ascii="Times New Roman" w:hAnsi="Times New Roman" w:cs="Times New Roman"/>
                <w:bCs/>
                <w:color w:val="auto"/>
                <w:szCs w:val="21"/>
                <w:highlight w:val="none"/>
              </w:rPr>
              <w:t>dB</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A</w:t>
            </w:r>
            <w:r>
              <w:rPr>
                <w:rFonts w:hint="default" w:ascii="Times New Roman" w:hAnsi="Times New Roman" w:cs="Times New Roman"/>
                <w:bCs/>
                <w:color w:val="auto"/>
                <w:szCs w:val="21"/>
                <w:highlight w:val="none"/>
                <w:lang w:eastAsia="zh-CN"/>
              </w:rPr>
              <w:t>）</w:t>
            </w:r>
            <w:r>
              <w:rPr>
                <w:rFonts w:hint="default" w:ascii="Times New Roman" w:hAnsi="Times New Roman" w:cs="Times New Roman"/>
                <w:bCs/>
                <w:color w:val="auto"/>
                <w:szCs w:val="21"/>
                <w:highlight w:val="none"/>
              </w:rPr>
              <w:t>之间</w:t>
            </w:r>
            <w:r>
              <w:rPr>
                <w:color w:val="auto"/>
                <w:highlight w:val="none"/>
              </w:rPr>
              <w:t>。</w:t>
            </w:r>
          </w:p>
          <w:p w14:paraId="1806935B">
            <w:pPr>
              <w:spacing w:line="360" w:lineRule="auto"/>
              <w:ind w:firstLine="420" w:firstLineChars="200"/>
              <w:rPr>
                <w:rFonts w:hint="default" w:ascii="Times New Roman" w:hAnsi="Times New Roman" w:eastAsia="黑体" w:cs="Times New Roman"/>
                <w:color w:val="auto"/>
                <w:highlight w:val="none"/>
                <w:lang w:val="de-DE"/>
              </w:rPr>
            </w:pPr>
            <w:r>
              <w:rPr>
                <w:rFonts w:hint="default" w:ascii="Times New Roman" w:hAnsi="Times New Roman" w:eastAsia="黑体" w:cs="Times New Roman"/>
                <w:color w:val="auto"/>
                <w:highlight w:val="none"/>
                <w:lang w:val="de-DE"/>
              </w:rPr>
              <w:t>2、降噪措施</w:t>
            </w:r>
          </w:p>
          <w:p w14:paraId="68C973F8">
            <w:pPr>
              <w:spacing w:line="360" w:lineRule="auto"/>
              <w:ind w:firstLine="420" w:firstLineChars="200"/>
              <w:rPr>
                <w:rFonts w:hint="default" w:ascii="Times New Roman" w:hAnsi="Times New Roman" w:cs="Times New Roman"/>
                <w:color w:val="auto"/>
                <w:highlight w:val="none"/>
                <w:lang w:val="de-DE"/>
              </w:rPr>
            </w:pPr>
            <w:r>
              <w:rPr>
                <w:rFonts w:hint="default" w:ascii="Times New Roman" w:hAnsi="Times New Roman" w:cs="Times New Roman"/>
                <w:color w:val="auto"/>
                <w:highlight w:val="none"/>
                <w:lang w:val="de-DE"/>
              </w:rPr>
              <w:t>①在满足功能要求的前提下，尽量选择低噪声且符合国家噪声标准的环保型设备。设备安装时加装减振垫，生产时加强对各类机械设备的维护保养，把对环境的影响降到最低限度。</w:t>
            </w:r>
          </w:p>
          <w:p w14:paraId="7B6CCFB5">
            <w:pPr>
              <w:spacing w:line="360" w:lineRule="auto"/>
              <w:ind w:firstLine="420" w:firstLineChars="200"/>
              <w:rPr>
                <w:rFonts w:hint="default" w:ascii="Times New Roman" w:hAnsi="Times New Roman" w:cs="Times New Roman"/>
                <w:color w:val="auto"/>
                <w:highlight w:val="none"/>
                <w:lang w:val="de-DE"/>
              </w:rPr>
            </w:pPr>
            <w:r>
              <w:rPr>
                <w:rFonts w:hint="default" w:ascii="Times New Roman" w:hAnsi="Times New Roman" w:cs="Times New Roman"/>
                <w:color w:val="auto"/>
                <w:highlight w:val="none"/>
                <w:lang w:val="de-DE"/>
              </w:rPr>
              <w:t>②对于空气动力性噪声的机械设备，如风机等进出风口加装消声器。</w:t>
            </w:r>
          </w:p>
          <w:p w14:paraId="57AD01B0">
            <w:pPr>
              <w:spacing w:line="360" w:lineRule="auto"/>
              <w:ind w:firstLine="420" w:firstLineChars="200"/>
              <w:rPr>
                <w:rFonts w:hint="default" w:ascii="Times New Roman" w:hAnsi="Times New Roman" w:cs="Times New Roman"/>
                <w:color w:val="auto"/>
                <w:highlight w:val="none"/>
                <w:lang w:val="de-DE"/>
              </w:rPr>
            </w:pPr>
            <w:r>
              <w:rPr>
                <w:rFonts w:hint="default" w:ascii="Times New Roman" w:hAnsi="Times New Roman" w:cs="Times New Roman"/>
                <w:color w:val="auto"/>
                <w:highlight w:val="none"/>
                <w:lang w:val="de-DE"/>
              </w:rPr>
              <w:t>③厂房内装隔声门窗。</w:t>
            </w:r>
          </w:p>
          <w:p w14:paraId="50F5E6EE">
            <w:pPr>
              <w:spacing w:line="360" w:lineRule="auto"/>
              <w:ind w:firstLine="420" w:firstLineChars="200"/>
              <w:rPr>
                <w:rFonts w:hint="default" w:ascii="Times New Roman" w:hAnsi="Times New Roman" w:cs="Times New Roman"/>
                <w:color w:val="auto"/>
                <w:highlight w:val="none"/>
                <w:lang w:val="de-DE"/>
              </w:rPr>
            </w:pPr>
            <w:r>
              <w:rPr>
                <w:rFonts w:hint="default" w:ascii="Times New Roman" w:hAnsi="Times New Roman" w:cs="Times New Roman"/>
                <w:color w:val="auto"/>
                <w:highlight w:val="none"/>
                <w:lang w:val="de-DE"/>
              </w:rPr>
              <w:t>④严格规定生产时间，尽量不安排夜间进行生产。产品及原料运输应安排在白天进行，尽量不安排在夜间进行运输作业，避免噪声扰民。</w:t>
            </w:r>
          </w:p>
          <w:p w14:paraId="2C85BAE2">
            <w:pPr>
              <w:spacing w:line="360" w:lineRule="auto"/>
              <w:ind w:firstLine="420" w:firstLineChars="200"/>
              <w:rPr>
                <w:rFonts w:hint="default" w:ascii="Times New Roman" w:hAnsi="Times New Roman" w:cs="Times New Roman"/>
                <w:color w:val="auto"/>
                <w:highlight w:val="none"/>
                <w:lang w:val="de-DE"/>
              </w:rPr>
            </w:pPr>
            <w:r>
              <w:rPr>
                <w:rFonts w:hint="default" w:ascii="Times New Roman" w:hAnsi="Times New Roman" w:cs="Times New Roman"/>
                <w:color w:val="auto"/>
                <w:highlight w:val="none"/>
                <w:lang w:val="de-DE"/>
              </w:rPr>
              <w:t>⑤加强职工环保意识教育，提倡文明生产，防止人为噪声；强化行车管理制度，设置降噪标准，严禁鸣号，进入厂区低速行驶，最大限度减少流动噪声源。</w:t>
            </w:r>
          </w:p>
          <w:p w14:paraId="4B99E3B1">
            <w:pPr>
              <w:spacing w:line="360" w:lineRule="auto"/>
              <w:ind w:firstLine="420" w:firstLineChars="200"/>
              <w:rPr>
                <w:rFonts w:hint="default" w:ascii="Times New Roman" w:hAnsi="Times New Roman" w:eastAsia="黑体" w:cs="Times New Roman"/>
                <w:color w:val="auto"/>
                <w:highlight w:val="none"/>
                <w:lang w:val="de-DE"/>
              </w:rPr>
            </w:pPr>
            <w:r>
              <w:rPr>
                <w:rFonts w:hint="default" w:ascii="Times New Roman" w:hAnsi="Times New Roman" w:eastAsia="黑体" w:cs="Times New Roman"/>
                <w:color w:val="auto"/>
                <w:highlight w:val="none"/>
                <w:lang w:val="de-DE"/>
              </w:rPr>
              <w:t>3、声环境保护目标调查</w:t>
            </w:r>
          </w:p>
          <w:p w14:paraId="399C708D">
            <w:pPr>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de-DE"/>
              </w:rPr>
              <w:t>本厂区</w:t>
            </w:r>
            <w:r>
              <w:rPr>
                <w:rFonts w:hint="default" w:ascii="Times New Roman" w:hAnsi="Times New Roman" w:cs="Times New Roman" w:eastAsiaTheme="minorEastAsia"/>
                <w:color w:val="auto"/>
                <w:highlight w:val="none"/>
                <w:lang w:val="de-DE"/>
              </w:rPr>
              <w:t>50</w:t>
            </w:r>
            <w:r>
              <w:rPr>
                <w:rFonts w:hint="default" w:ascii="Times New Roman" w:hAnsi="Times New Roman" w:cs="Times New Roman"/>
                <w:color w:val="auto"/>
                <w:highlight w:val="none"/>
                <w:lang w:val="de-DE"/>
              </w:rPr>
              <w:t>米范围内</w:t>
            </w:r>
            <w:r>
              <w:rPr>
                <w:rFonts w:hint="default" w:ascii="Times New Roman" w:hAnsi="Times New Roman" w:cs="Times New Roman"/>
                <w:color w:val="auto"/>
                <w:highlight w:val="none"/>
              </w:rPr>
              <w:t>无</w:t>
            </w:r>
            <w:r>
              <w:rPr>
                <w:rFonts w:hint="default" w:ascii="Times New Roman" w:hAnsi="Times New Roman" w:cs="Times New Roman"/>
                <w:color w:val="auto"/>
                <w:highlight w:val="none"/>
                <w:lang w:val="de-DE"/>
              </w:rPr>
              <w:t>声环境保护目标</w:t>
            </w:r>
            <w:r>
              <w:rPr>
                <w:rFonts w:hint="default" w:ascii="Times New Roman" w:hAnsi="Times New Roman" w:cs="Times New Roman"/>
                <w:color w:val="auto"/>
                <w:highlight w:val="none"/>
              </w:rPr>
              <w:t>。</w:t>
            </w:r>
          </w:p>
          <w:p w14:paraId="6FD3259F">
            <w:pPr>
              <w:spacing w:line="360" w:lineRule="auto"/>
              <w:ind w:firstLine="420" w:firstLineChars="200"/>
              <w:rPr>
                <w:rFonts w:hint="default" w:ascii="Times New Roman" w:hAnsi="Times New Roman" w:eastAsia="黑体" w:cs="Times New Roman"/>
                <w:color w:val="auto"/>
                <w:highlight w:val="none"/>
                <w:lang w:val="de-DE"/>
              </w:rPr>
            </w:pPr>
            <w:r>
              <w:rPr>
                <w:rFonts w:hint="default" w:ascii="Times New Roman" w:hAnsi="Times New Roman" w:eastAsia="黑体" w:cs="Times New Roman"/>
                <w:color w:val="auto"/>
                <w:highlight w:val="none"/>
                <w:lang w:val="de-DE"/>
              </w:rPr>
              <w:t>4、噪声源调查与分析</w:t>
            </w:r>
          </w:p>
          <w:p w14:paraId="3E6C0406">
            <w:pPr>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lang w:val="de-DE"/>
              </w:rPr>
              <w:t>类比相关行业设备的噪声源强，本项目噪声源强调查清单如下</w:t>
            </w:r>
            <w:r>
              <w:rPr>
                <w:rFonts w:hint="default" w:ascii="Times New Roman" w:hAnsi="Times New Roman" w:cs="Times New Roman"/>
                <w:color w:val="auto"/>
                <w:highlight w:val="none"/>
              </w:rPr>
              <w:t>。</w:t>
            </w:r>
          </w:p>
          <w:p w14:paraId="5F5F8C2A">
            <w:pPr>
              <w:adjustRightInd w:val="0"/>
              <w:snapToGrid w:val="0"/>
              <w:spacing w:line="360" w:lineRule="auto"/>
              <w:jc w:val="center"/>
              <w:rPr>
                <w:rFonts w:hint="default"/>
                <w:b/>
                <w:color w:val="auto"/>
                <w:highlight w:val="none"/>
                <w:lang w:val="en-US" w:eastAsia="zh-CN"/>
              </w:rPr>
            </w:pPr>
            <w:r>
              <w:rPr>
                <w:rFonts w:hint="default"/>
                <w:b/>
                <w:color w:val="auto"/>
                <w:highlight w:val="none"/>
                <w:lang w:val="en-US" w:eastAsia="zh-CN"/>
              </w:rPr>
              <w:t>表4-</w:t>
            </w:r>
            <w:r>
              <w:rPr>
                <w:rFonts w:hint="eastAsia"/>
                <w:b/>
                <w:color w:val="auto"/>
                <w:highlight w:val="none"/>
                <w:lang w:val="en-US" w:eastAsia="zh-CN"/>
              </w:rPr>
              <w:t>9</w:t>
            </w:r>
            <w:r>
              <w:rPr>
                <w:rFonts w:hint="default"/>
                <w:b/>
                <w:color w:val="auto"/>
                <w:highlight w:val="none"/>
                <w:lang w:val="en-US" w:eastAsia="zh-CN"/>
              </w:rPr>
              <w:t xml:space="preserve">   本项目工业企业噪声源强调查清单（室内设备）</w:t>
            </w:r>
          </w:p>
          <w:tbl>
            <w:tblPr>
              <w:tblStyle w:val="1390"/>
              <w:tblW w:w="4995"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33"/>
              <w:gridCol w:w="255"/>
              <w:gridCol w:w="960"/>
              <w:gridCol w:w="531"/>
              <w:gridCol w:w="571"/>
              <w:gridCol w:w="650"/>
              <w:gridCol w:w="288"/>
              <w:gridCol w:w="489"/>
              <w:gridCol w:w="353"/>
              <w:gridCol w:w="834"/>
              <w:gridCol w:w="821"/>
              <w:gridCol w:w="590"/>
              <w:gridCol w:w="516"/>
              <w:gridCol w:w="777"/>
              <w:gridCol w:w="499"/>
            </w:tblGrid>
            <w:tr w14:paraId="459B5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141" w:type="pct"/>
                  <w:vMerge w:val="restart"/>
                  <w:noWrap w:val="0"/>
                  <w:vAlign w:val="center"/>
                </w:tcPr>
                <w:p w14:paraId="6855545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080ED0C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序号</w:t>
                  </w:r>
                </w:p>
              </w:tc>
              <w:tc>
                <w:tcPr>
                  <w:tcW w:w="154" w:type="pct"/>
                  <w:vMerge w:val="restart"/>
                  <w:noWrap w:val="0"/>
                  <w:vAlign w:val="center"/>
                </w:tcPr>
                <w:p w14:paraId="5194A0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4CDC09D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建筑物 名称</w:t>
                  </w:r>
                </w:p>
              </w:tc>
              <w:tc>
                <w:tcPr>
                  <w:tcW w:w="575" w:type="pct"/>
                  <w:vMerge w:val="restart"/>
                  <w:noWrap w:val="0"/>
                  <w:vAlign w:val="center"/>
                </w:tcPr>
                <w:p w14:paraId="61A6B07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70DCB0F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声源名称</w:t>
                  </w:r>
                </w:p>
              </w:tc>
              <w:tc>
                <w:tcPr>
                  <w:tcW w:w="318" w:type="pct"/>
                  <w:vMerge w:val="restart"/>
                  <w:noWrap w:val="0"/>
                  <w:vAlign w:val="center"/>
                </w:tcPr>
                <w:p w14:paraId="69ECC43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144326C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型号</w:t>
                  </w:r>
                </w:p>
              </w:tc>
              <w:tc>
                <w:tcPr>
                  <w:tcW w:w="342" w:type="pct"/>
                  <w:noWrap w:val="0"/>
                  <w:vAlign w:val="center"/>
                </w:tcPr>
                <w:p w14:paraId="6B28767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声源源强</w:t>
                  </w:r>
                </w:p>
              </w:tc>
              <w:tc>
                <w:tcPr>
                  <w:tcW w:w="389" w:type="pct"/>
                  <w:vMerge w:val="restart"/>
                  <w:noWrap w:val="0"/>
                  <w:vAlign w:val="center"/>
                </w:tcPr>
                <w:p w14:paraId="3BDFF47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3DCAB76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声源控制措施</w:t>
                  </w:r>
                </w:p>
              </w:tc>
              <w:tc>
                <w:tcPr>
                  <w:tcW w:w="678" w:type="pct"/>
                  <w:gridSpan w:val="3"/>
                  <w:noWrap w:val="0"/>
                  <w:vAlign w:val="center"/>
                </w:tcPr>
                <w:p w14:paraId="6BEB763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空间相对位置</w:t>
                  </w:r>
                  <w:r>
                    <w:rPr>
                      <w:rFonts w:hint="default" w:ascii="Times New Roman" w:hAnsi="Times New Roman" w:eastAsia="Times New Roman" w:cs="Times New Roman"/>
                      <w:b/>
                      <w:bCs/>
                      <w:snapToGrid w:val="0"/>
                      <w:color w:val="auto"/>
                      <w:spacing w:val="0"/>
                      <w:kern w:val="0"/>
                      <w:sz w:val="18"/>
                      <w:szCs w:val="18"/>
                      <w:highlight w:val="none"/>
                    </w:rPr>
                    <w:t>/m</w:t>
                  </w:r>
                </w:p>
              </w:tc>
              <w:tc>
                <w:tcPr>
                  <w:tcW w:w="499" w:type="pct"/>
                  <w:vMerge w:val="restart"/>
                  <w:noWrap w:val="0"/>
                  <w:vAlign w:val="center"/>
                </w:tcPr>
                <w:p w14:paraId="06A797E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距室内</w:t>
                  </w:r>
                </w:p>
                <w:p w14:paraId="2149E5B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边界距</w:t>
                  </w:r>
                </w:p>
                <w:p w14:paraId="0448DAB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离</w:t>
                  </w:r>
                  <w:r>
                    <w:rPr>
                      <w:rFonts w:hint="default" w:ascii="Times New Roman" w:hAnsi="Times New Roman" w:eastAsia="Times New Roman" w:cs="Times New Roman"/>
                      <w:b/>
                      <w:bCs/>
                      <w:snapToGrid w:val="0"/>
                      <w:color w:val="auto"/>
                      <w:spacing w:val="0"/>
                      <w:kern w:val="0"/>
                      <w:sz w:val="18"/>
                      <w:szCs w:val="18"/>
                      <w:highlight w:val="none"/>
                    </w:rPr>
                    <w:t>/m</w:t>
                  </w:r>
                </w:p>
              </w:tc>
              <w:tc>
                <w:tcPr>
                  <w:tcW w:w="491" w:type="pct"/>
                  <w:vMerge w:val="restart"/>
                  <w:noWrap w:val="0"/>
                  <w:vAlign w:val="center"/>
                </w:tcPr>
                <w:p w14:paraId="57C7B8A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eastAsia="zh-CN"/>
                    </w:rPr>
                  </w:pPr>
                  <w:r>
                    <w:rPr>
                      <w:rFonts w:hint="default" w:ascii="Times New Roman" w:hAnsi="Times New Roman" w:eastAsia="宋体" w:cs="Times New Roman"/>
                      <w:snapToGrid w:val="0"/>
                      <w:color w:val="auto"/>
                      <w:spacing w:val="0"/>
                      <w:kern w:val="0"/>
                      <w:sz w:val="18"/>
                      <w:szCs w:val="18"/>
                      <w:highlight w:val="none"/>
                    </w:rPr>
                    <w:t xml:space="preserve">室内边 界声级 </w:t>
                  </w:r>
                  <w:r>
                    <w:rPr>
                      <w:rFonts w:hint="default" w:ascii="Times New Roman" w:hAnsi="Times New Roman" w:eastAsia="Times New Roman" w:cs="Times New Roman"/>
                      <w:b/>
                      <w:bCs/>
                      <w:snapToGrid w:val="0"/>
                      <w:color w:val="auto"/>
                      <w:spacing w:val="0"/>
                      <w:kern w:val="0"/>
                      <w:sz w:val="18"/>
                      <w:szCs w:val="18"/>
                      <w:highlight w:val="none"/>
                    </w:rPr>
                    <w:t>/dB</w:t>
                  </w:r>
                  <w:r>
                    <w:rPr>
                      <w:rFonts w:hint="default" w:ascii="Times New Roman" w:hAnsi="Times New Roman" w:eastAsia="宋体" w:cs="Times New Roman"/>
                      <w:b/>
                      <w:bCs/>
                      <w:snapToGrid w:val="0"/>
                      <w:color w:val="auto"/>
                      <w:spacing w:val="0"/>
                      <w:kern w:val="0"/>
                      <w:sz w:val="18"/>
                      <w:szCs w:val="18"/>
                      <w:highlight w:val="none"/>
                      <w:lang w:eastAsia="zh-CN"/>
                    </w:rPr>
                    <w:t>（</w:t>
                  </w:r>
                  <w:r>
                    <w:rPr>
                      <w:rFonts w:hint="default" w:ascii="Times New Roman" w:hAnsi="Times New Roman" w:eastAsia="Times New Roman" w:cs="Times New Roman"/>
                      <w:b/>
                      <w:bCs/>
                      <w:snapToGrid w:val="0"/>
                      <w:color w:val="auto"/>
                      <w:spacing w:val="0"/>
                      <w:kern w:val="0"/>
                      <w:sz w:val="18"/>
                      <w:szCs w:val="18"/>
                      <w:highlight w:val="none"/>
                    </w:rPr>
                    <w:t>A</w:t>
                  </w:r>
                  <w:r>
                    <w:rPr>
                      <w:rFonts w:hint="default" w:ascii="Times New Roman" w:hAnsi="Times New Roman" w:eastAsia="宋体" w:cs="Times New Roman"/>
                      <w:b/>
                      <w:bCs/>
                      <w:snapToGrid w:val="0"/>
                      <w:color w:val="auto"/>
                      <w:spacing w:val="0"/>
                      <w:kern w:val="0"/>
                      <w:sz w:val="18"/>
                      <w:szCs w:val="18"/>
                      <w:highlight w:val="none"/>
                      <w:lang w:eastAsia="zh-CN"/>
                    </w:rPr>
                    <w:t>）</w:t>
                  </w:r>
                </w:p>
              </w:tc>
              <w:tc>
                <w:tcPr>
                  <w:tcW w:w="334" w:type="pct"/>
                  <w:vMerge w:val="restart"/>
                  <w:noWrap w:val="0"/>
                  <w:vAlign w:val="center"/>
                </w:tcPr>
                <w:p w14:paraId="47AA67D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p w14:paraId="7E0033C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运行时段</w:t>
                  </w:r>
                </w:p>
              </w:tc>
              <w:tc>
                <w:tcPr>
                  <w:tcW w:w="309" w:type="pct"/>
                  <w:vMerge w:val="restart"/>
                  <w:noWrap w:val="0"/>
                  <w:vAlign w:val="center"/>
                </w:tcPr>
                <w:p w14:paraId="7EA7100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eastAsia="zh-CN"/>
                    </w:rPr>
                  </w:pPr>
                  <w:r>
                    <w:rPr>
                      <w:rFonts w:hint="default" w:ascii="Times New Roman" w:hAnsi="Times New Roman" w:eastAsia="宋体" w:cs="Times New Roman"/>
                      <w:snapToGrid w:val="0"/>
                      <w:color w:val="auto"/>
                      <w:spacing w:val="0"/>
                      <w:kern w:val="0"/>
                      <w:sz w:val="18"/>
                      <w:szCs w:val="18"/>
                      <w:highlight w:val="none"/>
                    </w:rPr>
                    <w:t xml:space="preserve">建筑物插 入损失 </w:t>
                  </w:r>
                  <w:r>
                    <w:rPr>
                      <w:rFonts w:hint="default" w:ascii="Times New Roman" w:hAnsi="Times New Roman" w:eastAsia="Times New Roman" w:cs="Times New Roman"/>
                      <w:b/>
                      <w:bCs/>
                      <w:snapToGrid w:val="0"/>
                      <w:color w:val="auto"/>
                      <w:spacing w:val="0"/>
                      <w:kern w:val="0"/>
                      <w:sz w:val="18"/>
                      <w:szCs w:val="18"/>
                      <w:highlight w:val="none"/>
                    </w:rPr>
                    <w:t>/dB</w:t>
                  </w:r>
                  <w:r>
                    <w:rPr>
                      <w:rFonts w:hint="default" w:ascii="Times New Roman" w:hAnsi="Times New Roman" w:eastAsia="宋体" w:cs="Times New Roman"/>
                      <w:b/>
                      <w:bCs/>
                      <w:snapToGrid w:val="0"/>
                      <w:color w:val="auto"/>
                      <w:spacing w:val="0"/>
                      <w:kern w:val="0"/>
                      <w:sz w:val="18"/>
                      <w:szCs w:val="18"/>
                      <w:highlight w:val="none"/>
                      <w:lang w:eastAsia="zh-CN"/>
                    </w:rPr>
                    <w:t>（</w:t>
                  </w:r>
                  <w:r>
                    <w:rPr>
                      <w:rFonts w:hint="default" w:ascii="Times New Roman" w:hAnsi="Times New Roman" w:eastAsia="Times New Roman" w:cs="Times New Roman"/>
                      <w:b/>
                      <w:bCs/>
                      <w:snapToGrid w:val="0"/>
                      <w:color w:val="auto"/>
                      <w:spacing w:val="0"/>
                      <w:kern w:val="0"/>
                      <w:sz w:val="18"/>
                      <w:szCs w:val="18"/>
                      <w:highlight w:val="none"/>
                    </w:rPr>
                    <w:t>A</w:t>
                  </w:r>
                  <w:r>
                    <w:rPr>
                      <w:rFonts w:hint="default" w:ascii="Times New Roman" w:hAnsi="Times New Roman" w:eastAsia="宋体" w:cs="Times New Roman"/>
                      <w:b/>
                      <w:bCs/>
                      <w:snapToGrid w:val="0"/>
                      <w:color w:val="auto"/>
                      <w:spacing w:val="0"/>
                      <w:kern w:val="0"/>
                      <w:sz w:val="18"/>
                      <w:szCs w:val="18"/>
                      <w:highlight w:val="none"/>
                      <w:lang w:eastAsia="zh-CN"/>
                    </w:rPr>
                    <w:t>）</w:t>
                  </w:r>
                </w:p>
              </w:tc>
              <w:tc>
                <w:tcPr>
                  <w:tcW w:w="764" w:type="pct"/>
                  <w:gridSpan w:val="2"/>
                  <w:noWrap w:val="0"/>
                  <w:vAlign w:val="center"/>
                </w:tcPr>
                <w:p w14:paraId="69BFEA2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建筑物外噪声</w:t>
                  </w:r>
                </w:p>
              </w:tc>
            </w:tr>
            <w:tr w14:paraId="59BE6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2" w:hRule="atLeast"/>
              </w:trPr>
              <w:tc>
                <w:tcPr>
                  <w:tcW w:w="141" w:type="pct"/>
                  <w:vMerge w:val="continue"/>
                  <w:noWrap w:val="0"/>
                  <w:vAlign w:val="center"/>
                </w:tcPr>
                <w:p w14:paraId="66913C5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154" w:type="pct"/>
                  <w:vMerge w:val="continue"/>
                  <w:noWrap w:val="0"/>
                  <w:vAlign w:val="center"/>
                </w:tcPr>
                <w:p w14:paraId="4E26292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vMerge w:val="continue"/>
                  <w:noWrap w:val="0"/>
                  <w:vAlign w:val="center"/>
                </w:tcPr>
                <w:p w14:paraId="7DAFEB1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318" w:type="pct"/>
                  <w:vMerge w:val="continue"/>
                  <w:noWrap w:val="0"/>
                  <w:vAlign w:val="center"/>
                </w:tcPr>
                <w:p w14:paraId="712ADDC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342" w:type="pct"/>
                  <w:noWrap w:val="0"/>
                  <w:vAlign w:val="center"/>
                </w:tcPr>
                <w:p w14:paraId="539599C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eastAsia="zh-CN"/>
                    </w:rPr>
                  </w:pPr>
                  <w:r>
                    <w:rPr>
                      <w:rFonts w:hint="default" w:ascii="Times New Roman" w:hAnsi="Times New Roman" w:eastAsia="宋体" w:cs="Times New Roman"/>
                      <w:snapToGrid w:val="0"/>
                      <w:color w:val="auto"/>
                      <w:spacing w:val="0"/>
                      <w:kern w:val="0"/>
                      <w:sz w:val="18"/>
                      <w:szCs w:val="18"/>
                      <w:highlight w:val="none"/>
                    </w:rPr>
                    <w:t xml:space="preserve">声功率级 </w:t>
                  </w:r>
                  <w:r>
                    <w:rPr>
                      <w:rFonts w:hint="default" w:ascii="Times New Roman" w:hAnsi="Times New Roman" w:eastAsia="Times New Roman" w:cs="Times New Roman"/>
                      <w:b/>
                      <w:bCs/>
                      <w:snapToGrid w:val="0"/>
                      <w:color w:val="auto"/>
                      <w:spacing w:val="0"/>
                      <w:kern w:val="0"/>
                      <w:sz w:val="18"/>
                      <w:szCs w:val="18"/>
                      <w:highlight w:val="none"/>
                    </w:rPr>
                    <w:t>/dB</w:t>
                  </w:r>
                  <w:r>
                    <w:rPr>
                      <w:rFonts w:hint="default" w:ascii="Times New Roman" w:hAnsi="Times New Roman" w:eastAsia="宋体" w:cs="Times New Roman"/>
                      <w:b/>
                      <w:bCs/>
                      <w:snapToGrid w:val="0"/>
                      <w:color w:val="auto"/>
                      <w:spacing w:val="0"/>
                      <w:kern w:val="0"/>
                      <w:sz w:val="18"/>
                      <w:szCs w:val="18"/>
                      <w:highlight w:val="none"/>
                      <w:lang w:eastAsia="zh-CN"/>
                    </w:rPr>
                    <w:t>（</w:t>
                  </w:r>
                  <w:r>
                    <w:rPr>
                      <w:rFonts w:hint="default" w:ascii="Times New Roman" w:hAnsi="Times New Roman" w:eastAsia="Times New Roman" w:cs="Times New Roman"/>
                      <w:b/>
                      <w:bCs/>
                      <w:snapToGrid w:val="0"/>
                      <w:color w:val="auto"/>
                      <w:spacing w:val="0"/>
                      <w:kern w:val="0"/>
                      <w:sz w:val="18"/>
                      <w:szCs w:val="18"/>
                      <w:highlight w:val="none"/>
                    </w:rPr>
                    <w:t>A</w:t>
                  </w:r>
                  <w:r>
                    <w:rPr>
                      <w:rFonts w:hint="default" w:ascii="Times New Roman" w:hAnsi="Times New Roman" w:eastAsia="宋体" w:cs="Times New Roman"/>
                      <w:b/>
                      <w:bCs/>
                      <w:snapToGrid w:val="0"/>
                      <w:color w:val="auto"/>
                      <w:spacing w:val="0"/>
                      <w:kern w:val="0"/>
                      <w:sz w:val="18"/>
                      <w:szCs w:val="18"/>
                      <w:highlight w:val="none"/>
                      <w:lang w:eastAsia="zh-CN"/>
                    </w:rPr>
                    <w:t>）</w:t>
                  </w:r>
                </w:p>
              </w:tc>
              <w:tc>
                <w:tcPr>
                  <w:tcW w:w="389" w:type="pct"/>
                  <w:vMerge w:val="continue"/>
                  <w:noWrap w:val="0"/>
                  <w:vAlign w:val="center"/>
                </w:tcPr>
                <w:p w14:paraId="0CB7095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173" w:type="pct"/>
                  <w:noWrap w:val="0"/>
                  <w:vAlign w:val="center"/>
                </w:tcPr>
                <w:p w14:paraId="221A851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b/>
                      <w:bCs/>
                      <w:i/>
                      <w:iCs/>
                      <w:snapToGrid w:val="0"/>
                      <w:color w:val="auto"/>
                      <w:spacing w:val="0"/>
                      <w:kern w:val="0"/>
                      <w:sz w:val="18"/>
                      <w:szCs w:val="18"/>
                      <w:highlight w:val="none"/>
                    </w:rPr>
                    <w:t>X</w:t>
                  </w:r>
                </w:p>
              </w:tc>
              <w:tc>
                <w:tcPr>
                  <w:tcW w:w="293" w:type="pct"/>
                  <w:noWrap w:val="0"/>
                  <w:vAlign w:val="center"/>
                </w:tcPr>
                <w:p w14:paraId="7B41E49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b/>
                      <w:bCs/>
                      <w:i/>
                      <w:iCs/>
                      <w:snapToGrid w:val="0"/>
                      <w:color w:val="auto"/>
                      <w:spacing w:val="0"/>
                      <w:kern w:val="0"/>
                      <w:sz w:val="18"/>
                      <w:szCs w:val="18"/>
                      <w:highlight w:val="none"/>
                    </w:rPr>
                    <w:t>Y</w:t>
                  </w:r>
                </w:p>
              </w:tc>
              <w:tc>
                <w:tcPr>
                  <w:tcW w:w="212" w:type="pct"/>
                  <w:noWrap w:val="0"/>
                  <w:vAlign w:val="center"/>
                </w:tcPr>
                <w:p w14:paraId="35E37EE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b/>
                      <w:bCs/>
                      <w:i/>
                      <w:iCs/>
                      <w:snapToGrid w:val="0"/>
                      <w:color w:val="auto"/>
                      <w:spacing w:val="0"/>
                      <w:kern w:val="0"/>
                      <w:sz w:val="18"/>
                      <w:szCs w:val="18"/>
                      <w:highlight w:val="none"/>
                    </w:rPr>
                    <w:t>Z</w:t>
                  </w:r>
                </w:p>
              </w:tc>
              <w:tc>
                <w:tcPr>
                  <w:tcW w:w="499" w:type="pct"/>
                  <w:vMerge w:val="continue"/>
                  <w:noWrap w:val="0"/>
                  <w:vAlign w:val="center"/>
                </w:tcPr>
                <w:p w14:paraId="5B1A15E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491" w:type="pct"/>
                  <w:vMerge w:val="continue"/>
                  <w:noWrap w:val="0"/>
                  <w:vAlign w:val="center"/>
                </w:tcPr>
                <w:p w14:paraId="3771AB4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334" w:type="pct"/>
                  <w:vMerge w:val="continue"/>
                  <w:noWrap w:val="0"/>
                  <w:vAlign w:val="center"/>
                </w:tcPr>
                <w:p w14:paraId="44F9F9C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309" w:type="pct"/>
                  <w:vMerge w:val="continue"/>
                  <w:noWrap w:val="0"/>
                  <w:vAlign w:val="center"/>
                </w:tcPr>
                <w:p w14:paraId="209A9BB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465" w:type="pct"/>
                  <w:noWrap w:val="0"/>
                  <w:vAlign w:val="center"/>
                </w:tcPr>
                <w:p w14:paraId="5C3EC09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eastAsia="zh-CN"/>
                    </w:rPr>
                  </w:pPr>
                  <w:r>
                    <w:rPr>
                      <w:rFonts w:hint="default" w:ascii="Times New Roman" w:hAnsi="Times New Roman" w:eastAsia="宋体" w:cs="Times New Roman"/>
                      <w:snapToGrid w:val="0"/>
                      <w:color w:val="auto"/>
                      <w:spacing w:val="0"/>
                      <w:kern w:val="0"/>
                      <w:sz w:val="18"/>
                      <w:szCs w:val="18"/>
                      <w:highlight w:val="none"/>
                    </w:rPr>
                    <w:t xml:space="preserve">声压级 </w:t>
                  </w:r>
                  <w:r>
                    <w:rPr>
                      <w:rFonts w:hint="default" w:ascii="Times New Roman" w:hAnsi="Times New Roman" w:eastAsia="Times New Roman" w:cs="Times New Roman"/>
                      <w:b/>
                      <w:bCs/>
                      <w:snapToGrid w:val="0"/>
                      <w:color w:val="auto"/>
                      <w:spacing w:val="0"/>
                      <w:kern w:val="0"/>
                      <w:sz w:val="18"/>
                      <w:szCs w:val="18"/>
                      <w:highlight w:val="none"/>
                    </w:rPr>
                    <w:t>/dB</w:t>
                  </w:r>
                  <w:r>
                    <w:rPr>
                      <w:rFonts w:hint="default" w:ascii="Times New Roman" w:hAnsi="Times New Roman" w:eastAsia="宋体" w:cs="Times New Roman"/>
                      <w:b/>
                      <w:bCs/>
                      <w:snapToGrid w:val="0"/>
                      <w:color w:val="auto"/>
                      <w:spacing w:val="0"/>
                      <w:kern w:val="0"/>
                      <w:sz w:val="18"/>
                      <w:szCs w:val="18"/>
                      <w:highlight w:val="none"/>
                      <w:lang w:eastAsia="zh-CN"/>
                    </w:rPr>
                    <w:t>（</w:t>
                  </w:r>
                  <w:r>
                    <w:rPr>
                      <w:rFonts w:hint="default" w:ascii="Times New Roman" w:hAnsi="Times New Roman" w:eastAsia="Times New Roman" w:cs="Times New Roman"/>
                      <w:b/>
                      <w:bCs/>
                      <w:snapToGrid w:val="0"/>
                      <w:color w:val="auto"/>
                      <w:spacing w:val="0"/>
                      <w:kern w:val="0"/>
                      <w:sz w:val="18"/>
                      <w:szCs w:val="18"/>
                      <w:highlight w:val="none"/>
                    </w:rPr>
                    <w:t>A</w:t>
                  </w:r>
                  <w:r>
                    <w:rPr>
                      <w:rFonts w:hint="default" w:ascii="Times New Roman" w:hAnsi="Times New Roman" w:eastAsia="宋体" w:cs="Times New Roman"/>
                      <w:b/>
                      <w:bCs/>
                      <w:snapToGrid w:val="0"/>
                      <w:color w:val="auto"/>
                      <w:spacing w:val="0"/>
                      <w:kern w:val="0"/>
                      <w:sz w:val="18"/>
                      <w:szCs w:val="18"/>
                      <w:highlight w:val="none"/>
                      <w:lang w:eastAsia="zh-CN"/>
                    </w:rPr>
                    <w:t>）</w:t>
                  </w:r>
                </w:p>
              </w:tc>
              <w:tc>
                <w:tcPr>
                  <w:tcW w:w="299" w:type="pct"/>
                  <w:noWrap w:val="0"/>
                  <w:vAlign w:val="center"/>
                </w:tcPr>
                <w:p w14:paraId="319A207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r>
                    <w:rPr>
                      <w:rFonts w:hint="default" w:ascii="Times New Roman" w:hAnsi="Times New Roman" w:eastAsia="宋体" w:cs="Times New Roman"/>
                      <w:snapToGrid w:val="0"/>
                      <w:color w:val="auto"/>
                      <w:spacing w:val="0"/>
                      <w:kern w:val="0"/>
                      <w:sz w:val="18"/>
                      <w:szCs w:val="18"/>
                      <w:highlight w:val="none"/>
                    </w:rPr>
                    <w:t>建筑物 外距离</w:t>
                  </w:r>
                </w:p>
              </w:tc>
            </w:tr>
            <w:tr w14:paraId="06397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41" w:type="pct"/>
                  <w:noWrap w:val="0"/>
                  <w:vAlign w:val="center"/>
                </w:tcPr>
                <w:p w14:paraId="2239E45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c>
                <w:tcPr>
                  <w:tcW w:w="154" w:type="pct"/>
                  <w:vMerge w:val="restart"/>
                  <w:noWrap w:val="0"/>
                  <w:vAlign w:val="center"/>
                </w:tcPr>
                <w:p w14:paraId="5CBF25F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生产车间</w:t>
                  </w:r>
                </w:p>
              </w:tc>
              <w:tc>
                <w:tcPr>
                  <w:tcW w:w="575" w:type="pct"/>
                  <w:shd w:val="clear" w:color="auto" w:fill="auto"/>
                  <w:noWrap w:val="0"/>
                  <w:vAlign w:val="center"/>
                </w:tcPr>
                <w:p w14:paraId="1FD560D7">
                  <w:pPr>
                    <w:pStyle w:val="43"/>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泵1</w:t>
                  </w:r>
                </w:p>
              </w:tc>
              <w:tc>
                <w:tcPr>
                  <w:tcW w:w="318" w:type="pct"/>
                  <w:noWrap w:val="0"/>
                  <w:vAlign w:val="center"/>
                </w:tcPr>
                <w:p w14:paraId="39D3AF1F">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default" w:ascii="Times New Roman" w:hAnsi="Times New Roman" w:eastAsia="宋体" w:cs="Times New Roman"/>
                      <w:i w:val="0"/>
                      <w:iCs w:val="0"/>
                      <w:snapToGrid w:val="0"/>
                      <w:color w:val="auto"/>
                      <w:spacing w:val="0"/>
                      <w:kern w:val="0"/>
                      <w:sz w:val="18"/>
                      <w:szCs w:val="18"/>
                      <w:highlight w:val="none"/>
                      <w:u w:val="none"/>
                      <w:lang w:val="en-US" w:eastAsia="zh-CN" w:bidi="ar-SA"/>
                    </w:rPr>
                  </w:pPr>
                  <w:r>
                    <w:rPr>
                      <w:rFonts w:hint="default" w:ascii="Times New Roman" w:hAnsi="Times New Roman" w:cs="Times New Roman"/>
                      <w:bCs/>
                      <w:color w:val="auto"/>
                      <w:sz w:val="18"/>
                      <w:szCs w:val="18"/>
                      <w:highlight w:val="none"/>
                    </w:rPr>
                    <w:t>/</w:t>
                  </w:r>
                </w:p>
              </w:tc>
              <w:tc>
                <w:tcPr>
                  <w:tcW w:w="342" w:type="pct"/>
                  <w:noWrap w:val="0"/>
                  <w:vAlign w:val="center"/>
                </w:tcPr>
                <w:p w14:paraId="0492F2F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restart"/>
                  <w:noWrap w:val="0"/>
                  <w:vAlign w:val="center"/>
                </w:tcPr>
                <w:p w14:paraId="45E120A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rPr>
                    <w:t>选择低噪声设备，厂房隔声、隔声罩、基础减震、采用软接头</w:t>
                  </w:r>
                  <w:r>
                    <w:rPr>
                      <w:rFonts w:hint="eastAsia" w:cs="Times New Roman"/>
                      <w:snapToGrid w:val="0"/>
                      <w:color w:val="auto"/>
                      <w:spacing w:val="0"/>
                      <w:kern w:val="0"/>
                      <w:sz w:val="18"/>
                      <w:szCs w:val="18"/>
                      <w:highlight w:val="none"/>
                      <w:lang w:val="en-US" w:eastAsia="zh-CN"/>
                    </w:rPr>
                    <w:t>-10</w:t>
                  </w:r>
                </w:p>
              </w:tc>
              <w:tc>
                <w:tcPr>
                  <w:tcW w:w="173" w:type="pct"/>
                  <w:noWrap w:val="0"/>
                  <w:vAlign w:val="center"/>
                </w:tcPr>
                <w:p w14:paraId="14DD97BD">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75</w:t>
                  </w:r>
                </w:p>
              </w:tc>
              <w:tc>
                <w:tcPr>
                  <w:tcW w:w="293" w:type="pct"/>
                  <w:noWrap w:val="0"/>
                  <w:vAlign w:val="center"/>
                </w:tcPr>
                <w:p w14:paraId="52EBEBBD">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95</w:t>
                  </w:r>
                </w:p>
              </w:tc>
              <w:tc>
                <w:tcPr>
                  <w:tcW w:w="212" w:type="pct"/>
                  <w:noWrap w:val="0"/>
                  <w:vAlign w:val="center"/>
                </w:tcPr>
                <w:p w14:paraId="283B9D9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44E8912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95</w:t>
                  </w:r>
                </w:p>
                <w:p w14:paraId="109C441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95</w:t>
                  </w:r>
                </w:p>
                <w:p w14:paraId="469F5BE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w:t>
                  </w:r>
                </w:p>
                <w:p w14:paraId="5ECDDB7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w:t>
                  </w:r>
                </w:p>
              </w:tc>
              <w:tc>
                <w:tcPr>
                  <w:tcW w:w="491" w:type="pct"/>
                  <w:shd w:val="clear" w:color="auto" w:fill="auto"/>
                  <w:noWrap w:val="0"/>
                  <w:vAlign w:val="center"/>
                </w:tcPr>
                <w:p w14:paraId="6968CC0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45.4</w:t>
                  </w:r>
                </w:p>
                <w:p w14:paraId="48AB90B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45.4</w:t>
                  </w:r>
                </w:p>
                <w:p w14:paraId="0CC0FBB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71.0</w:t>
                  </w:r>
                </w:p>
                <w:p w14:paraId="0E0804B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59.0</w:t>
                  </w:r>
                </w:p>
              </w:tc>
              <w:tc>
                <w:tcPr>
                  <w:tcW w:w="334" w:type="pct"/>
                  <w:vMerge w:val="restart"/>
                  <w:noWrap w:val="0"/>
                  <w:vAlign w:val="center"/>
                </w:tcPr>
                <w:p w14:paraId="51CDCA0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72</w:t>
                  </w:r>
                  <w:r>
                    <w:rPr>
                      <w:rFonts w:hint="eastAsia" w:ascii="Times New Roman" w:hAnsi="Times New Roman" w:cs="Times New Roman"/>
                      <w:snapToGrid w:val="0"/>
                      <w:color w:val="auto"/>
                      <w:spacing w:val="0"/>
                      <w:kern w:val="0"/>
                      <w:sz w:val="18"/>
                      <w:szCs w:val="18"/>
                      <w:highlight w:val="none"/>
                      <w:lang w:val="en-US" w:eastAsia="zh-CN"/>
                    </w:rPr>
                    <w:t>0</w:t>
                  </w:r>
                  <w:r>
                    <w:rPr>
                      <w:rFonts w:hint="default" w:ascii="Times New Roman" w:hAnsi="Times New Roman" w:cs="Times New Roman"/>
                      <w:snapToGrid w:val="0"/>
                      <w:color w:val="auto"/>
                      <w:spacing w:val="0"/>
                      <w:kern w:val="0"/>
                      <w:sz w:val="18"/>
                      <w:szCs w:val="18"/>
                      <w:highlight w:val="none"/>
                      <w:lang w:val="en-US" w:eastAsia="zh-CN"/>
                    </w:rPr>
                    <w:t>0h/a</w:t>
                  </w:r>
                </w:p>
              </w:tc>
              <w:tc>
                <w:tcPr>
                  <w:tcW w:w="309" w:type="pct"/>
                  <w:noWrap w:val="0"/>
                  <w:vAlign w:val="center"/>
                </w:tcPr>
                <w:p w14:paraId="6F7BB5B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lang w:val="en-US"/>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2E28418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25.4</w:t>
                  </w:r>
                </w:p>
                <w:p w14:paraId="4FC21B8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25.4</w:t>
                  </w:r>
                </w:p>
                <w:p w14:paraId="288A9E7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51.0</w:t>
                  </w:r>
                </w:p>
                <w:p w14:paraId="1DAAA5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39.0</w:t>
                  </w:r>
                </w:p>
              </w:tc>
              <w:tc>
                <w:tcPr>
                  <w:tcW w:w="299" w:type="pct"/>
                  <w:noWrap w:val="0"/>
                  <w:vAlign w:val="center"/>
                </w:tcPr>
                <w:p w14:paraId="07D6D2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6561E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41" w:type="pct"/>
                  <w:noWrap w:val="0"/>
                  <w:vAlign w:val="center"/>
                </w:tcPr>
                <w:p w14:paraId="3035A14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2</w:t>
                  </w:r>
                </w:p>
              </w:tc>
              <w:tc>
                <w:tcPr>
                  <w:tcW w:w="154" w:type="pct"/>
                  <w:vMerge w:val="continue"/>
                  <w:noWrap w:val="0"/>
                  <w:vAlign w:val="center"/>
                </w:tcPr>
                <w:p w14:paraId="156C44E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529838E8">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泵2</w:t>
                  </w:r>
                </w:p>
              </w:tc>
              <w:tc>
                <w:tcPr>
                  <w:tcW w:w="318" w:type="pct"/>
                  <w:noWrap w:val="0"/>
                  <w:vAlign w:val="center"/>
                </w:tcPr>
                <w:p w14:paraId="7BEFDDC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342" w:type="pct"/>
                  <w:noWrap w:val="0"/>
                  <w:vAlign w:val="center"/>
                </w:tcPr>
                <w:p w14:paraId="36C0D1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55996B9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3F570AA5">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80</w:t>
                  </w:r>
                </w:p>
              </w:tc>
              <w:tc>
                <w:tcPr>
                  <w:tcW w:w="293" w:type="pct"/>
                  <w:noWrap w:val="0"/>
                  <w:vAlign w:val="center"/>
                </w:tcPr>
                <w:p w14:paraId="276BEC46">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93</w:t>
                  </w:r>
                </w:p>
              </w:tc>
              <w:tc>
                <w:tcPr>
                  <w:tcW w:w="212" w:type="pct"/>
                  <w:noWrap w:val="0"/>
                  <w:vAlign w:val="center"/>
                </w:tcPr>
                <w:p w14:paraId="404B234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0D43860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90</w:t>
                  </w:r>
                </w:p>
                <w:p w14:paraId="2E43614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95</w:t>
                  </w:r>
                </w:p>
                <w:p w14:paraId="214EED9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10</w:t>
                  </w:r>
                </w:p>
                <w:p w14:paraId="175F1FE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w:t>
                  </w:r>
                </w:p>
              </w:tc>
              <w:tc>
                <w:tcPr>
                  <w:tcW w:w="491" w:type="pct"/>
                  <w:shd w:val="clear" w:color="auto" w:fill="auto"/>
                  <w:noWrap w:val="0"/>
                  <w:vAlign w:val="center"/>
                </w:tcPr>
                <w:p w14:paraId="2C2369A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45.9</w:t>
                  </w:r>
                </w:p>
                <w:p w14:paraId="50A7E6D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45.4</w:t>
                  </w:r>
                </w:p>
                <w:p w14:paraId="28B5058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65.0</w:t>
                  </w:r>
                </w:p>
                <w:p w14:paraId="5879C16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59.0</w:t>
                  </w:r>
                </w:p>
              </w:tc>
              <w:tc>
                <w:tcPr>
                  <w:tcW w:w="334" w:type="pct"/>
                  <w:vMerge w:val="continue"/>
                  <w:noWrap w:val="0"/>
                  <w:vAlign w:val="center"/>
                </w:tcPr>
                <w:p w14:paraId="305BEF3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p>
              </w:tc>
              <w:tc>
                <w:tcPr>
                  <w:tcW w:w="309" w:type="pct"/>
                  <w:noWrap w:val="0"/>
                  <w:vAlign w:val="center"/>
                </w:tcPr>
                <w:p w14:paraId="16D062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5D6E923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25.9</w:t>
                  </w:r>
                </w:p>
                <w:p w14:paraId="357770D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25.4</w:t>
                  </w:r>
                </w:p>
                <w:p w14:paraId="188B89E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45.0</w:t>
                  </w:r>
                </w:p>
                <w:p w14:paraId="06F4280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39.0</w:t>
                  </w:r>
                </w:p>
              </w:tc>
              <w:tc>
                <w:tcPr>
                  <w:tcW w:w="299" w:type="pct"/>
                  <w:noWrap w:val="0"/>
                  <w:vAlign w:val="center"/>
                </w:tcPr>
                <w:p w14:paraId="402F84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B642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33CB8D9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3</w:t>
                  </w:r>
                </w:p>
              </w:tc>
              <w:tc>
                <w:tcPr>
                  <w:tcW w:w="154" w:type="pct"/>
                  <w:vMerge w:val="continue"/>
                  <w:noWrap w:val="0"/>
                  <w:vAlign w:val="center"/>
                </w:tcPr>
                <w:p w14:paraId="358C819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7822151E">
                  <w:pPr>
                    <w:keepNext w:val="0"/>
                    <w:keepLines w:val="0"/>
                    <w:pageBreakBefore w:val="0"/>
                    <w:kinsoku/>
                    <w:wordWrap/>
                    <w:overflowPunct/>
                    <w:topLinePunct w:val="0"/>
                    <w:bidi w:val="0"/>
                    <w:adjustRightInd w:val="0"/>
                    <w:snapToGrid w:val="0"/>
                    <w:spacing w:line="240" w:lineRule="auto"/>
                    <w:ind w:right="0" w:rightChars="0"/>
                    <w:jc w:val="center"/>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ascii="Times New Roman" w:hAnsi="Times New Roman" w:cs="Times New Roman"/>
                      <w:bCs/>
                      <w:color w:val="auto"/>
                      <w:kern w:val="2"/>
                      <w:sz w:val="18"/>
                      <w:szCs w:val="18"/>
                      <w:highlight w:val="none"/>
                      <w:lang w:val="en-US" w:eastAsia="zh-CN" w:bidi="ar-SA"/>
                    </w:rPr>
                    <w:t>泵3</w:t>
                  </w:r>
                </w:p>
              </w:tc>
              <w:tc>
                <w:tcPr>
                  <w:tcW w:w="318" w:type="pct"/>
                  <w:noWrap w:val="0"/>
                  <w:vAlign w:val="center"/>
                </w:tcPr>
                <w:p w14:paraId="33E342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342" w:type="pct"/>
                  <w:noWrap w:val="0"/>
                  <w:vAlign w:val="center"/>
                </w:tcPr>
                <w:p w14:paraId="1909A2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2F45B53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541691A0">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83</w:t>
                  </w:r>
                </w:p>
              </w:tc>
              <w:tc>
                <w:tcPr>
                  <w:tcW w:w="293" w:type="pct"/>
                  <w:noWrap w:val="0"/>
                  <w:vAlign w:val="center"/>
                </w:tcPr>
                <w:p w14:paraId="03FD69BA">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92</w:t>
                  </w:r>
                </w:p>
              </w:tc>
              <w:tc>
                <w:tcPr>
                  <w:tcW w:w="212" w:type="pct"/>
                  <w:noWrap w:val="0"/>
                  <w:vAlign w:val="center"/>
                </w:tcPr>
                <w:p w14:paraId="79556DE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5586F63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85</w:t>
                  </w:r>
                </w:p>
                <w:p w14:paraId="5CBEF11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95</w:t>
                  </w:r>
                </w:p>
                <w:p w14:paraId="6D09262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15</w:t>
                  </w:r>
                </w:p>
                <w:p w14:paraId="2F37A78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w:t>
                  </w:r>
                </w:p>
              </w:tc>
              <w:tc>
                <w:tcPr>
                  <w:tcW w:w="491" w:type="pct"/>
                  <w:shd w:val="clear" w:color="auto" w:fill="auto"/>
                  <w:noWrap w:val="0"/>
                  <w:vAlign w:val="center"/>
                </w:tcPr>
                <w:p w14:paraId="73713D0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46.4</w:t>
                  </w:r>
                </w:p>
                <w:p w14:paraId="3295F1E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45.4</w:t>
                  </w:r>
                </w:p>
                <w:p w14:paraId="7FF99CF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61.5</w:t>
                  </w:r>
                </w:p>
                <w:p w14:paraId="197B17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59.0</w:t>
                  </w:r>
                </w:p>
              </w:tc>
              <w:tc>
                <w:tcPr>
                  <w:tcW w:w="334" w:type="pct"/>
                  <w:vMerge w:val="continue"/>
                  <w:noWrap w:val="0"/>
                  <w:vAlign w:val="center"/>
                </w:tcPr>
                <w:p w14:paraId="288EC2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096F8C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616227F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26.4</w:t>
                  </w:r>
                </w:p>
                <w:p w14:paraId="08665A7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25.4</w:t>
                  </w:r>
                </w:p>
                <w:p w14:paraId="3273788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41.5</w:t>
                  </w:r>
                </w:p>
                <w:p w14:paraId="643531A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39.0</w:t>
                  </w:r>
                </w:p>
              </w:tc>
              <w:tc>
                <w:tcPr>
                  <w:tcW w:w="299" w:type="pct"/>
                  <w:noWrap w:val="0"/>
                  <w:vAlign w:val="center"/>
                </w:tcPr>
                <w:p w14:paraId="3FD7BE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F164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5B71A5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4</w:t>
                  </w:r>
                </w:p>
              </w:tc>
              <w:tc>
                <w:tcPr>
                  <w:tcW w:w="154" w:type="pct"/>
                  <w:vMerge w:val="continue"/>
                  <w:noWrap w:val="0"/>
                  <w:vAlign w:val="center"/>
                </w:tcPr>
                <w:p w14:paraId="0176C05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6F9C9556">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泵4</w:t>
                  </w:r>
                </w:p>
              </w:tc>
              <w:tc>
                <w:tcPr>
                  <w:tcW w:w="318" w:type="pct"/>
                  <w:noWrap w:val="0"/>
                  <w:vAlign w:val="center"/>
                </w:tcPr>
                <w:p w14:paraId="0241D54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342" w:type="pct"/>
                  <w:noWrap w:val="0"/>
                  <w:vAlign w:val="center"/>
                </w:tcPr>
                <w:p w14:paraId="1BC471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0F00DC5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6F32846C">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88</w:t>
                  </w:r>
                </w:p>
              </w:tc>
              <w:tc>
                <w:tcPr>
                  <w:tcW w:w="293" w:type="pct"/>
                  <w:noWrap w:val="0"/>
                  <w:vAlign w:val="center"/>
                </w:tcPr>
                <w:p w14:paraId="04D863DD">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90</w:t>
                  </w:r>
                </w:p>
              </w:tc>
              <w:tc>
                <w:tcPr>
                  <w:tcW w:w="212" w:type="pct"/>
                  <w:noWrap w:val="0"/>
                  <w:vAlign w:val="center"/>
                </w:tcPr>
                <w:p w14:paraId="5FCDCD2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6CDA2B9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80</w:t>
                  </w:r>
                </w:p>
                <w:p w14:paraId="0652E8F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95</w:t>
                  </w:r>
                </w:p>
                <w:p w14:paraId="63C6B04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20</w:t>
                  </w:r>
                </w:p>
                <w:p w14:paraId="1E660C8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w:t>
                  </w:r>
                </w:p>
              </w:tc>
              <w:tc>
                <w:tcPr>
                  <w:tcW w:w="491" w:type="pct"/>
                  <w:shd w:val="clear" w:color="auto" w:fill="auto"/>
                  <w:noWrap w:val="0"/>
                  <w:vAlign w:val="center"/>
                </w:tcPr>
                <w:p w14:paraId="6A70359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46.9</w:t>
                  </w:r>
                </w:p>
                <w:p w14:paraId="29422ED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45.4</w:t>
                  </w:r>
                </w:p>
                <w:p w14:paraId="2CE3958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59.0</w:t>
                  </w:r>
                </w:p>
                <w:p w14:paraId="35489B0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59.0</w:t>
                  </w:r>
                </w:p>
              </w:tc>
              <w:tc>
                <w:tcPr>
                  <w:tcW w:w="334" w:type="pct"/>
                  <w:vMerge w:val="continue"/>
                  <w:noWrap w:val="0"/>
                  <w:vAlign w:val="center"/>
                </w:tcPr>
                <w:p w14:paraId="0D9EF46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2CB84E7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35E778A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26.9</w:t>
                  </w:r>
                </w:p>
                <w:p w14:paraId="331C4C2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25.4</w:t>
                  </w:r>
                </w:p>
                <w:p w14:paraId="7DC86EE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39.0</w:t>
                  </w:r>
                </w:p>
                <w:p w14:paraId="151AFE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39.0</w:t>
                  </w:r>
                </w:p>
              </w:tc>
              <w:tc>
                <w:tcPr>
                  <w:tcW w:w="299" w:type="pct"/>
                  <w:noWrap w:val="0"/>
                  <w:vAlign w:val="center"/>
                </w:tcPr>
                <w:p w14:paraId="2BCCB9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23897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6652FB9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5</w:t>
                  </w:r>
                </w:p>
              </w:tc>
              <w:tc>
                <w:tcPr>
                  <w:tcW w:w="154" w:type="pct"/>
                  <w:vMerge w:val="continue"/>
                  <w:noWrap w:val="0"/>
                  <w:vAlign w:val="center"/>
                </w:tcPr>
                <w:p w14:paraId="4064A3C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47C04022">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泵5</w:t>
                  </w:r>
                </w:p>
              </w:tc>
              <w:tc>
                <w:tcPr>
                  <w:tcW w:w="318" w:type="pct"/>
                  <w:noWrap w:val="0"/>
                  <w:vAlign w:val="center"/>
                </w:tcPr>
                <w:p w14:paraId="25941B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342" w:type="pct"/>
                  <w:noWrap w:val="0"/>
                  <w:vAlign w:val="center"/>
                </w:tcPr>
                <w:p w14:paraId="75C96F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0FAF161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35875762">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74</w:t>
                  </w:r>
                </w:p>
              </w:tc>
              <w:tc>
                <w:tcPr>
                  <w:tcW w:w="293" w:type="pct"/>
                  <w:noWrap w:val="0"/>
                  <w:vAlign w:val="center"/>
                </w:tcPr>
                <w:p w14:paraId="45164DD4">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88</w:t>
                  </w:r>
                </w:p>
              </w:tc>
              <w:tc>
                <w:tcPr>
                  <w:tcW w:w="212" w:type="pct"/>
                  <w:noWrap w:val="0"/>
                  <w:vAlign w:val="center"/>
                </w:tcPr>
                <w:p w14:paraId="318D3AA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0CDAC02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95</w:t>
                  </w:r>
                </w:p>
                <w:p w14:paraId="5D8F055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90</w:t>
                  </w:r>
                </w:p>
                <w:p w14:paraId="53B2C85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w:t>
                  </w:r>
                </w:p>
                <w:p w14:paraId="2EB0F3C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w:t>
                  </w:r>
                </w:p>
              </w:tc>
              <w:tc>
                <w:tcPr>
                  <w:tcW w:w="491" w:type="pct"/>
                  <w:shd w:val="clear" w:color="auto" w:fill="auto"/>
                  <w:noWrap w:val="0"/>
                  <w:vAlign w:val="center"/>
                </w:tcPr>
                <w:p w14:paraId="1E10CA3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45.4</w:t>
                  </w:r>
                </w:p>
                <w:p w14:paraId="49AE50D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45.9</w:t>
                  </w:r>
                </w:p>
                <w:p w14:paraId="26364FD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71.0</w:t>
                  </w:r>
                </w:p>
                <w:p w14:paraId="57D19F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57.0</w:t>
                  </w:r>
                </w:p>
              </w:tc>
              <w:tc>
                <w:tcPr>
                  <w:tcW w:w="334" w:type="pct"/>
                  <w:vMerge w:val="continue"/>
                  <w:noWrap w:val="0"/>
                  <w:vAlign w:val="center"/>
                </w:tcPr>
                <w:p w14:paraId="76CD9AF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5F3575B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510B477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25.4</w:t>
                  </w:r>
                </w:p>
                <w:p w14:paraId="0AEDECC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25.9</w:t>
                  </w:r>
                </w:p>
                <w:p w14:paraId="6871D08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51.0</w:t>
                  </w:r>
                </w:p>
                <w:p w14:paraId="35B9FDE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37.0</w:t>
                  </w:r>
                </w:p>
              </w:tc>
              <w:tc>
                <w:tcPr>
                  <w:tcW w:w="299" w:type="pct"/>
                  <w:noWrap w:val="0"/>
                  <w:vAlign w:val="center"/>
                </w:tcPr>
                <w:p w14:paraId="682DCD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60F8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03362C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6</w:t>
                  </w:r>
                </w:p>
              </w:tc>
              <w:tc>
                <w:tcPr>
                  <w:tcW w:w="154" w:type="pct"/>
                  <w:vMerge w:val="continue"/>
                  <w:noWrap w:val="0"/>
                  <w:vAlign w:val="center"/>
                </w:tcPr>
                <w:p w14:paraId="6CF453A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6941B4AB">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泵6</w:t>
                  </w:r>
                </w:p>
              </w:tc>
              <w:tc>
                <w:tcPr>
                  <w:tcW w:w="318" w:type="pct"/>
                  <w:noWrap w:val="0"/>
                  <w:vAlign w:val="center"/>
                </w:tcPr>
                <w:p w14:paraId="79A1C6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342" w:type="pct"/>
                  <w:noWrap w:val="0"/>
                  <w:vAlign w:val="center"/>
                </w:tcPr>
                <w:p w14:paraId="0FBB9D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6E7D898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10E55257">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78</w:t>
                  </w:r>
                </w:p>
              </w:tc>
              <w:tc>
                <w:tcPr>
                  <w:tcW w:w="293" w:type="pct"/>
                  <w:noWrap w:val="0"/>
                  <w:vAlign w:val="center"/>
                </w:tcPr>
                <w:p w14:paraId="57B0F8D9">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86</w:t>
                  </w:r>
                </w:p>
              </w:tc>
              <w:tc>
                <w:tcPr>
                  <w:tcW w:w="212" w:type="pct"/>
                  <w:noWrap w:val="0"/>
                  <w:vAlign w:val="center"/>
                </w:tcPr>
                <w:p w14:paraId="76D2232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72B31E5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90</w:t>
                  </w:r>
                </w:p>
                <w:p w14:paraId="76A758B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90</w:t>
                  </w:r>
                </w:p>
                <w:p w14:paraId="3A1AC5B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10</w:t>
                  </w:r>
                </w:p>
                <w:p w14:paraId="4BBAD1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w:t>
                  </w:r>
                </w:p>
              </w:tc>
              <w:tc>
                <w:tcPr>
                  <w:tcW w:w="491" w:type="pct"/>
                  <w:shd w:val="clear" w:color="auto" w:fill="auto"/>
                  <w:noWrap w:val="0"/>
                  <w:vAlign w:val="center"/>
                </w:tcPr>
                <w:p w14:paraId="7BF99AD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45.9</w:t>
                  </w:r>
                </w:p>
                <w:p w14:paraId="1860730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45.9</w:t>
                  </w:r>
                </w:p>
                <w:p w14:paraId="57EF9BF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65.0</w:t>
                  </w:r>
                </w:p>
                <w:p w14:paraId="75FD3B0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57.0</w:t>
                  </w:r>
                </w:p>
              </w:tc>
              <w:tc>
                <w:tcPr>
                  <w:tcW w:w="334" w:type="pct"/>
                  <w:vMerge w:val="continue"/>
                  <w:noWrap w:val="0"/>
                  <w:vAlign w:val="center"/>
                </w:tcPr>
                <w:p w14:paraId="105F342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10E310A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3478353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25.9</w:t>
                  </w:r>
                </w:p>
                <w:p w14:paraId="0999F4C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25.9</w:t>
                  </w:r>
                </w:p>
                <w:p w14:paraId="1B5A95E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45.0</w:t>
                  </w:r>
                </w:p>
                <w:p w14:paraId="2472459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37.0</w:t>
                  </w:r>
                </w:p>
              </w:tc>
              <w:tc>
                <w:tcPr>
                  <w:tcW w:w="299" w:type="pct"/>
                  <w:noWrap w:val="0"/>
                  <w:vAlign w:val="center"/>
                </w:tcPr>
                <w:p w14:paraId="24F946B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95A7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6EFA90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7</w:t>
                  </w:r>
                </w:p>
              </w:tc>
              <w:tc>
                <w:tcPr>
                  <w:tcW w:w="154" w:type="pct"/>
                  <w:vMerge w:val="continue"/>
                  <w:noWrap w:val="0"/>
                  <w:vAlign w:val="center"/>
                </w:tcPr>
                <w:p w14:paraId="44FB6DE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1233EC5D">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泵7</w:t>
                  </w:r>
                </w:p>
              </w:tc>
              <w:tc>
                <w:tcPr>
                  <w:tcW w:w="318" w:type="pct"/>
                  <w:noWrap w:val="0"/>
                  <w:vAlign w:val="center"/>
                </w:tcPr>
                <w:p w14:paraId="36700C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lang w:val="en-US" w:eastAsia="zh-CN" w:bidi="ar-SA"/>
                    </w:rPr>
                  </w:pPr>
                  <w:r>
                    <w:rPr>
                      <w:rFonts w:hint="default" w:ascii="Times New Roman" w:hAnsi="Times New Roman" w:cs="Times New Roman"/>
                      <w:bCs/>
                      <w:color w:val="auto"/>
                      <w:sz w:val="18"/>
                      <w:szCs w:val="18"/>
                      <w:highlight w:val="none"/>
                    </w:rPr>
                    <w:t>/</w:t>
                  </w:r>
                </w:p>
              </w:tc>
              <w:tc>
                <w:tcPr>
                  <w:tcW w:w="342" w:type="pct"/>
                  <w:noWrap w:val="0"/>
                  <w:vAlign w:val="center"/>
                </w:tcPr>
                <w:p w14:paraId="56F7FC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65CA3BE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0CEC6D77">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81</w:t>
                  </w:r>
                </w:p>
              </w:tc>
              <w:tc>
                <w:tcPr>
                  <w:tcW w:w="293" w:type="pct"/>
                  <w:noWrap w:val="0"/>
                  <w:vAlign w:val="center"/>
                </w:tcPr>
                <w:p w14:paraId="25216A98">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85</w:t>
                  </w:r>
                </w:p>
              </w:tc>
              <w:tc>
                <w:tcPr>
                  <w:tcW w:w="212" w:type="pct"/>
                  <w:noWrap w:val="0"/>
                  <w:vAlign w:val="center"/>
                </w:tcPr>
                <w:p w14:paraId="6114395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7F51A99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85</w:t>
                  </w:r>
                </w:p>
                <w:p w14:paraId="6A3A163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90</w:t>
                  </w:r>
                </w:p>
                <w:p w14:paraId="1F70234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15</w:t>
                  </w:r>
                </w:p>
                <w:p w14:paraId="17E447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w:t>
                  </w:r>
                </w:p>
              </w:tc>
              <w:tc>
                <w:tcPr>
                  <w:tcW w:w="491" w:type="pct"/>
                  <w:shd w:val="clear" w:color="auto" w:fill="auto"/>
                  <w:noWrap w:val="0"/>
                  <w:vAlign w:val="center"/>
                </w:tcPr>
                <w:p w14:paraId="4BAEFD6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46.4</w:t>
                  </w:r>
                </w:p>
                <w:p w14:paraId="4FD3090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45.9</w:t>
                  </w:r>
                </w:p>
                <w:p w14:paraId="752E482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61.5</w:t>
                  </w:r>
                </w:p>
                <w:p w14:paraId="5B1A5C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57.0</w:t>
                  </w:r>
                </w:p>
              </w:tc>
              <w:tc>
                <w:tcPr>
                  <w:tcW w:w="334" w:type="pct"/>
                  <w:vMerge w:val="continue"/>
                  <w:noWrap w:val="0"/>
                  <w:vAlign w:val="center"/>
                </w:tcPr>
                <w:p w14:paraId="0648610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6C813D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5C44A47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26.4</w:t>
                  </w:r>
                </w:p>
                <w:p w14:paraId="1F15824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25.9</w:t>
                  </w:r>
                </w:p>
                <w:p w14:paraId="0824498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41.5</w:t>
                  </w:r>
                </w:p>
                <w:p w14:paraId="517D1F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37.0</w:t>
                  </w:r>
                </w:p>
              </w:tc>
              <w:tc>
                <w:tcPr>
                  <w:tcW w:w="299" w:type="pct"/>
                  <w:noWrap w:val="0"/>
                  <w:vAlign w:val="center"/>
                </w:tcPr>
                <w:p w14:paraId="50A024F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CAEE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575882E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8</w:t>
                  </w:r>
                </w:p>
              </w:tc>
              <w:tc>
                <w:tcPr>
                  <w:tcW w:w="154" w:type="pct"/>
                  <w:vMerge w:val="continue"/>
                  <w:noWrap w:val="0"/>
                  <w:vAlign w:val="center"/>
                </w:tcPr>
                <w:p w14:paraId="28B9005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noWrap w:val="0"/>
                  <w:vAlign w:val="center"/>
                </w:tcPr>
                <w:p w14:paraId="56D83DB9">
                  <w:pPr>
                    <w:keepNext w:val="0"/>
                    <w:keepLines w:val="0"/>
                    <w:pageBreakBefore w:val="0"/>
                    <w:kinsoku/>
                    <w:wordWrap/>
                    <w:overflowPunct/>
                    <w:topLinePunct w:val="0"/>
                    <w:bidi w:val="0"/>
                    <w:adjustRightInd w:val="0"/>
                    <w:snapToGrid w:val="0"/>
                    <w:spacing w:line="240" w:lineRule="auto"/>
                    <w:ind w:right="0" w:rightChars="0"/>
                    <w:jc w:val="center"/>
                    <w:rPr>
                      <w:rFonts w:hint="default" w:ascii="Times New Roman" w:hAnsi="Times New Roman" w:cs="Times New Roman"/>
                      <w:bCs/>
                      <w:color w:val="auto"/>
                      <w:sz w:val="18"/>
                      <w:szCs w:val="18"/>
                      <w:highlight w:val="none"/>
                      <w:lang w:val="en-US" w:eastAsia="zh-CN"/>
                    </w:rPr>
                  </w:pPr>
                  <w:r>
                    <w:rPr>
                      <w:rFonts w:hint="eastAsia" w:ascii="Times New Roman" w:hAnsi="Times New Roman" w:cs="Times New Roman"/>
                      <w:bCs/>
                      <w:color w:val="auto"/>
                      <w:kern w:val="2"/>
                      <w:sz w:val="18"/>
                      <w:szCs w:val="18"/>
                      <w:highlight w:val="none"/>
                      <w:lang w:val="en-US" w:eastAsia="zh-CN" w:bidi="ar-SA"/>
                    </w:rPr>
                    <w:t>泵8</w:t>
                  </w:r>
                </w:p>
              </w:tc>
              <w:tc>
                <w:tcPr>
                  <w:tcW w:w="318" w:type="pct"/>
                  <w:noWrap w:val="0"/>
                  <w:vAlign w:val="center"/>
                </w:tcPr>
                <w:p w14:paraId="6CF729C5">
                  <w:pPr>
                    <w:adjustRightInd w:val="0"/>
                    <w:snapToGrid w:val="0"/>
                    <w:jc w:val="center"/>
                    <w:rPr>
                      <w:rFonts w:hint="default" w:ascii="Times New Roman" w:hAnsi="Times New Roman" w:cs="Times New Roman"/>
                      <w:bCs/>
                      <w:color w:val="auto"/>
                      <w:sz w:val="18"/>
                      <w:szCs w:val="18"/>
                      <w:highlight w:val="none"/>
                      <w:lang w:val="en-US" w:eastAsia="zh-CN"/>
                    </w:rPr>
                  </w:pPr>
                  <w:r>
                    <w:rPr>
                      <w:rFonts w:hint="default" w:ascii="Times New Roman" w:hAnsi="Times New Roman" w:cs="Times New Roman"/>
                      <w:bCs/>
                      <w:color w:val="auto"/>
                      <w:sz w:val="18"/>
                      <w:szCs w:val="18"/>
                      <w:highlight w:val="none"/>
                    </w:rPr>
                    <w:t>/</w:t>
                  </w:r>
                </w:p>
              </w:tc>
              <w:tc>
                <w:tcPr>
                  <w:tcW w:w="342" w:type="pct"/>
                  <w:noWrap w:val="0"/>
                  <w:vAlign w:val="center"/>
                </w:tcPr>
                <w:p w14:paraId="5272C7B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3770BF9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053B60D5">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85</w:t>
                  </w:r>
                </w:p>
              </w:tc>
              <w:tc>
                <w:tcPr>
                  <w:tcW w:w="293" w:type="pct"/>
                  <w:noWrap w:val="0"/>
                  <w:vAlign w:val="center"/>
                </w:tcPr>
                <w:p w14:paraId="5ACFC30A">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83</w:t>
                  </w:r>
                </w:p>
              </w:tc>
              <w:tc>
                <w:tcPr>
                  <w:tcW w:w="212" w:type="pct"/>
                  <w:noWrap w:val="0"/>
                  <w:vAlign w:val="center"/>
                </w:tcPr>
                <w:p w14:paraId="4C79EBB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20D8893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80</w:t>
                  </w:r>
                </w:p>
                <w:p w14:paraId="338F2F1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90</w:t>
                  </w:r>
                </w:p>
                <w:p w14:paraId="303B066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20</w:t>
                  </w:r>
                </w:p>
                <w:p w14:paraId="76CEBC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25</w:t>
                  </w:r>
                </w:p>
              </w:tc>
              <w:tc>
                <w:tcPr>
                  <w:tcW w:w="491" w:type="pct"/>
                  <w:shd w:val="clear" w:color="auto" w:fill="auto"/>
                  <w:noWrap w:val="0"/>
                  <w:vAlign w:val="center"/>
                </w:tcPr>
                <w:p w14:paraId="501951C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46.9</w:t>
                  </w:r>
                </w:p>
                <w:p w14:paraId="4CF8C88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45.9</w:t>
                  </w:r>
                </w:p>
                <w:p w14:paraId="01FF116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59.0</w:t>
                  </w:r>
                </w:p>
                <w:p w14:paraId="586DB4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57.0</w:t>
                  </w:r>
                </w:p>
              </w:tc>
              <w:tc>
                <w:tcPr>
                  <w:tcW w:w="334" w:type="pct"/>
                  <w:vMerge w:val="continue"/>
                  <w:noWrap w:val="0"/>
                  <w:vAlign w:val="center"/>
                </w:tcPr>
                <w:p w14:paraId="596479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52E27B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6DF73EB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26.9</w:t>
                  </w:r>
                </w:p>
                <w:p w14:paraId="13FF280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25.9</w:t>
                  </w:r>
                </w:p>
                <w:p w14:paraId="033325A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39.0</w:t>
                  </w:r>
                </w:p>
                <w:p w14:paraId="7A6EF34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37.0</w:t>
                  </w:r>
                </w:p>
              </w:tc>
              <w:tc>
                <w:tcPr>
                  <w:tcW w:w="299" w:type="pct"/>
                  <w:noWrap w:val="0"/>
                  <w:vAlign w:val="center"/>
                </w:tcPr>
                <w:p w14:paraId="5F61246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9353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4CEB86C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9</w:t>
                  </w:r>
                </w:p>
              </w:tc>
              <w:tc>
                <w:tcPr>
                  <w:tcW w:w="154" w:type="pct"/>
                  <w:vMerge w:val="continue"/>
                  <w:noWrap w:val="0"/>
                  <w:vAlign w:val="center"/>
                </w:tcPr>
                <w:p w14:paraId="3B4B704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51035DE4">
                  <w:pPr>
                    <w:adjustRightInd w:val="0"/>
                    <w:snapToGrid w:val="0"/>
                    <w:jc w:val="center"/>
                    <w:rPr>
                      <w:rFonts w:hint="default" w:ascii="Times New Roman" w:hAnsi="Times New Roman" w:cs="Times New Roman"/>
                      <w:bCs/>
                      <w:color w:val="auto"/>
                      <w:sz w:val="18"/>
                      <w:szCs w:val="18"/>
                      <w:highlight w:val="none"/>
                      <w:lang w:val="en-US" w:eastAsia="zh-CN"/>
                    </w:rPr>
                  </w:pPr>
                  <w:r>
                    <w:rPr>
                      <w:rFonts w:hint="eastAsia" w:ascii="Times New Roman" w:hAnsi="Times New Roman" w:cs="Times New Roman"/>
                      <w:bCs/>
                      <w:color w:val="auto"/>
                      <w:kern w:val="2"/>
                      <w:sz w:val="18"/>
                      <w:szCs w:val="18"/>
                      <w:highlight w:val="none"/>
                      <w:lang w:val="en-US" w:eastAsia="zh-CN" w:bidi="ar-SA"/>
                    </w:rPr>
                    <w:t>泵9</w:t>
                  </w:r>
                </w:p>
              </w:tc>
              <w:tc>
                <w:tcPr>
                  <w:tcW w:w="318" w:type="pct"/>
                  <w:noWrap w:val="0"/>
                  <w:vAlign w:val="center"/>
                </w:tcPr>
                <w:p w14:paraId="730547A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bCs/>
                      <w:color w:val="auto"/>
                      <w:sz w:val="18"/>
                      <w:szCs w:val="18"/>
                      <w:highlight w:val="none"/>
                    </w:rPr>
                    <w:t>/</w:t>
                  </w:r>
                </w:p>
              </w:tc>
              <w:tc>
                <w:tcPr>
                  <w:tcW w:w="342" w:type="pct"/>
                  <w:noWrap w:val="0"/>
                  <w:vAlign w:val="center"/>
                </w:tcPr>
                <w:p w14:paraId="049ADD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23718A3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5A9843D2">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87</w:t>
                  </w:r>
                </w:p>
              </w:tc>
              <w:tc>
                <w:tcPr>
                  <w:tcW w:w="293" w:type="pct"/>
                  <w:noWrap w:val="0"/>
                  <w:vAlign w:val="center"/>
                </w:tcPr>
                <w:p w14:paraId="15192465">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74</w:t>
                  </w:r>
                </w:p>
              </w:tc>
              <w:tc>
                <w:tcPr>
                  <w:tcW w:w="212" w:type="pct"/>
                  <w:noWrap w:val="0"/>
                  <w:vAlign w:val="center"/>
                </w:tcPr>
                <w:p w14:paraId="75A362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7F134BD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90</w:t>
                  </w:r>
                </w:p>
                <w:p w14:paraId="5006E58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87</w:t>
                  </w:r>
                </w:p>
                <w:p w14:paraId="47496AF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10</w:t>
                  </w:r>
                </w:p>
                <w:p w14:paraId="7B1BB65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28</w:t>
                  </w:r>
                </w:p>
              </w:tc>
              <w:tc>
                <w:tcPr>
                  <w:tcW w:w="491" w:type="pct"/>
                  <w:shd w:val="clear" w:color="auto" w:fill="auto"/>
                  <w:noWrap w:val="0"/>
                  <w:vAlign w:val="center"/>
                </w:tcPr>
                <w:p w14:paraId="404EB2E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45.9</w:t>
                  </w:r>
                </w:p>
                <w:p w14:paraId="5AF8956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46.2</w:t>
                  </w:r>
                </w:p>
                <w:p w14:paraId="01074B9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65.0</w:t>
                  </w:r>
                </w:p>
                <w:p w14:paraId="526576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56.1</w:t>
                  </w:r>
                </w:p>
              </w:tc>
              <w:tc>
                <w:tcPr>
                  <w:tcW w:w="334" w:type="pct"/>
                  <w:vMerge w:val="continue"/>
                  <w:noWrap w:val="0"/>
                  <w:vAlign w:val="center"/>
                </w:tcPr>
                <w:p w14:paraId="0C74AB5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5065070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782E6A8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25.9</w:t>
                  </w:r>
                </w:p>
                <w:p w14:paraId="3398CD5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26.2</w:t>
                  </w:r>
                </w:p>
                <w:p w14:paraId="10CADBC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45.0</w:t>
                  </w:r>
                </w:p>
                <w:p w14:paraId="7307FC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36.1</w:t>
                  </w:r>
                </w:p>
              </w:tc>
              <w:tc>
                <w:tcPr>
                  <w:tcW w:w="299" w:type="pct"/>
                  <w:noWrap w:val="0"/>
                  <w:vAlign w:val="center"/>
                </w:tcPr>
                <w:p w14:paraId="183BDF9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3F8EDC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27EAE0C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10</w:t>
                  </w:r>
                </w:p>
              </w:tc>
              <w:tc>
                <w:tcPr>
                  <w:tcW w:w="154" w:type="pct"/>
                  <w:vMerge w:val="continue"/>
                  <w:noWrap w:val="0"/>
                  <w:vAlign w:val="center"/>
                </w:tcPr>
                <w:p w14:paraId="2F8A87A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1F9EDA8A">
                  <w:pPr>
                    <w:adjustRightInd w:val="0"/>
                    <w:snapToGrid w:val="0"/>
                    <w:jc w:val="center"/>
                    <w:rPr>
                      <w:rFonts w:hint="default" w:ascii="Times New Roman" w:hAnsi="Times New Roman" w:cs="Times New Roman"/>
                      <w:bCs/>
                      <w:color w:val="auto"/>
                      <w:sz w:val="18"/>
                      <w:szCs w:val="18"/>
                      <w:highlight w:val="none"/>
                      <w:lang w:val="en-US" w:eastAsia="zh-CN"/>
                    </w:rPr>
                  </w:pPr>
                  <w:r>
                    <w:rPr>
                      <w:rFonts w:hint="eastAsia" w:ascii="Times New Roman" w:hAnsi="Times New Roman" w:cs="Times New Roman"/>
                      <w:bCs/>
                      <w:color w:val="auto"/>
                      <w:kern w:val="2"/>
                      <w:sz w:val="18"/>
                      <w:szCs w:val="18"/>
                      <w:highlight w:val="none"/>
                      <w:lang w:val="en-US" w:eastAsia="zh-CN" w:bidi="ar-SA"/>
                    </w:rPr>
                    <w:t>泵10</w:t>
                  </w:r>
                </w:p>
              </w:tc>
              <w:tc>
                <w:tcPr>
                  <w:tcW w:w="318" w:type="pct"/>
                  <w:noWrap w:val="0"/>
                  <w:vAlign w:val="center"/>
                </w:tcPr>
                <w:p w14:paraId="27BF6D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noWrap w:val="0"/>
                  <w:vAlign w:val="center"/>
                </w:tcPr>
                <w:p w14:paraId="30560B4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12CFF70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5059AA5F">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84</w:t>
                  </w:r>
                </w:p>
              </w:tc>
              <w:tc>
                <w:tcPr>
                  <w:tcW w:w="293" w:type="pct"/>
                  <w:noWrap w:val="0"/>
                  <w:vAlign w:val="center"/>
                </w:tcPr>
                <w:p w14:paraId="23CCD196">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67</w:t>
                  </w:r>
                </w:p>
              </w:tc>
              <w:tc>
                <w:tcPr>
                  <w:tcW w:w="212" w:type="pct"/>
                  <w:noWrap w:val="0"/>
                  <w:vAlign w:val="center"/>
                </w:tcPr>
                <w:p w14:paraId="1F2729E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4580E5F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90</w:t>
                  </w:r>
                </w:p>
                <w:p w14:paraId="20A8299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82</w:t>
                  </w:r>
                </w:p>
                <w:p w14:paraId="488130A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10</w:t>
                  </w:r>
                </w:p>
                <w:p w14:paraId="06CBC9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33</w:t>
                  </w:r>
                </w:p>
              </w:tc>
              <w:tc>
                <w:tcPr>
                  <w:tcW w:w="491" w:type="pct"/>
                  <w:shd w:val="clear" w:color="auto" w:fill="auto"/>
                  <w:noWrap w:val="0"/>
                  <w:vAlign w:val="center"/>
                </w:tcPr>
                <w:p w14:paraId="41EECD9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45.9</w:t>
                  </w:r>
                  <w:r>
                    <w:rPr>
                      <w:rFonts w:hint="default" w:ascii="Times New Roman" w:hAnsi="Times New Roman" w:eastAsia="宋体" w:cs="Times New Roman"/>
                      <w:snapToGrid w:val="0"/>
                      <w:color w:val="auto"/>
                      <w:spacing w:val="0"/>
                      <w:kern w:val="0"/>
                      <w:sz w:val="18"/>
                      <w:szCs w:val="18"/>
                      <w:highlight w:val="none"/>
                      <w:lang w:val="en-US" w:eastAsia="zh-CN"/>
                    </w:rPr>
                    <w:t>：</w:t>
                  </w:r>
                </w:p>
                <w:p w14:paraId="4120044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46.2</w:t>
                  </w:r>
                </w:p>
                <w:p w14:paraId="6008D83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65.0</w:t>
                  </w:r>
                </w:p>
                <w:p w14:paraId="5B319EE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56.1</w:t>
                  </w:r>
                </w:p>
              </w:tc>
              <w:tc>
                <w:tcPr>
                  <w:tcW w:w="334" w:type="pct"/>
                  <w:vMerge w:val="continue"/>
                  <w:noWrap w:val="0"/>
                  <w:vAlign w:val="center"/>
                </w:tcPr>
                <w:p w14:paraId="625D965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258BAA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4B5D088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25.9</w:t>
                  </w:r>
                </w:p>
                <w:p w14:paraId="330818E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26.2</w:t>
                  </w:r>
                </w:p>
                <w:p w14:paraId="0EF440A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45.0</w:t>
                  </w:r>
                </w:p>
                <w:p w14:paraId="680774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36.1</w:t>
                  </w:r>
                </w:p>
              </w:tc>
              <w:tc>
                <w:tcPr>
                  <w:tcW w:w="299" w:type="pct"/>
                  <w:noWrap w:val="0"/>
                  <w:vAlign w:val="center"/>
                </w:tcPr>
                <w:p w14:paraId="46181E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64BCD6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4D76654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11</w:t>
                  </w:r>
                </w:p>
              </w:tc>
              <w:tc>
                <w:tcPr>
                  <w:tcW w:w="154" w:type="pct"/>
                  <w:vMerge w:val="continue"/>
                  <w:noWrap w:val="0"/>
                  <w:vAlign w:val="center"/>
                </w:tcPr>
                <w:p w14:paraId="533A7D1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1C86B60B">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泵11</w:t>
                  </w:r>
                </w:p>
              </w:tc>
              <w:tc>
                <w:tcPr>
                  <w:tcW w:w="318" w:type="pct"/>
                  <w:noWrap w:val="0"/>
                  <w:vAlign w:val="center"/>
                </w:tcPr>
                <w:p w14:paraId="42BB9D1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401F6E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2C43858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78FA98C9">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65</w:t>
                  </w:r>
                </w:p>
              </w:tc>
              <w:tc>
                <w:tcPr>
                  <w:tcW w:w="293" w:type="pct"/>
                  <w:noWrap w:val="0"/>
                  <w:vAlign w:val="center"/>
                </w:tcPr>
                <w:p w14:paraId="49D1AED1">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54</w:t>
                  </w:r>
                </w:p>
              </w:tc>
              <w:tc>
                <w:tcPr>
                  <w:tcW w:w="212" w:type="pct"/>
                  <w:shd w:val="clear" w:color="auto" w:fill="auto"/>
                  <w:noWrap w:val="0"/>
                  <w:vAlign w:val="center"/>
                </w:tcPr>
                <w:p w14:paraId="395034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0A39FDD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80</w:t>
                  </w:r>
                </w:p>
                <w:p w14:paraId="6AF269F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70</w:t>
                  </w:r>
                </w:p>
                <w:p w14:paraId="3BD18BE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20</w:t>
                  </w:r>
                </w:p>
                <w:p w14:paraId="67FFE4A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45</w:t>
                  </w:r>
                </w:p>
              </w:tc>
              <w:tc>
                <w:tcPr>
                  <w:tcW w:w="491" w:type="pct"/>
                  <w:shd w:val="clear" w:color="auto" w:fill="auto"/>
                  <w:noWrap w:val="0"/>
                  <w:vAlign w:val="center"/>
                </w:tcPr>
                <w:p w14:paraId="5A5A923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46.9</w:t>
                  </w:r>
                </w:p>
                <w:p w14:paraId="54C9D4C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48.1</w:t>
                  </w:r>
                </w:p>
                <w:p w14:paraId="11A745E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59.0</w:t>
                  </w:r>
                </w:p>
                <w:p w14:paraId="34DFF1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51.9</w:t>
                  </w:r>
                </w:p>
              </w:tc>
              <w:tc>
                <w:tcPr>
                  <w:tcW w:w="334" w:type="pct"/>
                  <w:vMerge w:val="continue"/>
                  <w:noWrap w:val="0"/>
                  <w:vAlign w:val="center"/>
                </w:tcPr>
                <w:p w14:paraId="251EAC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39D30B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5F53A40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26.9</w:t>
                  </w:r>
                </w:p>
                <w:p w14:paraId="076338E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28.1</w:t>
                  </w:r>
                </w:p>
                <w:p w14:paraId="0C5AF39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39.0</w:t>
                  </w:r>
                </w:p>
                <w:p w14:paraId="525CD89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31.9</w:t>
                  </w:r>
                </w:p>
              </w:tc>
              <w:tc>
                <w:tcPr>
                  <w:tcW w:w="299" w:type="pct"/>
                  <w:noWrap w:val="0"/>
                  <w:vAlign w:val="center"/>
                </w:tcPr>
                <w:p w14:paraId="28D0A4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37C6D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19C57D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12</w:t>
                  </w:r>
                </w:p>
              </w:tc>
              <w:tc>
                <w:tcPr>
                  <w:tcW w:w="154" w:type="pct"/>
                  <w:vMerge w:val="continue"/>
                  <w:noWrap w:val="0"/>
                  <w:vAlign w:val="center"/>
                </w:tcPr>
                <w:p w14:paraId="6E8BA56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26439541">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泵12</w:t>
                  </w:r>
                </w:p>
              </w:tc>
              <w:tc>
                <w:tcPr>
                  <w:tcW w:w="318" w:type="pct"/>
                  <w:noWrap w:val="0"/>
                  <w:vAlign w:val="center"/>
                </w:tcPr>
                <w:p w14:paraId="1005CB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730C88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17F2EA3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22DD3674">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73</w:t>
                  </w:r>
                </w:p>
              </w:tc>
              <w:tc>
                <w:tcPr>
                  <w:tcW w:w="293" w:type="pct"/>
                  <w:noWrap w:val="0"/>
                  <w:vAlign w:val="center"/>
                </w:tcPr>
                <w:p w14:paraId="00E703A0">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52</w:t>
                  </w:r>
                </w:p>
              </w:tc>
              <w:tc>
                <w:tcPr>
                  <w:tcW w:w="212" w:type="pct"/>
                  <w:shd w:val="clear" w:color="auto" w:fill="auto"/>
                  <w:noWrap w:val="0"/>
                  <w:vAlign w:val="center"/>
                </w:tcPr>
                <w:p w14:paraId="369DE02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36BDD7B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75</w:t>
                  </w:r>
                </w:p>
                <w:p w14:paraId="3BD0042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70</w:t>
                  </w:r>
                </w:p>
                <w:p w14:paraId="1B1F830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25</w:t>
                  </w:r>
                </w:p>
                <w:p w14:paraId="31B6084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45</w:t>
                  </w:r>
                </w:p>
              </w:tc>
              <w:tc>
                <w:tcPr>
                  <w:tcW w:w="491" w:type="pct"/>
                  <w:shd w:val="clear" w:color="auto" w:fill="auto"/>
                  <w:noWrap w:val="0"/>
                  <w:vAlign w:val="center"/>
                </w:tcPr>
                <w:p w14:paraId="652395E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47.5</w:t>
                  </w:r>
                </w:p>
                <w:p w14:paraId="47FB01A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48.1</w:t>
                  </w:r>
                </w:p>
                <w:p w14:paraId="54B2425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57.0</w:t>
                  </w:r>
                </w:p>
                <w:p w14:paraId="4201AD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51.9</w:t>
                  </w:r>
                </w:p>
              </w:tc>
              <w:tc>
                <w:tcPr>
                  <w:tcW w:w="334" w:type="pct"/>
                  <w:vMerge w:val="continue"/>
                  <w:noWrap w:val="0"/>
                  <w:vAlign w:val="center"/>
                </w:tcPr>
                <w:p w14:paraId="65BEE3D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4211E8B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271F344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27.5</w:t>
                  </w:r>
                </w:p>
                <w:p w14:paraId="5E87D93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28.1</w:t>
                  </w:r>
                </w:p>
                <w:p w14:paraId="3BF9DCE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37.0</w:t>
                  </w:r>
                </w:p>
                <w:p w14:paraId="64C314C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31.9</w:t>
                  </w:r>
                </w:p>
              </w:tc>
              <w:tc>
                <w:tcPr>
                  <w:tcW w:w="299" w:type="pct"/>
                  <w:noWrap w:val="0"/>
                  <w:vAlign w:val="center"/>
                </w:tcPr>
                <w:p w14:paraId="7CA98F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0CA53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610AE0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13</w:t>
                  </w:r>
                </w:p>
              </w:tc>
              <w:tc>
                <w:tcPr>
                  <w:tcW w:w="154" w:type="pct"/>
                  <w:vMerge w:val="continue"/>
                  <w:noWrap w:val="0"/>
                  <w:vAlign w:val="center"/>
                </w:tcPr>
                <w:p w14:paraId="0FCD87B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2D36B17A">
                  <w:pPr>
                    <w:keepNext w:val="0"/>
                    <w:keepLines w:val="0"/>
                    <w:pageBreakBefore w:val="0"/>
                    <w:kinsoku/>
                    <w:wordWrap/>
                    <w:overflowPunct/>
                    <w:topLinePunct w:val="0"/>
                    <w:bidi w:val="0"/>
                    <w:adjustRightInd w:val="0"/>
                    <w:snapToGrid w:val="0"/>
                    <w:spacing w:line="240" w:lineRule="auto"/>
                    <w:ind w:right="0" w:rightChars="0"/>
                    <w:jc w:val="center"/>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泵13</w:t>
                  </w:r>
                </w:p>
              </w:tc>
              <w:tc>
                <w:tcPr>
                  <w:tcW w:w="318" w:type="pct"/>
                  <w:noWrap w:val="0"/>
                  <w:vAlign w:val="center"/>
                </w:tcPr>
                <w:p w14:paraId="1B4C11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436916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3AD7E61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45EE2D22">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82</w:t>
                  </w:r>
                </w:p>
              </w:tc>
              <w:tc>
                <w:tcPr>
                  <w:tcW w:w="293" w:type="pct"/>
                  <w:noWrap w:val="0"/>
                  <w:vAlign w:val="center"/>
                </w:tcPr>
                <w:p w14:paraId="4F1D6B1E">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49</w:t>
                  </w:r>
                </w:p>
              </w:tc>
              <w:tc>
                <w:tcPr>
                  <w:tcW w:w="212" w:type="pct"/>
                  <w:shd w:val="clear" w:color="auto" w:fill="auto"/>
                  <w:noWrap w:val="0"/>
                  <w:vAlign w:val="center"/>
                </w:tcPr>
                <w:p w14:paraId="5524C9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4DA0C63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70</w:t>
                  </w:r>
                </w:p>
                <w:p w14:paraId="0CAEB88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70</w:t>
                  </w:r>
                </w:p>
                <w:p w14:paraId="4A42957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30</w:t>
                  </w:r>
                </w:p>
                <w:p w14:paraId="26CAEC9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45</w:t>
                  </w:r>
                </w:p>
              </w:tc>
              <w:tc>
                <w:tcPr>
                  <w:tcW w:w="491" w:type="pct"/>
                  <w:shd w:val="clear" w:color="auto" w:fill="auto"/>
                  <w:noWrap w:val="0"/>
                  <w:vAlign w:val="center"/>
                </w:tcPr>
                <w:p w14:paraId="15B1238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48.1</w:t>
                  </w:r>
                </w:p>
                <w:p w14:paraId="0EB93B5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48.1</w:t>
                  </w:r>
                </w:p>
                <w:p w14:paraId="65546D9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55.5</w:t>
                  </w:r>
                </w:p>
                <w:p w14:paraId="6E4C77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51.9</w:t>
                  </w:r>
                </w:p>
              </w:tc>
              <w:tc>
                <w:tcPr>
                  <w:tcW w:w="334" w:type="pct"/>
                  <w:vMerge w:val="continue"/>
                  <w:noWrap w:val="0"/>
                  <w:vAlign w:val="center"/>
                </w:tcPr>
                <w:p w14:paraId="14B670F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557FDC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0C962A5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28.1</w:t>
                  </w:r>
                </w:p>
                <w:p w14:paraId="45896CE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28.1</w:t>
                  </w:r>
                </w:p>
                <w:p w14:paraId="61BA287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35.5</w:t>
                  </w:r>
                </w:p>
                <w:p w14:paraId="76D8D3F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31.9</w:t>
                  </w:r>
                </w:p>
              </w:tc>
              <w:tc>
                <w:tcPr>
                  <w:tcW w:w="299" w:type="pct"/>
                  <w:noWrap w:val="0"/>
                  <w:vAlign w:val="center"/>
                </w:tcPr>
                <w:p w14:paraId="5B68608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D5F3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6548A37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14</w:t>
                  </w:r>
                </w:p>
              </w:tc>
              <w:tc>
                <w:tcPr>
                  <w:tcW w:w="154" w:type="pct"/>
                  <w:vMerge w:val="continue"/>
                  <w:noWrap w:val="0"/>
                  <w:vAlign w:val="center"/>
                </w:tcPr>
                <w:p w14:paraId="41A2A7F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552488F4">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泵14</w:t>
                  </w:r>
                </w:p>
              </w:tc>
              <w:tc>
                <w:tcPr>
                  <w:tcW w:w="318" w:type="pct"/>
                  <w:noWrap w:val="0"/>
                  <w:vAlign w:val="center"/>
                </w:tcPr>
                <w:p w14:paraId="060011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1ECC65C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7A89428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27E8D1A9">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89</w:t>
                  </w:r>
                </w:p>
              </w:tc>
              <w:tc>
                <w:tcPr>
                  <w:tcW w:w="293" w:type="pct"/>
                  <w:noWrap w:val="0"/>
                  <w:vAlign w:val="center"/>
                </w:tcPr>
                <w:p w14:paraId="431785B8">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47</w:t>
                  </w:r>
                </w:p>
              </w:tc>
              <w:tc>
                <w:tcPr>
                  <w:tcW w:w="212" w:type="pct"/>
                  <w:shd w:val="clear" w:color="auto" w:fill="auto"/>
                  <w:noWrap w:val="0"/>
                  <w:vAlign w:val="center"/>
                </w:tcPr>
                <w:p w14:paraId="167AB4F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1411742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65</w:t>
                  </w:r>
                </w:p>
                <w:p w14:paraId="575D9D7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70</w:t>
                  </w:r>
                </w:p>
                <w:p w14:paraId="40BC8AA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35</w:t>
                  </w:r>
                </w:p>
                <w:p w14:paraId="008A811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45</w:t>
                  </w:r>
                </w:p>
              </w:tc>
              <w:tc>
                <w:tcPr>
                  <w:tcW w:w="491" w:type="pct"/>
                  <w:shd w:val="clear" w:color="auto" w:fill="auto"/>
                  <w:noWrap w:val="0"/>
                  <w:vAlign w:val="center"/>
                </w:tcPr>
                <w:p w14:paraId="132AC27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48.7</w:t>
                  </w:r>
                </w:p>
                <w:p w14:paraId="54B5C11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48.1</w:t>
                  </w:r>
                </w:p>
                <w:p w14:paraId="4EEEAF4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54.1</w:t>
                  </w:r>
                </w:p>
                <w:p w14:paraId="4734B04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51.9</w:t>
                  </w:r>
                </w:p>
              </w:tc>
              <w:tc>
                <w:tcPr>
                  <w:tcW w:w="334" w:type="pct"/>
                  <w:vMerge w:val="continue"/>
                  <w:noWrap w:val="0"/>
                  <w:vAlign w:val="center"/>
                </w:tcPr>
                <w:p w14:paraId="690034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4F28A8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6C0DFED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28.7</w:t>
                  </w:r>
                </w:p>
                <w:p w14:paraId="5DC8ED2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28.1</w:t>
                  </w:r>
                </w:p>
                <w:p w14:paraId="40F203F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31.9</w:t>
                  </w:r>
                </w:p>
              </w:tc>
              <w:tc>
                <w:tcPr>
                  <w:tcW w:w="299" w:type="pct"/>
                  <w:noWrap w:val="0"/>
                  <w:vAlign w:val="center"/>
                </w:tcPr>
                <w:p w14:paraId="47BECC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7DE6D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44AEB5E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15</w:t>
                  </w:r>
                </w:p>
              </w:tc>
              <w:tc>
                <w:tcPr>
                  <w:tcW w:w="154" w:type="pct"/>
                  <w:vMerge w:val="continue"/>
                  <w:noWrap w:val="0"/>
                  <w:vAlign w:val="center"/>
                </w:tcPr>
                <w:p w14:paraId="2FCE32C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695FCADF">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泵15</w:t>
                  </w:r>
                </w:p>
              </w:tc>
              <w:tc>
                <w:tcPr>
                  <w:tcW w:w="318" w:type="pct"/>
                  <w:noWrap w:val="0"/>
                  <w:vAlign w:val="center"/>
                </w:tcPr>
                <w:p w14:paraId="4A576D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17F346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0825FB0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451CABAC">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98</w:t>
                  </w:r>
                </w:p>
              </w:tc>
              <w:tc>
                <w:tcPr>
                  <w:tcW w:w="293" w:type="pct"/>
                  <w:noWrap w:val="0"/>
                  <w:vAlign w:val="center"/>
                </w:tcPr>
                <w:p w14:paraId="2360124E">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44</w:t>
                  </w:r>
                </w:p>
              </w:tc>
              <w:tc>
                <w:tcPr>
                  <w:tcW w:w="212" w:type="pct"/>
                  <w:shd w:val="clear" w:color="auto" w:fill="auto"/>
                  <w:noWrap w:val="0"/>
                  <w:vAlign w:val="center"/>
                </w:tcPr>
                <w:p w14:paraId="4CA738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3A925A6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60</w:t>
                  </w:r>
                </w:p>
                <w:p w14:paraId="0D23E0E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70</w:t>
                  </w:r>
                </w:p>
                <w:p w14:paraId="6F85D06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40</w:t>
                  </w:r>
                </w:p>
                <w:p w14:paraId="5FF2FDE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45</w:t>
                  </w:r>
                </w:p>
              </w:tc>
              <w:tc>
                <w:tcPr>
                  <w:tcW w:w="491" w:type="pct"/>
                  <w:shd w:val="clear" w:color="auto" w:fill="auto"/>
                  <w:noWrap w:val="0"/>
                  <w:vAlign w:val="center"/>
                </w:tcPr>
                <w:p w14:paraId="27D5238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49.4</w:t>
                  </w:r>
                </w:p>
                <w:p w14:paraId="65BBE37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48.1</w:t>
                  </w:r>
                </w:p>
                <w:p w14:paraId="578D4F9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53.0</w:t>
                  </w:r>
                </w:p>
                <w:p w14:paraId="23BFA1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51.9</w:t>
                  </w:r>
                </w:p>
              </w:tc>
              <w:tc>
                <w:tcPr>
                  <w:tcW w:w="334" w:type="pct"/>
                  <w:vMerge w:val="continue"/>
                  <w:noWrap w:val="0"/>
                  <w:vAlign w:val="center"/>
                </w:tcPr>
                <w:p w14:paraId="6C02AD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26522EE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2D739DC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29.4</w:t>
                  </w:r>
                </w:p>
                <w:p w14:paraId="5153B86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28.1</w:t>
                  </w:r>
                </w:p>
                <w:p w14:paraId="0212248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33.0</w:t>
                  </w:r>
                </w:p>
                <w:p w14:paraId="11FAFA0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31.9</w:t>
                  </w:r>
                </w:p>
              </w:tc>
              <w:tc>
                <w:tcPr>
                  <w:tcW w:w="299" w:type="pct"/>
                  <w:noWrap w:val="0"/>
                  <w:vAlign w:val="center"/>
                </w:tcPr>
                <w:p w14:paraId="288DF6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D1A3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678CAD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16</w:t>
                  </w:r>
                </w:p>
              </w:tc>
              <w:tc>
                <w:tcPr>
                  <w:tcW w:w="154" w:type="pct"/>
                  <w:vMerge w:val="continue"/>
                  <w:noWrap w:val="0"/>
                  <w:vAlign w:val="center"/>
                </w:tcPr>
                <w:p w14:paraId="77882E0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3AC3D959">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泵16</w:t>
                  </w:r>
                </w:p>
              </w:tc>
              <w:tc>
                <w:tcPr>
                  <w:tcW w:w="318" w:type="pct"/>
                  <w:noWrap w:val="0"/>
                  <w:vAlign w:val="center"/>
                </w:tcPr>
                <w:p w14:paraId="38CB3B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56A96C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03C5278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0A37CC62">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106</w:t>
                  </w:r>
                </w:p>
              </w:tc>
              <w:tc>
                <w:tcPr>
                  <w:tcW w:w="293" w:type="pct"/>
                  <w:noWrap w:val="0"/>
                  <w:vAlign w:val="center"/>
                </w:tcPr>
                <w:p w14:paraId="3F1A2A05">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43</w:t>
                  </w:r>
                </w:p>
              </w:tc>
              <w:tc>
                <w:tcPr>
                  <w:tcW w:w="212" w:type="pct"/>
                  <w:shd w:val="clear" w:color="auto" w:fill="auto"/>
                  <w:noWrap w:val="0"/>
                  <w:vAlign w:val="center"/>
                </w:tcPr>
                <w:p w14:paraId="05F534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1F44F2D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55</w:t>
                  </w:r>
                </w:p>
                <w:p w14:paraId="2AEEE00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70</w:t>
                  </w:r>
                </w:p>
                <w:p w14:paraId="4B4EC87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w:t>
                  </w:r>
                </w:p>
                <w:p w14:paraId="4D1B7A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45</w:t>
                  </w:r>
                </w:p>
              </w:tc>
              <w:tc>
                <w:tcPr>
                  <w:tcW w:w="491" w:type="pct"/>
                  <w:shd w:val="clear" w:color="auto" w:fill="auto"/>
                  <w:noWrap w:val="0"/>
                  <w:vAlign w:val="center"/>
                </w:tcPr>
                <w:p w14:paraId="5171A4C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50.2</w:t>
                  </w:r>
                </w:p>
                <w:p w14:paraId="4E111AC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48.1</w:t>
                  </w:r>
                </w:p>
                <w:p w14:paraId="2C04963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51.9</w:t>
                  </w:r>
                </w:p>
                <w:p w14:paraId="4B324C7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51.9</w:t>
                  </w:r>
                </w:p>
              </w:tc>
              <w:tc>
                <w:tcPr>
                  <w:tcW w:w="334" w:type="pct"/>
                  <w:vMerge w:val="continue"/>
                  <w:noWrap w:val="0"/>
                  <w:vAlign w:val="center"/>
                </w:tcPr>
                <w:p w14:paraId="186CD42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2ADEA41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74538F3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30.2</w:t>
                  </w:r>
                </w:p>
                <w:p w14:paraId="50A4F69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28.1</w:t>
                  </w:r>
                </w:p>
                <w:p w14:paraId="17DBB55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31.9</w:t>
                  </w:r>
                </w:p>
                <w:p w14:paraId="3EB6AA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31.9</w:t>
                  </w:r>
                </w:p>
              </w:tc>
              <w:tc>
                <w:tcPr>
                  <w:tcW w:w="299" w:type="pct"/>
                  <w:noWrap w:val="0"/>
                  <w:vAlign w:val="center"/>
                </w:tcPr>
                <w:p w14:paraId="76BE38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719D74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7CC25E6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17</w:t>
                  </w:r>
                </w:p>
              </w:tc>
              <w:tc>
                <w:tcPr>
                  <w:tcW w:w="154" w:type="pct"/>
                  <w:vMerge w:val="continue"/>
                  <w:noWrap w:val="0"/>
                  <w:vAlign w:val="center"/>
                </w:tcPr>
                <w:p w14:paraId="575AB39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3095A5B2">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离心机1</w:t>
                  </w:r>
                </w:p>
              </w:tc>
              <w:tc>
                <w:tcPr>
                  <w:tcW w:w="318" w:type="pct"/>
                  <w:noWrap w:val="0"/>
                  <w:vAlign w:val="center"/>
                </w:tcPr>
                <w:p w14:paraId="4755460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62A684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80</w:t>
                  </w:r>
                </w:p>
              </w:tc>
              <w:tc>
                <w:tcPr>
                  <w:tcW w:w="389" w:type="pct"/>
                  <w:vMerge w:val="continue"/>
                  <w:noWrap w:val="0"/>
                  <w:vAlign w:val="center"/>
                </w:tcPr>
                <w:p w14:paraId="4345C49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57DE72FA">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60</w:t>
                  </w:r>
                </w:p>
              </w:tc>
              <w:tc>
                <w:tcPr>
                  <w:tcW w:w="293" w:type="pct"/>
                  <w:noWrap w:val="0"/>
                  <w:vAlign w:val="center"/>
                </w:tcPr>
                <w:p w14:paraId="12443F32">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46</w:t>
                  </w:r>
                </w:p>
              </w:tc>
              <w:tc>
                <w:tcPr>
                  <w:tcW w:w="212" w:type="pct"/>
                  <w:shd w:val="clear" w:color="auto" w:fill="auto"/>
                  <w:noWrap w:val="0"/>
                  <w:vAlign w:val="center"/>
                </w:tcPr>
                <w:p w14:paraId="55069D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1.5</w:t>
                  </w:r>
                </w:p>
              </w:tc>
              <w:tc>
                <w:tcPr>
                  <w:tcW w:w="499" w:type="pct"/>
                  <w:noWrap w:val="0"/>
                  <w:vAlign w:val="center"/>
                </w:tcPr>
                <w:p w14:paraId="23425B5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95</w:t>
                  </w:r>
                </w:p>
                <w:p w14:paraId="25978C7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20</w:t>
                  </w:r>
                </w:p>
                <w:p w14:paraId="64A36ED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w:t>
                  </w:r>
                </w:p>
                <w:p w14:paraId="4094886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95</w:t>
                  </w:r>
                </w:p>
              </w:tc>
              <w:tc>
                <w:tcPr>
                  <w:tcW w:w="491" w:type="pct"/>
                  <w:shd w:val="clear" w:color="auto" w:fill="auto"/>
                  <w:noWrap w:val="0"/>
                  <w:vAlign w:val="center"/>
                </w:tcPr>
                <w:p w14:paraId="4843B07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40.4</w:t>
                  </w:r>
                </w:p>
                <w:p w14:paraId="24FC2EE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54.0</w:t>
                  </w:r>
                </w:p>
                <w:p w14:paraId="5FC5945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66.0</w:t>
                  </w:r>
                </w:p>
                <w:p w14:paraId="3BE96C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40.4</w:t>
                  </w:r>
                </w:p>
              </w:tc>
              <w:tc>
                <w:tcPr>
                  <w:tcW w:w="334" w:type="pct"/>
                  <w:vMerge w:val="continue"/>
                  <w:noWrap w:val="0"/>
                  <w:vAlign w:val="center"/>
                </w:tcPr>
                <w:p w14:paraId="324230A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244008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76AD749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20.4</w:t>
                  </w:r>
                </w:p>
                <w:p w14:paraId="1E974E3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34.0</w:t>
                  </w:r>
                </w:p>
                <w:p w14:paraId="5F32DB1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46.0</w:t>
                  </w:r>
                </w:p>
                <w:p w14:paraId="41A8A0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20.4</w:t>
                  </w:r>
                </w:p>
              </w:tc>
              <w:tc>
                <w:tcPr>
                  <w:tcW w:w="299" w:type="pct"/>
                  <w:noWrap w:val="0"/>
                  <w:vAlign w:val="center"/>
                </w:tcPr>
                <w:p w14:paraId="2CD983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FD78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51D0A3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18</w:t>
                  </w:r>
                </w:p>
              </w:tc>
              <w:tc>
                <w:tcPr>
                  <w:tcW w:w="154" w:type="pct"/>
                  <w:vMerge w:val="continue"/>
                  <w:noWrap w:val="0"/>
                  <w:vAlign w:val="center"/>
                </w:tcPr>
                <w:p w14:paraId="3504DE0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4C04CE1C">
                  <w:pPr>
                    <w:keepNext w:val="0"/>
                    <w:keepLines w:val="0"/>
                    <w:pageBreakBefore w:val="0"/>
                    <w:kinsoku/>
                    <w:wordWrap/>
                    <w:overflowPunct/>
                    <w:topLinePunct w:val="0"/>
                    <w:bidi w:val="0"/>
                    <w:adjustRightInd w:val="0"/>
                    <w:snapToGrid w:val="0"/>
                    <w:spacing w:line="240" w:lineRule="auto"/>
                    <w:ind w:right="0" w:rightChars="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离心机2</w:t>
                  </w:r>
                </w:p>
              </w:tc>
              <w:tc>
                <w:tcPr>
                  <w:tcW w:w="318" w:type="pct"/>
                  <w:noWrap w:val="0"/>
                  <w:vAlign w:val="center"/>
                </w:tcPr>
                <w:p w14:paraId="37A67E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41188F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80</w:t>
                  </w:r>
                </w:p>
              </w:tc>
              <w:tc>
                <w:tcPr>
                  <w:tcW w:w="389" w:type="pct"/>
                  <w:vMerge w:val="continue"/>
                  <w:noWrap w:val="0"/>
                  <w:vAlign w:val="center"/>
                </w:tcPr>
                <w:p w14:paraId="603211F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6564944D">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64</w:t>
                  </w:r>
                </w:p>
              </w:tc>
              <w:tc>
                <w:tcPr>
                  <w:tcW w:w="293" w:type="pct"/>
                  <w:noWrap w:val="0"/>
                  <w:vAlign w:val="center"/>
                </w:tcPr>
                <w:p w14:paraId="58D75EE7">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45</w:t>
                  </w:r>
                </w:p>
              </w:tc>
              <w:tc>
                <w:tcPr>
                  <w:tcW w:w="212" w:type="pct"/>
                  <w:shd w:val="clear" w:color="auto" w:fill="auto"/>
                  <w:noWrap w:val="0"/>
                  <w:vAlign w:val="center"/>
                </w:tcPr>
                <w:p w14:paraId="173683F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1.5</w:t>
                  </w:r>
                </w:p>
              </w:tc>
              <w:tc>
                <w:tcPr>
                  <w:tcW w:w="499" w:type="pct"/>
                  <w:noWrap w:val="0"/>
                  <w:vAlign w:val="center"/>
                </w:tcPr>
                <w:p w14:paraId="195EDC2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92</w:t>
                  </w:r>
                </w:p>
                <w:p w14:paraId="28F9FFF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20</w:t>
                  </w:r>
                </w:p>
                <w:p w14:paraId="2A5999C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8</w:t>
                  </w:r>
                </w:p>
                <w:p w14:paraId="1CC31D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95</w:t>
                  </w:r>
                </w:p>
              </w:tc>
              <w:tc>
                <w:tcPr>
                  <w:tcW w:w="491" w:type="pct"/>
                  <w:shd w:val="clear" w:color="auto" w:fill="auto"/>
                  <w:noWrap w:val="0"/>
                  <w:vAlign w:val="center"/>
                </w:tcPr>
                <w:p w14:paraId="58EFE71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40.7</w:t>
                  </w:r>
                </w:p>
                <w:p w14:paraId="2149099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54.0</w:t>
                  </w:r>
                </w:p>
                <w:p w14:paraId="14DF58D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61.9</w:t>
                  </w:r>
                </w:p>
                <w:p w14:paraId="11BEC4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40.4</w:t>
                  </w:r>
                </w:p>
              </w:tc>
              <w:tc>
                <w:tcPr>
                  <w:tcW w:w="334" w:type="pct"/>
                  <w:vMerge w:val="continue"/>
                  <w:noWrap w:val="0"/>
                  <w:vAlign w:val="center"/>
                </w:tcPr>
                <w:p w14:paraId="5C0013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5ED567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3E47CC3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20.7</w:t>
                  </w:r>
                </w:p>
                <w:p w14:paraId="0BB404C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34.0</w:t>
                  </w:r>
                </w:p>
                <w:p w14:paraId="649ACA9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41.9</w:t>
                  </w:r>
                </w:p>
                <w:p w14:paraId="1757A0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20.4</w:t>
                  </w:r>
                </w:p>
              </w:tc>
              <w:tc>
                <w:tcPr>
                  <w:tcW w:w="299" w:type="pct"/>
                  <w:noWrap w:val="0"/>
                  <w:vAlign w:val="center"/>
                </w:tcPr>
                <w:p w14:paraId="4BF0719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9D6A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71783C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19</w:t>
                  </w:r>
                </w:p>
              </w:tc>
              <w:tc>
                <w:tcPr>
                  <w:tcW w:w="154" w:type="pct"/>
                  <w:vMerge w:val="continue"/>
                  <w:noWrap w:val="0"/>
                  <w:vAlign w:val="center"/>
                </w:tcPr>
                <w:p w14:paraId="0EF3248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133B3CC5">
                  <w:pPr>
                    <w:adjustRightInd w:val="0"/>
                    <w:snapToGrid w:val="0"/>
                    <w:jc w:val="center"/>
                    <w:rPr>
                      <w:rFonts w:hint="default" w:ascii="Times New Roman" w:hAnsi="Times New Roman" w:eastAsia="宋体" w:cs="Times New Roman"/>
                      <w:bCs/>
                      <w:color w:val="auto"/>
                      <w:sz w:val="18"/>
                      <w:szCs w:val="18"/>
                      <w:highlight w:val="none"/>
                      <w:lang w:val="en-US"/>
                    </w:rPr>
                  </w:pPr>
                  <w:r>
                    <w:rPr>
                      <w:rFonts w:hint="eastAsia" w:cs="Times New Roman"/>
                      <w:bCs/>
                      <w:color w:val="auto"/>
                      <w:kern w:val="2"/>
                      <w:sz w:val="18"/>
                      <w:szCs w:val="18"/>
                      <w:highlight w:val="none"/>
                      <w:lang w:val="en-US" w:eastAsia="zh-CN" w:bidi="ar-SA"/>
                    </w:rPr>
                    <w:t>离心机3</w:t>
                  </w:r>
                </w:p>
              </w:tc>
              <w:tc>
                <w:tcPr>
                  <w:tcW w:w="318" w:type="pct"/>
                  <w:noWrap w:val="0"/>
                  <w:vAlign w:val="center"/>
                </w:tcPr>
                <w:p w14:paraId="11BC12E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537987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80</w:t>
                  </w:r>
                </w:p>
              </w:tc>
              <w:tc>
                <w:tcPr>
                  <w:tcW w:w="389" w:type="pct"/>
                  <w:vMerge w:val="continue"/>
                  <w:noWrap w:val="0"/>
                  <w:vAlign w:val="center"/>
                </w:tcPr>
                <w:p w14:paraId="7ADEB57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04D7BC2A">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67</w:t>
                  </w:r>
                </w:p>
              </w:tc>
              <w:tc>
                <w:tcPr>
                  <w:tcW w:w="293" w:type="pct"/>
                  <w:noWrap w:val="0"/>
                  <w:vAlign w:val="center"/>
                </w:tcPr>
                <w:p w14:paraId="51A2D5BD">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44</w:t>
                  </w:r>
                </w:p>
              </w:tc>
              <w:tc>
                <w:tcPr>
                  <w:tcW w:w="212" w:type="pct"/>
                  <w:shd w:val="clear" w:color="auto" w:fill="auto"/>
                  <w:noWrap w:val="0"/>
                  <w:vAlign w:val="center"/>
                </w:tcPr>
                <w:p w14:paraId="16E25FB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1.5</w:t>
                  </w:r>
                </w:p>
              </w:tc>
              <w:tc>
                <w:tcPr>
                  <w:tcW w:w="499" w:type="pct"/>
                  <w:noWrap w:val="0"/>
                  <w:vAlign w:val="center"/>
                </w:tcPr>
                <w:p w14:paraId="5DC8574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89</w:t>
                  </w:r>
                </w:p>
                <w:p w14:paraId="0F73E9C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20</w:t>
                  </w:r>
                </w:p>
                <w:p w14:paraId="59DD165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11</w:t>
                  </w:r>
                </w:p>
                <w:p w14:paraId="3C602AA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95</w:t>
                  </w:r>
                </w:p>
              </w:tc>
              <w:tc>
                <w:tcPr>
                  <w:tcW w:w="491" w:type="pct"/>
                  <w:shd w:val="clear" w:color="auto" w:fill="auto"/>
                  <w:noWrap w:val="0"/>
                  <w:vAlign w:val="center"/>
                </w:tcPr>
                <w:p w14:paraId="1B46CBB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41.0</w:t>
                  </w:r>
                </w:p>
                <w:p w14:paraId="1C663AC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54.0</w:t>
                  </w:r>
                </w:p>
                <w:p w14:paraId="18D46EB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59.2</w:t>
                  </w:r>
                </w:p>
                <w:p w14:paraId="1FBE92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40.4</w:t>
                  </w:r>
                </w:p>
              </w:tc>
              <w:tc>
                <w:tcPr>
                  <w:tcW w:w="334" w:type="pct"/>
                  <w:vMerge w:val="continue"/>
                  <w:noWrap w:val="0"/>
                  <w:vAlign w:val="center"/>
                </w:tcPr>
                <w:p w14:paraId="3BA7D9E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3697165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3E2157F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21.0</w:t>
                  </w:r>
                </w:p>
                <w:p w14:paraId="68E6127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34.0</w:t>
                  </w:r>
                </w:p>
                <w:p w14:paraId="2A328F0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39.2</w:t>
                  </w:r>
                </w:p>
                <w:p w14:paraId="3B5365B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20.4</w:t>
                  </w:r>
                </w:p>
              </w:tc>
              <w:tc>
                <w:tcPr>
                  <w:tcW w:w="299" w:type="pct"/>
                  <w:noWrap w:val="0"/>
                  <w:vAlign w:val="center"/>
                </w:tcPr>
                <w:p w14:paraId="78E582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1F3517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3A3E5B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20</w:t>
                  </w:r>
                </w:p>
              </w:tc>
              <w:tc>
                <w:tcPr>
                  <w:tcW w:w="154" w:type="pct"/>
                  <w:vMerge w:val="continue"/>
                  <w:noWrap w:val="0"/>
                  <w:vAlign w:val="center"/>
                </w:tcPr>
                <w:p w14:paraId="0619A72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2504CCA7">
                  <w:pPr>
                    <w:adjustRightInd w:val="0"/>
                    <w:snapToGrid w:val="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离心机4</w:t>
                  </w:r>
                </w:p>
              </w:tc>
              <w:tc>
                <w:tcPr>
                  <w:tcW w:w="318" w:type="pct"/>
                  <w:noWrap w:val="0"/>
                  <w:vAlign w:val="center"/>
                </w:tcPr>
                <w:p w14:paraId="5FD0F5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4700C7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80</w:t>
                  </w:r>
                </w:p>
              </w:tc>
              <w:tc>
                <w:tcPr>
                  <w:tcW w:w="389" w:type="pct"/>
                  <w:vMerge w:val="continue"/>
                  <w:noWrap w:val="0"/>
                  <w:vAlign w:val="center"/>
                </w:tcPr>
                <w:p w14:paraId="2F7DD4C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62E7F199">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71</w:t>
                  </w:r>
                </w:p>
              </w:tc>
              <w:tc>
                <w:tcPr>
                  <w:tcW w:w="293" w:type="pct"/>
                  <w:noWrap w:val="0"/>
                  <w:vAlign w:val="center"/>
                </w:tcPr>
                <w:p w14:paraId="42E86F8C">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43</w:t>
                  </w:r>
                </w:p>
              </w:tc>
              <w:tc>
                <w:tcPr>
                  <w:tcW w:w="212" w:type="pct"/>
                  <w:shd w:val="clear" w:color="auto" w:fill="auto"/>
                  <w:noWrap w:val="0"/>
                  <w:vAlign w:val="center"/>
                </w:tcPr>
                <w:p w14:paraId="19F941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1.5</w:t>
                  </w:r>
                </w:p>
              </w:tc>
              <w:tc>
                <w:tcPr>
                  <w:tcW w:w="499" w:type="pct"/>
                  <w:noWrap w:val="0"/>
                  <w:vAlign w:val="center"/>
                </w:tcPr>
                <w:p w14:paraId="3037E32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86</w:t>
                  </w:r>
                </w:p>
                <w:p w14:paraId="49B460F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20</w:t>
                  </w:r>
                </w:p>
                <w:p w14:paraId="4F332AD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14</w:t>
                  </w:r>
                </w:p>
                <w:p w14:paraId="033706C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95</w:t>
                  </w:r>
                </w:p>
              </w:tc>
              <w:tc>
                <w:tcPr>
                  <w:tcW w:w="491" w:type="pct"/>
                  <w:shd w:val="clear" w:color="auto" w:fill="auto"/>
                  <w:noWrap w:val="0"/>
                  <w:vAlign w:val="center"/>
                </w:tcPr>
                <w:p w14:paraId="2E8C395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41.3</w:t>
                  </w:r>
                </w:p>
                <w:p w14:paraId="7BFFB62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54.0</w:t>
                  </w:r>
                </w:p>
                <w:p w14:paraId="2DE2A88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57.1</w:t>
                  </w:r>
                </w:p>
                <w:p w14:paraId="79F2D4A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40.4</w:t>
                  </w:r>
                </w:p>
              </w:tc>
              <w:tc>
                <w:tcPr>
                  <w:tcW w:w="334" w:type="pct"/>
                  <w:vMerge w:val="continue"/>
                  <w:noWrap w:val="0"/>
                  <w:vAlign w:val="center"/>
                </w:tcPr>
                <w:p w14:paraId="73D372E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7BB732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3A8BC39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21.3</w:t>
                  </w:r>
                </w:p>
                <w:p w14:paraId="2F5C672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34.0</w:t>
                  </w:r>
                </w:p>
                <w:p w14:paraId="6DFEA15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37.1</w:t>
                  </w:r>
                </w:p>
                <w:p w14:paraId="7A3DAA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20.4</w:t>
                  </w:r>
                </w:p>
              </w:tc>
              <w:tc>
                <w:tcPr>
                  <w:tcW w:w="299" w:type="pct"/>
                  <w:noWrap w:val="0"/>
                  <w:vAlign w:val="center"/>
                </w:tcPr>
                <w:p w14:paraId="1F995EE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7AFEE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74D3D2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21</w:t>
                  </w:r>
                </w:p>
              </w:tc>
              <w:tc>
                <w:tcPr>
                  <w:tcW w:w="154" w:type="pct"/>
                  <w:vMerge w:val="continue"/>
                  <w:noWrap w:val="0"/>
                  <w:vAlign w:val="center"/>
                </w:tcPr>
                <w:p w14:paraId="418BC58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59B2FFC3">
                  <w:pPr>
                    <w:adjustRightInd w:val="0"/>
                    <w:snapToGrid w:val="0"/>
                    <w:jc w:val="center"/>
                    <w:rPr>
                      <w:rFonts w:hint="default" w:ascii="Times New Roman" w:hAnsi="Times New Roman" w:cs="Times New Roman"/>
                      <w:bCs/>
                      <w:color w:val="auto"/>
                      <w:sz w:val="18"/>
                      <w:szCs w:val="18"/>
                      <w:highlight w:val="none"/>
                      <w:lang w:val="en-US" w:eastAsia="zh-CN"/>
                    </w:rPr>
                  </w:pPr>
                  <w:r>
                    <w:rPr>
                      <w:rFonts w:hint="eastAsia" w:cs="Times New Roman"/>
                      <w:bCs/>
                      <w:color w:val="auto"/>
                      <w:kern w:val="2"/>
                      <w:sz w:val="18"/>
                      <w:szCs w:val="18"/>
                      <w:highlight w:val="none"/>
                      <w:lang w:val="en-US" w:eastAsia="zh-CN" w:bidi="ar-SA"/>
                    </w:rPr>
                    <w:t>离心机5</w:t>
                  </w:r>
                </w:p>
              </w:tc>
              <w:tc>
                <w:tcPr>
                  <w:tcW w:w="318" w:type="pct"/>
                  <w:noWrap w:val="0"/>
                  <w:vAlign w:val="center"/>
                </w:tcPr>
                <w:p w14:paraId="47F0A13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12AD8D6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80</w:t>
                  </w:r>
                </w:p>
              </w:tc>
              <w:tc>
                <w:tcPr>
                  <w:tcW w:w="389" w:type="pct"/>
                  <w:vMerge w:val="continue"/>
                  <w:noWrap w:val="0"/>
                  <w:vAlign w:val="center"/>
                </w:tcPr>
                <w:p w14:paraId="382B24D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14E03739">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76</w:t>
                  </w:r>
                </w:p>
              </w:tc>
              <w:tc>
                <w:tcPr>
                  <w:tcW w:w="293" w:type="pct"/>
                  <w:noWrap w:val="0"/>
                  <w:vAlign w:val="center"/>
                </w:tcPr>
                <w:p w14:paraId="510E4404">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42</w:t>
                  </w:r>
                </w:p>
              </w:tc>
              <w:tc>
                <w:tcPr>
                  <w:tcW w:w="212" w:type="pct"/>
                  <w:shd w:val="clear" w:color="auto" w:fill="auto"/>
                  <w:noWrap w:val="0"/>
                  <w:vAlign w:val="center"/>
                </w:tcPr>
                <w:p w14:paraId="746841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1.5</w:t>
                  </w:r>
                </w:p>
              </w:tc>
              <w:tc>
                <w:tcPr>
                  <w:tcW w:w="499" w:type="pct"/>
                  <w:noWrap w:val="0"/>
                  <w:vAlign w:val="center"/>
                </w:tcPr>
                <w:p w14:paraId="3F49BAD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83</w:t>
                  </w:r>
                </w:p>
                <w:p w14:paraId="5D969EB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20</w:t>
                  </w:r>
                </w:p>
                <w:p w14:paraId="5FDCBD1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17</w:t>
                  </w:r>
                </w:p>
                <w:p w14:paraId="66E7C81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95</w:t>
                  </w:r>
                </w:p>
              </w:tc>
              <w:tc>
                <w:tcPr>
                  <w:tcW w:w="491" w:type="pct"/>
                  <w:shd w:val="clear" w:color="auto" w:fill="auto"/>
                  <w:noWrap w:val="0"/>
                  <w:vAlign w:val="center"/>
                </w:tcPr>
                <w:p w14:paraId="34A9103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41.6</w:t>
                  </w:r>
                </w:p>
                <w:p w14:paraId="585AF76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54.0</w:t>
                  </w:r>
                </w:p>
                <w:p w14:paraId="767C680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55.4</w:t>
                  </w:r>
                </w:p>
                <w:p w14:paraId="01E2BF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40.4</w:t>
                  </w:r>
                </w:p>
              </w:tc>
              <w:tc>
                <w:tcPr>
                  <w:tcW w:w="334" w:type="pct"/>
                  <w:vMerge w:val="continue"/>
                  <w:noWrap w:val="0"/>
                  <w:vAlign w:val="center"/>
                </w:tcPr>
                <w:p w14:paraId="51A2808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3321514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3AD55D8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21.6</w:t>
                  </w:r>
                </w:p>
                <w:p w14:paraId="163371B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34.0</w:t>
                  </w:r>
                </w:p>
                <w:p w14:paraId="4EFCCD3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35.4</w:t>
                  </w:r>
                </w:p>
                <w:p w14:paraId="2080DB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20.4</w:t>
                  </w:r>
                </w:p>
              </w:tc>
              <w:tc>
                <w:tcPr>
                  <w:tcW w:w="299" w:type="pct"/>
                  <w:noWrap w:val="0"/>
                  <w:vAlign w:val="center"/>
                </w:tcPr>
                <w:p w14:paraId="7DCB46E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4C1B1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0E8B958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22</w:t>
                  </w:r>
                </w:p>
              </w:tc>
              <w:tc>
                <w:tcPr>
                  <w:tcW w:w="154" w:type="pct"/>
                  <w:vMerge w:val="continue"/>
                  <w:noWrap w:val="0"/>
                  <w:vAlign w:val="center"/>
                </w:tcPr>
                <w:p w14:paraId="1B1DE16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59433E6E">
                  <w:pPr>
                    <w:adjustRightInd w:val="0"/>
                    <w:snapToGrid w:val="0"/>
                    <w:jc w:val="center"/>
                    <w:rPr>
                      <w:rFonts w:hint="default" w:ascii="Times New Roman" w:hAnsi="Times New Roman" w:cs="Times New Roman"/>
                      <w:bCs/>
                      <w:color w:val="auto"/>
                      <w:sz w:val="18"/>
                      <w:szCs w:val="18"/>
                      <w:highlight w:val="none"/>
                      <w:lang w:val="en-US" w:eastAsia="zh-CN"/>
                    </w:rPr>
                  </w:pPr>
                  <w:r>
                    <w:rPr>
                      <w:rFonts w:hint="eastAsia" w:cs="Times New Roman"/>
                      <w:bCs/>
                      <w:color w:val="auto"/>
                      <w:kern w:val="2"/>
                      <w:sz w:val="18"/>
                      <w:szCs w:val="18"/>
                      <w:highlight w:val="none"/>
                      <w:lang w:val="en-US" w:eastAsia="zh-CN" w:bidi="ar-SA"/>
                    </w:rPr>
                    <w:t>离心机6</w:t>
                  </w:r>
                </w:p>
              </w:tc>
              <w:tc>
                <w:tcPr>
                  <w:tcW w:w="318" w:type="pct"/>
                  <w:noWrap w:val="0"/>
                  <w:vAlign w:val="center"/>
                </w:tcPr>
                <w:p w14:paraId="70EFBF9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5A35E41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80</w:t>
                  </w:r>
                </w:p>
              </w:tc>
              <w:tc>
                <w:tcPr>
                  <w:tcW w:w="389" w:type="pct"/>
                  <w:vMerge w:val="continue"/>
                  <w:noWrap w:val="0"/>
                  <w:vAlign w:val="center"/>
                </w:tcPr>
                <w:p w14:paraId="2C468CA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393D718E">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79</w:t>
                  </w:r>
                </w:p>
              </w:tc>
              <w:tc>
                <w:tcPr>
                  <w:tcW w:w="293" w:type="pct"/>
                  <w:noWrap w:val="0"/>
                  <w:vAlign w:val="center"/>
                </w:tcPr>
                <w:p w14:paraId="7838453D">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41</w:t>
                  </w:r>
                </w:p>
              </w:tc>
              <w:tc>
                <w:tcPr>
                  <w:tcW w:w="212" w:type="pct"/>
                  <w:shd w:val="clear" w:color="auto" w:fill="auto"/>
                  <w:noWrap w:val="0"/>
                  <w:vAlign w:val="center"/>
                </w:tcPr>
                <w:p w14:paraId="62F1D68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1.5</w:t>
                  </w:r>
                </w:p>
              </w:tc>
              <w:tc>
                <w:tcPr>
                  <w:tcW w:w="499" w:type="pct"/>
                  <w:noWrap w:val="0"/>
                  <w:vAlign w:val="center"/>
                </w:tcPr>
                <w:p w14:paraId="2B5E33D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80</w:t>
                  </w:r>
                </w:p>
                <w:p w14:paraId="03D126C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20</w:t>
                  </w:r>
                </w:p>
                <w:p w14:paraId="238E5DD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20</w:t>
                  </w:r>
                </w:p>
                <w:p w14:paraId="633CB1D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95</w:t>
                  </w:r>
                </w:p>
              </w:tc>
              <w:tc>
                <w:tcPr>
                  <w:tcW w:w="491" w:type="pct"/>
                  <w:shd w:val="clear" w:color="auto" w:fill="auto"/>
                  <w:noWrap w:val="0"/>
                  <w:vAlign w:val="center"/>
                </w:tcPr>
                <w:p w14:paraId="6C10251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41.9</w:t>
                  </w:r>
                </w:p>
                <w:p w14:paraId="4768DDA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54.0</w:t>
                  </w:r>
                </w:p>
                <w:p w14:paraId="0D80198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54.0</w:t>
                  </w:r>
                </w:p>
                <w:p w14:paraId="41014C5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40.4</w:t>
                  </w:r>
                </w:p>
              </w:tc>
              <w:tc>
                <w:tcPr>
                  <w:tcW w:w="334" w:type="pct"/>
                  <w:vMerge w:val="continue"/>
                  <w:noWrap w:val="0"/>
                  <w:vAlign w:val="center"/>
                </w:tcPr>
                <w:p w14:paraId="4AA657A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3DE14A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09951E7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21.9</w:t>
                  </w:r>
                </w:p>
                <w:p w14:paraId="14750E3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34.0</w:t>
                  </w:r>
                </w:p>
                <w:p w14:paraId="1D53530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34.0</w:t>
                  </w:r>
                </w:p>
                <w:p w14:paraId="7EE2885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20.4</w:t>
                  </w:r>
                </w:p>
              </w:tc>
              <w:tc>
                <w:tcPr>
                  <w:tcW w:w="299" w:type="pct"/>
                  <w:noWrap w:val="0"/>
                  <w:vAlign w:val="center"/>
                </w:tcPr>
                <w:p w14:paraId="69CA6A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29E57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5BE1FC8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23</w:t>
                  </w:r>
                </w:p>
              </w:tc>
              <w:tc>
                <w:tcPr>
                  <w:tcW w:w="154" w:type="pct"/>
                  <w:vMerge w:val="continue"/>
                  <w:noWrap w:val="0"/>
                  <w:vAlign w:val="center"/>
                </w:tcPr>
                <w:p w14:paraId="1071697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75403591">
                  <w:pPr>
                    <w:adjustRightInd w:val="0"/>
                    <w:snapToGrid w:val="0"/>
                    <w:jc w:val="center"/>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kern w:val="2"/>
                      <w:sz w:val="18"/>
                      <w:szCs w:val="18"/>
                      <w:highlight w:val="none"/>
                      <w:lang w:val="en-US" w:eastAsia="zh-CN" w:bidi="ar-SA"/>
                    </w:rPr>
                    <w:t>离心机7</w:t>
                  </w:r>
                </w:p>
              </w:tc>
              <w:tc>
                <w:tcPr>
                  <w:tcW w:w="318" w:type="pct"/>
                  <w:noWrap w:val="0"/>
                  <w:vAlign w:val="center"/>
                </w:tcPr>
                <w:p w14:paraId="59D34A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589F8BD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80</w:t>
                  </w:r>
                </w:p>
              </w:tc>
              <w:tc>
                <w:tcPr>
                  <w:tcW w:w="389" w:type="pct"/>
                  <w:vMerge w:val="continue"/>
                  <w:noWrap w:val="0"/>
                  <w:vAlign w:val="center"/>
                </w:tcPr>
                <w:p w14:paraId="7EF2255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6611FDFC">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84</w:t>
                  </w:r>
                </w:p>
              </w:tc>
              <w:tc>
                <w:tcPr>
                  <w:tcW w:w="293" w:type="pct"/>
                  <w:noWrap w:val="0"/>
                  <w:vAlign w:val="center"/>
                </w:tcPr>
                <w:p w14:paraId="20C66720">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40</w:t>
                  </w:r>
                </w:p>
              </w:tc>
              <w:tc>
                <w:tcPr>
                  <w:tcW w:w="212" w:type="pct"/>
                  <w:shd w:val="clear" w:color="auto" w:fill="auto"/>
                  <w:noWrap w:val="0"/>
                  <w:vAlign w:val="center"/>
                </w:tcPr>
                <w:p w14:paraId="169A237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1.5</w:t>
                  </w:r>
                </w:p>
              </w:tc>
              <w:tc>
                <w:tcPr>
                  <w:tcW w:w="499" w:type="pct"/>
                  <w:noWrap w:val="0"/>
                  <w:vAlign w:val="center"/>
                </w:tcPr>
                <w:p w14:paraId="6E529BD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77</w:t>
                  </w:r>
                </w:p>
                <w:p w14:paraId="16490A4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20</w:t>
                  </w:r>
                </w:p>
                <w:p w14:paraId="547E999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23</w:t>
                  </w:r>
                </w:p>
                <w:p w14:paraId="47198E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95</w:t>
                  </w:r>
                </w:p>
              </w:tc>
              <w:tc>
                <w:tcPr>
                  <w:tcW w:w="491" w:type="pct"/>
                  <w:shd w:val="clear" w:color="auto" w:fill="auto"/>
                  <w:noWrap w:val="0"/>
                  <w:vAlign w:val="center"/>
                </w:tcPr>
                <w:p w14:paraId="31B9D02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42.3</w:t>
                  </w:r>
                </w:p>
                <w:p w14:paraId="6203BE7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54.0</w:t>
                  </w:r>
                </w:p>
                <w:p w14:paraId="0619C52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52.8</w:t>
                  </w:r>
                </w:p>
                <w:p w14:paraId="1530C49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40.4</w:t>
                  </w:r>
                </w:p>
              </w:tc>
              <w:tc>
                <w:tcPr>
                  <w:tcW w:w="334" w:type="pct"/>
                  <w:vMerge w:val="continue"/>
                  <w:noWrap w:val="0"/>
                  <w:vAlign w:val="center"/>
                </w:tcPr>
                <w:p w14:paraId="6B2C194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6FE568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0A51A55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22.3</w:t>
                  </w:r>
                </w:p>
                <w:p w14:paraId="6473118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34.0</w:t>
                  </w:r>
                </w:p>
                <w:p w14:paraId="00F2F17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32.8</w:t>
                  </w:r>
                </w:p>
                <w:p w14:paraId="6F056D6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20.4</w:t>
                  </w:r>
                </w:p>
              </w:tc>
              <w:tc>
                <w:tcPr>
                  <w:tcW w:w="299" w:type="pct"/>
                  <w:noWrap w:val="0"/>
                  <w:vAlign w:val="center"/>
                </w:tcPr>
                <w:p w14:paraId="657D2C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5E262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0B34E81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24</w:t>
                  </w:r>
                </w:p>
              </w:tc>
              <w:tc>
                <w:tcPr>
                  <w:tcW w:w="154" w:type="pct"/>
                  <w:vMerge w:val="continue"/>
                  <w:noWrap w:val="0"/>
                  <w:vAlign w:val="center"/>
                </w:tcPr>
                <w:p w14:paraId="7D4AE12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607DFFC8">
                  <w:pPr>
                    <w:adjustRightInd w:val="0"/>
                    <w:snapToGrid w:val="0"/>
                    <w:jc w:val="center"/>
                    <w:rPr>
                      <w:rFonts w:hint="default" w:ascii="Times New Roman" w:hAnsi="Times New Roman" w:cs="Times New Roman"/>
                      <w:bCs/>
                      <w:color w:val="auto"/>
                      <w:sz w:val="18"/>
                      <w:szCs w:val="18"/>
                      <w:highlight w:val="none"/>
                      <w:lang w:val="en-US" w:eastAsia="zh-CN"/>
                    </w:rPr>
                  </w:pPr>
                  <w:r>
                    <w:rPr>
                      <w:rFonts w:hint="eastAsia" w:cs="Times New Roman"/>
                      <w:bCs/>
                      <w:color w:val="auto"/>
                      <w:kern w:val="2"/>
                      <w:sz w:val="18"/>
                      <w:szCs w:val="18"/>
                      <w:highlight w:val="none"/>
                      <w:lang w:val="en-US" w:eastAsia="zh-CN" w:bidi="ar-SA"/>
                    </w:rPr>
                    <w:t>离心机8</w:t>
                  </w:r>
                </w:p>
              </w:tc>
              <w:tc>
                <w:tcPr>
                  <w:tcW w:w="318" w:type="pct"/>
                  <w:noWrap w:val="0"/>
                  <w:vAlign w:val="center"/>
                </w:tcPr>
                <w:p w14:paraId="25B1973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30F39E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80</w:t>
                  </w:r>
                </w:p>
              </w:tc>
              <w:tc>
                <w:tcPr>
                  <w:tcW w:w="389" w:type="pct"/>
                  <w:vMerge w:val="continue"/>
                  <w:noWrap w:val="0"/>
                  <w:vAlign w:val="center"/>
                </w:tcPr>
                <w:p w14:paraId="75A4E50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3A984E2D">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87</w:t>
                  </w:r>
                </w:p>
              </w:tc>
              <w:tc>
                <w:tcPr>
                  <w:tcW w:w="293" w:type="pct"/>
                  <w:noWrap w:val="0"/>
                  <w:vAlign w:val="center"/>
                </w:tcPr>
                <w:p w14:paraId="2F134392">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38</w:t>
                  </w:r>
                </w:p>
              </w:tc>
              <w:tc>
                <w:tcPr>
                  <w:tcW w:w="212" w:type="pct"/>
                  <w:shd w:val="clear" w:color="auto" w:fill="auto"/>
                  <w:noWrap w:val="0"/>
                  <w:vAlign w:val="center"/>
                </w:tcPr>
                <w:p w14:paraId="5F0203C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1.5</w:t>
                  </w:r>
                </w:p>
              </w:tc>
              <w:tc>
                <w:tcPr>
                  <w:tcW w:w="499" w:type="pct"/>
                  <w:noWrap w:val="0"/>
                  <w:vAlign w:val="center"/>
                </w:tcPr>
                <w:p w14:paraId="2485CE5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74</w:t>
                  </w:r>
                </w:p>
                <w:p w14:paraId="1A219BC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20</w:t>
                  </w:r>
                </w:p>
                <w:p w14:paraId="635889B6">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26</w:t>
                  </w:r>
                </w:p>
                <w:p w14:paraId="39F0EF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95</w:t>
                  </w:r>
                </w:p>
              </w:tc>
              <w:tc>
                <w:tcPr>
                  <w:tcW w:w="491" w:type="pct"/>
                  <w:shd w:val="clear" w:color="auto" w:fill="auto"/>
                  <w:noWrap w:val="0"/>
                  <w:vAlign w:val="center"/>
                </w:tcPr>
                <w:p w14:paraId="75F149A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42.6</w:t>
                  </w:r>
                </w:p>
                <w:p w14:paraId="7A1E8B8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54.0</w:t>
                  </w:r>
                </w:p>
                <w:p w14:paraId="34DEE14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51.7</w:t>
                  </w:r>
                </w:p>
                <w:p w14:paraId="7E4186E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40.4</w:t>
                  </w:r>
                </w:p>
              </w:tc>
              <w:tc>
                <w:tcPr>
                  <w:tcW w:w="334" w:type="pct"/>
                  <w:vMerge w:val="continue"/>
                  <w:noWrap w:val="0"/>
                  <w:vAlign w:val="center"/>
                </w:tcPr>
                <w:p w14:paraId="6194366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765C862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663D33E5">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22.6</w:t>
                  </w:r>
                </w:p>
                <w:p w14:paraId="5CC8F993">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34.0</w:t>
                  </w:r>
                </w:p>
                <w:p w14:paraId="2DF7301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31.7</w:t>
                  </w:r>
                </w:p>
                <w:p w14:paraId="3F938AF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20.4</w:t>
                  </w:r>
                </w:p>
              </w:tc>
              <w:tc>
                <w:tcPr>
                  <w:tcW w:w="299" w:type="pct"/>
                  <w:noWrap w:val="0"/>
                  <w:vAlign w:val="center"/>
                </w:tcPr>
                <w:p w14:paraId="3C5135C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0988A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352866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25</w:t>
                  </w:r>
                </w:p>
              </w:tc>
              <w:tc>
                <w:tcPr>
                  <w:tcW w:w="154" w:type="pct"/>
                  <w:vMerge w:val="continue"/>
                  <w:noWrap w:val="0"/>
                  <w:vAlign w:val="center"/>
                </w:tcPr>
                <w:p w14:paraId="354DF97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149019E1">
                  <w:pPr>
                    <w:adjustRightInd w:val="0"/>
                    <w:snapToGrid w:val="0"/>
                    <w:jc w:val="center"/>
                    <w:rPr>
                      <w:rFonts w:hint="default" w:ascii="Times New Roman" w:hAnsi="Times New Roman" w:cs="Times New Roman"/>
                      <w:bCs/>
                      <w:color w:val="auto"/>
                      <w:sz w:val="18"/>
                      <w:szCs w:val="18"/>
                      <w:highlight w:val="none"/>
                      <w:lang w:val="en-US" w:eastAsia="zh-CN"/>
                    </w:rPr>
                  </w:pPr>
                  <w:r>
                    <w:rPr>
                      <w:rFonts w:hint="eastAsia" w:cs="Times New Roman"/>
                      <w:bCs/>
                      <w:color w:val="auto"/>
                      <w:kern w:val="2"/>
                      <w:sz w:val="18"/>
                      <w:szCs w:val="18"/>
                      <w:highlight w:val="none"/>
                      <w:lang w:val="en-US" w:eastAsia="zh-CN" w:bidi="ar-SA"/>
                    </w:rPr>
                    <w:t>离心机9</w:t>
                  </w:r>
                </w:p>
              </w:tc>
              <w:tc>
                <w:tcPr>
                  <w:tcW w:w="318" w:type="pct"/>
                  <w:noWrap w:val="0"/>
                  <w:vAlign w:val="center"/>
                </w:tcPr>
                <w:p w14:paraId="47A68CB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7A5D3F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80</w:t>
                  </w:r>
                </w:p>
              </w:tc>
              <w:tc>
                <w:tcPr>
                  <w:tcW w:w="389" w:type="pct"/>
                  <w:vMerge w:val="continue"/>
                  <w:noWrap w:val="0"/>
                  <w:vAlign w:val="center"/>
                </w:tcPr>
                <w:p w14:paraId="5D20386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7260FB75">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91</w:t>
                  </w:r>
                </w:p>
              </w:tc>
              <w:tc>
                <w:tcPr>
                  <w:tcW w:w="293" w:type="pct"/>
                  <w:noWrap w:val="0"/>
                  <w:vAlign w:val="center"/>
                </w:tcPr>
                <w:p w14:paraId="4F463458">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37</w:t>
                  </w:r>
                </w:p>
              </w:tc>
              <w:tc>
                <w:tcPr>
                  <w:tcW w:w="212" w:type="pct"/>
                  <w:shd w:val="clear" w:color="auto" w:fill="auto"/>
                  <w:noWrap w:val="0"/>
                  <w:vAlign w:val="center"/>
                </w:tcPr>
                <w:p w14:paraId="331578B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1.5</w:t>
                  </w:r>
                </w:p>
              </w:tc>
              <w:tc>
                <w:tcPr>
                  <w:tcW w:w="499" w:type="pct"/>
                  <w:noWrap w:val="0"/>
                  <w:vAlign w:val="center"/>
                </w:tcPr>
                <w:p w14:paraId="14A096A8">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71</w:t>
                  </w:r>
                </w:p>
                <w:p w14:paraId="6758A20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20</w:t>
                  </w:r>
                </w:p>
                <w:p w14:paraId="327DA80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29</w:t>
                  </w:r>
                </w:p>
                <w:p w14:paraId="59808A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95</w:t>
                  </w:r>
                </w:p>
              </w:tc>
              <w:tc>
                <w:tcPr>
                  <w:tcW w:w="491" w:type="pct"/>
                  <w:shd w:val="clear" w:color="auto" w:fill="auto"/>
                  <w:noWrap w:val="0"/>
                  <w:vAlign w:val="center"/>
                </w:tcPr>
                <w:p w14:paraId="3F17B14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43.0</w:t>
                  </w:r>
                </w:p>
                <w:p w14:paraId="2C22143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54.0</w:t>
                  </w:r>
                </w:p>
                <w:p w14:paraId="71964B5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50.8</w:t>
                  </w:r>
                </w:p>
                <w:p w14:paraId="511448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40.4</w:t>
                  </w:r>
                </w:p>
              </w:tc>
              <w:tc>
                <w:tcPr>
                  <w:tcW w:w="334" w:type="pct"/>
                  <w:vMerge w:val="continue"/>
                  <w:noWrap w:val="0"/>
                  <w:vAlign w:val="center"/>
                </w:tcPr>
                <w:p w14:paraId="00924D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743A091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572E910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23.0</w:t>
                  </w:r>
                </w:p>
                <w:p w14:paraId="0D29D98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34.0</w:t>
                  </w:r>
                </w:p>
                <w:p w14:paraId="3C3E99FB">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30.8</w:t>
                  </w:r>
                </w:p>
                <w:p w14:paraId="432390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20.4</w:t>
                  </w:r>
                </w:p>
              </w:tc>
              <w:tc>
                <w:tcPr>
                  <w:tcW w:w="299" w:type="pct"/>
                  <w:noWrap w:val="0"/>
                  <w:vAlign w:val="center"/>
                </w:tcPr>
                <w:p w14:paraId="5B2E86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23F1E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1A8DA0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26</w:t>
                  </w:r>
                </w:p>
              </w:tc>
              <w:tc>
                <w:tcPr>
                  <w:tcW w:w="154" w:type="pct"/>
                  <w:vMerge w:val="continue"/>
                  <w:noWrap w:val="0"/>
                  <w:vAlign w:val="center"/>
                </w:tcPr>
                <w:p w14:paraId="66B1E2C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2B619610">
                  <w:pPr>
                    <w:adjustRightInd w:val="0"/>
                    <w:snapToGrid w:val="0"/>
                    <w:jc w:val="center"/>
                    <w:rPr>
                      <w:rFonts w:hint="default" w:ascii="Times New Roman" w:hAnsi="Times New Roman" w:cs="Times New Roman"/>
                      <w:bCs/>
                      <w:color w:val="auto"/>
                      <w:sz w:val="18"/>
                      <w:szCs w:val="18"/>
                      <w:highlight w:val="none"/>
                      <w:lang w:val="en-US" w:eastAsia="zh-CN"/>
                    </w:rPr>
                  </w:pPr>
                  <w:r>
                    <w:rPr>
                      <w:rFonts w:hint="eastAsia" w:cs="Times New Roman"/>
                      <w:bCs/>
                      <w:color w:val="auto"/>
                      <w:kern w:val="2"/>
                      <w:sz w:val="18"/>
                      <w:szCs w:val="18"/>
                      <w:highlight w:val="none"/>
                      <w:lang w:val="en-US" w:eastAsia="zh-CN" w:bidi="ar-SA"/>
                    </w:rPr>
                    <w:t>离心机10</w:t>
                  </w:r>
                </w:p>
              </w:tc>
              <w:tc>
                <w:tcPr>
                  <w:tcW w:w="318" w:type="pct"/>
                  <w:noWrap w:val="0"/>
                  <w:vAlign w:val="center"/>
                </w:tcPr>
                <w:p w14:paraId="4EDC70C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70AD07D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80</w:t>
                  </w:r>
                </w:p>
              </w:tc>
              <w:tc>
                <w:tcPr>
                  <w:tcW w:w="389" w:type="pct"/>
                  <w:vMerge w:val="continue"/>
                  <w:noWrap w:val="0"/>
                  <w:vAlign w:val="center"/>
                </w:tcPr>
                <w:p w14:paraId="4963D81C">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07D7E2C4">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95</w:t>
                  </w:r>
                </w:p>
              </w:tc>
              <w:tc>
                <w:tcPr>
                  <w:tcW w:w="293" w:type="pct"/>
                  <w:noWrap w:val="0"/>
                  <w:vAlign w:val="center"/>
                </w:tcPr>
                <w:p w14:paraId="235870F0">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36</w:t>
                  </w:r>
                </w:p>
              </w:tc>
              <w:tc>
                <w:tcPr>
                  <w:tcW w:w="212" w:type="pct"/>
                  <w:shd w:val="clear" w:color="auto" w:fill="auto"/>
                  <w:noWrap w:val="0"/>
                  <w:vAlign w:val="center"/>
                </w:tcPr>
                <w:p w14:paraId="3568A1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1.5</w:t>
                  </w:r>
                </w:p>
              </w:tc>
              <w:tc>
                <w:tcPr>
                  <w:tcW w:w="499" w:type="pct"/>
                  <w:noWrap w:val="0"/>
                  <w:vAlign w:val="center"/>
                </w:tcPr>
                <w:p w14:paraId="7D22A7C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68</w:t>
                  </w:r>
                </w:p>
                <w:p w14:paraId="1D9B371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20</w:t>
                  </w:r>
                </w:p>
                <w:p w14:paraId="6C43DEB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32</w:t>
                  </w:r>
                </w:p>
                <w:p w14:paraId="7DFFB17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95</w:t>
                  </w:r>
                </w:p>
              </w:tc>
              <w:tc>
                <w:tcPr>
                  <w:tcW w:w="491" w:type="pct"/>
                  <w:shd w:val="clear" w:color="auto" w:fill="auto"/>
                  <w:noWrap w:val="0"/>
                  <w:vAlign w:val="center"/>
                </w:tcPr>
                <w:p w14:paraId="1FBBFAF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43.3</w:t>
                  </w:r>
                </w:p>
                <w:p w14:paraId="24F0F94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54.0</w:t>
                  </w:r>
                </w:p>
                <w:p w14:paraId="70592072">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49.9</w:t>
                  </w:r>
                </w:p>
                <w:p w14:paraId="3102EE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40.4</w:t>
                  </w:r>
                </w:p>
              </w:tc>
              <w:tc>
                <w:tcPr>
                  <w:tcW w:w="334" w:type="pct"/>
                  <w:vMerge w:val="continue"/>
                  <w:noWrap w:val="0"/>
                  <w:vAlign w:val="center"/>
                </w:tcPr>
                <w:p w14:paraId="5FE4128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5EE5D9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4240403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23.3</w:t>
                  </w:r>
                </w:p>
                <w:p w14:paraId="04444D0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34.0</w:t>
                  </w:r>
                </w:p>
                <w:p w14:paraId="1348F641">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29.9</w:t>
                  </w:r>
                </w:p>
                <w:p w14:paraId="0D34A9E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20.4</w:t>
                  </w:r>
                </w:p>
              </w:tc>
              <w:tc>
                <w:tcPr>
                  <w:tcW w:w="299" w:type="pct"/>
                  <w:noWrap w:val="0"/>
                  <w:vAlign w:val="center"/>
                </w:tcPr>
                <w:p w14:paraId="5DBBAC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r w14:paraId="291F5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41" w:type="pct"/>
                  <w:noWrap w:val="0"/>
                  <w:vAlign w:val="center"/>
                </w:tcPr>
                <w:p w14:paraId="5F73DD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bidi="ar-SA"/>
                    </w:rPr>
                  </w:pPr>
                  <w:r>
                    <w:rPr>
                      <w:rFonts w:hint="eastAsia" w:cs="Times New Roman"/>
                      <w:snapToGrid w:val="0"/>
                      <w:color w:val="auto"/>
                      <w:spacing w:val="0"/>
                      <w:kern w:val="0"/>
                      <w:sz w:val="18"/>
                      <w:szCs w:val="18"/>
                      <w:highlight w:val="none"/>
                      <w:lang w:val="en-US" w:eastAsia="zh-CN" w:bidi="ar-SA"/>
                    </w:rPr>
                    <w:t>27</w:t>
                  </w:r>
                </w:p>
              </w:tc>
              <w:tc>
                <w:tcPr>
                  <w:tcW w:w="154" w:type="pct"/>
                  <w:vMerge w:val="continue"/>
                  <w:noWrap w:val="0"/>
                  <w:vAlign w:val="center"/>
                </w:tcPr>
                <w:p w14:paraId="7A0CC19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cs="Times New Roman"/>
                      <w:snapToGrid w:val="0"/>
                      <w:color w:val="auto"/>
                      <w:spacing w:val="0"/>
                      <w:kern w:val="0"/>
                      <w:sz w:val="18"/>
                      <w:szCs w:val="18"/>
                      <w:highlight w:val="none"/>
                    </w:rPr>
                  </w:pPr>
                </w:p>
              </w:tc>
              <w:tc>
                <w:tcPr>
                  <w:tcW w:w="575" w:type="pct"/>
                  <w:shd w:val="clear" w:color="auto" w:fill="auto"/>
                  <w:noWrap w:val="0"/>
                  <w:vAlign w:val="center"/>
                </w:tcPr>
                <w:p w14:paraId="0B598D2D">
                  <w:pPr>
                    <w:adjustRightInd w:val="0"/>
                    <w:snapToGrid w:val="0"/>
                    <w:jc w:val="center"/>
                    <w:rPr>
                      <w:rFonts w:hint="eastAsia" w:ascii="Times New Roman" w:hAnsi="Times New Roman" w:cs="Times New Roman"/>
                      <w:bCs/>
                      <w:color w:val="auto"/>
                      <w:sz w:val="18"/>
                      <w:szCs w:val="18"/>
                      <w:highlight w:val="none"/>
                      <w:lang w:val="en-US" w:eastAsia="zh-CN"/>
                    </w:rPr>
                  </w:pPr>
                  <w:r>
                    <w:rPr>
                      <w:rFonts w:hint="eastAsia" w:cs="Times New Roman"/>
                      <w:bCs/>
                      <w:color w:val="auto"/>
                      <w:sz w:val="18"/>
                      <w:szCs w:val="18"/>
                      <w:highlight w:val="none"/>
                      <w:lang w:val="en-US" w:eastAsia="zh-CN"/>
                    </w:rPr>
                    <w:t>风机</w:t>
                  </w:r>
                </w:p>
              </w:tc>
              <w:tc>
                <w:tcPr>
                  <w:tcW w:w="318" w:type="pct"/>
                  <w:noWrap w:val="0"/>
                  <w:vAlign w:val="center"/>
                </w:tcPr>
                <w:p w14:paraId="4A875F0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42" w:type="pct"/>
                  <w:shd w:val="clear" w:color="auto" w:fill="auto"/>
                  <w:noWrap w:val="0"/>
                  <w:vAlign w:val="center"/>
                </w:tcPr>
                <w:p w14:paraId="55C5149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bidi="ar-SA"/>
                    </w:rPr>
                    <w:t>85</w:t>
                  </w:r>
                </w:p>
              </w:tc>
              <w:tc>
                <w:tcPr>
                  <w:tcW w:w="389" w:type="pct"/>
                  <w:vMerge w:val="continue"/>
                  <w:noWrap w:val="0"/>
                  <w:vAlign w:val="center"/>
                </w:tcPr>
                <w:p w14:paraId="08084517">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center"/>
                    <w:textAlignment w:val="auto"/>
                    <w:rPr>
                      <w:rFonts w:hint="default" w:ascii="Times New Roman" w:hAnsi="Times New Roman" w:eastAsia="宋体" w:cs="Times New Roman"/>
                      <w:snapToGrid w:val="0"/>
                      <w:color w:val="auto"/>
                      <w:spacing w:val="0"/>
                      <w:kern w:val="0"/>
                      <w:sz w:val="18"/>
                      <w:szCs w:val="18"/>
                      <w:highlight w:val="none"/>
                    </w:rPr>
                  </w:pPr>
                </w:p>
              </w:tc>
              <w:tc>
                <w:tcPr>
                  <w:tcW w:w="173" w:type="pct"/>
                  <w:shd w:val="clear" w:color="auto" w:fill="auto"/>
                  <w:noWrap w:val="0"/>
                  <w:vAlign w:val="center"/>
                </w:tcPr>
                <w:p w14:paraId="4A425E5E">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138</w:t>
                  </w:r>
                </w:p>
              </w:tc>
              <w:tc>
                <w:tcPr>
                  <w:tcW w:w="293" w:type="pct"/>
                  <w:noWrap w:val="0"/>
                  <w:vAlign w:val="center"/>
                </w:tcPr>
                <w:p w14:paraId="11EA1BDD">
                  <w:pPr>
                    <w:pStyle w:val="43"/>
                    <w:adjustRightInd w:val="0"/>
                    <w:snapToGrid w:val="0"/>
                    <w:jc w:val="center"/>
                    <w:rPr>
                      <w:rFonts w:hint="default" w:ascii="Times New Roman" w:hAnsi="Times New Roman" w:cs="Times New Roman"/>
                      <w:bCs/>
                      <w:color w:val="auto"/>
                      <w:kern w:val="2"/>
                      <w:sz w:val="18"/>
                      <w:szCs w:val="18"/>
                      <w:highlight w:val="none"/>
                      <w:lang w:val="en-US" w:eastAsia="zh-CN" w:bidi="ar-SA"/>
                    </w:rPr>
                  </w:pPr>
                  <w:r>
                    <w:rPr>
                      <w:rFonts w:hint="eastAsia" w:ascii="Times New Roman" w:hAnsi="Times New Roman" w:cs="Times New Roman"/>
                      <w:bCs/>
                      <w:color w:val="auto"/>
                      <w:kern w:val="2"/>
                      <w:sz w:val="18"/>
                      <w:szCs w:val="18"/>
                      <w:highlight w:val="none"/>
                      <w:lang w:val="en-US" w:eastAsia="zh-CN" w:bidi="ar-SA"/>
                    </w:rPr>
                    <w:t>44</w:t>
                  </w:r>
                </w:p>
              </w:tc>
              <w:tc>
                <w:tcPr>
                  <w:tcW w:w="212" w:type="pct"/>
                  <w:shd w:val="clear" w:color="auto" w:fill="auto"/>
                  <w:noWrap w:val="0"/>
                  <w:vAlign w:val="center"/>
                </w:tcPr>
                <w:p w14:paraId="111E28D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snapToGrid w:val="0"/>
                      <w:color w:val="auto"/>
                      <w:spacing w:val="0"/>
                      <w:kern w:val="0"/>
                      <w:sz w:val="18"/>
                      <w:szCs w:val="18"/>
                      <w:highlight w:val="none"/>
                      <w:lang w:val="en-US" w:eastAsia="zh-CN"/>
                    </w:rPr>
                  </w:pPr>
                  <w:r>
                    <w:rPr>
                      <w:rFonts w:hint="eastAsia" w:cs="Times New Roman"/>
                      <w:snapToGrid w:val="0"/>
                      <w:color w:val="auto"/>
                      <w:spacing w:val="0"/>
                      <w:kern w:val="0"/>
                      <w:sz w:val="18"/>
                      <w:szCs w:val="18"/>
                      <w:highlight w:val="none"/>
                      <w:lang w:val="en-US" w:eastAsia="zh-CN"/>
                    </w:rPr>
                    <w:t>1</w:t>
                  </w:r>
                </w:p>
              </w:tc>
              <w:tc>
                <w:tcPr>
                  <w:tcW w:w="499" w:type="pct"/>
                  <w:noWrap w:val="0"/>
                  <w:vAlign w:val="center"/>
                </w:tcPr>
                <w:p w14:paraId="66DCC2D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4</w:t>
                  </w:r>
                </w:p>
                <w:p w14:paraId="16F3E379">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85</w:t>
                  </w:r>
                </w:p>
                <w:p w14:paraId="7D253BD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98</w:t>
                  </w:r>
                </w:p>
                <w:p w14:paraId="3CC135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30</w:t>
                  </w:r>
                </w:p>
              </w:tc>
              <w:tc>
                <w:tcPr>
                  <w:tcW w:w="491" w:type="pct"/>
                  <w:shd w:val="clear" w:color="auto" w:fill="auto"/>
                  <w:noWrap w:val="0"/>
                  <w:vAlign w:val="center"/>
                </w:tcPr>
                <w:p w14:paraId="21CAA91A">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73.0</w:t>
                  </w:r>
                </w:p>
                <w:p w14:paraId="4691D644">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46.4</w:t>
                  </w:r>
                </w:p>
                <w:p w14:paraId="2B5C4E7F">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45.2</w:t>
                  </w:r>
                </w:p>
                <w:p w14:paraId="50EA33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55.5</w:t>
                  </w:r>
                </w:p>
              </w:tc>
              <w:tc>
                <w:tcPr>
                  <w:tcW w:w="334" w:type="pct"/>
                  <w:vMerge w:val="continue"/>
                  <w:noWrap w:val="0"/>
                  <w:vAlign w:val="center"/>
                </w:tcPr>
                <w:p w14:paraId="166EFD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p>
              </w:tc>
              <w:tc>
                <w:tcPr>
                  <w:tcW w:w="309" w:type="pct"/>
                  <w:noWrap w:val="0"/>
                  <w:vAlign w:val="center"/>
                </w:tcPr>
                <w:p w14:paraId="0921213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cs="Times New Roman"/>
                      <w:snapToGrid w:val="0"/>
                      <w:color w:val="auto"/>
                      <w:spacing w:val="0"/>
                      <w:kern w:val="0"/>
                      <w:sz w:val="18"/>
                      <w:szCs w:val="18"/>
                      <w:highlight w:val="none"/>
                      <w:lang w:val="en-US" w:eastAsia="zh-CN"/>
                    </w:rPr>
                  </w:pPr>
                  <w:r>
                    <w:rPr>
                      <w:rFonts w:hint="default" w:ascii="Times New Roman" w:hAnsi="Times New Roman" w:cs="Times New Roman"/>
                      <w:snapToGrid w:val="0"/>
                      <w:color w:val="auto"/>
                      <w:spacing w:val="0"/>
                      <w:kern w:val="0"/>
                      <w:sz w:val="18"/>
                      <w:szCs w:val="18"/>
                      <w:highlight w:val="none"/>
                      <w:lang w:val="en-US" w:eastAsia="zh-CN"/>
                    </w:rPr>
                    <w:t>20</w:t>
                  </w:r>
                </w:p>
              </w:tc>
              <w:tc>
                <w:tcPr>
                  <w:tcW w:w="465" w:type="pct"/>
                  <w:shd w:val="clear" w:color="auto" w:fill="auto"/>
                  <w:noWrap w:val="0"/>
                  <w:vAlign w:val="center"/>
                </w:tcPr>
                <w:p w14:paraId="581D6F8E">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东：</w:t>
                  </w:r>
                  <w:r>
                    <w:rPr>
                      <w:rFonts w:hint="eastAsia" w:cs="Times New Roman"/>
                      <w:snapToGrid w:val="0"/>
                      <w:color w:val="auto"/>
                      <w:spacing w:val="0"/>
                      <w:kern w:val="0"/>
                      <w:sz w:val="18"/>
                      <w:szCs w:val="18"/>
                      <w:highlight w:val="none"/>
                      <w:lang w:val="en-US" w:eastAsia="zh-CN"/>
                    </w:rPr>
                    <w:t>53.0</w:t>
                  </w:r>
                </w:p>
                <w:p w14:paraId="52260C4D">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南：</w:t>
                  </w:r>
                  <w:r>
                    <w:rPr>
                      <w:rFonts w:hint="eastAsia" w:cs="Times New Roman"/>
                      <w:snapToGrid w:val="0"/>
                      <w:color w:val="auto"/>
                      <w:spacing w:val="0"/>
                      <w:kern w:val="0"/>
                      <w:sz w:val="18"/>
                      <w:szCs w:val="18"/>
                      <w:highlight w:val="none"/>
                      <w:lang w:val="en-US" w:eastAsia="zh-CN"/>
                    </w:rPr>
                    <w:t>26.4</w:t>
                  </w:r>
                </w:p>
                <w:p w14:paraId="36FE4930">
                  <w:pPr>
                    <w:keepNext w:val="0"/>
                    <w:keepLines w:val="0"/>
                    <w:pageBreakBefore w:val="0"/>
                    <w:widowControl/>
                    <w:kinsoku/>
                    <w:wordWrap/>
                    <w:overflowPunct/>
                    <w:topLinePunct w:val="0"/>
                    <w:autoSpaceDE/>
                    <w:autoSpaceDN/>
                    <w:bidi w:val="0"/>
                    <w:adjustRightInd w:val="0"/>
                    <w:snapToGrid w:val="0"/>
                    <w:spacing w:line="240" w:lineRule="auto"/>
                    <w:ind w:left="0" w:right="0" w:firstLine="0"/>
                    <w:jc w:val="both"/>
                    <w:textAlignment w:val="auto"/>
                    <w:rPr>
                      <w:rFonts w:hint="default" w:ascii="Times New Roman" w:hAnsi="Times New Roman" w:eastAsia="宋体" w:cs="Times New Roman"/>
                      <w:snapToGrid w:val="0"/>
                      <w:color w:val="auto"/>
                      <w:spacing w:val="0"/>
                      <w:kern w:val="0"/>
                      <w:sz w:val="18"/>
                      <w:szCs w:val="18"/>
                      <w:highlight w:val="none"/>
                      <w:lang w:val="en-US" w:eastAsia="zh-CN"/>
                    </w:rPr>
                  </w:pPr>
                  <w:r>
                    <w:rPr>
                      <w:rFonts w:hint="default" w:ascii="Times New Roman" w:hAnsi="Times New Roman" w:eastAsia="宋体" w:cs="Times New Roman"/>
                      <w:snapToGrid w:val="0"/>
                      <w:color w:val="auto"/>
                      <w:spacing w:val="0"/>
                      <w:kern w:val="0"/>
                      <w:sz w:val="18"/>
                      <w:szCs w:val="18"/>
                      <w:highlight w:val="none"/>
                      <w:lang w:val="en-US" w:eastAsia="zh-CN"/>
                    </w:rPr>
                    <w:t>西：</w:t>
                  </w:r>
                  <w:r>
                    <w:rPr>
                      <w:rFonts w:hint="eastAsia" w:cs="Times New Roman"/>
                      <w:snapToGrid w:val="0"/>
                      <w:color w:val="auto"/>
                      <w:spacing w:val="0"/>
                      <w:kern w:val="0"/>
                      <w:sz w:val="18"/>
                      <w:szCs w:val="18"/>
                      <w:highlight w:val="none"/>
                      <w:lang w:val="en-US" w:eastAsia="zh-CN"/>
                    </w:rPr>
                    <w:t>25.2</w:t>
                  </w:r>
                </w:p>
                <w:p w14:paraId="62BA7A8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snapToGrid w:val="0"/>
                      <w:color w:val="auto"/>
                      <w:spacing w:val="0"/>
                      <w:kern w:val="0"/>
                      <w:sz w:val="18"/>
                      <w:szCs w:val="18"/>
                      <w:highlight w:val="none"/>
                      <w:lang w:val="en-US" w:eastAsia="zh-CN" w:bidi="ar-SA"/>
                    </w:rPr>
                  </w:pPr>
                  <w:r>
                    <w:rPr>
                      <w:rFonts w:hint="default" w:ascii="Times New Roman" w:hAnsi="Times New Roman" w:eastAsia="宋体" w:cs="Times New Roman"/>
                      <w:snapToGrid w:val="0"/>
                      <w:color w:val="auto"/>
                      <w:spacing w:val="0"/>
                      <w:kern w:val="0"/>
                      <w:sz w:val="18"/>
                      <w:szCs w:val="18"/>
                      <w:highlight w:val="none"/>
                      <w:lang w:val="en-US" w:eastAsia="zh-CN"/>
                    </w:rPr>
                    <w:t>北：</w:t>
                  </w:r>
                  <w:r>
                    <w:rPr>
                      <w:rFonts w:hint="eastAsia" w:cs="Times New Roman"/>
                      <w:snapToGrid w:val="0"/>
                      <w:color w:val="auto"/>
                      <w:spacing w:val="0"/>
                      <w:kern w:val="0"/>
                      <w:sz w:val="18"/>
                      <w:szCs w:val="18"/>
                      <w:highlight w:val="none"/>
                      <w:lang w:val="en-US" w:eastAsia="zh-CN"/>
                    </w:rPr>
                    <w:t>35.5</w:t>
                  </w:r>
                </w:p>
              </w:tc>
              <w:tc>
                <w:tcPr>
                  <w:tcW w:w="299" w:type="pct"/>
                  <w:noWrap w:val="0"/>
                  <w:vAlign w:val="center"/>
                </w:tcPr>
                <w:p w14:paraId="365DC00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snapToGrid w:val="0"/>
                      <w:color w:val="auto"/>
                      <w:spacing w:val="0"/>
                      <w:kern w:val="0"/>
                      <w:sz w:val="18"/>
                      <w:szCs w:val="18"/>
                      <w:highlight w:val="none"/>
                    </w:rPr>
                  </w:pPr>
                  <w:r>
                    <w:rPr>
                      <w:rFonts w:hint="default" w:ascii="Times New Roman" w:hAnsi="Times New Roman" w:eastAsia="Times New Roman" w:cs="Times New Roman"/>
                      <w:snapToGrid w:val="0"/>
                      <w:color w:val="auto"/>
                      <w:spacing w:val="0"/>
                      <w:kern w:val="0"/>
                      <w:sz w:val="18"/>
                      <w:szCs w:val="18"/>
                      <w:highlight w:val="none"/>
                    </w:rPr>
                    <w:t>1</w:t>
                  </w:r>
                </w:p>
              </w:tc>
            </w:tr>
          </w:tbl>
          <w:p w14:paraId="1A8EE04E">
            <w:pPr>
              <w:spacing w:line="420" w:lineRule="exact"/>
              <w:ind w:firstLine="420" w:firstLineChars="200"/>
              <w:rPr>
                <w:rFonts w:hint="default" w:ascii="Times New Roman" w:hAnsi="Times New Roman" w:cs="Times New Roman"/>
                <w:b/>
                <w:bCs/>
                <w:color w:val="auto"/>
                <w:highlight w:val="none"/>
              </w:rPr>
            </w:pPr>
            <w:r>
              <w:rPr>
                <w:rFonts w:hint="default" w:ascii="Times New Roman" w:hAnsi="Times New Roman" w:eastAsia="黑体" w:cs="Times New Roman"/>
                <w:color w:val="auto"/>
                <w:highlight w:val="none"/>
              </w:rPr>
              <w:t>5、</w:t>
            </w:r>
            <w:r>
              <w:rPr>
                <w:rFonts w:hint="default" w:ascii="Times New Roman" w:hAnsi="Times New Roman" w:cs="Times New Roman"/>
                <w:b/>
                <w:bCs/>
                <w:color w:val="auto"/>
                <w:highlight w:val="none"/>
              </w:rPr>
              <w:t>达标分析</w:t>
            </w:r>
          </w:p>
          <w:p w14:paraId="67182DAA">
            <w:pPr>
              <w:spacing w:line="420" w:lineRule="exact"/>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依据《环境工作手册-环境噪声控制卷》（高等教育出版社，2000年）可知，采取隔减振等措施均可达到10~25dB</w:t>
            </w:r>
            <w:r>
              <w:rPr>
                <w:rFonts w:hint="eastAsia"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A</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的隔声（消声）量，墙壁可降低23~30dB</w:t>
            </w:r>
            <w:r>
              <w:rPr>
                <w:rFonts w:hint="eastAsia"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A</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的噪声。本项目各风机均配套隔声罩。</w:t>
            </w:r>
          </w:p>
          <w:p w14:paraId="6D44E32A">
            <w:pPr>
              <w:adjustRightInd w:val="0"/>
              <w:snapToGrid w:val="0"/>
              <w:spacing w:line="360" w:lineRule="auto"/>
              <w:ind w:firstLine="420"/>
              <w:rPr>
                <w:color w:val="auto"/>
                <w:highlight w:val="none"/>
              </w:rPr>
            </w:pPr>
            <w:r>
              <w:rPr>
                <w:color w:val="auto"/>
                <w:highlight w:val="none"/>
              </w:rPr>
              <w:t>本次评价采用《环境影响评价技术导则—声环境》（HJ2.4-2021）中）附录B中推荐模式进行预测，用A声级计算，模式如下：</w:t>
            </w:r>
          </w:p>
          <w:p w14:paraId="3F6B356E">
            <w:pPr>
              <w:adjustRightInd w:val="0"/>
              <w:snapToGrid w:val="0"/>
              <w:spacing w:line="360" w:lineRule="auto"/>
              <w:ind w:firstLine="420"/>
              <w:rPr>
                <w:color w:val="auto"/>
                <w:highlight w:val="none"/>
              </w:rPr>
            </w:pPr>
            <w:r>
              <w:rPr>
                <w:color w:val="auto"/>
                <w:highlight w:val="none"/>
              </w:rPr>
              <w:t xml:space="preserve">户外声传播衰减包括几何发散（Adiv）、大气吸收（Aatm）、地面效应（Agr）、障碍物屏蔽（Abar）、其他多方面效应（Amisc）引起的衰减。 </w:t>
            </w:r>
          </w:p>
          <w:p w14:paraId="58EA03DA">
            <w:pPr>
              <w:adjustRightInd w:val="0"/>
              <w:snapToGrid w:val="0"/>
              <w:spacing w:line="360" w:lineRule="auto"/>
              <w:ind w:firstLine="420"/>
              <w:rPr>
                <w:color w:val="auto"/>
                <w:highlight w:val="none"/>
              </w:rPr>
            </w:pPr>
            <w:r>
              <w:rPr>
                <w:color w:val="auto"/>
                <w:highlight w:val="none"/>
              </w:rPr>
              <w:t xml:space="preserve">（1）室内声源等效室外声源声功率级计算方法 </w:t>
            </w:r>
          </w:p>
          <w:p w14:paraId="2DA750D8">
            <w:pPr>
              <w:adjustRightInd w:val="0"/>
              <w:snapToGrid w:val="0"/>
              <w:spacing w:line="360" w:lineRule="auto"/>
              <w:ind w:firstLine="420"/>
              <w:rPr>
                <w:color w:val="auto"/>
                <w:highlight w:val="none"/>
              </w:rPr>
            </w:pPr>
            <w:r>
              <w:rPr>
                <w:color w:val="auto"/>
                <w:highlight w:val="none"/>
              </w:rPr>
              <w:t>声源位于室内， 室内声源可采用等效室外声源声功率级法进行计算。设靠近开口处 （或窗户） 室内、室外某倍频带的声压级或 A 声级分别为 Lp1 和 Lp2。若声源所在室内声场为近似扩散声场，则室外的倍频带声压级可按式（B. 1）近似求出：</w:t>
            </w:r>
          </w:p>
          <w:p w14:paraId="15B57969">
            <w:pPr>
              <w:widowControl/>
              <w:adjustRightInd w:val="0"/>
              <w:snapToGrid w:val="0"/>
              <w:spacing w:line="360" w:lineRule="auto"/>
              <w:ind w:firstLine="840" w:firstLineChars="400"/>
              <w:rPr>
                <w:color w:val="auto"/>
                <w:kern w:val="0"/>
                <w:highlight w:val="none"/>
                <w:lang w:bidi="ar"/>
              </w:rPr>
            </w:pPr>
            <w:r>
              <w:rPr>
                <w:color w:val="auto"/>
                <w:kern w:val="0"/>
                <w:highlight w:val="none"/>
                <w:lang w:bidi="ar"/>
              </w:rPr>
              <w:t>Lp2 = Lp1 - （TL + 6）   （B.1）</w:t>
            </w:r>
          </w:p>
          <w:p w14:paraId="55614B19">
            <w:pPr>
              <w:pStyle w:val="1392"/>
              <w:spacing w:line="360" w:lineRule="auto"/>
              <w:ind w:firstLine="630" w:firstLineChars="300"/>
              <w:jc w:val="both"/>
              <w:rPr>
                <w:color w:val="auto"/>
                <w:sz w:val="21"/>
                <w:highlight w:val="none"/>
              </w:rPr>
            </w:pPr>
            <w:r>
              <w:rPr>
                <w:color w:val="auto"/>
                <w:sz w:val="21"/>
                <w:highlight w:val="none"/>
              </w:rPr>
              <w:t>式中：Lp</w:t>
            </w:r>
            <w:r>
              <w:rPr>
                <w:color w:val="auto"/>
                <w:sz w:val="21"/>
                <w:highlight w:val="none"/>
                <w:vertAlign w:val="subscript"/>
              </w:rPr>
              <w:t>1</w:t>
            </w:r>
            <w:r>
              <w:rPr>
                <w:color w:val="auto"/>
                <w:sz w:val="21"/>
                <w:highlight w:val="none"/>
              </w:rPr>
              <w:t xml:space="preserve">——靠近开口处（或窗户） 室内某倍频带的声压级或 A 声级，dB； </w:t>
            </w:r>
          </w:p>
          <w:p w14:paraId="64DEF0EA">
            <w:pPr>
              <w:pStyle w:val="1392"/>
              <w:spacing w:line="360" w:lineRule="auto"/>
              <w:ind w:firstLine="1260" w:firstLineChars="600"/>
              <w:jc w:val="both"/>
              <w:rPr>
                <w:color w:val="auto"/>
                <w:sz w:val="21"/>
                <w:highlight w:val="none"/>
              </w:rPr>
            </w:pPr>
            <w:r>
              <w:rPr>
                <w:color w:val="auto"/>
                <w:sz w:val="21"/>
                <w:highlight w:val="none"/>
              </w:rPr>
              <w:t>Lp</w:t>
            </w:r>
            <w:r>
              <w:rPr>
                <w:color w:val="auto"/>
                <w:sz w:val="21"/>
                <w:highlight w:val="none"/>
                <w:vertAlign w:val="subscript"/>
              </w:rPr>
              <w:t>2</w:t>
            </w:r>
            <w:r>
              <w:rPr>
                <w:color w:val="auto"/>
                <w:sz w:val="21"/>
                <w:highlight w:val="none"/>
              </w:rPr>
              <w:t xml:space="preserve">——靠近开口处（或窗户） 室外某倍频带的声压级或 A 声级，dB； </w:t>
            </w:r>
          </w:p>
          <w:p w14:paraId="4B932088">
            <w:pPr>
              <w:pStyle w:val="1392"/>
              <w:spacing w:line="360" w:lineRule="auto"/>
              <w:ind w:firstLine="1260" w:firstLineChars="600"/>
              <w:jc w:val="both"/>
              <w:rPr>
                <w:color w:val="auto"/>
                <w:sz w:val="21"/>
                <w:highlight w:val="none"/>
              </w:rPr>
            </w:pPr>
            <w:r>
              <w:rPr>
                <w:color w:val="auto"/>
                <w:sz w:val="21"/>
                <w:highlight w:val="none"/>
              </w:rPr>
              <w:t>TL—— 隔墙（或窗户） 倍频带或 A 声级的隔声量，dB。</w:t>
            </w:r>
          </w:p>
          <w:p w14:paraId="761A8E70">
            <w:pPr>
              <w:widowControl/>
              <w:adjustRightInd w:val="0"/>
              <w:snapToGrid w:val="0"/>
              <w:spacing w:line="360" w:lineRule="auto"/>
              <w:ind w:firstLine="400"/>
              <w:jc w:val="left"/>
              <w:rPr>
                <w:color w:val="auto"/>
                <w:highlight w:val="none"/>
              </w:rPr>
            </w:pPr>
            <w:r>
              <w:rPr>
                <w:color w:val="auto"/>
                <w:kern w:val="0"/>
                <w:highlight w:val="none"/>
                <w:lang w:bidi="ar"/>
              </w:rPr>
              <w:t>（2）工业企业噪声计算:</w:t>
            </w:r>
          </w:p>
          <w:p w14:paraId="30464CA2">
            <w:pPr>
              <w:adjustRightInd w:val="0"/>
              <w:snapToGrid w:val="0"/>
              <w:spacing w:line="360" w:lineRule="auto"/>
              <w:ind w:firstLine="420"/>
              <w:rPr>
                <w:color w:val="auto"/>
                <w:highlight w:val="none"/>
              </w:rPr>
            </w:pPr>
            <w:r>
              <w:rPr>
                <w:color w:val="auto"/>
                <w:highlight w:val="none"/>
              </w:rPr>
              <w:t>①设第i个室外声源在预测点产生的A声级为L</w:t>
            </w:r>
            <w:r>
              <w:rPr>
                <w:color w:val="auto"/>
                <w:highlight w:val="none"/>
                <w:vertAlign w:val="subscript"/>
              </w:rPr>
              <w:t>Ai</w:t>
            </w:r>
            <w:r>
              <w:rPr>
                <w:color w:val="auto"/>
                <w:highlight w:val="none"/>
              </w:rPr>
              <w:t xml:space="preserve"> ，在T时间内该声源工作时间为ti ；第j个等效室外声源在预测点产生的A声级为L</w:t>
            </w:r>
            <w:r>
              <w:rPr>
                <w:color w:val="auto"/>
                <w:highlight w:val="none"/>
                <w:vertAlign w:val="subscript"/>
              </w:rPr>
              <w:t>Aj</w:t>
            </w:r>
            <w:r>
              <w:rPr>
                <w:color w:val="auto"/>
                <w:highlight w:val="none"/>
              </w:rPr>
              <w:t xml:space="preserve"> ，在 T 时间内该声源工作时间为tj，则拟建工程声源对预测点产生的贡献值（Leqg ）为：</w:t>
            </w:r>
          </w:p>
          <w:p w14:paraId="68212513">
            <w:pPr>
              <w:adjustRightInd w:val="0"/>
              <w:snapToGrid w:val="0"/>
              <w:spacing w:line="360" w:lineRule="auto"/>
              <w:ind w:firstLine="420"/>
              <w:rPr>
                <w:color w:val="auto"/>
                <w:highlight w:val="none"/>
              </w:rPr>
            </w:pPr>
            <w:r>
              <w:rPr>
                <w:color w:val="auto"/>
                <w:highlight w:val="none"/>
              </w:rPr>
              <w:drawing>
                <wp:inline distT="0" distB="0" distL="114300" distR="114300">
                  <wp:extent cx="3368040" cy="483870"/>
                  <wp:effectExtent l="0" t="0" r="3810" b="11430"/>
                  <wp:docPr id="1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
                          <pic:cNvPicPr>
                            <a:picLocks noChangeAspect="1"/>
                          </pic:cNvPicPr>
                        </pic:nvPicPr>
                        <pic:blipFill>
                          <a:blip r:embed="rId20"/>
                          <a:stretch>
                            <a:fillRect/>
                          </a:stretch>
                        </pic:blipFill>
                        <pic:spPr>
                          <a:xfrm>
                            <a:off x="0" y="0"/>
                            <a:ext cx="3368040" cy="483870"/>
                          </a:xfrm>
                          <a:prstGeom prst="rect">
                            <a:avLst/>
                          </a:prstGeom>
                          <a:noFill/>
                          <a:ln>
                            <a:noFill/>
                          </a:ln>
                        </pic:spPr>
                      </pic:pic>
                    </a:graphicData>
                  </a:graphic>
                </wp:inline>
              </w:drawing>
            </w:r>
          </w:p>
          <w:p w14:paraId="40318F80">
            <w:pPr>
              <w:widowControl/>
              <w:adjustRightInd w:val="0"/>
              <w:snapToGrid w:val="0"/>
              <w:spacing w:line="360" w:lineRule="auto"/>
              <w:ind w:firstLine="400"/>
              <w:jc w:val="left"/>
              <w:rPr>
                <w:color w:val="auto"/>
                <w:highlight w:val="none"/>
              </w:rPr>
            </w:pPr>
            <w:r>
              <w:rPr>
                <w:color w:val="auto"/>
                <w:kern w:val="0"/>
                <w:highlight w:val="none"/>
                <w:lang w:bidi="ar"/>
              </w:rPr>
              <w:t xml:space="preserve">式中：Leqg——建设项目声源在预测点产生的噪声贡献值，dB； </w:t>
            </w:r>
          </w:p>
          <w:p w14:paraId="67A70DF7">
            <w:pPr>
              <w:keepNext w:val="0"/>
              <w:keepLines w:val="0"/>
              <w:pageBreakBefore w:val="0"/>
              <w:widowControl/>
              <w:kinsoku/>
              <w:wordWrap/>
              <w:overflowPunct/>
              <w:topLinePunct w:val="0"/>
              <w:autoSpaceDE/>
              <w:autoSpaceDN/>
              <w:bidi w:val="0"/>
              <w:adjustRightInd w:val="0"/>
              <w:snapToGrid w:val="0"/>
              <w:spacing w:line="360" w:lineRule="auto"/>
              <w:ind w:firstLine="400"/>
              <w:jc w:val="left"/>
              <w:textAlignment w:val="auto"/>
              <w:rPr>
                <w:color w:val="auto"/>
                <w:highlight w:val="none"/>
              </w:rPr>
            </w:pPr>
            <w:r>
              <w:rPr>
                <w:color w:val="auto"/>
                <w:kern w:val="0"/>
                <w:highlight w:val="none"/>
                <w:lang w:bidi="ar"/>
              </w:rPr>
              <w:t xml:space="preserve">T ——用于计算等效声级的时间， s； </w:t>
            </w:r>
          </w:p>
          <w:p w14:paraId="5837C40D">
            <w:pPr>
              <w:keepNext w:val="0"/>
              <w:keepLines w:val="0"/>
              <w:pageBreakBefore w:val="0"/>
              <w:widowControl/>
              <w:kinsoku/>
              <w:wordWrap/>
              <w:overflowPunct/>
              <w:topLinePunct w:val="0"/>
              <w:autoSpaceDE/>
              <w:autoSpaceDN/>
              <w:bidi w:val="0"/>
              <w:adjustRightInd w:val="0"/>
              <w:snapToGrid w:val="0"/>
              <w:spacing w:line="360" w:lineRule="auto"/>
              <w:ind w:firstLine="400"/>
              <w:jc w:val="left"/>
              <w:textAlignment w:val="auto"/>
              <w:rPr>
                <w:color w:val="auto"/>
                <w:highlight w:val="none"/>
              </w:rPr>
            </w:pPr>
            <w:r>
              <w:rPr>
                <w:color w:val="auto"/>
                <w:kern w:val="0"/>
                <w:highlight w:val="none"/>
                <w:lang w:bidi="ar"/>
              </w:rPr>
              <w:t xml:space="preserve">N ——室外声源个数； </w:t>
            </w:r>
          </w:p>
          <w:p w14:paraId="7B7134DF">
            <w:pPr>
              <w:keepNext w:val="0"/>
              <w:keepLines w:val="0"/>
              <w:pageBreakBefore w:val="0"/>
              <w:widowControl/>
              <w:kinsoku/>
              <w:wordWrap/>
              <w:overflowPunct/>
              <w:topLinePunct w:val="0"/>
              <w:autoSpaceDE/>
              <w:autoSpaceDN/>
              <w:bidi w:val="0"/>
              <w:adjustRightInd w:val="0"/>
              <w:snapToGrid w:val="0"/>
              <w:spacing w:line="360" w:lineRule="auto"/>
              <w:ind w:firstLine="400"/>
              <w:jc w:val="left"/>
              <w:textAlignment w:val="auto"/>
              <w:rPr>
                <w:color w:val="auto"/>
                <w:highlight w:val="none"/>
              </w:rPr>
            </w:pPr>
            <w:r>
              <w:rPr>
                <w:color w:val="auto"/>
                <w:kern w:val="0"/>
                <w:highlight w:val="none"/>
                <w:lang w:bidi="ar"/>
              </w:rPr>
              <w:t xml:space="preserve">ti ——在 T 时间内 i 声源工作时间，s； </w:t>
            </w:r>
          </w:p>
          <w:p w14:paraId="04921498">
            <w:pPr>
              <w:keepNext w:val="0"/>
              <w:keepLines w:val="0"/>
              <w:pageBreakBefore w:val="0"/>
              <w:widowControl/>
              <w:kinsoku/>
              <w:wordWrap/>
              <w:overflowPunct/>
              <w:topLinePunct w:val="0"/>
              <w:autoSpaceDE/>
              <w:autoSpaceDN/>
              <w:bidi w:val="0"/>
              <w:adjustRightInd w:val="0"/>
              <w:snapToGrid w:val="0"/>
              <w:spacing w:line="360" w:lineRule="auto"/>
              <w:ind w:firstLine="400"/>
              <w:jc w:val="left"/>
              <w:textAlignment w:val="auto"/>
              <w:rPr>
                <w:color w:val="auto"/>
                <w:highlight w:val="none"/>
              </w:rPr>
            </w:pPr>
            <w:r>
              <w:rPr>
                <w:color w:val="auto"/>
                <w:kern w:val="0"/>
                <w:highlight w:val="none"/>
                <w:lang w:bidi="ar"/>
              </w:rPr>
              <w:t xml:space="preserve">M ——等效室外声源个数； </w:t>
            </w:r>
          </w:p>
          <w:p w14:paraId="7AEB67FE">
            <w:pPr>
              <w:keepNext w:val="0"/>
              <w:keepLines w:val="0"/>
              <w:pageBreakBefore w:val="0"/>
              <w:widowControl/>
              <w:kinsoku/>
              <w:wordWrap/>
              <w:overflowPunct/>
              <w:topLinePunct w:val="0"/>
              <w:autoSpaceDE/>
              <w:autoSpaceDN/>
              <w:bidi w:val="0"/>
              <w:adjustRightInd w:val="0"/>
              <w:snapToGrid w:val="0"/>
              <w:spacing w:line="360" w:lineRule="auto"/>
              <w:ind w:firstLine="400"/>
              <w:jc w:val="left"/>
              <w:textAlignment w:val="auto"/>
              <w:rPr>
                <w:color w:val="auto"/>
                <w:highlight w:val="none"/>
              </w:rPr>
            </w:pPr>
            <w:r>
              <w:rPr>
                <w:color w:val="auto"/>
                <w:kern w:val="0"/>
                <w:highlight w:val="none"/>
                <w:lang w:bidi="ar"/>
              </w:rPr>
              <w:t>tj ——在 T 时间内 j 声源工作时间，s。</w:t>
            </w:r>
          </w:p>
          <w:p w14:paraId="02798442">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②计算出所有室内声源在围护结构处产生的 i 倍频带叠加声压级</w:t>
            </w:r>
          </w:p>
          <w:p w14:paraId="21ED1F92">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drawing>
                <wp:inline distT="0" distB="0" distL="114300" distR="114300">
                  <wp:extent cx="1588135" cy="512445"/>
                  <wp:effectExtent l="0" t="0" r="12065" b="1905"/>
                  <wp:docPr id="1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3"/>
                          <pic:cNvPicPr>
                            <a:picLocks noChangeAspect="1"/>
                          </pic:cNvPicPr>
                        </pic:nvPicPr>
                        <pic:blipFill>
                          <a:blip r:embed="rId21"/>
                          <a:stretch>
                            <a:fillRect/>
                          </a:stretch>
                        </pic:blipFill>
                        <pic:spPr>
                          <a:xfrm>
                            <a:off x="0" y="0"/>
                            <a:ext cx="1588135" cy="512445"/>
                          </a:xfrm>
                          <a:prstGeom prst="rect">
                            <a:avLst/>
                          </a:prstGeom>
                          <a:noFill/>
                          <a:ln>
                            <a:noFill/>
                          </a:ln>
                        </pic:spPr>
                      </pic:pic>
                    </a:graphicData>
                  </a:graphic>
                </wp:inline>
              </w:drawing>
            </w:r>
          </w:p>
          <w:p w14:paraId="13F4A970">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式中：LP1i（T）—靠近围护结构处N个室内声源产生的i倍频带的叠加声压级，dB（A）；</w:t>
            </w:r>
          </w:p>
          <w:p w14:paraId="2F5B000D">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LP1ij—室内j声源i倍频带的声压级，dB（A）；</w:t>
            </w:r>
          </w:p>
          <w:p w14:paraId="39493240">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N—室内声源总数；</w:t>
            </w:r>
          </w:p>
          <w:p w14:paraId="6A971F48">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③然后按照室外声源预测方法计算预测点处的A声级;</w:t>
            </w:r>
          </w:p>
          <w:p w14:paraId="3B33F00A">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（3）户外声传播衰减包括几何发散（Adiv）、大气吸收（Aatm）、地面效应（Agr）、障碍物屏蔽（Abar）、其他多方面效应（Amisc）</w:t>
            </w:r>
          </w:p>
          <w:p w14:paraId="7C4A0DEF">
            <w:pPr>
              <w:keepNext w:val="0"/>
              <w:keepLines w:val="0"/>
              <w:pageBreakBefore w:val="0"/>
              <w:kinsoku/>
              <w:wordWrap/>
              <w:overflowPunct/>
              <w:topLinePunct w:val="0"/>
              <w:autoSpaceDE/>
              <w:autoSpaceDN/>
              <w:bidi w:val="0"/>
              <w:adjustRightInd w:val="0"/>
              <w:snapToGrid w:val="0"/>
              <w:spacing w:line="360" w:lineRule="auto"/>
              <w:textAlignment w:val="auto"/>
              <w:rPr>
                <w:color w:val="auto"/>
                <w:highlight w:val="none"/>
              </w:rPr>
            </w:pPr>
            <w:r>
              <w:rPr>
                <w:color w:val="auto"/>
                <w:highlight w:val="none"/>
              </w:rPr>
              <w:t>引起的衰减。</w:t>
            </w:r>
          </w:p>
          <w:p w14:paraId="41589358">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根据导则，评价应根据声源声功率级或参考位置处的声压级、户外声传播衰减，计算预测点的声级，分别按式（A.1）或式（A.2）计算，本次评价采用 A.1进行计算，模式如下：</w:t>
            </w:r>
          </w:p>
          <w:p w14:paraId="2A257E85">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Lp（r）＝Lw+D</w:t>
            </w:r>
            <w:r>
              <w:rPr>
                <w:color w:val="auto"/>
                <w:highlight w:val="none"/>
                <w:vertAlign w:val="subscript"/>
              </w:rPr>
              <w:t>C</w:t>
            </w:r>
            <w:r>
              <w:rPr>
                <w:color w:val="auto"/>
                <w:highlight w:val="none"/>
              </w:rPr>
              <w:t xml:space="preserve">－（Adiv＋Aatm＋Agr＋Abar＋Amisc） （A.1） </w:t>
            </w:r>
          </w:p>
          <w:p w14:paraId="6F6A9356">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式中：Lp（r） ——预测点处声压级，dB； </w:t>
            </w:r>
          </w:p>
          <w:p w14:paraId="2DE39E6E">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 xml:space="preserve">Lw ——由点声源产生的声功率级（A计权或倍频带），dB； </w:t>
            </w:r>
          </w:p>
          <w:p w14:paraId="69C5FE3E">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D</w:t>
            </w:r>
            <w:r>
              <w:rPr>
                <w:color w:val="auto"/>
                <w:highlight w:val="none"/>
                <w:vertAlign w:val="subscript"/>
              </w:rPr>
              <w:t>C</w:t>
            </w:r>
            <w:r>
              <w:rPr>
                <w:color w:val="auto"/>
                <w:highlight w:val="none"/>
              </w:rPr>
              <w:t xml:space="preserve"> ——指向性校正，它描述点声源的等效连续声压级与产生声功率级Lw的全向点声源在规定方向的声级的偏差程度，dB； </w:t>
            </w:r>
          </w:p>
          <w:p w14:paraId="0C7ADADD">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 xml:space="preserve">Adiv ——几何发散引起的衰减，dB； </w:t>
            </w:r>
          </w:p>
          <w:p w14:paraId="541DA4CD">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 xml:space="preserve">Aatm ——大气吸收引起的衰减，dB； </w:t>
            </w:r>
          </w:p>
          <w:p w14:paraId="292DD017">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 xml:space="preserve">Agr ——地面效应引起的衰减，dB； </w:t>
            </w:r>
          </w:p>
          <w:p w14:paraId="49F7EAB9">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 xml:space="preserve">Abar ——障碍物屏蔽引起的衰减，dB； </w:t>
            </w:r>
          </w:p>
          <w:p w14:paraId="515576B5">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 xml:space="preserve">Amisc ——其他多方面效应引起的衰减，dB。 </w:t>
            </w:r>
          </w:p>
          <w:p w14:paraId="415EB982">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预测点的A 声级 LA（r）可按式（A.3）计算，即将 8 个倍频带声压级合成，计算出预测点的A声级〔LA（r）〕。</w:t>
            </w:r>
          </w:p>
          <w:p w14:paraId="53A94106">
            <w:pPr>
              <w:keepNext w:val="0"/>
              <w:keepLines w:val="0"/>
              <w:pageBreakBefore w:val="0"/>
              <w:kinsoku/>
              <w:wordWrap/>
              <w:overflowPunct/>
              <w:topLinePunct w:val="0"/>
              <w:autoSpaceDE/>
              <w:autoSpaceDN/>
              <w:bidi w:val="0"/>
              <w:adjustRightInd w:val="0"/>
              <w:snapToGrid w:val="0"/>
              <w:spacing w:line="360" w:lineRule="auto"/>
              <w:ind w:firstLine="420"/>
              <w:jc w:val="center"/>
              <w:textAlignment w:val="auto"/>
              <w:rPr>
                <w:color w:val="auto"/>
                <w:highlight w:val="none"/>
              </w:rPr>
            </w:pPr>
            <w:r>
              <w:rPr>
                <w:color w:val="auto"/>
                <w:highlight w:val="none"/>
              </w:rPr>
              <w:drawing>
                <wp:inline distT="0" distB="0" distL="114300" distR="114300">
                  <wp:extent cx="2409190" cy="727075"/>
                  <wp:effectExtent l="0" t="0" r="10160" b="15875"/>
                  <wp:docPr id="1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4"/>
                          <pic:cNvPicPr>
                            <a:picLocks noChangeAspect="1"/>
                          </pic:cNvPicPr>
                        </pic:nvPicPr>
                        <pic:blipFill>
                          <a:blip r:embed="rId22"/>
                          <a:stretch>
                            <a:fillRect/>
                          </a:stretch>
                        </pic:blipFill>
                        <pic:spPr>
                          <a:xfrm>
                            <a:off x="0" y="0"/>
                            <a:ext cx="2409190" cy="727075"/>
                          </a:xfrm>
                          <a:prstGeom prst="rect">
                            <a:avLst/>
                          </a:prstGeom>
                          <a:noFill/>
                          <a:ln>
                            <a:noFill/>
                          </a:ln>
                        </pic:spPr>
                      </pic:pic>
                    </a:graphicData>
                  </a:graphic>
                </wp:inline>
              </w:drawing>
            </w:r>
          </w:p>
          <w:p w14:paraId="135F092F">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式中：LA（r） ——距声源 r 处的 A 声级，dB（A）； </w:t>
            </w:r>
          </w:p>
          <w:p w14:paraId="3A5491BB">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 xml:space="preserve">Lpi（r） ——预测点（r）处，第 i 倍频带声压级，dB； </w:t>
            </w:r>
          </w:p>
          <w:p w14:paraId="2B589CF5">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 xml:space="preserve">ΔLi ——第 i 倍频带的A 计权网络修正值，dB。 </w:t>
            </w:r>
          </w:p>
          <w:p w14:paraId="2B565358">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在只考虑几何发散衰减时，可按式（A.4）计算。 </w:t>
            </w:r>
          </w:p>
          <w:p w14:paraId="1FE7DC60">
            <w:pPr>
              <w:keepNext w:val="0"/>
              <w:keepLines w:val="0"/>
              <w:pageBreakBefore w:val="0"/>
              <w:kinsoku/>
              <w:wordWrap/>
              <w:overflowPunct/>
              <w:topLinePunct w:val="0"/>
              <w:autoSpaceDE/>
              <w:autoSpaceDN/>
              <w:bidi w:val="0"/>
              <w:adjustRightInd w:val="0"/>
              <w:snapToGrid w:val="0"/>
              <w:spacing w:line="360" w:lineRule="auto"/>
              <w:ind w:firstLine="420"/>
              <w:jc w:val="center"/>
              <w:textAlignment w:val="auto"/>
              <w:rPr>
                <w:color w:val="auto"/>
                <w:highlight w:val="none"/>
              </w:rPr>
            </w:pPr>
            <w:r>
              <w:rPr>
                <w:color w:val="auto"/>
                <w:highlight w:val="none"/>
              </w:rPr>
              <w:t>LAr=LA（r</w:t>
            </w:r>
            <w:r>
              <w:rPr>
                <w:color w:val="auto"/>
                <w:highlight w:val="none"/>
                <w:vertAlign w:val="subscript"/>
              </w:rPr>
              <w:t>0</w:t>
            </w:r>
            <w:r>
              <w:rPr>
                <w:color w:val="auto"/>
                <w:highlight w:val="none"/>
              </w:rPr>
              <w:t xml:space="preserve">）—Adiv </w:t>
            </w:r>
          </w:p>
          <w:p w14:paraId="3B295D5E">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式中：LA（r） ——距声源 r 处的A 声级，dB（A）； </w:t>
            </w:r>
          </w:p>
          <w:p w14:paraId="763D1C10">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 xml:space="preserve">LA（r0） ——参考位置 r0 处的A 声级，dB（A）； </w:t>
            </w:r>
          </w:p>
          <w:p w14:paraId="06568D93">
            <w:pPr>
              <w:keepNext w:val="0"/>
              <w:keepLines w:val="0"/>
              <w:pageBreakBefore w:val="0"/>
              <w:kinsoku/>
              <w:wordWrap/>
              <w:overflowPunct/>
              <w:topLinePunct w:val="0"/>
              <w:autoSpaceDE/>
              <w:autoSpaceDN/>
              <w:bidi w:val="0"/>
              <w:adjustRightInd w:val="0"/>
              <w:snapToGrid w:val="0"/>
              <w:spacing w:line="360" w:lineRule="auto"/>
              <w:ind w:firstLine="1050" w:firstLineChars="500"/>
              <w:textAlignment w:val="auto"/>
              <w:rPr>
                <w:color w:val="auto"/>
                <w:highlight w:val="none"/>
              </w:rPr>
            </w:pPr>
            <w:r>
              <w:rPr>
                <w:color w:val="auto"/>
                <w:highlight w:val="none"/>
              </w:rPr>
              <w:t>Adiv ——几何发散引起的衰减，dB。</w:t>
            </w:r>
          </w:p>
          <w:p w14:paraId="71F39120">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衰减项的计算</w:t>
            </w:r>
          </w:p>
          <w:p w14:paraId="605D45AA">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①声波几何发散引起的 A 声级衰减量（工业噪声源）： </w:t>
            </w:r>
          </w:p>
          <w:p w14:paraId="65C7E1ED">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a、点声源 Adiv＝10Lg（r/ro） </w:t>
            </w:r>
          </w:p>
          <w:p w14:paraId="6B457782">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b、有限长（Lo）线声源 </w:t>
            </w:r>
          </w:p>
          <w:p w14:paraId="246FF656">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当 r＞Lo 且 ro＞Lo 时   Adiv＝20lg（r/ro） </w:t>
            </w:r>
          </w:p>
          <w:p w14:paraId="0E93DFDF">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当 r＜Lo/3 且 ro＜Lo/3 时   Adiv＝10lg（r/ro） </w:t>
            </w:r>
          </w:p>
          <w:p w14:paraId="143D44DA">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当 Lo/3＜r＜Lo 且 Lo/3＜ro＜Lo 时  Adiv＝15lg（r/ro） </w:t>
            </w:r>
          </w:p>
          <w:p w14:paraId="742F8FB2">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②空气吸收引起的衰减量 Aatm </w:t>
            </w:r>
          </w:p>
          <w:p w14:paraId="4F66582C">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本工程噪声以中低频为主，空气吸收性衰减很少，本次评价预测时忽略不计。 </w:t>
            </w:r>
          </w:p>
          <w:p w14:paraId="3707A534">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③地面效应引起的衰减量 Agr </w:t>
            </w:r>
          </w:p>
          <w:p w14:paraId="731F2476">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本工程地面为水泥硬化路面，地面效应引起的衰减量很小，本次评价预测时忽略不计。 </w:t>
            </w:r>
          </w:p>
          <w:p w14:paraId="1912C86D">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④屏障引起的衰减 Abar </w:t>
            </w:r>
          </w:p>
          <w:p w14:paraId="3187D532">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噪声在向外传播过程中将受到厂房或其它车间的阻挡影响，从而引起声能量的衰减，具体衰减根据不同声级的传播途径而定，本次评价预测时忽略不计。 </w:t>
            </w:r>
          </w:p>
          <w:p w14:paraId="6313A848">
            <w:pPr>
              <w:keepNext w:val="0"/>
              <w:keepLines w:val="0"/>
              <w:pageBreakBefore w:val="0"/>
              <w:kinsoku/>
              <w:wordWrap/>
              <w:overflowPunct/>
              <w:topLinePunct w:val="0"/>
              <w:autoSpaceDE/>
              <w:autoSpaceDN/>
              <w:bidi w:val="0"/>
              <w:adjustRightInd w:val="0"/>
              <w:snapToGrid w:val="0"/>
              <w:spacing w:line="360" w:lineRule="auto"/>
              <w:ind w:firstLine="420"/>
              <w:textAlignment w:val="auto"/>
              <w:rPr>
                <w:color w:val="auto"/>
                <w:highlight w:val="none"/>
              </w:rPr>
            </w:pPr>
            <w:r>
              <w:rPr>
                <w:color w:val="auto"/>
                <w:highlight w:val="none"/>
              </w:rPr>
              <w:t xml:space="preserve">⑤其他多方面原因引起的衰减量 Amisc </w:t>
            </w:r>
          </w:p>
          <w:p w14:paraId="3B6AC4A1">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highlight w:val="none"/>
              </w:rPr>
            </w:pPr>
            <w:r>
              <w:rPr>
                <w:color w:val="auto"/>
                <w:highlight w:val="none"/>
              </w:rPr>
              <w:t>主要考虑工业场所的衰减；通过房屋群的衰减等。本次环评忽略不计本项衰减量</w:t>
            </w:r>
            <w:r>
              <w:rPr>
                <w:rFonts w:hint="default" w:ascii="Times New Roman" w:hAnsi="Times New Roman" w:cs="Times New Roman"/>
                <w:bCs/>
                <w:color w:val="auto"/>
                <w:highlight w:val="none"/>
              </w:rPr>
              <w:t>。</w:t>
            </w:r>
          </w:p>
          <w:p w14:paraId="4167F47B">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噪声影响评价选取4个厂界点位作为</w:t>
            </w:r>
            <w:r>
              <w:rPr>
                <w:rFonts w:hint="default" w:ascii="Times New Roman" w:hAnsi="Times New Roman" w:cs="Times New Roman"/>
                <w:color w:val="auto"/>
                <w:highlight w:val="none"/>
                <w:lang w:eastAsia="zh-CN"/>
              </w:rPr>
              <w:t>此次</w:t>
            </w:r>
            <w:r>
              <w:rPr>
                <w:rFonts w:hint="default" w:ascii="Times New Roman" w:hAnsi="Times New Roman" w:cs="Times New Roman"/>
                <w:color w:val="auto"/>
                <w:highlight w:val="none"/>
              </w:rPr>
              <w:t>工程对环境的影响预测点，预测、评价工程噪声对环境的影响。利用以上模式和参数计算得出项目建成后，主要噪声设备对厂界的噪声</w:t>
            </w:r>
            <w:r>
              <w:rPr>
                <w:rFonts w:hint="default" w:ascii="Times New Roman" w:hAnsi="Times New Roman" w:cs="Times New Roman"/>
                <w:color w:val="auto"/>
                <w:highlight w:val="none"/>
                <w:lang w:eastAsia="zh-CN"/>
              </w:rPr>
              <w:t>贡献</w:t>
            </w:r>
            <w:r>
              <w:rPr>
                <w:rFonts w:hint="default" w:ascii="Times New Roman" w:hAnsi="Times New Roman" w:cs="Times New Roman"/>
                <w:color w:val="auto"/>
                <w:highlight w:val="none"/>
              </w:rPr>
              <w:t>值。</w:t>
            </w:r>
            <w:r>
              <w:rPr>
                <w:rFonts w:hint="eastAsia" w:cs="Times New Roman"/>
                <w:color w:val="auto"/>
                <w:highlight w:val="none"/>
                <w:lang w:val="en-US" w:eastAsia="zh-CN"/>
              </w:rPr>
              <w:t>生产</w:t>
            </w:r>
            <w:r>
              <w:rPr>
                <w:rFonts w:hint="eastAsia"/>
                <w:color w:val="auto"/>
                <w:highlight w:val="none"/>
              </w:rPr>
              <w:t>车间</w:t>
            </w:r>
            <w:r>
              <w:rPr>
                <w:rFonts w:hint="eastAsia"/>
                <w:color w:val="auto"/>
                <w:highlight w:val="none"/>
                <w:lang w:val="en-US" w:eastAsia="zh-CN"/>
              </w:rPr>
              <w:t>整体</w:t>
            </w:r>
            <w:r>
              <w:rPr>
                <w:rFonts w:hint="eastAsia"/>
                <w:color w:val="auto"/>
                <w:highlight w:val="none"/>
              </w:rPr>
              <w:t>与厂界东南西北的最近距离分别为</w:t>
            </w:r>
            <w:r>
              <w:rPr>
                <w:rFonts w:hint="eastAsia"/>
                <w:color w:val="auto"/>
                <w:highlight w:val="none"/>
                <w:lang w:val="en-US" w:eastAsia="zh-CN"/>
              </w:rPr>
              <w:t>7</w:t>
            </w:r>
            <w:r>
              <w:rPr>
                <w:color w:val="auto"/>
                <w:highlight w:val="none"/>
              </w:rPr>
              <w:t>m、</w:t>
            </w:r>
            <w:r>
              <w:rPr>
                <w:rFonts w:hint="eastAsia"/>
                <w:color w:val="auto"/>
                <w:highlight w:val="none"/>
                <w:lang w:val="en-US" w:eastAsia="zh-CN"/>
              </w:rPr>
              <w:t>30</w:t>
            </w:r>
            <w:r>
              <w:rPr>
                <w:color w:val="auto"/>
                <w:highlight w:val="none"/>
              </w:rPr>
              <w:t>m、</w:t>
            </w:r>
            <w:r>
              <w:rPr>
                <w:rFonts w:hint="eastAsia"/>
                <w:color w:val="auto"/>
                <w:highlight w:val="none"/>
                <w:lang w:val="en-US" w:eastAsia="zh-CN"/>
              </w:rPr>
              <w:t>38</w:t>
            </w:r>
            <w:r>
              <w:rPr>
                <w:color w:val="auto"/>
                <w:highlight w:val="none"/>
              </w:rPr>
              <w:t>m、</w:t>
            </w:r>
            <w:r>
              <w:rPr>
                <w:rFonts w:hint="eastAsia"/>
                <w:color w:val="auto"/>
                <w:highlight w:val="none"/>
                <w:lang w:val="en-US" w:eastAsia="zh-CN"/>
              </w:rPr>
              <w:t>2</w:t>
            </w:r>
            <w:r>
              <w:rPr>
                <w:color w:val="auto"/>
                <w:highlight w:val="none"/>
              </w:rPr>
              <w:t>m</w:t>
            </w:r>
            <w:r>
              <w:rPr>
                <w:rFonts w:hint="eastAsia"/>
                <w:color w:val="auto"/>
                <w:highlight w:val="none"/>
                <w:lang w:eastAsia="zh-CN"/>
              </w:rPr>
              <w:t>。</w:t>
            </w:r>
            <w:r>
              <w:rPr>
                <w:rFonts w:hint="default" w:ascii="Times New Roman" w:hAnsi="Times New Roman" w:cs="Times New Roman"/>
                <w:color w:val="auto"/>
                <w:highlight w:val="none"/>
              </w:rPr>
              <w:t>结果见下表。</w:t>
            </w:r>
          </w:p>
          <w:p w14:paraId="60B192A2">
            <w:pPr>
              <w:pStyle w:val="1313"/>
              <w:adjustRightInd w:val="0"/>
              <w:snapToGrid w:val="0"/>
              <w:spacing w:line="240" w:lineRule="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表4-1</w:t>
            </w:r>
            <w:r>
              <w:rPr>
                <w:rFonts w:hint="eastAsia" w:ascii="Times New Roman" w:hAnsi="Times New Roman" w:eastAsia="宋体" w:cs="Times New Roman"/>
                <w:b/>
                <w:bCs/>
                <w:color w:val="auto"/>
                <w:sz w:val="21"/>
                <w:szCs w:val="21"/>
                <w:highlight w:val="none"/>
                <w:lang w:val="en-US" w:eastAsia="zh-CN"/>
              </w:rPr>
              <w:t>0</w:t>
            </w:r>
            <w:r>
              <w:rPr>
                <w:rFonts w:hint="default" w:ascii="Times New Roman" w:hAnsi="Times New Roman" w:eastAsia="宋体" w:cs="Times New Roman"/>
                <w:b/>
                <w:bCs/>
                <w:color w:val="auto"/>
                <w:sz w:val="21"/>
                <w:szCs w:val="21"/>
                <w:highlight w:val="none"/>
                <w:lang w:val="en-US" w:eastAsia="zh-CN"/>
              </w:rPr>
              <w:t>项目建成后各厂界的贡献值一览表  单位：dB（A）</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1"/>
              <w:gridCol w:w="1110"/>
              <w:gridCol w:w="1372"/>
              <w:gridCol w:w="1377"/>
              <w:gridCol w:w="1442"/>
              <w:gridCol w:w="1980"/>
            </w:tblGrid>
            <w:tr w14:paraId="4B037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15" w:type="pct"/>
                  <w:gridSpan w:val="2"/>
                  <w:vMerge w:val="restart"/>
                  <w:noWrap w:val="0"/>
                  <w:vAlign w:val="center"/>
                </w:tcPr>
                <w:p w14:paraId="7728498D">
                  <w:pPr>
                    <w:adjustRightInd w:val="0"/>
                    <w:snapToGrid w:val="0"/>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排放源</w:t>
                  </w:r>
                </w:p>
              </w:tc>
              <w:tc>
                <w:tcPr>
                  <w:tcW w:w="3684" w:type="pct"/>
                  <w:gridSpan w:val="4"/>
                  <w:noWrap w:val="0"/>
                  <w:vAlign w:val="center"/>
                </w:tcPr>
                <w:p w14:paraId="4BBE6109">
                  <w:pPr>
                    <w:adjustRightInd w:val="0"/>
                    <w:snapToGrid w:val="0"/>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对最近厂界的贡献值dB（A）</w:t>
                  </w:r>
                </w:p>
              </w:tc>
            </w:tr>
            <w:tr w14:paraId="53185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5" w:type="pct"/>
                  <w:gridSpan w:val="2"/>
                  <w:vMerge w:val="continue"/>
                  <w:noWrap w:val="0"/>
                  <w:vAlign w:val="center"/>
                </w:tcPr>
                <w:p w14:paraId="12F4E2DA">
                  <w:pPr>
                    <w:adjustRightInd w:val="0"/>
                    <w:snapToGrid w:val="0"/>
                    <w:jc w:val="center"/>
                    <w:rPr>
                      <w:rFonts w:hint="default" w:ascii="Times New Roman" w:hAnsi="Times New Roman" w:cs="Times New Roman"/>
                      <w:color w:val="auto"/>
                      <w:kern w:val="0"/>
                      <w:sz w:val="18"/>
                      <w:szCs w:val="18"/>
                      <w:highlight w:val="none"/>
                    </w:rPr>
                  </w:pPr>
                </w:p>
              </w:tc>
              <w:tc>
                <w:tcPr>
                  <w:tcW w:w="819" w:type="pct"/>
                  <w:noWrap w:val="0"/>
                  <w:vAlign w:val="center"/>
                </w:tcPr>
                <w:p w14:paraId="548FE8C7">
                  <w:pPr>
                    <w:adjustRightInd w:val="0"/>
                    <w:snapToGrid w:val="0"/>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东</w:t>
                  </w:r>
                </w:p>
              </w:tc>
              <w:tc>
                <w:tcPr>
                  <w:tcW w:w="822" w:type="pct"/>
                  <w:noWrap w:val="0"/>
                  <w:vAlign w:val="center"/>
                </w:tcPr>
                <w:p w14:paraId="49425CB4">
                  <w:pPr>
                    <w:adjustRightInd w:val="0"/>
                    <w:snapToGrid w:val="0"/>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南</w:t>
                  </w:r>
                </w:p>
              </w:tc>
              <w:tc>
                <w:tcPr>
                  <w:tcW w:w="861" w:type="pct"/>
                  <w:noWrap w:val="0"/>
                  <w:vAlign w:val="center"/>
                </w:tcPr>
                <w:p w14:paraId="04B6EBEA">
                  <w:pPr>
                    <w:adjustRightInd w:val="0"/>
                    <w:snapToGrid w:val="0"/>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西</w:t>
                  </w:r>
                </w:p>
              </w:tc>
              <w:tc>
                <w:tcPr>
                  <w:tcW w:w="1181" w:type="pct"/>
                  <w:noWrap w:val="0"/>
                  <w:vAlign w:val="center"/>
                </w:tcPr>
                <w:p w14:paraId="73AF77CA">
                  <w:pPr>
                    <w:adjustRightInd w:val="0"/>
                    <w:snapToGrid w:val="0"/>
                    <w:jc w:val="center"/>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北</w:t>
                  </w:r>
                </w:p>
              </w:tc>
            </w:tr>
            <w:tr w14:paraId="69766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2" w:type="pct"/>
                  <w:vMerge w:val="restart"/>
                  <w:noWrap w:val="0"/>
                  <w:vAlign w:val="center"/>
                </w:tcPr>
                <w:p w14:paraId="6D674429">
                  <w:pPr>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车间设备</w:t>
                  </w:r>
                </w:p>
              </w:tc>
              <w:tc>
                <w:tcPr>
                  <w:tcW w:w="662" w:type="pct"/>
                  <w:noWrap w:val="0"/>
                  <w:vAlign w:val="center"/>
                </w:tcPr>
                <w:p w14:paraId="32F3E74A">
                  <w:pPr>
                    <w:adjustRightInd w:val="0"/>
                    <w:snapToGrid w:val="0"/>
                    <w:jc w:val="center"/>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昼间</w:t>
                  </w:r>
                </w:p>
              </w:tc>
              <w:tc>
                <w:tcPr>
                  <w:tcW w:w="819" w:type="pct"/>
                  <w:noWrap w:val="0"/>
                  <w:vAlign w:val="center"/>
                </w:tcPr>
                <w:p w14:paraId="63193DEB">
                  <w:pPr>
                    <w:adjustRightInd w:val="0"/>
                    <w:snapToGrid w:val="0"/>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36.3</w:t>
                  </w:r>
                </w:p>
              </w:tc>
              <w:tc>
                <w:tcPr>
                  <w:tcW w:w="822" w:type="pct"/>
                  <w:noWrap w:val="0"/>
                  <w:vAlign w:val="center"/>
                </w:tcPr>
                <w:p w14:paraId="4EF70AB4">
                  <w:pPr>
                    <w:adjustRightInd w:val="0"/>
                    <w:snapToGrid w:val="0"/>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27.7</w:t>
                  </w:r>
                </w:p>
              </w:tc>
              <w:tc>
                <w:tcPr>
                  <w:tcW w:w="861" w:type="pct"/>
                  <w:noWrap w:val="0"/>
                  <w:vAlign w:val="center"/>
                </w:tcPr>
                <w:p w14:paraId="4A89C1E0">
                  <w:pPr>
                    <w:adjustRightInd w:val="0"/>
                    <w:snapToGrid w:val="0"/>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13.6</w:t>
                  </w:r>
                </w:p>
              </w:tc>
              <w:tc>
                <w:tcPr>
                  <w:tcW w:w="1181" w:type="pct"/>
                  <w:noWrap w:val="0"/>
                  <w:vAlign w:val="center"/>
                </w:tcPr>
                <w:p w14:paraId="2B6618A4">
                  <w:pPr>
                    <w:adjustRightInd w:val="0"/>
                    <w:snapToGrid w:val="0"/>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41.5</w:t>
                  </w:r>
                </w:p>
              </w:tc>
            </w:tr>
            <w:tr w14:paraId="438F0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52" w:type="pct"/>
                  <w:vMerge w:val="continue"/>
                  <w:noWrap w:val="0"/>
                  <w:vAlign w:val="center"/>
                </w:tcPr>
                <w:p w14:paraId="3AC148D6">
                  <w:pPr>
                    <w:adjustRightInd w:val="0"/>
                    <w:snapToGrid w:val="0"/>
                    <w:jc w:val="center"/>
                    <w:rPr>
                      <w:rFonts w:hint="default" w:ascii="Times New Roman" w:hAnsi="Times New Roman" w:cs="Times New Roman"/>
                      <w:color w:val="auto"/>
                      <w:kern w:val="0"/>
                      <w:sz w:val="18"/>
                      <w:szCs w:val="18"/>
                      <w:highlight w:val="none"/>
                    </w:rPr>
                  </w:pPr>
                </w:p>
              </w:tc>
              <w:tc>
                <w:tcPr>
                  <w:tcW w:w="662" w:type="pct"/>
                  <w:noWrap w:val="0"/>
                  <w:vAlign w:val="center"/>
                </w:tcPr>
                <w:p w14:paraId="4ED578C9">
                  <w:pPr>
                    <w:adjustRightInd w:val="0"/>
                    <w:snapToGrid w:val="0"/>
                    <w:jc w:val="center"/>
                    <w:rPr>
                      <w:rFonts w:hint="eastAsia"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夜间</w:t>
                  </w:r>
                </w:p>
              </w:tc>
              <w:tc>
                <w:tcPr>
                  <w:tcW w:w="819" w:type="pct"/>
                  <w:shd w:val="clear" w:color="auto" w:fill="auto"/>
                  <w:noWrap w:val="0"/>
                  <w:vAlign w:val="center"/>
                </w:tcPr>
                <w:p w14:paraId="56538118">
                  <w:pPr>
                    <w:adjustRightInd w:val="0"/>
                    <w:snapToGrid w:val="0"/>
                    <w:jc w:val="center"/>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rPr>
                    <w:t>36.3</w:t>
                  </w:r>
                </w:p>
              </w:tc>
              <w:tc>
                <w:tcPr>
                  <w:tcW w:w="822" w:type="pct"/>
                  <w:shd w:val="clear" w:color="auto" w:fill="auto"/>
                  <w:noWrap w:val="0"/>
                  <w:vAlign w:val="center"/>
                </w:tcPr>
                <w:p w14:paraId="41C02277">
                  <w:pPr>
                    <w:adjustRightInd w:val="0"/>
                    <w:snapToGrid w:val="0"/>
                    <w:jc w:val="center"/>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rPr>
                    <w:t>27.7</w:t>
                  </w:r>
                </w:p>
              </w:tc>
              <w:tc>
                <w:tcPr>
                  <w:tcW w:w="861" w:type="pct"/>
                  <w:shd w:val="clear" w:color="auto" w:fill="auto"/>
                  <w:noWrap w:val="0"/>
                  <w:vAlign w:val="center"/>
                </w:tcPr>
                <w:p w14:paraId="4207B975">
                  <w:pPr>
                    <w:adjustRightInd w:val="0"/>
                    <w:snapToGrid w:val="0"/>
                    <w:jc w:val="center"/>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rPr>
                    <w:t>13.6</w:t>
                  </w:r>
                </w:p>
              </w:tc>
              <w:tc>
                <w:tcPr>
                  <w:tcW w:w="1181" w:type="pct"/>
                  <w:shd w:val="clear" w:color="auto" w:fill="auto"/>
                  <w:noWrap w:val="0"/>
                  <w:vAlign w:val="center"/>
                </w:tcPr>
                <w:p w14:paraId="1D976AA2">
                  <w:pPr>
                    <w:adjustRightInd w:val="0"/>
                    <w:snapToGrid w:val="0"/>
                    <w:jc w:val="center"/>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rPr>
                    <w:t>41.5</w:t>
                  </w:r>
                </w:p>
              </w:tc>
            </w:tr>
          </w:tbl>
          <w:p w14:paraId="63D2F78A">
            <w:pPr>
              <w:spacing w:line="360" w:lineRule="auto"/>
              <w:ind w:firstLine="420" w:firstLineChars="200"/>
              <w:rPr>
                <w:rFonts w:hint="default" w:ascii="Times New Roman" w:hAnsi="Times New Roman" w:cs="Times New Roman" w:eastAsiaTheme="minorEastAsia"/>
                <w:color w:val="auto"/>
                <w:szCs w:val="21"/>
                <w:highlight w:val="none"/>
              </w:rPr>
            </w:pPr>
            <w:r>
              <w:rPr>
                <w:rFonts w:hint="default" w:ascii="Times New Roman" w:hAnsi="Times New Roman" w:cs="Times New Roman"/>
                <w:color w:val="auto"/>
                <w:highlight w:val="none"/>
              </w:rPr>
              <w:t>由上表可知，</w:t>
            </w:r>
            <w:r>
              <w:rPr>
                <w:rFonts w:hint="default" w:ascii="Times New Roman" w:hAnsi="Times New Roman" w:cs="Times New Roman"/>
                <w:color w:val="auto"/>
                <w:highlight w:val="none"/>
                <w:lang w:eastAsia="zh-CN"/>
              </w:rPr>
              <w:t>本项目完成后，</w:t>
            </w:r>
            <w:r>
              <w:rPr>
                <w:rFonts w:hint="default" w:ascii="Times New Roman" w:hAnsi="Times New Roman" w:cs="Times New Roman"/>
                <w:color w:val="auto"/>
                <w:highlight w:val="none"/>
              </w:rPr>
              <w:t>厂界噪声能满足《工业企业厂界环境噪声排放标准》（GB12348-2008）中2类标准（昼间60dB（A）</w:t>
            </w:r>
            <w:r>
              <w:rPr>
                <w:rFonts w:hint="eastAsia" w:cs="Times New Roman"/>
                <w:color w:val="auto"/>
                <w:highlight w:val="none"/>
                <w:lang w:eastAsia="zh-CN"/>
              </w:rPr>
              <w:t>、</w:t>
            </w:r>
            <w:r>
              <w:rPr>
                <w:rFonts w:hint="eastAsia" w:cs="Times New Roman"/>
                <w:color w:val="auto"/>
                <w:highlight w:val="none"/>
                <w:lang w:val="en-US" w:eastAsia="zh-CN"/>
              </w:rPr>
              <w:t>夜间</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rPr>
              <w:t>0dB（A））</w:t>
            </w:r>
            <w:r>
              <w:rPr>
                <w:rFonts w:hint="default" w:ascii="Times New Roman" w:hAnsi="Times New Roman" w:cs="Times New Roman" w:eastAsiaTheme="minorEastAsia"/>
                <w:color w:val="auto"/>
                <w:szCs w:val="21"/>
                <w:highlight w:val="none"/>
              </w:rPr>
              <w:t>。</w:t>
            </w:r>
          </w:p>
          <w:p w14:paraId="2F47CFEA">
            <w:pPr>
              <w:snapToGrid w:val="0"/>
              <w:spacing w:line="360" w:lineRule="auto"/>
              <w:ind w:firstLine="420" w:firstLineChars="200"/>
              <w:rPr>
                <w:rFonts w:hint="default" w:ascii="Times New Roman" w:hAnsi="Times New Roman" w:eastAsia="黑体" w:cs="Times New Roman"/>
                <w:color w:val="auto"/>
                <w:highlight w:val="none"/>
              </w:rPr>
            </w:pPr>
            <w:r>
              <w:rPr>
                <w:rFonts w:hint="default" w:ascii="Times New Roman" w:hAnsi="Times New Roman" w:eastAsia="黑体" w:cs="Times New Roman"/>
                <w:color w:val="auto"/>
                <w:highlight w:val="none"/>
              </w:rPr>
              <w:t>7、监测要求</w:t>
            </w:r>
          </w:p>
          <w:p w14:paraId="3D6ECF27">
            <w:pPr>
              <w:spacing w:line="360" w:lineRule="auto"/>
              <w:ind w:firstLine="420" w:firstLineChars="200"/>
              <w:rPr>
                <w:rFonts w:hint="default" w:ascii="Times New Roman" w:hAnsi="Times New Roman" w:cs="Times New Roman" w:eastAsiaTheme="minorEastAsia"/>
                <w:color w:val="auto"/>
                <w:szCs w:val="21"/>
                <w:highlight w:val="none"/>
              </w:rPr>
            </w:pPr>
            <w:r>
              <w:rPr>
                <w:rFonts w:hint="default" w:ascii="Times New Roman" w:hAnsi="Times New Roman" w:cs="Times New Roman"/>
                <w:color w:val="auto"/>
                <w:highlight w:val="none"/>
              </w:rPr>
              <w:t>依据《排污单位自行监测技术指南 总则》（HJ819-2017）</w:t>
            </w:r>
            <w:r>
              <w:rPr>
                <w:rFonts w:hint="default" w:ascii="Times New Roman" w:hAnsi="Times New Roman" w:eastAsia="宋体" w:cs="Times New Roman"/>
                <w:color w:val="auto"/>
                <w:highlight w:val="none"/>
                <w:lang w:eastAsia="zh-CN"/>
              </w:rPr>
              <w:t>、《排污许可证申请与核发技术规范 工业噪声》（HJ 1301—2023）</w:t>
            </w:r>
            <w:r>
              <w:rPr>
                <w:rFonts w:hint="default" w:ascii="Times New Roman" w:hAnsi="Times New Roman" w:cs="Times New Roman"/>
                <w:color w:val="auto"/>
                <w:highlight w:val="none"/>
              </w:rPr>
              <w:t>和本项目情况</w:t>
            </w:r>
            <w:r>
              <w:rPr>
                <w:rFonts w:hint="default" w:ascii="Times New Roman" w:hAnsi="Times New Roman" w:cs="Times New Roman" w:eastAsiaTheme="minorEastAsia"/>
                <w:color w:val="auto"/>
                <w:szCs w:val="21"/>
                <w:highlight w:val="none"/>
              </w:rPr>
              <w:t>，对本项目噪声的日常监测要求见下表：</w:t>
            </w:r>
          </w:p>
          <w:p w14:paraId="50F01437">
            <w:pPr>
              <w:pStyle w:val="1313"/>
              <w:adjustRightInd w:val="0"/>
              <w:snapToGrid w:val="0"/>
              <w:spacing w:line="240" w:lineRule="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表4-</w:t>
            </w:r>
            <w:r>
              <w:rPr>
                <w:rFonts w:hint="default" w:ascii="Times New Roman" w:hAnsi="Times New Roman" w:eastAsia="宋体" w:cs="Times New Roman"/>
                <w:b/>
                <w:bCs/>
                <w:color w:val="auto"/>
                <w:sz w:val="21"/>
                <w:szCs w:val="21"/>
                <w:highlight w:val="none"/>
                <w:lang w:val="en-US" w:eastAsia="zh-CN"/>
              </w:rPr>
              <w:t>1</w:t>
            </w:r>
            <w:r>
              <w:rPr>
                <w:rFonts w:hint="eastAsia" w:ascii="Times New Roman" w:hAnsi="Times New Roman" w:eastAsia="宋体" w:cs="Times New Roman"/>
                <w:b/>
                <w:bCs/>
                <w:color w:val="auto"/>
                <w:sz w:val="21"/>
                <w:szCs w:val="21"/>
                <w:highlight w:val="none"/>
                <w:lang w:val="en-US" w:eastAsia="zh-CN"/>
              </w:rPr>
              <w:t>1</w:t>
            </w:r>
            <w:r>
              <w:rPr>
                <w:rFonts w:hint="default" w:ascii="Times New Roman" w:hAnsi="Times New Roman" w:eastAsia="宋体" w:cs="Times New Roman"/>
                <w:b/>
                <w:bCs/>
                <w:color w:val="auto"/>
                <w:sz w:val="21"/>
                <w:szCs w:val="21"/>
                <w:highlight w:val="none"/>
              </w:rPr>
              <w:t>声监测要求</w:t>
            </w:r>
          </w:p>
          <w:tbl>
            <w:tblPr>
              <w:tblStyle w:val="83"/>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1"/>
              <w:gridCol w:w="6709"/>
            </w:tblGrid>
            <w:tr w14:paraId="019F4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2" w:type="dxa"/>
                  <w:tcBorders>
                    <w:top w:val="single" w:color="auto" w:sz="4" w:space="0"/>
                    <w:left w:val="single" w:color="auto" w:sz="4" w:space="0"/>
                    <w:bottom w:val="single" w:color="auto" w:sz="4" w:space="0"/>
                    <w:right w:val="single" w:color="auto" w:sz="4" w:space="0"/>
                  </w:tcBorders>
                  <w:vAlign w:val="center"/>
                </w:tcPr>
                <w:p w14:paraId="0EA85080">
                  <w:pPr>
                    <w:pStyle w:val="381"/>
                    <w:spacing w:line="240" w:lineRule="exact"/>
                    <w:ind w:firstLine="0" w:firstLineChars="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监测点位</w:t>
                  </w:r>
                </w:p>
              </w:tc>
              <w:tc>
                <w:tcPr>
                  <w:tcW w:w="6712" w:type="dxa"/>
                  <w:tcBorders>
                    <w:top w:val="single" w:color="auto" w:sz="4" w:space="0"/>
                    <w:left w:val="single" w:color="auto" w:sz="4" w:space="0"/>
                    <w:bottom w:val="single" w:color="auto" w:sz="4" w:space="0"/>
                    <w:right w:val="single" w:color="auto" w:sz="4" w:space="0"/>
                  </w:tcBorders>
                  <w:vAlign w:val="center"/>
                </w:tcPr>
                <w:p w14:paraId="280F697D">
                  <w:pPr>
                    <w:pStyle w:val="381"/>
                    <w:spacing w:line="420" w:lineRule="exact"/>
                    <w:ind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厂界外1m</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东、南、西、北</w:t>
                  </w:r>
                  <w:r>
                    <w:rPr>
                      <w:rFonts w:hint="default" w:ascii="Times New Roman" w:hAnsi="Times New Roman" w:cs="Times New Roman"/>
                      <w:color w:val="auto"/>
                      <w:sz w:val="18"/>
                      <w:szCs w:val="18"/>
                      <w:highlight w:val="none"/>
                      <w:lang w:eastAsia="zh-CN"/>
                    </w:rPr>
                    <w:t>）</w:t>
                  </w:r>
                </w:p>
              </w:tc>
            </w:tr>
            <w:tr w14:paraId="3DB33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2" w:type="dxa"/>
                  <w:tcBorders>
                    <w:top w:val="single" w:color="auto" w:sz="4" w:space="0"/>
                    <w:left w:val="single" w:color="auto" w:sz="4" w:space="0"/>
                    <w:bottom w:val="single" w:color="auto" w:sz="4" w:space="0"/>
                    <w:right w:val="single" w:color="auto" w:sz="4" w:space="0"/>
                  </w:tcBorders>
                  <w:vAlign w:val="center"/>
                </w:tcPr>
                <w:p w14:paraId="1D447737">
                  <w:pPr>
                    <w:pStyle w:val="381"/>
                    <w:spacing w:line="240" w:lineRule="exact"/>
                    <w:ind w:firstLine="0" w:firstLineChars="0"/>
                    <w:jc w:val="center"/>
                    <w:rPr>
                      <w:rFonts w:hint="default" w:ascii="Times New Roman" w:hAnsi="Times New Roman" w:cs="Times New Roman"/>
                      <w:b/>
                      <w:bCs/>
                      <w:color w:val="auto"/>
                      <w:sz w:val="18"/>
                      <w:szCs w:val="18"/>
                      <w:highlight w:val="none"/>
                      <w:lang w:val="en-US"/>
                    </w:rPr>
                  </w:pPr>
                  <w:r>
                    <w:rPr>
                      <w:rFonts w:hint="default" w:ascii="Times New Roman" w:hAnsi="Times New Roman" w:cs="Times New Roman"/>
                      <w:b/>
                      <w:bCs/>
                      <w:color w:val="auto"/>
                      <w:sz w:val="18"/>
                      <w:szCs w:val="18"/>
                      <w:highlight w:val="none"/>
                      <w:lang w:val="en-US"/>
                    </w:rPr>
                    <w:t>监测项目</w:t>
                  </w:r>
                </w:p>
              </w:tc>
              <w:tc>
                <w:tcPr>
                  <w:tcW w:w="6712" w:type="dxa"/>
                  <w:tcBorders>
                    <w:top w:val="single" w:color="auto" w:sz="4" w:space="0"/>
                    <w:left w:val="single" w:color="auto" w:sz="4" w:space="0"/>
                    <w:bottom w:val="single" w:color="auto" w:sz="4" w:space="0"/>
                    <w:right w:val="single" w:color="auto" w:sz="4" w:space="0"/>
                  </w:tcBorders>
                  <w:vAlign w:val="center"/>
                </w:tcPr>
                <w:p w14:paraId="0E78E2BF">
                  <w:pPr>
                    <w:pStyle w:val="381"/>
                    <w:spacing w:line="240" w:lineRule="exact"/>
                    <w:ind w:firstLine="0" w:firstLineChars="0"/>
                    <w:jc w:val="center"/>
                    <w:rPr>
                      <w:rFonts w:hint="default" w:ascii="Times New Roman" w:hAnsi="Times New Roman" w:cs="Times New Roman" w:eastAsiaTheme="minorEastAsia"/>
                      <w:color w:val="auto"/>
                      <w:sz w:val="18"/>
                      <w:szCs w:val="18"/>
                      <w:highlight w:val="none"/>
                      <w:lang w:val="en-US"/>
                    </w:rPr>
                  </w:pPr>
                  <w:r>
                    <w:rPr>
                      <w:rFonts w:hint="default" w:ascii="Times New Roman" w:hAnsi="Times New Roman" w:eastAsia="宋体" w:cs="Times New Roman"/>
                      <w:color w:val="auto"/>
                      <w:sz w:val="18"/>
                      <w:szCs w:val="18"/>
                      <w:highlight w:val="none"/>
                      <w:lang w:val="en-US" w:eastAsia="zh-CN"/>
                    </w:rPr>
                    <w:t>昼</w:t>
                  </w:r>
                  <w:r>
                    <w:rPr>
                      <w:rFonts w:hint="eastAsia" w:cs="Times New Roman"/>
                      <w:color w:val="auto"/>
                      <w:sz w:val="18"/>
                      <w:szCs w:val="18"/>
                      <w:highlight w:val="none"/>
                      <w:lang w:val="en-US" w:eastAsia="zh-CN"/>
                    </w:rPr>
                    <w:t>、夜</w:t>
                  </w:r>
                  <w:r>
                    <w:rPr>
                      <w:rFonts w:hint="default" w:ascii="Times New Roman" w:hAnsi="Times New Roman" w:eastAsia="宋体" w:cs="Times New Roman"/>
                      <w:color w:val="auto"/>
                      <w:sz w:val="18"/>
                      <w:szCs w:val="18"/>
                      <w:highlight w:val="none"/>
                      <w:lang w:val="en-US" w:eastAsia="zh-CN"/>
                    </w:rPr>
                    <w:t>间</w:t>
                  </w:r>
                  <w:r>
                    <w:rPr>
                      <w:rFonts w:hint="default" w:ascii="Times New Roman" w:hAnsi="Times New Roman" w:eastAsia="宋体" w:cs="Times New Roman"/>
                      <w:color w:val="auto"/>
                      <w:sz w:val="18"/>
                      <w:szCs w:val="18"/>
                      <w:highlight w:val="none"/>
                      <w:lang w:val="en-US"/>
                    </w:rPr>
                    <w:t>等效连续 A 声级</w:t>
                  </w:r>
                </w:p>
              </w:tc>
            </w:tr>
            <w:tr w14:paraId="35921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2" w:type="dxa"/>
                  <w:tcBorders>
                    <w:top w:val="single" w:color="auto" w:sz="4" w:space="0"/>
                    <w:left w:val="single" w:color="auto" w:sz="4" w:space="0"/>
                    <w:bottom w:val="single" w:color="auto" w:sz="4" w:space="0"/>
                    <w:right w:val="single" w:color="auto" w:sz="4" w:space="0"/>
                  </w:tcBorders>
                  <w:vAlign w:val="center"/>
                </w:tcPr>
                <w:p w14:paraId="0343B265">
                  <w:pPr>
                    <w:pStyle w:val="381"/>
                    <w:spacing w:line="240" w:lineRule="exact"/>
                    <w:ind w:firstLine="0" w:firstLineChars="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监测频次</w:t>
                  </w:r>
                </w:p>
              </w:tc>
              <w:tc>
                <w:tcPr>
                  <w:tcW w:w="6712" w:type="dxa"/>
                  <w:tcBorders>
                    <w:top w:val="single" w:color="auto" w:sz="4" w:space="0"/>
                    <w:left w:val="single" w:color="auto" w:sz="4" w:space="0"/>
                    <w:bottom w:val="single" w:color="auto" w:sz="4" w:space="0"/>
                    <w:right w:val="single" w:color="auto" w:sz="4" w:space="0"/>
                  </w:tcBorders>
                  <w:vAlign w:val="center"/>
                </w:tcPr>
                <w:p w14:paraId="7BAC4177">
                  <w:pPr>
                    <w:pStyle w:val="381"/>
                    <w:spacing w:line="420" w:lineRule="exact"/>
                    <w:ind w:firstLine="0" w:firstLineChars="0"/>
                    <w:jc w:val="center"/>
                    <w:rPr>
                      <w:rFonts w:hint="default" w:ascii="Times New Roman" w:hAnsi="Times New Roman" w:cs="Times New Roman" w:eastAsiaTheme="minorEastAsia"/>
                      <w:color w:val="auto"/>
                      <w:sz w:val="18"/>
                      <w:szCs w:val="18"/>
                      <w:highlight w:val="none"/>
                      <w:lang w:val="en-US"/>
                    </w:rPr>
                  </w:pPr>
                  <w:r>
                    <w:rPr>
                      <w:rFonts w:hint="default" w:ascii="Times New Roman" w:hAnsi="Times New Roman" w:cs="Times New Roman"/>
                      <w:color w:val="auto"/>
                      <w:sz w:val="18"/>
                      <w:szCs w:val="18"/>
                      <w:highlight w:val="none"/>
                      <w:lang w:val="en-US"/>
                    </w:rPr>
                    <w:t>每季度1次</w:t>
                  </w:r>
                </w:p>
              </w:tc>
            </w:tr>
            <w:tr w14:paraId="2F77A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2" w:type="dxa"/>
                  <w:tcBorders>
                    <w:top w:val="single" w:color="auto" w:sz="4" w:space="0"/>
                    <w:left w:val="single" w:color="auto" w:sz="4" w:space="0"/>
                    <w:bottom w:val="single" w:color="auto" w:sz="4" w:space="0"/>
                    <w:right w:val="single" w:color="auto" w:sz="4" w:space="0"/>
                  </w:tcBorders>
                  <w:vAlign w:val="center"/>
                </w:tcPr>
                <w:p w14:paraId="3BD35114">
                  <w:pPr>
                    <w:pStyle w:val="381"/>
                    <w:spacing w:line="240" w:lineRule="exact"/>
                    <w:ind w:firstLine="0" w:firstLineChars="0"/>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执行标准</w:t>
                  </w:r>
                </w:p>
              </w:tc>
              <w:tc>
                <w:tcPr>
                  <w:tcW w:w="6712" w:type="dxa"/>
                  <w:tcBorders>
                    <w:top w:val="single" w:color="auto" w:sz="4" w:space="0"/>
                    <w:left w:val="single" w:color="auto" w:sz="4" w:space="0"/>
                    <w:bottom w:val="single" w:color="auto" w:sz="4" w:space="0"/>
                    <w:right w:val="single" w:color="auto" w:sz="4" w:space="0"/>
                  </w:tcBorders>
                  <w:vAlign w:val="center"/>
                </w:tcPr>
                <w:p w14:paraId="492B9F7C">
                  <w:pPr>
                    <w:pStyle w:val="381"/>
                    <w:spacing w:line="420" w:lineRule="exact"/>
                    <w:ind w:firstLine="0" w:firstLineChars="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color w:val="auto"/>
                      <w:sz w:val="18"/>
                      <w:szCs w:val="18"/>
                      <w:highlight w:val="none"/>
                    </w:rPr>
                    <w:t>《工业企业厂界环境噪声排放标准》（GB12348-2008）2类标准</w:t>
                  </w:r>
                </w:p>
              </w:tc>
            </w:tr>
          </w:tbl>
          <w:p w14:paraId="53B45B8A">
            <w:pPr>
              <w:adjustRightInd w:val="0"/>
              <w:snapToGrid w:val="0"/>
              <w:spacing w:line="360" w:lineRule="auto"/>
              <w:ind w:firstLine="422" w:firstLineChars="200"/>
              <w:rPr>
                <w:b/>
                <w:bCs/>
                <w:color w:val="auto"/>
              </w:rPr>
            </w:pPr>
            <w:r>
              <w:rPr>
                <w:b/>
                <w:bCs/>
                <w:color w:val="auto"/>
              </w:rPr>
              <w:t>四、固体废物</w:t>
            </w:r>
          </w:p>
          <w:p w14:paraId="46DCF38C">
            <w:pPr>
              <w:adjustRightInd w:val="0"/>
              <w:snapToGrid w:val="0"/>
              <w:spacing w:line="360" w:lineRule="auto"/>
              <w:ind w:firstLine="422" w:firstLineChars="200"/>
              <w:rPr>
                <w:b/>
                <w:bCs/>
                <w:color w:val="auto"/>
              </w:rPr>
            </w:pPr>
            <w:r>
              <w:rPr>
                <w:b/>
                <w:bCs/>
                <w:color w:val="auto"/>
              </w:rPr>
              <w:t>1、固体废弃物产生环节及处置</w:t>
            </w:r>
          </w:p>
          <w:p w14:paraId="5CF31647">
            <w:pPr>
              <w:tabs>
                <w:tab w:val="left" w:pos="1800"/>
              </w:tabs>
              <w:adjustRightInd w:val="0"/>
              <w:snapToGrid w:val="0"/>
              <w:spacing w:line="360" w:lineRule="auto"/>
              <w:ind w:firstLine="420" w:firstLineChars="200"/>
              <w:rPr>
                <w:rFonts w:hint="default" w:ascii="Times New Roman" w:hAnsi="Times New Roman" w:cs="Times New Roman"/>
                <w:color w:val="auto"/>
                <w:highlight w:val="none"/>
              </w:rPr>
            </w:pPr>
            <w:r>
              <w:rPr>
                <w:rFonts w:hint="default" w:ascii="Times New Roman" w:hAnsi="Times New Roman" w:cs="Times New Roman"/>
                <w:snapToGrid w:val="0"/>
                <w:color w:val="auto"/>
                <w:kern w:val="0"/>
                <w:sz w:val="21"/>
                <w:szCs w:val="21"/>
                <w:highlight w:val="none"/>
              </w:rPr>
              <w:t>根据《固体废物鉴别标准通则》（GB34330-20</w:t>
            </w:r>
            <w:r>
              <w:rPr>
                <w:rFonts w:hint="eastAsia" w:ascii="Times New Roman" w:hAnsi="Times New Roman" w:cs="Times New Roman"/>
                <w:snapToGrid w:val="0"/>
                <w:color w:val="auto"/>
                <w:kern w:val="0"/>
                <w:sz w:val="21"/>
                <w:szCs w:val="21"/>
                <w:highlight w:val="none"/>
                <w:lang w:val="en-US" w:eastAsia="zh-CN"/>
              </w:rPr>
              <w:t>25</w:t>
            </w:r>
            <w:r>
              <w:rPr>
                <w:rFonts w:hint="default" w:ascii="Times New Roman" w:hAnsi="Times New Roman" w:cs="Times New Roman"/>
                <w:snapToGrid w:val="0"/>
                <w:color w:val="auto"/>
                <w:kern w:val="0"/>
                <w:sz w:val="21"/>
                <w:szCs w:val="21"/>
                <w:highlight w:val="none"/>
              </w:rPr>
              <w:t>）</w:t>
            </w:r>
            <w:r>
              <w:rPr>
                <w:rFonts w:hint="eastAsia" w:cs="Times New Roman"/>
                <w:snapToGrid w:val="0"/>
                <w:color w:val="auto"/>
                <w:kern w:val="0"/>
                <w:sz w:val="21"/>
                <w:szCs w:val="21"/>
                <w:highlight w:val="none"/>
                <w:lang w:val="en-US" w:eastAsia="zh-CN"/>
              </w:rPr>
              <w:t>中</w:t>
            </w:r>
            <w:r>
              <w:rPr>
                <w:rFonts w:hint="default" w:ascii="Times New Roman" w:hAnsi="Times New Roman" w:cs="Times New Roman"/>
                <w:snapToGrid w:val="0"/>
                <w:color w:val="auto"/>
                <w:kern w:val="0"/>
                <w:sz w:val="21"/>
                <w:szCs w:val="21"/>
                <w:highlight w:val="none"/>
              </w:rPr>
              <w:t>4.2.2销售、流通和使用过程中的下列物质：b） 不需要任何修复、加工，或存在功能缺陷但已恢复其原有使用功能的耐久性消费品（包含机电产品及零部件、元器件、生产装置、总成、容器）。销售、流通过程中该类物质还应同时满足以下所有条件：1） 具备完整的使用功能；2） 跨境销售、流通中，还应符合接收国家、地区对此类物品功能更新换代的要求，具有市场需求且未被淘汰；3） 满足后续使用对外观、性能和完整性的要求；4） 成批销售的物品需根据销售要求清洁、分类、包装，不属于固体废物。</w:t>
            </w:r>
            <w:r>
              <w:rPr>
                <w:rFonts w:hint="eastAsia" w:ascii="Times New Roman" w:hAnsi="Times New Roman" w:cs="Times New Roman"/>
                <w:color w:val="auto"/>
                <w:highlight w:val="none"/>
                <w:lang w:val="en-US" w:eastAsia="zh-CN"/>
              </w:rPr>
              <w:t>萃取剂包装桶（S</w:t>
            </w:r>
            <w:r>
              <w:rPr>
                <w:rFonts w:hint="eastAsia" w:cs="Times New Roman"/>
                <w:color w:val="auto"/>
                <w:highlight w:val="none"/>
                <w:lang w:val="en-US" w:eastAsia="zh-CN"/>
              </w:rPr>
              <w:t>3</w:t>
            </w:r>
            <w:r>
              <w:rPr>
                <w:rFonts w:hint="eastAsia" w:ascii="Times New Roman" w:hAnsi="Times New Roman" w:cs="Times New Roman"/>
                <w:color w:val="auto"/>
                <w:highlight w:val="none"/>
                <w:lang w:val="en-US" w:eastAsia="zh-CN"/>
              </w:rPr>
              <w:t>、S</w:t>
            </w:r>
            <w:r>
              <w:rPr>
                <w:rFonts w:hint="eastAsia" w:cs="Times New Roman"/>
                <w:color w:val="auto"/>
                <w:highlight w:val="none"/>
                <w:lang w:val="en-US" w:eastAsia="zh-CN"/>
              </w:rPr>
              <w:t>4</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sz w:val="21"/>
                <w:szCs w:val="21"/>
                <w:highlight w:val="none"/>
              </w:rPr>
              <w:t>由生产厂家回收用作原始用途，不作为固体废物</w:t>
            </w:r>
            <w:r>
              <w:rPr>
                <w:rFonts w:hint="default" w:ascii="Times New Roman" w:hAnsi="Times New Roman" w:cs="Times New Roman"/>
                <w:color w:val="auto"/>
                <w:sz w:val="21"/>
                <w:szCs w:val="21"/>
                <w:highlight w:val="none"/>
                <w:lang w:val="en-US" w:eastAsia="zh-CN"/>
              </w:rPr>
              <w:t>处置</w:t>
            </w:r>
            <w:r>
              <w:rPr>
                <w:rFonts w:hint="eastAsia" w:ascii="Times New Roman" w:hAnsi="Times New Roman" w:cs="Times New Roman"/>
                <w:color w:val="auto"/>
                <w:sz w:val="21"/>
                <w:szCs w:val="21"/>
                <w:highlight w:val="none"/>
                <w:lang w:val="en-US" w:eastAsia="zh-CN"/>
              </w:rPr>
              <w:t>。</w:t>
            </w:r>
          </w:p>
          <w:p w14:paraId="1C42F97D">
            <w:pPr>
              <w:autoSpaceDE w:val="0"/>
              <w:autoSpaceDN w:val="0"/>
              <w:adjustRightInd w:val="0"/>
              <w:snapToGrid w:val="0"/>
              <w:spacing w:line="360" w:lineRule="auto"/>
              <w:ind w:firstLine="420" w:firstLineChars="200"/>
              <w:rPr>
                <w:rFonts w:hint="eastAsia" w:ascii="Times New Roman" w:hAnsi="Times New Roman" w:cs="Times New Roman"/>
                <w:bCs/>
                <w:color w:val="auto"/>
                <w:highlight w:val="none"/>
                <w:lang w:eastAsia="zh-CN"/>
              </w:rPr>
            </w:pPr>
            <w:r>
              <w:rPr>
                <w:rFonts w:hint="default" w:ascii="Times New Roman" w:hAnsi="Times New Roman" w:cs="Times New Roman"/>
                <w:bCs/>
                <w:color w:val="auto"/>
                <w:szCs w:val="21"/>
                <w:highlight w:val="none"/>
              </w:rPr>
              <w:t>本项目产生的固体废物主要为</w:t>
            </w:r>
            <w:r>
              <w:rPr>
                <w:rFonts w:hint="eastAsia" w:cs="Times New Roman"/>
                <w:bCs/>
                <w:color w:val="auto"/>
                <w:szCs w:val="21"/>
                <w:highlight w:val="none"/>
                <w:lang w:val="en-US" w:eastAsia="zh-CN"/>
              </w:rPr>
              <w:t>废包装袋（S1）、压滤和过滤杂质（S2、S5）、</w:t>
            </w:r>
            <w:r>
              <w:rPr>
                <w:rFonts w:hint="eastAsia" w:cs="Times New Roman"/>
                <w:bCs/>
                <w:color w:val="auto"/>
                <w:highlight w:val="none"/>
                <w:lang w:val="en-US" w:eastAsia="zh-CN"/>
              </w:rPr>
              <w:t>废盐</w:t>
            </w:r>
            <w:r>
              <w:rPr>
                <w:rFonts w:hint="eastAsia" w:cs="Times New Roman"/>
                <w:bCs/>
                <w:color w:val="auto"/>
                <w:szCs w:val="21"/>
                <w:highlight w:val="none"/>
                <w:lang w:val="en-US" w:eastAsia="zh-CN"/>
              </w:rPr>
              <w:t>（S6）、</w:t>
            </w:r>
            <w:r>
              <w:rPr>
                <w:rFonts w:hint="eastAsia" w:cs="Times New Roman"/>
                <w:bCs/>
                <w:color w:val="auto"/>
                <w:highlight w:val="none"/>
                <w:lang w:val="en-US" w:eastAsia="zh-CN"/>
              </w:rPr>
              <w:t>废活性炭</w:t>
            </w:r>
            <w:r>
              <w:rPr>
                <w:rFonts w:hint="default" w:ascii="Times New Roman" w:hAnsi="Times New Roman" w:cs="Times New Roman"/>
                <w:bCs/>
                <w:color w:val="auto"/>
                <w:highlight w:val="none"/>
                <w:lang w:val="en-US" w:eastAsia="zh-CN"/>
              </w:rPr>
              <w:t>（S</w:t>
            </w:r>
            <w:r>
              <w:rPr>
                <w:rFonts w:hint="eastAsia" w:cs="Times New Roman"/>
                <w:bCs/>
                <w:color w:val="auto"/>
                <w:highlight w:val="none"/>
                <w:lang w:val="en-US" w:eastAsia="zh-CN"/>
              </w:rPr>
              <w:t>7</w:t>
            </w:r>
            <w:r>
              <w:rPr>
                <w:rFonts w:hint="default" w:ascii="Times New Roman" w:hAnsi="Times New Roman" w:cs="Times New Roman"/>
                <w:bCs/>
                <w:color w:val="auto"/>
                <w:highlight w:val="none"/>
                <w:lang w:val="en-US" w:eastAsia="zh-CN"/>
              </w:rPr>
              <w:t>）、</w:t>
            </w:r>
            <w:r>
              <w:rPr>
                <w:rFonts w:hint="eastAsia" w:cs="Times New Roman"/>
                <w:bCs/>
                <w:color w:val="auto"/>
                <w:highlight w:val="none"/>
                <w:lang w:val="en-US" w:eastAsia="zh-CN"/>
              </w:rPr>
              <w:t>废机油（S8）、废机油桶（S9）、</w:t>
            </w:r>
            <w:r>
              <w:rPr>
                <w:rFonts w:hint="default" w:ascii="Times New Roman" w:hAnsi="Times New Roman" w:cs="Times New Roman"/>
                <w:bCs/>
                <w:color w:val="auto"/>
                <w:highlight w:val="none"/>
              </w:rPr>
              <w:t>生活垃圾</w:t>
            </w:r>
            <w:r>
              <w:rPr>
                <w:rFonts w:hint="default" w:ascii="Times New Roman" w:hAnsi="Times New Roman" w:cs="Times New Roman"/>
                <w:bCs/>
                <w:color w:val="auto"/>
                <w:highlight w:val="none"/>
                <w:lang w:eastAsia="zh-CN"/>
              </w:rPr>
              <w:t>（</w:t>
            </w:r>
            <w:r>
              <w:rPr>
                <w:rFonts w:hint="eastAsia" w:cs="Times New Roman"/>
                <w:bCs/>
                <w:color w:val="auto"/>
                <w:highlight w:val="none"/>
                <w:lang w:val="en-US" w:eastAsia="zh-CN"/>
              </w:rPr>
              <w:t>S10</w:t>
            </w:r>
            <w:r>
              <w:rPr>
                <w:rFonts w:hint="default" w:ascii="Times New Roman" w:hAnsi="Times New Roman" w:cs="Times New Roman"/>
                <w:bCs/>
                <w:color w:val="auto"/>
                <w:highlight w:val="none"/>
                <w:lang w:eastAsia="zh-CN"/>
              </w:rPr>
              <w:t>）</w:t>
            </w:r>
            <w:r>
              <w:rPr>
                <w:rFonts w:hint="eastAsia" w:ascii="Times New Roman" w:hAnsi="Times New Roman" w:cs="Times New Roman"/>
                <w:bCs/>
                <w:color w:val="auto"/>
                <w:highlight w:val="none"/>
                <w:lang w:eastAsia="zh-CN"/>
              </w:rPr>
              <w:t>。</w:t>
            </w:r>
          </w:p>
          <w:p w14:paraId="3628D586">
            <w:pPr>
              <w:autoSpaceDE w:val="0"/>
              <w:autoSpaceDN w:val="0"/>
              <w:adjustRightInd w:val="0"/>
              <w:snapToGrid w:val="0"/>
              <w:spacing w:line="360" w:lineRule="auto"/>
              <w:ind w:firstLine="420" w:firstLineChars="200"/>
              <w:rPr>
                <w:rFonts w:hint="eastAsia" w:cs="Times New Roman"/>
                <w:bCs/>
                <w:color w:val="auto"/>
                <w:szCs w:val="21"/>
                <w:highlight w:val="none"/>
                <w:lang w:val="en-US" w:eastAsia="zh-CN"/>
              </w:rPr>
            </w:pPr>
            <w:r>
              <w:rPr>
                <w:rFonts w:hint="eastAsia" w:cs="Times New Roman"/>
                <w:bCs/>
                <w:color w:val="auto"/>
                <w:szCs w:val="21"/>
                <w:highlight w:val="none"/>
                <w:lang w:val="en-US" w:eastAsia="zh-CN"/>
              </w:rPr>
              <w:t>（1）废包装袋（S1）</w:t>
            </w:r>
          </w:p>
          <w:p w14:paraId="62955EB8">
            <w:pPr>
              <w:autoSpaceDE w:val="0"/>
              <w:autoSpaceDN w:val="0"/>
              <w:adjustRightInd w:val="0"/>
              <w:snapToGrid w:val="0"/>
              <w:spacing w:line="360" w:lineRule="auto"/>
              <w:ind w:firstLine="420" w:firstLineChars="200"/>
              <w:rPr>
                <w:rFonts w:hint="eastAsia" w:eastAsia="宋体" w:cs="Times New Roman"/>
                <w:bCs/>
                <w:color w:val="auto"/>
                <w:szCs w:val="21"/>
                <w:highlight w:val="none"/>
                <w:lang w:val="en-US" w:eastAsia="zh-CN"/>
              </w:rPr>
            </w:pPr>
            <w:r>
              <w:rPr>
                <w:rFonts w:hint="eastAsia" w:cs="Times New Roman"/>
                <w:color w:val="auto"/>
                <w:szCs w:val="21"/>
                <w:highlight w:val="none"/>
                <w:lang w:val="en-US" w:eastAsia="zh-CN"/>
              </w:rPr>
              <w:t>本</w:t>
            </w:r>
            <w:r>
              <w:rPr>
                <w:rFonts w:hint="default" w:ascii="Times New Roman" w:hAnsi="Times New Roman" w:eastAsia="宋体" w:cs="Times New Roman"/>
                <w:color w:val="auto"/>
                <w:szCs w:val="21"/>
                <w:highlight w:val="none"/>
              </w:rPr>
              <w:t>项目</w:t>
            </w:r>
            <w:r>
              <w:rPr>
                <w:rFonts w:hint="default" w:ascii="Times New Roman" w:hAnsi="Times New Roman" w:eastAsia="宋体" w:cs="Times New Roman"/>
                <w:color w:val="auto"/>
                <w:szCs w:val="21"/>
                <w:highlight w:val="none"/>
                <w:lang w:val="en-US" w:eastAsia="zh-CN"/>
              </w:rPr>
              <w:t>工业级氧氯化锆</w:t>
            </w:r>
            <w:r>
              <w:rPr>
                <w:rFonts w:hint="eastAsia" w:cs="Times New Roman"/>
                <w:color w:val="auto"/>
                <w:szCs w:val="21"/>
                <w:highlight w:val="none"/>
                <w:lang w:val="en-US" w:eastAsia="zh-CN"/>
              </w:rPr>
              <w:t>、氢氧化钠等使用包装袋包装，生产过程中会产生废包装材料，</w:t>
            </w:r>
            <w:r>
              <w:rPr>
                <w:rFonts w:hint="default" w:ascii="Times New Roman" w:hAnsi="Times New Roman" w:eastAsia="宋体" w:cs="Times New Roman"/>
                <w:color w:val="auto"/>
                <w:szCs w:val="21"/>
                <w:highlight w:val="none"/>
                <w:lang w:val="en-US" w:eastAsia="zh-CN"/>
              </w:rPr>
              <w:t>工业级氧氯化锆</w:t>
            </w:r>
            <w:r>
              <w:rPr>
                <w:rFonts w:hint="eastAsia" w:ascii="Times New Roman" w:hAnsi="Times New Roman" w:eastAsia="宋体" w:cs="Times New Roman"/>
                <w:color w:val="auto"/>
                <w:szCs w:val="21"/>
                <w:highlight w:val="none"/>
                <w:lang w:val="en-US" w:eastAsia="zh-CN"/>
              </w:rPr>
              <w:t>用量为2600t/a，包装规格为吨包，每个废包装袋重量为2.8kg，氢氧化钠用量为15.759t/a，包装规格为0.12kg/袋，每个废包装袋重量为2.8kg，</w:t>
            </w:r>
            <w:r>
              <w:rPr>
                <w:rFonts w:hint="eastAsia" w:cs="Times New Roman"/>
                <w:color w:val="auto"/>
                <w:szCs w:val="21"/>
                <w:highlight w:val="none"/>
                <w:lang w:val="en-US" w:eastAsia="zh-CN"/>
              </w:rPr>
              <w:t>则废包装袋约为0.756t/a</w:t>
            </w:r>
            <w:r>
              <w:rPr>
                <w:rFonts w:hint="default" w:ascii="Times New Roman" w:hAnsi="Times New Roman" w:eastAsia="宋体" w:cs="Times New Roman"/>
                <w:color w:val="auto"/>
                <w:szCs w:val="21"/>
                <w:highlight w:val="none"/>
              </w:rPr>
              <w:t>，为一般固体废物，</w:t>
            </w:r>
            <w:r>
              <w:rPr>
                <w:rFonts w:hint="eastAsia" w:ascii="Times New Roman" w:hAnsi="Times New Roman" w:eastAsia="宋体" w:cs="Times New Roman"/>
                <w:color w:val="auto"/>
                <w:szCs w:val="21"/>
                <w:highlight w:val="none"/>
                <w:lang w:val="en-US" w:eastAsia="zh-CN"/>
              </w:rPr>
              <w:t>代码为900-003-S17，暂存在一般固废暂存处，</w:t>
            </w:r>
            <w:r>
              <w:rPr>
                <w:rFonts w:hint="default" w:ascii="Times New Roman" w:hAnsi="Times New Roman" w:eastAsia="宋体" w:cs="Times New Roman"/>
                <w:color w:val="auto"/>
                <w:szCs w:val="21"/>
                <w:highlight w:val="none"/>
              </w:rPr>
              <w:t>外售处理</w:t>
            </w:r>
            <w:r>
              <w:rPr>
                <w:rFonts w:hint="eastAsia" w:ascii="Times New Roman" w:hAnsi="Times New Roman" w:eastAsia="宋体" w:cs="Times New Roman"/>
                <w:color w:val="auto"/>
                <w:szCs w:val="21"/>
                <w:highlight w:val="none"/>
                <w:lang w:eastAsia="zh-CN"/>
              </w:rPr>
              <w:t>。</w:t>
            </w:r>
          </w:p>
          <w:p w14:paraId="636212D4">
            <w:pPr>
              <w:numPr>
                <w:ilvl w:val="0"/>
                <w:numId w:val="0"/>
              </w:numPr>
              <w:autoSpaceDE w:val="0"/>
              <w:autoSpaceDN w:val="0"/>
              <w:adjustRightInd w:val="0"/>
              <w:snapToGrid w:val="0"/>
              <w:spacing w:line="360" w:lineRule="auto"/>
              <w:rPr>
                <w:rFonts w:hint="eastAsia" w:cs="Times New Roman"/>
                <w:bCs/>
                <w:color w:val="auto"/>
                <w:highlight w:val="none"/>
                <w:lang w:val="en-US" w:eastAsia="zh-CN"/>
              </w:rPr>
            </w:pPr>
            <w:r>
              <w:rPr>
                <w:rFonts w:hint="eastAsia" w:cs="Times New Roman"/>
                <w:bCs/>
                <w:color w:val="auto"/>
                <w:szCs w:val="21"/>
                <w:highlight w:val="none"/>
                <w:lang w:val="en-US" w:eastAsia="zh-CN"/>
              </w:rPr>
              <w:t xml:space="preserve">        （2）压滤和过滤杂质（S2、S5）</w:t>
            </w:r>
          </w:p>
          <w:p w14:paraId="3EC43BD6">
            <w:pPr>
              <w:numPr>
                <w:ilvl w:val="0"/>
                <w:numId w:val="0"/>
              </w:numPr>
              <w:autoSpaceDE w:val="0"/>
              <w:autoSpaceDN w:val="0"/>
              <w:adjustRightInd w:val="0"/>
              <w:snapToGrid w:val="0"/>
              <w:spacing w:line="360" w:lineRule="auto"/>
              <w:rPr>
                <w:rFonts w:hint="eastAsia" w:eastAsia="宋体" w:cs="Times New Roman"/>
                <w:bCs/>
                <w:color w:val="auto"/>
                <w:highlight w:val="none"/>
                <w:lang w:val="en-US" w:eastAsia="zh-CN"/>
              </w:rPr>
            </w:pPr>
            <w:r>
              <w:rPr>
                <w:rFonts w:hint="eastAsia" w:cs="Times New Roman"/>
                <w:bCs/>
                <w:color w:val="auto"/>
                <w:highlight w:val="none"/>
                <w:lang w:val="en-US" w:eastAsia="zh-CN"/>
              </w:rPr>
              <w:t xml:space="preserve">        根据企业提供资料，本项目压滤和过滤过程中产生的杂质约为原料用量的0.1%，为2.6t/a，</w:t>
            </w:r>
            <w:r>
              <w:rPr>
                <w:rFonts w:hint="default" w:ascii="Times New Roman" w:hAnsi="Times New Roman" w:eastAsia="宋体" w:cs="Times New Roman"/>
                <w:color w:val="auto"/>
                <w:szCs w:val="21"/>
                <w:highlight w:val="none"/>
              </w:rPr>
              <w:t>为一般固体废物，</w:t>
            </w:r>
            <w:r>
              <w:rPr>
                <w:rFonts w:hint="eastAsia" w:ascii="Times New Roman" w:hAnsi="Times New Roman" w:eastAsia="宋体" w:cs="Times New Roman"/>
                <w:color w:val="auto"/>
                <w:szCs w:val="21"/>
                <w:highlight w:val="none"/>
                <w:lang w:val="en-US" w:eastAsia="zh-CN"/>
              </w:rPr>
              <w:t>代码为S59，900-099-S59，暂存在一般固废暂存处，</w:t>
            </w:r>
            <w:r>
              <w:rPr>
                <w:rFonts w:hint="default" w:ascii="Times New Roman" w:hAnsi="Times New Roman" w:eastAsia="宋体" w:cs="Times New Roman"/>
                <w:color w:val="auto"/>
                <w:szCs w:val="21"/>
                <w:highlight w:val="none"/>
              </w:rPr>
              <w:t>外售处理</w:t>
            </w:r>
            <w:r>
              <w:rPr>
                <w:rFonts w:hint="eastAsia" w:ascii="Times New Roman" w:hAnsi="Times New Roman" w:eastAsia="宋体" w:cs="Times New Roman"/>
                <w:color w:val="auto"/>
                <w:szCs w:val="21"/>
                <w:highlight w:val="none"/>
                <w:lang w:eastAsia="zh-CN"/>
              </w:rPr>
              <w:t>。</w:t>
            </w:r>
          </w:p>
          <w:p w14:paraId="6327658E">
            <w:pPr>
              <w:numPr>
                <w:ilvl w:val="0"/>
                <w:numId w:val="0"/>
              </w:numPr>
              <w:autoSpaceDE w:val="0"/>
              <w:autoSpaceDN w:val="0"/>
              <w:adjustRightInd w:val="0"/>
              <w:snapToGrid w:val="0"/>
              <w:spacing w:line="360" w:lineRule="auto"/>
              <w:ind w:firstLine="420" w:firstLineChars="200"/>
              <w:rPr>
                <w:rFonts w:hint="default" w:cs="Times New Roman"/>
                <w:bCs/>
                <w:color w:val="auto"/>
                <w:highlight w:val="none"/>
                <w:lang w:val="en-US" w:eastAsia="zh-CN"/>
              </w:rPr>
            </w:pPr>
            <w:r>
              <w:rPr>
                <w:rFonts w:hint="eastAsia" w:cs="Times New Roman"/>
                <w:bCs/>
                <w:color w:val="auto"/>
                <w:highlight w:val="none"/>
                <w:lang w:val="en-US" w:eastAsia="zh-CN"/>
              </w:rPr>
              <w:t>（3）废盐</w:t>
            </w:r>
          </w:p>
          <w:p w14:paraId="57C1CF1C">
            <w:pPr>
              <w:numPr>
                <w:ilvl w:val="0"/>
                <w:numId w:val="0"/>
              </w:numPr>
              <w:autoSpaceDE w:val="0"/>
              <w:autoSpaceDN w:val="0"/>
              <w:adjustRightInd w:val="0"/>
              <w:snapToGrid w:val="0"/>
              <w:spacing w:line="360" w:lineRule="auto"/>
              <w:ind w:firstLine="420" w:firstLineChars="200"/>
              <w:rPr>
                <w:rFonts w:hint="eastAsia" w:eastAsia="宋体" w:cs="Times New Roman"/>
                <w:bCs/>
                <w:color w:val="auto"/>
                <w:highlight w:val="none"/>
                <w:lang w:val="en-US" w:eastAsia="zh-CN"/>
              </w:rPr>
            </w:pPr>
            <w:r>
              <w:rPr>
                <w:rFonts w:hint="eastAsia"/>
                <w:color w:val="auto"/>
                <w:highlight w:val="none"/>
                <w:lang w:val="en-US" w:eastAsia="zh-CN"/>
              </w:rPr>
              <w:t>本项目</w:t>
            </w:r>
            <w:r>
              <w:rPr>
                <w:rFonts w:hint="eastAsia"/>
                <w:color w:val="auto"/>
                <w:sz w:val="21"/>
                <w:szCs w:val="21"/>
                <w:highlight w:val="none"/>
                <w:lang w:val="en-US" w:eastAsia="zh-CN"/>
              </w:rPr>
              <w:t>离心废水产生量为1852.1m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/a，与</w:t>
            </w:r>
            <w:r>
              <w:rPr>
                <w:rFonts w:hint="eastAsia"/>
                <w:color w:val="auto"/>
                <w:sz w:val="21"/>
                <w:szCs w:val="21"/>
                <w:highlight w:val="none"/>
                <w:lang w:eastAsia="zh-CN"/>
              </w:rPr>
              <w:t>酸雾吸收废水（</w:t>
            </w:r>
            <w:r>
              <w:rPr>
                <w:rFonts w:hint="eastAsia"/>
                <w:color w:val="auto"/>
                <w:sz w:val="21"/>
                <w:szCs w:val="21"/>
                <w:highlight w:val="none"/>
                <w:lang w:val="en-US" w:eastAsia="zh-CN"/>
              </w:rPr>
              <w:t>109.331m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w:t>
            </w:r>
            <w:r>
              <w:rPr>
                <w:rFonts w:hint="eastAsia"/>
                <w:color w:val="auto"/>
                <w:sz w:val="21"/>
                <w:szCs w:val="21"/>
                <w:highlight w:val="none"/>
                <w:lang w:eastAsia="zh-CN"/>
              </w:rPr>
              <w:t>）</w:t>
            </w:r>
            <w:r>
              <w:rPr>
                <w:rFonts w:hint="eastAsia"/>
                <w:color w:val="auto"/>
                <w:sz w:val="21"/>
                <w:szCs w:val="21"/>
                <w:highlight w:val="none"/>
                <w:lang w:val="en-US" w:eastAsia="zh-CN"/>
              </w:rPr>
              <w:t>、氢氧化钠（0.759t/a）中和、多效蒸发器蒸发后，80%冷凝后（1577.752m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/a）回用于预热分离用水和地面清扫用水，15%（295.828m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/a）进入废盐中，5%（98.109m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/a）蒸发损耗。</w:t>
            </w:r>
            <w:r>
              <w:rPr>
                <w:rFonts w:hint="eastAsia"/>
                <w:color w:val="auto"/>
                <w:highlight w:val="none"/>
                <w:lang w:val="en-US" w:eastAsia="zh-CN"/>
              </w:rPr>
              <w:t>因此废盐产生量为295.828t/a，</w:t>
            </w:r>
            <w:r>
              <w:rPr>
                <w:rFonts w:hint="eastAsia"/>
                <w:bCs/>
                <w:color w:val="auto"/>
                <w:highlight w:val="none"/>
                <w:lang w:val="en-US" w:eastAsia="zh-CN"/>
              </w:rPr>
              <w:t>建设单位</w:t>
            </w:r>
            <w:r>
              <w:rPr>
                <w:rFonts w:hint="eastAsia"/>
                <w:bCs/>
                <w:color w:val="auto"/>
                <w:highlight w:val="none"/>
              </w:rPr>
              <w:t>需对</w:t>
            </w:r>
            <w:r>
              <w:rPr>
                <w:rFonts w:hint="eastAsia" w:eastAsia="宋体"/>
                <w:color w:val="auto"/>
                <w:highlight w:val="none"/>
                <w:lang w:eastAsia="zh-CN"/>
              </w:rPr>
              <w:t>废盐</w:t>
            </w:r>
            <w:r>
              <w:rPr>
                <w:rFonts w:hint="eastAsia"/>
                <w:bCs/>
                <w:color w:val="auto"/>
                <w:highlight w:val="none"/>
              </w:rPr>
              <w:t>进行危废鉴定，若鉴定为一般固体废物，则</w:t>
            </w:r>
            <w:r>
              <w:rPr>
                <w:rFonts w:hint="eastAsia"/>
                <w:bCs/>
                <w:color w:val="auto"/>
                <w:highlight w:val="none"/>
                <w:lang w:eastAsia="zh-CN"/>
              </w:rPr>
              <w:t>废盐</w:t>
            </w:r>
            <w:r>
              <w:rPr>
                <w:rFonts w:hint="eastAsia"/>
                <w:bCs/>
                <w:color w:val="auto"/>
                <w:highlight w:val="none"/>
              </w:rPr>
              <w:t>属于</w:t>
            </w:r>
            <w:r>
              <w:rPr>
                <w:rFonts w:hint="eastAsia"/>
                <w:bCs/>
                <w:color w:val="auto"/>
                <w:highlight w:val="none"/>
                <w:lang w:val="en-US" w:eastAsia="zh-CN"/>
              </w:rPr>
              <w:t>一</w:t>
            </w:r>
            <w:r>
              <w:rPr>
                <w:rFonts w:hint="eastAsia"/>
                <w:bCs/>
                <w:color w:val="auto"/>
                <w:highlight w:val="none"/>
              </w:rPr>
              <w:t>般固体废物，收集后暂存于一般工业固体仓库，</w:t>
            </w:r>
            <w:r>
              <w:rPr>
                <w:rFonts w:hint="eastAsia"/>
                <w:bCs/>
                <w:color w:val="auto"/>
                <w:highlight w:val="none"/>
                <w:lang w:val="en-US" w:eastAsia="zh-CN"/>
              </w:rPr>
              <w:t>定期外卖</w:t>
            </w:r>
            <w:r>
              <w:rPr>
                <w:rFonts w:hint="eastAsia"/>
                <w:bCs/>
                <w:color w:val="auto"/>
                <w:highlight w:val="none"/>
                <w:lang w:eastAsia="zh-CN"/>
              </w:rPr>
              <w:t>；</w:t>
            </w:r>
            <w:r>
              <w:rPr>
                <w:rFonts w:hint="eastAsia"/>
                <w:bCs/>
                <w:color w:val="auto"/>
                <w:highlight w:val="none"/>
              </w:rPr>
              <w:t>若鉴定为危险废物，则暂存于危险</w:t>
            </w:r>
            <w:r>
              <w:rPr>
                <w:rFonts w:hint="eastAsia"/>
                <w:bCs/>
                <w:color w:val="auto"/>
                <w:highlight w:val="none"/>
                <w:lang w:val="en-US" w:eastAsia="zh-CN"/>
              </w:rPr>
              <w:t>暂存间</w:t>
            </w:r>
            <w:r>
              <w:rPr>
                <w:rFonts w:hint="eastAsia"/>
                <w:bCs/>
                <w:color w:val="auto"/>
                <w:highlight w:val="none"/>
              </w:rPr>
              <w:t>，交有资质单位进行处置</w:t>
            </w:r>
            <w:r>
              <w:rPr>
                <w:rFonts w:hint="eastAsia"/>
                <w:bCs/>
                <w:color w:val="auto"/>
                <w:highlight w:val="none"/>
                <w:lang w:eastAsia="zh-CN"/>
              </w:rPr>
              <w:t>。</w:t>
            </w:r>
          </w:p>
          <w:p w14:paraId="7B768BCE">
            <w:pPr>
              <w:numPr>
                <w:ilvl w:val="0"/>
                <w:numId w:val="0"/>
              </w:numPr>
              <w:autoSpaceDE w:val="0"/>
              <w:autoSpaceDN w:val="0"/>
              <w:adjustRightInd w:val="0"/>
              <w:snapToGrid w:val="0"/>
              <w:spacing w:line="360" w:lineRule="auto"/>
              <w:ind w:firstLine="420" w:firstLineChars="200"/>
              <w:rPr>
                <w:rFonts w:hint="default" w:ascii="Times New Roman" w:hAnsi="Times New Roman" w:cs="Times New Roman"/>
                <w:bCs/>
                <w:color w:val="auto"/>
                <w:highlight w:val="none"/>
                <w:lang w:val="en-US" w:eastAsia="zh-CN"/>
              </w:rPr>
            </w:pPr>
            <w:r>
              <w:rPr>
                <w:rFonts w:hint="eastAsia" w:cs="Times New Roman"/>
                <w:bCs/>
                <w:color w:val="auto"/>
                <w:highlight w:val="none"/>
                <w:lang w:val="en-US" w:eastAsia="zh-CN"/>
              </w:rPr>
              <w:t>（3）废活性炭</w:t>
            </w:r>
            <w:r>
              <w:rPr>
                <w:rFonts w:hint="default" w:ascii="Times New Roman" w:hAnsi="Times New Roman" w:cs="Times New Roman"/>
                <w:bCs/>
                <w:color w:val="auto"/>
                <w:highlight w:val="none"/>
                <w:lang w:val="en-US" w:eastAsia="zh-CN"/>
              </w:rPr>
              <w:t>（S</w:t>
            </w:r>
            <w:r>
              <w:rPr>
                <w:rFonts w:hint="eastAsia" w:cs="Times New Roman"/>
                <w:bCs/>
                <w:color w:val="auto"/>
                <w:highlight w:val="none"/>
                <w:lang w:val="en-US" w:eastAsia="zh-CN"/>
              </w:rPr>
              <w:t>7</w:t>
            </w:r>
            <w:r>
              <w:rPr>
                <w:rFonts w:hint="default" w:ascii="Times New Roman" w:hAnsi="Times New Roman" w:cs="Times New Roman"/>
                <w:bCs/>
                <w:color w:val="auto"/>
                <w:highlight w:val="none"/>
                <w:lang w:val="en-US" w:eastAsia="zh-CN"/>
              </w:rPr>
              <w:t>）</w:t>
            </w:r>
          </w:p>
          <w:p w14:paraId="76AC4390">
            <w:pPr>
              <w:autoSpaceDE w:val="0"/>
              <w:autoSpaceDN w:val="0"/>
              <w:adjustRightInd w:val="0"/>
              <w:spacing w:line="360" w:lineRule="auto"/>
              <w:ind w:firstLine="420" w:firstLineChars="200"/>
              <w:rPr>
                <w:color w:val="auto"/>
                <w:kern w:val="0"/>
                <w:szCs w:val="21"/>
              </w:rPr>
            </w:pPr>
            <w:r>
              <w:rPr>
                <w:color w:val="auto"/>
                <w:kern w:val="0"/>
                <w:szCs w:val="21"/>
              </w:rPr>
              <w:t>根据淄博市生态环境局《关于印发&lt;涉VOCs企业活性炭吸附法安装、使用规范指南&gt;》的通知中要求，活性炭装填量（参考值）计算方法为：</w:t>
            </w:r>
          </w:p>
          <w:p w14:paraId="49A8DF27">
            <w:pPr>
              <w:autoSpaceDE w:val="0"/>
              <w:autoSpaceDN w:val="0"/>
              <w:adjustRightInd w:val="0"/>
              <w:spacing w:before="120" w:beforeLines="50" w:after="120" w:afterLines="50"/>
              <w:jc w:val="center"/>
              <w:rPr>
                <w:color w:val="auto"/>
                <w:kern w:val="0"/>
                <w:sz w:val="24"/>
              </w:rPr>
            </w:pPr>
            <w:r>
              <w:rPr>
                <w:color w:val="auto"/>
              </w:rPr>
              <w:drawing>
                <wp:inline distT="0" distB="0" distL="114300" distR="114300">
                  <wp:extent cx="4737100" cy="426720"/>
                  <wp:effectExtent l="0" t="0" r="6350" b="1143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23"/>
                          <a:srcRect t="9612" r="3154" b="59978"/>
                          <a:stretch>
                            <a:fillRect/>
                          </a:stretch>
                        </pic:blipFill>
                        <pic:spPr>
                          <a:xfrm>
                            <a:off x="0" y="0"/>
                            <a:ext cx="4737100" cy="426720"/>
                          </a:xfrm>
                          <a:prstGeom prst="rect">
                            <a:avLst/>
                          </a:prstGeom>
                          <a:noFill/>
                          <a:ln>
                            <a:noFill/>
                          </a:ln>
                        </pic:spPr>
                      </pic:pic>
                    </a:graphicData>
                  </a:graphic>
                </wp:inline>
              </w:drawing>
            </w:r>
          </w:p>
          <w:p w14:paraId="6E85AE1C">
            <w:pPr>
              <w:autoSpaceDE w:val="0"/>
              <w:autoSpaceDN w:val="0"/>
              <w:adjustRightInd w:val="0"/>
              <w:spacing w:line="360" w:lineRule="auto"/>
              <w:ind w:firstLine="420" w:firstLineChars="200"/>
              <w:rPr>
                <w:color w:val="auto"/>
                <w:kern w:val="0"/>
                <w:szCs w:val="21"/>
              </w:rPr>
            </w:pPr>
            <w:r>
              <w:rPr>
                <w:color w:val="auto"/>
                <w:kern w:val="0"/>
                <w:szCs w:val="21"/>
              </w:rPr>
              <w:t>式中：消减VOCs浓度=进口VOCs浓度（</w:t>
            </w:r>
            <w:r>
              <w:rPr>
                <w:rFonts w:hint="eastAsia"/>
                <w:color w:val="auto"/>
                <w:kern w:val="0"/>
                <w:szCs w:val="21"/>
                <w:lang w:val="en-US" w:eastAsia="zh-CN"/>
              </w:rPr>
              <w:t>6.5</w:t>
            </w:r>
            <w:r>
              <w:rPr>
                <w:color w:val="auto"/>
                <w:kern w:val="0"/>
                <w:szCs w:val="21"/>
              </w:rPr>
              <w:t>mg/m</w:t>
            </w:r>
            <w:r>
              <w:rPr>
                <w:color w:val="auto"/>
                <w:kern w:val="0"/>
                <w:szCs w:val="21"/>
                <w:vertAlign w:val="superscript"/>
              </w:rPr>
              <w:t>3</w:t>
            </w:r>
            <w:r>
              <w:rPr>
                <w:color w:val="auto"/>
                <w:kern w:val="0"/>
                <w:szCs w:val="21"/>
              </w:rPr>
              <w:t>）—出口VOCs浓度（</w:t>
            </w:r>
            <w:r>
              <w:rPr>
                <w:rFonts w:hint="eastAsia"/>
                <w:color w:val="auto"/>
                <w:kern w:val="0"/>
                <w:szCs w:val="21"/>
                <w:lang w:val="en-US" w:eastAsia="zh-CN"/>
              </w:rPr>
              <w:t>1.95</w:t>
            </w:r>
            <w:r>
              <w:rPr>
                <w:color w:val="auto"/>
                <w:kern w:val="0"/>
                <w:szCs w:val="21"/>
              </w:rPr>
              <w:t>mg/m</w:t>
            </w:r>
            <w:r>
              <w:rPr>
                <w:color w:val="auto"/>
                <w:kern w:val="0"/>
                <w:szCs w:val="21"/>
                <w:vertAlign w:val="superscript"/>
              </w:rPr>
              <w:t>3</w:t>
            </w:r>
            <w:r>
              <w:rPr>
                <w:color w:val="auto"/>
                <w:kern w:val="0"/>
                <w:szCs w:val="21"/>
              </w:rPr>
              <w:t>）；</w:t>
            </w:r>
          </w:p>
          <w:p w14:paraId="19756B4D">
            <w:pPr>
              <w:autoSpaceDE w:val="0"/>
              <w:autoSpaceDN w:val="0"/>
              <w:adjustRightInd w:val="0"/>
              <w:spacing w:line="360" w:lineRule="auto"/>
              <w:ind w:firstLine="1050" w:firstLineChars="500"/>
              <w:rPr>
                <w:color w:val="auto"/>
                <w:kern w:val="0"/>
                <w:szCs w:val="21"/>
              </w:rPr>
            </w:pPr>
            <w:r>
              <w:rPr>
                <w:color w:val="auto"/>
                <w:kern w:val="0"/>
                <w:szCs w:val="21"/>
              </w:rPr>
              <w:t>动态吸附量参考值为15%；</w:t>
            </w:r>
          </w:p>
          <w:p w14:paraId="48A217A7">
            <w:pPr>
              <w:autoSpaceDE w:val="0"/>
              <w:autoSpaceDN w:val="0"/>
              <w:adjustRightInd w:val="0"/>
              <w:spacing w:line="360" w:lineRule="auto"/>
              <w:ind w:firstLine="1050" w:firstLineChars="500"/>
              <w:rPr>
                <w:color w:val="auto"/>
                <w:kern w:val="0"/>
                <w:szCs w:val="21"/>
              </w:rPr>
            </w:pPr>
            <w:r>
              <w:rPr>
                <w:color w:val="auto"/>
                <w:kern w:val="0"/>
                <w:szCs w:val="21"/>
              </w:rPr>
              <w:t>更换周期取</w:t>
            </w:r>
            <w:r>
              <w:rPr>
                <w:rFonts w:hint="eastAsia"/>
                <w:color w:val="auto"/>
                <w:kern w:val="0"/>
                <w:szCs w:val="21"/>
              </w:rPr>
              <w:t>300</w:t>
            </w:r>
            <w:r>
              <w:rPr>
                <w:color w:val="auto"/>
                <w:kern w:val="0"/>
                <w:szCs w:val="21"/>
              </w:rPr>
              <w:t>d。</w:t>
            </w:r>
          </w:p>
          <w:p w14:paraId="0D7241BB">
            <w:pPr>
              <w:autoSpaceDE w:val="0"/>
              <w:autoSpaceDN w:val="0"/>
              <w:adjustRightInd w:val="0"/>
              <w:spacing w:line="360" w:lineRule="auto"/>
              <w:ind w:firstLine="420" w:firstLineChars="200"/>
              <w:rPr>
                <w:color w:val="auto"/>
                <w:szCs w:val="21"/>
              </w:rPr>
            </w:pPr>
            <w:r>
              <w:rPr>
                <w:color w:val="auto"/>
                <w:kern w:val="0"/>
                <w:szCs w:val="21"/>
              </w:rPr>
              <w:t>根据计算可知，本项目一次活性炭填装量约为</w:t>
            </w:r>
            <w:r>
              <w:rPr>
                <w:rFonts w:hint="eastAsia"/>
                <w:color w:val="auto"/>
                <w:kern w:val="0"/>
                <w:szCs w:val="21"/>
                <w:lang w:val="en-US" w:eastAsia="zh-CN"/>
              </w:rPr>
              <w:t>1.82</w:t>
            </w:r>
            <w:r>
              <w:rPr>
                <w:color w:val="auto"/>
                <w:kern w:val="0"/>
                <w:szCs w:val="21"/>
              </w:rPr>
              <w:t>t，</w:t>
            </w:r>
            <w:r>
              <w:rPr>
                <w:rFonts w:hint="eastAsia"/>
                <w:color w:val="auto"/>
                <w:kern w:val="0"/>
                <w:szCs w:val="21"/>
                <w:lang w:val="en-US" w:eastAsia="zh-CN"/>
              </w:rPr>
              <w:t>本项目实际设计活性炭</w:t>
            </w:r>
            <w:r>
              <w:rPr>
                <w:color w:val="auto"/>
                <w:kern w:val="0"/>
                <w:szCs w:val="21"/>
              </w:rPr>
              <w:t>填装量约为</w:t>
            </w:r>
            <w:r>
              <w:rPr>
                <w:rFonts w:hint="eastAsia"/>
                <w:color w:val="auto"/>
                <w:kern w:val="0"/>
                <w:szCs w:val="21"/>
                <w:lang w:val="en-US" w:eastAsia="zh-CN"/>
              </w:rPr>
              <w:t>2</w:t>
            </w:r>
            <w:r>
              <w:rPr>
                <w:rFonts w:hint="eastAsia"/>
                <w:color w:val="auto"/>
                <w:kern w:val="0"/>
                <w:szCs w:val="21"/>
              </w:rPr>
              <w:t>t</w:t>
            </w:r>
            <w:r>
              <w:rPr>
                <w:color w:val="auto"/>
                <w:kern w:val="0"/>
                <w:szCs w:val="21"/>
              </w:rPr>
              <w:t>/a。</w:t>
            </w:r>
          </w:p>
          <w:p w14:paraId="73505129">
            <w:pPr>
              <w:autoSpaceDE w:val="0"/>
              <w:autoSpaceDN w:val="0"/>
              <w:adjustRightInd w:val="0"/>
              <w:spacing w:line="360" w:lineRule="auto"/>
              <w:ind w:firstLine="420" w:firstLineChars="200"/>
              <w:rPr>
                <w:color w:val="auto"/>
                <w:szCs w:val="21"/>
              </w:rPr>
            </w:pPr>
            <w:r>
              <w:rPr>
                <w:color w:val="auto"/>
              </w:rPr>
              <w:t>1kg活性炭的VOCs饱和吸附量约为0.</w:t>
            </w:r>
            <w:r>
              <w:rPr>
                <w:rFonts w:hint="eastAsia"/>
                <w:color w:val="auto"/>
              </w:rPr>
              <w:t>15</w:t>
            </w:r>
            <w:r>
              <w:rPr>
                <w:color w:val="auto"/>
              </w:rPr>
              <w:t>kg，</w:t>
            </w:r>
            <w:r>
              <w:rPr>
                <w:rFonts w:hint="eastAsia"/>
                <w:color w:val="auto"/>
                <w:szCs w:val="21"/>
              </w:rPr>
              <w:t>进入</w:t>
            </w:r>
            <w:r>
              <w:rPr>
                <w:rFonts w:hint="eastAsia"/>
                <w:bCs/>
                <w:color w:val="auto"/>
                <w:lang w:val="en-US" w:eastAsia="zh-CN"/>
              </w:rPr>
              <w:t>二级</w:t>
            </w:r>
            <w:r>
              <w:rPr>
                <w:rFonts w:hint="eastAsia"/>
                <w:bCs/>
                <w:color w:val="auto"/>
                <w:lang w:eastAsia="zh-CN"/>
              </w:rPr>
              <w:t>活性炭吸附装置</w:t>
            </w:r>
            <w:r>
              <w:rPr>
                <w:rFonts w:hint="eastAsia"/>
                <w:bCs/>
                <w:color w:val="auto"/>
              </w:rPr>
              <w:t>的VOCs为0.</w:t>
            </w:r>
            <w:r>
              <w:rPr>
                <w:rFonts w:hint="eastAsia"/>
                <w:bCs/>
                <w:color w:val="auto"/>
                <w:lang w:val="en-US" w:eastAsia="zh-CN"/>
              </w:rPr>
              <w:t>39</w:t>
            </w:r>
            <w:r>
              <w:rPr>
                <w:color w:val="auto"/>
                <w:szCs w:val="21"/>
              </w:rPr>
              <w:t>t/a</w:t>
            </w:r>
            <w:r>
              <w:rPr>
                <w:rFonts w:hint="eastAsia"/>
                <w:bCs/>
                <w:color w:val="auto"/>
              </w:rPr>
              <w:t>，</w:t>
            </w:r>
            <w:r>
              <w:rPr>
                <w:rFonts w:hint="eastAsia"/>
                <w:bCs/>
                <w:color w:val="auto"/>
                <w:lang w:val="en-US" w:eastAsia="zh-CN"/>
              </w:rPr>
              <w:t>二级</w:t>
            </w:r>
            <w:r>
              <w:rPr>
                <w:bCs/>
                <w:color w:val="auto"/>
              </w:rPr>
              <w:t>活性炭吸附装置处理效率按</w:t>
            </w:r>
            <w:r>
              <w:rPr>
                <w:rFonts w:hint="eastAsia"/>
                <w:bCs/>
                <w:color w:val="auto"/>
                <w:lang w:val="en-US" w:eastAsia="zh-CN"/>
              </w:rPr>
              <w:t>7</w:t>
            </w:r>
            <w:r>
              <w:rPr>
                <w:bCs/>
                <w:color w:val="auto"/>
              </w:rPr>
              <w:t>0%，则</w:t>
            </w:r>
            <w:r>
              <w:rPr>
                <w:color w:val="auto"/>
                <w:szCs w:val="21"/>
              </w:rPr>
              <w:t>活性炭吸附装置对</w:t>
            </w:r>
            <w:r>
              <w:rPr>
                <w:color w:val="auto"/>
              </w:rPr>
              <w:t>VOCs吸附量为0.</w:t>
            </w:r>
            <w:r>
              <w:rPr>
                <w:rFonts w:hint="eastAsia"/>
                <w:color w:val="auto"/>
                <w:lang w:val="en-US" w:eastAsia="zh-CN"/>
              </w:rPr>
              <w:t>273</w:t>
            </w:r>
            <w:r>
              <w:rPr>
                <w:color w:val="auto"/>
              </w:rPr>
              <w:t>t/a，至少需要</w:t>
            </w:r>
            <w:r>
              <w:rPr>
                <w:rFonts w:hint="eastAsia"/>
                <w:color w:val="auto"/>
                <w:lang w:val="en-US" w:eastAsia="zh-CN"/>
              </w:rPr>
              <w:t>1.82</w:t>
            </w:r>
            <w:r>
              <w:rPr>
                <w:color w:val="auto"/>
              </w:rPr>
              <w:t>t活性炭，本项目活性炭年更换量</w:t>
            </w:r>
            <w:r>
              <w:rPr>
                <w:rFonts w:hint="eastAsia"/>
                <w:color w:val="auto"/>
              </w:rPr>
              <w:t>1</w:t>
            </w:r>
            <w:r>
              <w:rPr>
                <w:color w:val="auto"/>
              </w:rPr>
              <w:t>次，可满足要求，因此本项目废活性炭的产生量为</w:t>
            </w:r>
            <w:r>
              <w:rPr>
                <w:rFonts w:hint="eastAsia"/>
                <w:color w:val="auto"/>
                <w:lang w:val="en-US" w:eastAsia="zh-CN"/>
              </w:rPr>
              <w:t>2.273</w:t>
            </w:r>
            <w:r>
              <w:rPr>
                <w:color w:val="auto"/>
              </w:rPr>
              <w:t>t/a。废活性炭</w:t>
            </w:r>
            <w:r>
              <w:rPr>
                <w:color w:val="auto"/>
                <w:szCs w:val="21"/>
              </w:rPr>
              <w:t>属于危险废物，危废代码HW49 ，900-039-49，委托有资质的单位处置</w:t>
            </w:r>
            <w:r>
              <w:rPr>
                <w:color w:val="auto"/>
                <w:kern w:val="24"/>
                <w:szCs w:val="21"/>
              </w:rPr>
              <w:t>。</w:t>
            </w:r>
          </w:p>
          <w:p w14:paraId="0894D6C2">
            <w:pPr>
              <w:autoSpaceDE w:val="0"/>
              <w:autoSpaceDN w:val="0"/>
              <w:adjustRightInd w:val="0"/>
              <w:snapToGrid w:val="0"/>
              <w:spacing w:line="360" w:lineRule="auto"/>
              <w:ind w:firstLine="420" w:firstLineChars="200"/>
              <w:rPr>
                <w:rFonts w:hint="eastAsia" w:ascii="Times New Roman" w:hAnsi="Times New Roman" w:eastAsia="宋体" w:cs="Times New Roman"/>
                <w:bCs/>
                <w:color w:val="auto"/>
                <w:highlight w:val="none"/>
                <w:lang w:val="en-US" w:eastAsia="zh-CN"/>
              </w:rPr>
            </w:pPr>
            <w:r>
              <w:rPr>
                <w:rFonts w:hint="eastAsia" w:cs="Times New Roman"/>
                <w:bCs/>
                <w:color w:val="auto"/>
                <w:highlight w:val="none"/>
                <w:lang w:val="en-US" w:eastAsia="zh-CN"/>
              </w:rPr>
              <w:t>（4）废机油（S8）</w:t>
            </w:r>
          </w:p>
          <w:p w14:paraId="56919C76">
            <w:pPr>
              <w:autoSpaceDE w:val="0"/>
              <w:autoSpaceDN w:val="0"/>
              <w:adjustRightInd w:val="0"/>
              <w:snapToGrid w:val="0"/>
              <w:spacing w:line="360" w:lineRule="auto"/>
              <w:ind w:firstLine="420" w:firstLineChars="200"/>
              <w:rPr>
                <w:rFonts w:hint="eastAsia" w:eastAsia="宋体" w:cs="Times New Roman"/>
                <w:bCs/>
                <w:color w:val="auto"/>
                <w:highlight w:val="none"/>
                <w:lang w:val="en-US" w:eastAsia="zh-CN"/>
              </w:rPr>
            </w:pPr>
            <w:r>
              <w:rPr>
                <w:color w:val="auto"/>
                <w:szCs w:val="21"/>
              </w:rPr>
              <w:t>本项目生产过程中设备运行维护需使用</w:t>
            </w:r>
            <w:r>
              <w:rPr>
                <w:rFonts w:hint="eastAsia"/>
                <w:color w:val="auto"/>
                <w:szCs w:val="21"/>
                <w:lang w:eastAsia="zh-CN"/>
              </w:rPr>
              <w:t>机油</w:t>
            </w:r>
            <w:r>
              <w:rPr>
                <w:color w:val="auto"/>
                <w:szCs w:val="21"/>
              </w:rPr>
              <w:t>，循环使用，定期更换，一年更换一次。废</w:t>
            </w:r>
            <w:r>
              <w:rPr>
                <w:rFonts w:hint="eastAsia"/>
                <w:color w:val="auto"/>
                <w:szCs w:val="21"/>
                <w:lang w:eastAsia="zh-CN"/>
              </w:rPr>
              <w:t>机油</w:t>
            </w:r>
            <w:r>
              <w:rPr>
                <w:color w:val="auto"/>
                <w:szCs w:val="21"/>
              </w:rPr>
              <w:t>产生量约为用量的10%，即0.</w:t>
            </w:r>
            <w:r>
              <w:rPr>
                <w:rFonts w:hint="eastAsia"/>
                <w:color w:val="auto"/>
                <w:szCs w:val="21"/>
                <w:lang w:val="en-US" w:eastAsia="zh-CN"/>
              </w:rPr>
              <w:t>2</w:t>
            </w:r>
            <w:r>
              <w:rPr>
                <w:color w:val="auto"/>
                <w:szCs w:val="21"/>
              </w:rPr>
              <w:t>t/a，属于危险废物HW08，危废代码900-217-08，</w:t>
            </w:r>
            <w:r>
              <w:rPr>
                <w:color w:val="auto"/>
                <w:kern w:val="24"/>
                <w:szCs w:val="21"/>
              </w:rPr>
              <w:t>暂存在危废间，委托资质单位进行处理</w:t>
            </w:r>
            <w:r>
              <w:rPr>
                <w:rFonts w:hint="eastAsia"/>
                <w:color w:val="auto"/>
                <w:kern w:val="24"/>
                <w:szCs w:val="21"/>
                <w:lang w:eastAsia="zh-CN"/>
              </w:rPr>
              <w:t>。</w:t>
            </w:r>
          </w:p>
          <w:p w14:paraId="1002E6A2">
            <w:pPr>
              <w:autoSpaceDE w:val="0"/>
              <w:autoSpaceDN w:val="0"/>
              <w:adjustRightInd w:val="0"/>
              <w:snapToGrid w:val="0"/>
              <w:spacing w:line="360" w:lineRule="auto"/>
              <w:ind w:firstLine="420" w:firstLineChars="200"/>
              <w:rPr>
                <w:rFonts w:hint="eastAsia" w:ascii="Times New Roman" w:hAnsi="Times New Roman" w:cs="Times New Roman"/>
                <w:bCs/>
                <w:color w:val="auto"/>
                <w:highlight w:val="none"/>
                <w:lang w:eastAsia="zh-CN"/>
              </w:rPr>
            </w:pPr>
            <w:r>
              <w:rPr>
                <w:rFonts w:hint="eastAsia" w:cs="Times New Roman"/>
                <w:bCs/>
                <w:color w:val="auto"/>
                <w:highlight w:val="none"/>
                <w:lang w:val="en-US" w:eastAsia="zh-CN"/>
              </w:rPr>
              <w:t>（5）废机油桶（S9）</w:t>
            </w:r>
          </w:p>
          <w:p w14:paraId="4F513327">
            <w:pPr>
              <w:autoSpaceDE w:val="0"/>
              <w:autoSpaceDN w:val="0"/>
              <w:adjustRightInd w:val="0"/>
              <w:snapToGrid w:val="0"/>
              <w:spacing w:line="360" w:lineRule="auto"/>
              <w:ind w:firstLine="420" w:firstLineChars="200"/>
              <w:rPr>
                <w:rFonts w:hint="eastAsia" w:ascii="Times New Roman" w:hAnsi="Times New Roman" w:eastAsia="宋体" w:cs="Times New Roman"/>
                <w:bCs/>
                <w:color w:val="auto"/>
                <w:highlight w:val="none"/>
                <w:lang w:eastAsia="zh-CN"/>
              </w:rPr>
            </w:pPr>
            <w:r>
              <w:rPr>
                <w:rFonts w:hint="eastAsia"/>
                <w:color w:val="auto"/>
                <w:szCs w:val="21"/>
                <w:lang w:eastAsia="zh-CN"/>
              </w:rPr>
              <w:t>机油</w:t>
            </w:r>
            <w:r>
              <w:rPr>
                <w:color w:val="auto"/>
                <w:szCs w:val="21"/>
              </w:rPr>
              <w:t>使用过程会产生</w:t>
            </w:r>
            <w:r>
              <w:rPr>
                <w:rFonts w:hint="eastAsia"/>
                <w:color w:val="auto"/>
                <w:szCs w:val="21"/>
                <w:lang w:eastAsia="zh-CN"/>
              </w:rPr>
              <w:t>废机油桶</w:t>
            </w:r>
            <w:r>
              <w:rPr>
                <w:color w:val="auto"/>
                <w:szCs w:val="21"/>
              </w:rPr>
              <w:t>，规格为1</w:t>
            </w:r>
            <w:r>
              <w:rPr>
                <w:rFonts w:hint="eastAsia"/>
                <w:color w:val="auto"/>
                <w:szCs w:val="21"/>
                <w:lang w:val="en-US" w:eastAsia="zh-CN"/>
              </w:rPr>
              <w:t>8</w:t>
            </w:r>
            <w:r>
              <w:rPr>
                <w:color w:val="auto"/>
                <w:szCs w:val="21"/>
              </w:rPr>
              <w:t>0kg/桶，</w:t>
            </w:r>
            <w:r>
              <w:rPr>
                <w:rFonts w:hint="eastAsia"/>
                <w:color w:val="auto"/>
                <w:szCs w:val="21"/>
                <w:lang w:eastAsia="zh-CN"/>
              </w:rPr>
              <w:t>废机油桶</w:t>
            </w:r>
            <w:r>
              <w:rPr>
                <w:color w:val="auto"/>
                <w:szCs w:val="21"/>
              </w:rPr>
              <w:t>产生量约为</w:t>
            </w:r>
            <w:r>
              <w:rPr>
                <w:rFonts w:hint="eastAsia"/>
                <w:color w:val="auto"/>
                <w:szCs w:val="21"/>
                <w:lang w:val="en-US" w:eastAsia="zh-CN"/>
              </w:rPr>
              <w:t>12</w:t>
            </w:r>
            <w:r>
              <w:rPr>
                <w:color w:val="auto"/>
                <w:szCs w:val="21"/>
              </w:rPr>
              <w:t>个（每个桶重量为12kg），产生量为0.</w:t>
            </w:r>
            <w:r>
              <w:rPr>
                <w:rFonts w:hint="eastAsia"/>
                <w:color w:val="auto"/>
                <w:szCs w:val="21"/>
                <w:lang w:val="en-US" w:eastAsia="zh-CN"/>
              </w:rPr>
              <w:t>144</w:t>
            </w:r>
            <w:r>
              <w:rPr>
                <w:color w:val="auto"/>
                <w:szCs w:val="21"/>
              </w:rPr>
              <w:t>t/a，属于</w:t>
            </w:r>
            <w:r>
              <w:rPr>
                <w:rFonts w:hint="eastAsia"/>
                <w:color w:val="auto"/>
                <w:szCs w:val="21"/>
                <w:lang w:val="en-US" w:eastAsia="zh-CN"/>
              </w:rPr>
              <w:t>危险</w:t>
            </w:r>
            <w:r>
              <w:rPr>
                <w:color w:val="auto"/>
                <w:szCs w:val="21"/>
              </w:rPr>
              <w:t>废物，类别HW08，危废代码900-249-08，</w:t>
            </w:r>
            <w:r>
              <w:rPr>
                <w:color w:val="auto"/>
                <w:kern w:val="24"/>
                <w:szCs w:val="21"/>
              </w:rPr>
              <w:t>暂存在危废间，委托资质单位进行处理</w:t>
            </w:r>
            <w:r>
              <w:rPr>
                <w:rFonts w:hint="eastAsia"/>
                <w:color w:val="auto"/>
                <w:kern w:val="24"/>
                <w:szCs w:val="21"/>
                <w:lang w:eastAsia="zh-CN"/>
              </w:rPr>
              <w:t>。</w:t>
            </w:r>
          </w:p>
          <w:p w14:paraId="705ADE80">
            <w:pPr>
              <w:autoSpaceDE w:val="0"/>
              <w:autoSpaceDN w:val="0"/>
              <w:adjustRightInd w:val="0"/>
              <w:snapToGrid w:val="0"/>
              <w:spacing w:line="360" w:lineRule="auto"/>
              <w:ind w:firstLine="420" w:firstLineChars="200"/>
              <w:rPr>
                <w:rFonts w:hint="eastAsia" w:ascii="Times New Roman" w:hAnsi="Times New Roman" w:cs="Times New Roman"/>
                <w:bCs/>
                <w:color w:val="auto"/>
                <w:highlight w:val="none"/>
                <w:lang w:eastAsia="zh-CN"/>
              </w:rPr>
            </w:pPr>
            <w:r>
              <w:rPr>
                <w:rFonts w:hint="eastAsia" w:ascii="Times New Roman" w:hAnsi="Times New Roman" w:cs="Times New Roman"/>
                <w:bCs/>
                <w:color w:val="auto"/>
                <w:highlight w:val="none"/>
                <w:lang w:eastAsia="zh-CN"/>
              </w:rPr>
              <w:t>（</w:t>
            </w:r>
            <w:r>
              <w:rPr>
                <w:rFonts w:hint="eastAsia" w:cs="Times New Roman"/>
                <w:bCs/>
                <w:color w:val="auto"/>
                <w:highlight w:val="none"/>
                <w:lang w:val="en-US" w:eastAsia="zh-CN"/>
              </w:rPr>
              <w:t>6</w:t>
            </w:r>
            <w:r>
              <w:rPr>
                <w:rFonts w:hint="eastAsia" w:ascii="Times New Roman" w:hAnsi="Times New Roman" w:cs="Times New Roman"/>
                <w:bCs/>
                <w:color w:val="auto"/>
                <w:highlight w:val="none"/>
                <w:lang w:eastAsia="zh-CN"/>
              </w:rPr>
              <w:t>）</w:t>
            </w:r>
            <w:r>
              <w:rPr>
                <w:rFonts w:hint="default" w:ascii="Times New Roman" w:hAnsi="Times New Roman" w:cs="Times New Roman"/>
                <w:bCs/>
                <w:color w:val="auto"/>
                <w:highlight w:val="none"/>
              </w:rPr>
              <w:t>生活垃圾</w:t>
            </w:r>
            <w:r>
              <w:rPr>
                <w:rFonts w:hint="default" w:ascii="Times New Roman" w:hAnsi="Times New Roman" w:cs="Times New Roman"/>
                <w:bCs/>
                <w:color w:val="auto"/>
                <w:highlight w:val="none"/>
                <w:lang w:eastAsia="zh-CN"/>
              </w:rPr>
              <w:t>（S</w:t>
            </w:r>
            <w:r>
              <w:rPr>
                <w:rFonts w:hint="eastAsia" w:cs="Times New Roman"/>
                <w:bCs/>
                <w:color w:val="auto"/>
                <w:highlight w:val="none"/>
                <w:lang w:val="en-US" w:eastAsia="zh-CN"/>
              </w:rPr>
              <w:t>10</w:t>
            </w:r>
            <w:r>
              <w:rPr>
                <w:rFonts w:hint="default" w:ascii="Times New Roman" w:hAnsi="Times New Roman" w:cs="Times New Roman"/>
                <w:bCs/>
                <w:color w:val="auto"/>
                <w:highlight w:val="none"/>
                <w:lang w:eastAsia="zh-CN"/>
              </w:rPr>
              <w:t>）</w:t>
            </w:r>
          </w:p>
          <w:p w14:paraId="1ED66B83">
            <w:pPr>
              <w:autoSpaceDE w:val="0"/>
              <w:autoSpaceDN w:val="0"/>
              <w:adjustRightInd w:val="0"/>
              <w:spacing w:line="360" w:lineRule="auto"/>
              <w:ind w:firstLine="420" w:firstLineChars="200"/>
              <w:rPr>
                <w:rFonts w:hint="eastAsia" w:ascii="Times New Roman" w:hAnsi="Times New Roman" w:eastAsia="宋体" w:cs="Times New Roman"/>
                <w:color w:val="auto"/>
                <w:szCs w:val="21"/>
                <w:highlight w:val="none"/>
                <w:lang w:eastAsia="zh-CN"/>
              </w:rPr>
            </w:pPr>
            <w:bookmarkStart w:id="2" w:name="_Hlk49542529"/>
            <w:r>
              <w:rPr>
                <w:rFonts w:hint="eastAsia" w:cs="Times New Roman"/>
                <w:color w:val="auto"/>
                <w:szCs w:val="21"/>
                <w:highlight w:val="none"/>
                <w:lang w:eastAsia="zh-CN"/>
              </w:rPr>
              <w:t>本项目</w:t>
            </w:r>
            <w:r>
              <w:rPr>
                <w:rFonts w:hint="default" w:ascii="Times New Roman" w:hAnsi="Times New Roman" w:eastAsia="宋体" w:cs="Times New Roman"/>
                <w:color w:val="auto"/>
                <w:szCs w:val="21"/>
                <w:highlight w:val="none"/>
              </w:rPr>
              <w:t>劳动定员为</w:t>
            </w:r>
            <w:r>
              <w:rPr>
                <w:rFonts w:hint="eastAsia" w:cs="Times New Roman"/>
                <w:color w:val="auto"/>
                <w:szCs w:val="21"/>
                <w:highlight w:val="none"/>
                <w:lang w:val="en-US" w:eastAsia="zh-CN"/>
              </w:rPr>
              <w:t>20</w:t>
            </w:r>
            <w:r>
              <w:rPr>
                <w:rFonts w:hint="default" w:ascii="Times New Roman" w:hAnsi="Times New Roman" w:eastAsia="宋体" w:cs="Times New Roman"/>
                <w:color w:val="auto"/>
                <w:szCs w:val="21"/>
                <w:highlight w:val="none"/>
              </w:rPr>
              <w:t>人，生活垃圾产生量按照0.5kg/人·d计，则</w:t>
            </w:r>
            <w:r>
              <w:rPr>
                <w:rFonts w:hint="eastAsia" w:ascii="Times New Roman" w:hAnsi="Times New Roman" w:eastAsia="宋体" w:cs="Times New Roman"/>
                <w:color w:val="auto"/>
                <w:szCs w:val="21"/>
                <w:highlight w:val="none"/>
                <w:lang w:val="en-US" w:eastAsia="zh-CN"/>
              </w:rPr>
              <w:t>本项目新增</w:t>
            </w:r>
            <w:r>
              <w:rPr>
                <w:rFonts w:hint="default" w:ascii="Times New Roman" w:hAnsi="Times New Roman" w:eastAsia="宋体" w:cs="Times New Roman"/>
                <w:color w:val="auto"/>
                <w:szCs w:val="21"/>
                <w:highlight w:val="none"/>
              </w:rPr>
              <w:t>生活垃圾产生量为</w:t>
            </w:r>
            <w:r>
              <w:rPr>
                <w:rFonts w:hint="eastAsia" w:cs="Times New Roman"/>
                <w:color w:val="auto"/>
                <w:szCs w:val="21"/>
                <w:highlight w:val="none"/>
                <w:lang w:val="en-US" w:eastAsia="zh-CN"/>
              </w:rPr>
              <w:t>3</w:t>
            </w:r>
            <w:r>
              <w:rPr>
                <w:rFonts w:hint="default" w:ascii="Times New Roman" w:hAnsi="Times New Roman" w:eastAsia="宋体" w:cs="Times New Roman"/>
                <w:color w:val="auto"/>
                <w:szCs w:val="21"/>
                <w:highlight w:val="none"/>
              </w:rPr>
              <w:t>t/a，由环卫部门定期清理</w:t>
            </w:r>
            <w:r>
              <w:rPr>
                <w:rFonts w:hint="eastAsia" w:ascii="Times New Roman" w:hAnsi="Times New Roman" w:eastAsia="宋体" w:cs="Times New Roman"/>
                <w:color w:val="auto"/>
                <w:szCs w:val="21"/>
                <w:highlight w:val="none"/>
                <w:lang w:eastAsia="zh-CN"/>
              </w:rPr>
              <w:t>。</w:t>
            </w:r>
          </w:p>
          <w:bookmarkEnd w:id="2"/>
          <w:p w14:paraId="08ACC773">
            <w:pPr>
              <w:autoSpaceDE w:val="0"/>
              <w:autoSpaceDN w:val="0"/>
              <w:adjustRightInd w:val="0"/>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eastAsia="宋体" w:cs="Times New Roman"/>
                <w:color w:val="auto"/>
                <w:szCs w:val="21"/>
                <w:highlight w:val="none"/>
              </w:rPr>
              <w:t>根据《建设项目危险废物环境影响评价指南》（环保部公告[2017]43号）、《固体废物鉴别标准通则》（GB 34330-20</w:t>
            </w:r>
            <w:r>
              <w:rPr>
                <w:rFonts w:hint="eastAsia" w:cs="Times New Roman"/>
                <w:color w:val="auto"/>
                <w:szCs w:val="21"/>
                <w:highlight w:val="none"/>
                <w:lang w:val="en-US" w:eastAsia="zh-CN"/>
              </w:rPr>
              <w:t>25</w:t>
            </w:r>
            <w:r>
              <w:rPr>
                <w:rFonts w:hint="default" w:ascii="Times New Roman" w:hAnsi="Times New Roman" w:eastAsia="宋体" w:cs="Times New Roman"/>
                <w:color w:val="auto"/>
                <w:szCs w:val="21"/>
                <w:highlight w:val="none"/>
              </w:rPr>
              <w:t>）。项目产生的固废分为一般固体废物和危险固废，一般固体废物产生情况分别如下所示：</w:t>
            </w:r>
          </w:p>
          <w:p w14:paraId="0C3F94D8">
            <w:pPr>
              <w:autoSpaceDE w:val="0"/>
              <w:autoSpaceDN w:val="0"/>
              <w:adjustRightInd w:val="0"/>
              <w:spacing w:line="360" w:lineRule="auto"/>
              <w:ind w:firstLine="422" w:firstLineChars="200"/>
              <w:jc w:val="center"/>
              <w:rPr>
                <w:rFonts w:hint="default" w:ascii="Times New Roman" w:hAnsi="Times New Roman" w:eastAsia="宋体" w:cs="Times New Roman"/>
                <w:b/>
                <w:bCs/>
                <w:color w:val="auto"/>
                <w:szCs w:val="21"/>
                <w:highlight w:val="none"/>
                <w:lang w:val="en-US" w:eastAsia="zh-CN"/>
              </w:rPr>
            </w:pPr>
            <w:r>
              <w:rPr>
                <w:rFonts w:hint="default" w:ascii="Times New Roman" w:hAnsi="Times New Roman" w:eastAsia="宋体" w:cs="Times New Roman"/>
                <w:b/>
                <w:bCs/>
                <w:color w:val="auto"/>
                <w:szCs w:val="21"/>
                <w:highlight w:val="none"/>
                <w:lang w:val="en-US" w:eastAsia="zh-CN"/>
              </w:rPr>
              <w:t>表4-</w:t>
            </w:r>
            <w:r>
              <w:rPr>
                <w:rFonts w:hint="eastAsia" w:cs="Times New Roman"/>
                <w:b/>
                <w:bCs/>
                <w:color w:val="auto"/>
                <w:szCs w:val="21"/>
                <w:highlight w:val="none"/>
                <w:lang w:val="en-US" w:eastAsia="zh-CN"/>
              </w:rPr>
              <w:t>12</w:t>
            </w:r>
            <w:r>
              <w:rPr>
                <w:rFonts w:hint="eastAsia" w:ascii="Times New Roman" w:hAnsi="Times New Roman" w:eastAsia="宋体" w:cs="Times New Roman"/>
                <w:b/>
                <w:bCs/>
                <w:color w:val="auto"/>
                <w:szCs w:val="21"/>
                <w:highlight w:val="none"/>
                <w:lang w:val="en-US" w:eastAsia="zh-CN"/>
              </w:rPr>
              <w:t>本项目</w:t>
            </w:r>
            <w:r>
              <w:rPr>
                <w:rFonts w:hint="default" w:ascii="Times New Roman" w:hAnsi="Times New Roman" w:eastAsia="宋体" w:cs="Times New Roman"/>
                <w:b/>
                <w:bCs/>
                <w:color w:val="auto"/>
                <w:szCs w:val="21"/>
                <w:highlight w:val="none"/>
                <w:lang w:val="en-US" w:eastAsia="zh-CN"/>
              </w:rPr>
              <w:t>固体废物分析结果汇总表</w:t>
            </w:r>
          </w:p>
          <w:tbl>
            <w:tblPr>
              <w:tblStyle w:val="83"/>
              <w:tblW w:w="83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1"/>
              <w:gridCol w:w="1246"/>
              <w:gridCol w:w="642"/>
              <w:gridCol w:w="1479"/>
              <w:gridCol w:w="1236"/>
              <w:gridCol w:w="1067"/>
              <w:gridCol w:w="1551"/>
            </w:tblGrid>
            <w:tr w14:paraId="646C4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noWrap w:val="0"/>
                  <w:tcMar>
                    <w:top w:w="0" w:type="dxa"/>
                    <w:left w:w="28" w:type="dxa"/>
                    <w:bottom w:w="0" w:type="dxa"/>
                    <w:right w:w="28" w:type="dxa"/>
                  </w:tcMar>
                  <w:vAlign w:val="center"/>
                </w:tcPr>
                <w:p w14:paraId="1D39810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产生工序</w:t>
                  </w:r>
                </w:p>
              </w:tc>
              <w:tc>
                <w:tcPr>
                  <w:tcW w:w="744" w:type="pct"/>
                  <w:noWrap w:val="0"/>
                  <w:tcMar>
                    <w:top w:w="0" w:type="dxa"/>
                    <w:left w:w="28" w:type="dxa"/>
                    <w:bottom w:w="0" w:type="dxa"/>
                    <w:right w:w="28" w:type="dxa"/>
                  </w:tcMar>
                  <w:vAlign w:val="center"/>
                </w:tcPr>
                <w:p w14:paraId="396434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固体废物名称</w:t>
                  </w:r>
                </w:p>
              </w:tc>
              <w:tc>
                <w:tcPr>
                  <w:tcW w:w="383" w:type="pct"/>
                  <w:noWrap w:val="0"/>
                  <w:tcMar>
                    <w:top w:w="0" w:type="dxa"/>
                    <w:left w:w="28" w:type="dxa"/>
                    <w:bottom w:w="0" w:type="dxa"/>
                    <w:right w:w="28" w:type="dxa"/>
                  </w:tcMar>
                  <w:vAlign w:val="center"/>
                </w:tcPr>
                <w:p w14:paraId="4FAB96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形态</w:t>
                  </w:r>
                </w:p>
              </w:tc>
              <w:tc>
                <w:tcPr>
                  <w:tcW w:w="883" w:type="pct"/>
                  <w:noWrap w:val="0"/>
                  <w:tcMar>
                    <w:top w:w="0" w:type="dxa"/>
                    <w:left w:w="28" w:type="dxa"/>
                    <w:bottom w:w="0" w:type="dxa"/>
                    <w:right w:w="28" w:type="dxa"/>
                  </w:tcMar>
                  <w:vAlign w:val="center"/>
                </w:tcPr>
                <w:p w14:paraId="386CE42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属性</w:t>
                  </w:r>
                </w:p>
              </w:tc>
              <w:tc>
                <w:tcPr>
                  <w:tcW w:w="738" w:type="pct"/>
                  <w:noWrap w:val="0"/>
                  <w:tcMar>
                    <w:top w:w="0" w:type="dxa"/>
                    <w:left w:w="28" w:type="dxa"/>
                    <w:bottom w:w="0" w:type="dxa"/>
                    <w:right w:w="28" w:type="dxa"/>
                  </w:tcMar>
                  <w:vAlign w:val="center"/>
                </w:tcPr>
                <w:p w14:paraId="312786E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废物代码</w:t>
                  </w:r>
                </w:p>
              </w:tc>
              <w:tc>
                <w:tcPr>
                  <w:tcW w:w="637" w:type="pct"/>
                  <w:noWrap w:val="0"/>
                  <w:tcMar>
                    <w:top w:w="0" w:type="dxa"/>
                    <w:left w:w="28" w:type="dxa"/>
                    <w:bottom w:w="0" w:type="dxa"/>
                    <w:right w:w="28" w:type="dxa"/>
                  </w:tcMar>
                  <w:vAlign w:val="center"/>
                </w:tcPr>
                <w:p w14:paraId="1ABBEA5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产生量</w:t>
                  </w:r>
                </w:p>
              </w:tc>
              <w:tc>
                <w:tcPr>
                  <w:tcW w:w="926" w:type="pct"/>
                  <w:noWrap w:val="0"/>
                  <w:tcMar>
                    <w:top w:w="0" w:type="dxa"/>
                    <w:left w:w="28" w:type="dxa"/>
                    <w:bottom w:w="0" w:type="dxa"/>
                    <w:right w:w="28" w:type="dxa"/>
                  </w:tcMar>
                  <w:vAlign w:val="center"/>
                </w:tcPr>
                <w:p w14:paraId="443632D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处理措施</w:t>
                  </w:r>
                </w:p>
              </w:tc>
            </w:tr>
            <w:tr w14:paraId="5C802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shd w:val="clear" w:color="auto" w:fill="auto"/>
                  <w:noWrap w:val="0"/>
                  <w:tcMar>
                    <w:top w:w="0" w:type="dxa"/>
                    <w:left w:w="28" w:type="dxa"/>
                    <w:bottom w:w="0" w:type="dxa"/>
                    <w:right w:w="28" w:type="dxa"/>
                  </w:tcMar>
                  <w:vAlign w:val="center"/>
                </w:tcPr>
                <w:p w14:paraId="232A671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原料包装</w:t>
                  </w:r>
                </w:p>
              </w:tc>
              <w:tc>
                <w:tcPr>
                  <w:tcW w:w="744" w:type="pct"/>
                  <w:shd w:val="clear" w:color="auto" w:fill="auto"/>
                  <w:noWrap w:val="0"/>
                  <w:tcMar>
                    <w:top w:w="0" w:type="dxa"/>
                    <w:left w:w="28" w:type="dxa"/>
                    <w:bottom w:w="0" w:type="dxa"/>
                    <w:right w:w="28" w:type="dxa"/>
                  </w:tcMar>
                  <w:vAlign w:val="center"/>
                </w:tcPr>
                <w:p w14:paraId="45F7DEB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废包装</w:t>
                  </w:r>
                  <w:r>
                    <w:rPr>
                      <w:rFonts w:hint="eastAsia" w:cs="Times New Roman"/>
                      <w:color w:val="auto"/>
                      <w:sz w:val="18"/>
                      <w:szCs w:val="18"/>
                      <w:highlight w:val="none"/>
                      <w:lang w:val="en-US" w:eastAsia="zh-CN"/>
                    </w:rPr>
                    <w:t>袋</w:t>
                  </w:r>
                </w:p>
              </w:tc>
              <w:tc>
                <w:tcPr>
                  <w:tcW w:w="383" w:type="pct"/>
                  <w:noWrap w:val="0"/>
                  <w:tcMar>
                    <w:top w:w="0" w:type="dxa"/>
                    <w:left w:w="28" w:type="dxa"/>
                    <w:bottom w:w="0" w:type="dxa"/>
                    <w:right w:w="28" w:type="dxa"/>
                  </w:tcMar>
                  <w:vAlign w:val="center"/>
                </w:tcPr>
                <w:p w14:paraId="488C29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固态</w:t>
                  </w:r>
                </w:p>
              </w:tc>
              <w:tc>
                <w:tcPr>
                  <w:tcW w:w="883" w:type="pct"/>
                  <w:noWrap w:val="0"/>
                  <w:tcMar>
                    <w:top w:w="0" w:type="dxa"/>
                    <w:left w:w="28" w:type="dxa"/>
                    <w:bottom w:w="0" w:type="dxa"/>
                    <w:right w:w="28" w:type="dxa"/>
                  </w:tcMar>
                  <w:vAlign w:val="center"/>
                </w:tcPr>
                <w:p w14:paraId="6D3281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一般固废</w:t>
                  </w:r>
                </w:p>
              </w:tc>
              <w:tc>
                <w:tcPr>
                  <w:tcW w:w="738" w:type="pct"/>
                  <w:noWrap w:val="0"/>
                  <w:tcMar>
                    <w:top w:w="0" w:type="dxa"/>
                    <w:left w:w="28" w:type="dxa"/>
                    <w:bottom w:w="0" w:type="dxa"/>
                    <w:right w:w="28" w:type="dxa"/>
                  </w:tcMar>
                  <w:vAlign w:val="center"/>
                </w:tcPr>
                <w:p w14:paraId="38BF32B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S17，</w:t>
                  </w:r>
                  <w:r>
                    <w:rPr>
                      <w:rFonts w:hint="default" w:ascii="Times New Roman" w:hAnsi="Times New Roman" w:eastAsia="宋体" w:cs="Times New Roman"/>
                      <w:color w:val="auto"/>
                      <w:sz w:val="18"/>
                      <w:szCs w:val="18"/>
                      <w:highlight w:val="none"/>
                      <w:lang w:val="en-US" w:eastAsia="zh-CN"/>
                    </w:rPr>
                    <w:t>900-003-S17</w:t>
                  </w:r>
                </w:p>
              </w:tc>
              <w:tc>
                <w:tcPr>
                  <w:tcW w:w="637" w:type="pct"/>
                  <w:noWrap w:val="0"/>
                  <w:tcMar>
                    <w:top w:w="0" w:type="dxa"/>
                    <w:left w:w="28" w:type="dxa"/>
                    <w:bottom w:w="0" w:type="dxa"/>
                    <w:right w:w="28" w:type="dxa"/>
                  </w:tcMar>
                  <w:vAlign w:val="center"/>
                </w:tcPr>
                <w:p w14:paraId="6ADDBB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0.756</w:t>
                  </w:r>
                  <w:r>
                    <w:rPr>
                      <w:rFonts w:hint="eastAsia" w:ascii="Times New Roman" w:hAnsi="Times New Roman" w:eastAsia="宋体" w:cs="Times New Roman"/>
                      <w:color w:val="auto"/>
                      <w:sz w:val="18"/>
                      <w:szCs w:val="18"/>
                      <w:highlight w:val="none"/>
                      <w:lang w:val="en-US" w:eastAsia="zh-CN"/>
                    </w:rPr>
                    <w:t>t/a</w:t>
                  </w:r>
                </w:p>
              </w:tc>
              <w:tc>
                <w:tcPr>
                  <w:tcW w:w="926" w:type="pct"/>
                  <w:vMerge w:val="restart"/>
                  <w:noWrap w:val="0"/>
                  <w:tcMar>
                    <w:top w:w="0" w:type="dxa"/>
                    <w:left w:w="28" w:type="dxa"/>
                    <w:bottom w:w="0" w:type="dxa"/>
                    <w:right w:w="28" w:type="dxa"/>
                  </w:tcMar>
                  <w:vAlign w:val="center"/>
                </w:tcPr>
                <w:p w14:paraId="7FB285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收集后外卖处理</w:t>
                  </w:r>
                </w:p>
              </w:tc>
            </w:tr>
            <w:tr w14:paraId="59EEC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noWrap w:val="0"/>
                  <w:tcMar>
                    <w:top w:w="0" w:type="dxa"/>
                    <w:left w:w="28" w:type="dxa"/>
                    <w:bottom w:w="0" w:type="dxa"/>
                    <w:right w:w="28" w:type="dxa"/>
                  </w:tcMar>
                  <w:vAlign w:val="center"/>
                </w:tcPr>
                <w:p w14:paraId="759718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压滤和过滤</w:t>
                  </w:r>
                </w:p>
              </w:tc>
              <w:tc>
                <w:tcPr>
                  <w:tcW w:w="744" w:type="pct"/>
                  <w:shd w:val="clear" w:color="auto" w:fill="auto"/>
                  <w:noWrap w:val="0"/>
                  <w:tcMar>
                    <w:top w:w="0" w:type="dxa"/>
                    <w:left w:w="28" w:type="dxa"/>
                    <w:bottom w:w="0" w:type="dxa"/>
                    <w:right w:w="28" w:type="dxa"/>
                  </w:tcMar>
                  <w:vAlign w:val="center"/>
                </w:tcPr>
                <w:p w14:paraId="571CEF6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压滤和过滤杂质</w:t>
                  </w:r>
                </w:p>
              </w:tc>
              <w:tc>
                <w:tcPr>
                  <w:tcW w:w="383" w:type="pct"/>
                  <w:noWrap w:val="0"/>
                  <w:tcMar>
                    <w:top w:w="0" w:type="dxa"/>
                    <w:left w:w="28" w:type="dxa"/>
                    <w:bottom w:w="0" w:type="dxa"/>
                    <w:right w:w="28" w:type="dxa"/>
                  </w:tcMar>
                  <w:vAlign w:val="center"/>
                </w:tcPr>
                <w:p w14:paraId="51FDFE3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固态</w:t>
                  </w:r>
                </w:p>
              </w:tc>
              <w:tc>
                <w:tcPr>
                  <w:tcW w:w="883" w:type="pct"/>
                  <w:noWrap w:val="0"/>
                  <w:tcMar>
                    <w:top w:w="0" w:type="dxa"/>
                    <w:left w:w="28" w:type="dxa"/>
                    <w:bottom w:w="0" w:type="dxa"/>
                    <w:right w:w="28" w:type="dxa"/>
                  </w:tcMar>
                  <w:vAlign w:val="center"/>
                </w:tcPr>
                <w:p w14:paraId="171EA6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一般固废</w:t>
                  </w:r>
                </w:p>
              </w:tc>
              <w:tc>
                <w:tcPr>
                  <w:tcW w:w="738" w:type="pct"/>
                  <w:noWrap w:val="0"/>
                  <w:tcMar>
                    <w:top w:w="0" w:type="dxa"/>
                    <w:left w:w="28" w:type="dxa"/>
                    <w:bottom w:w="0" w:type="dxa"/>
                    <w:right w:w="28" w:type="dxa"/>
                  </w:tcMar>
                  <w:vAlign w:val="center"/>
                </w:tcPr>
                <w:p w14:paraId="438AAB4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S59，900-099-S59</w:t>
                  </w:r>
                </w:p>
              </w:tc>
              <w:tc>
                <w:tcPr>
                  <w:tcW w:w="637" w:type="pct"/>
                  <w:noWrap w:val="0"/>
                  <w:tcMar>
                    <w:top w:w="0" w:type="dxa"/>
                    <w:left w:w="28" w:type="dxa"/>
                    <w:bottom w:w="0" w:type="dxa"/>
                    <w:right w:w="28" w:type="dxa"/>
                  </w:tcMar>
                  <w:vAlign w:val="center"/>
                </w:tcPr>
                <w:p w14:paraId="2D750D8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2.6</w:t>
                  </w:r>
                  <w:r>
                    <w:rPr>
                      <w:rFonts w:hint="eastAsia" w:ascii="Times New Roman" w:hAnsi="Times New Roman" w:eastAsia="宋体" w:cs="Times New Roman"/>
                      <w:color w:val="auto"/>
                      <w:sz w:val="18"/>
                      <w:szCs w:val="18"/>
                      <w:highlight w:val="none"/>
                      <w:lang w:val="en-US" w:eastAsia="zh-CN"/>
                    </w:rPr>
                    <w:t>t/a</w:t>
                  </w:r>
                </w:p>
              </w:tc>
              <w:tc>
                <w:tcPr>
                  <w:tcW w:w="926" w:type="pct"/>
                  <w:vMerge w:val="continue"/>
                  <w:noWrap w:val="0"/>
                  <w:tcMar>
                    <w:top w:w="0" w:type="dxa"/>
                    <w:left w:w="28" w:type="dxa"/>
                    <w:bottom w:w="0" w:type="dxa"/>
                    <w:right w:w="28" w:type="dxa"/>
                  </w:tcMar>
                  <w:vAlign w:val="center"/>
                </w:tcPr>
                <w:p w14:paraId="209B177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p>
              </w:tc>
            </w:tr>
            <w:tr w14:paraId="7411A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shd w:val="clear" w:color="auto" w:fill="auto"/>
                  <w:noWrap w:val="0"/>
                  <w:tcMar>
                    <w:top w:w="0" w:type="dxa"/>
                    <w:left w:w="28" w:type="dxa"/>
                    <w:bottom w:w="0" w:type="dxa"/>
                    <w:right w:w="28" w:type="dxa"/>
                  </w:tcMar>
                  <w:vAlign w:val="center"/>
                </w:tcPr>
                <w:p w14:paraId="537361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多效蒸发</w:t>
                  </w:r>
                </w:p>
              </w:tc>
              <w:tc>
                <w:tcPr>
                  <w:tcW w:w="744" w:type="pct"/>
                  <w:shd w:val="clear" w:color="auto" w:fill="auto"/>
                  <w:noWrap w:val="0"/>
                  <w:tcMar>
                    <w:top w:w="0" w:type="dxa"/>
                    <w:left w:w="28" w:type="dxa"/>
                    <w:bottom w:w="0" w:type="dxa"/>
                    <w:right w:w="28" w:type="dxa"/>
                  </w:tcMar>
                  <w:vAlign w:val="center"/>
                </w:tcPr>
                <w:p w14:paraId="16E4D0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废盐</w:t>
                  </w:r>
                </w:p>
              </w:tc>
              <w:tc>
                <w:tcPr>
                  <w:tcW w:w="383" w:type="pct"/>
                  <w:shd w:val="clear" w:color="auto" w:fill="auto"/>
                  <w:noWrap w:val="0"/>
                  <w:tcMar>
                    <w:top w:w="0" w:type="dxa"/>
                    <w:left w:w="28" w:type="dxa"/>
                    <w:bottom w:w="0" w:type="dxa"/>
                    <w:right w:w="28" w:type="dxa"/>
                  </w:tcMar>
                  <w:vAlign w:val="center"/>
                </w:tcPr>
                <w:p w14:paraId="7E0CD0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p>
              </w:tc>
              <w:tc>
                <w:tcPr>
                  <w:tcW w:w="883" w:type="pct"/>
                  <w:shd w:val="clear" w:color="auto" w:fill="auto"/>
                  <w:noWrap w:val="0"/>
                  <w:tcMar>
                    <w:top w:w="0" w:type="dxa"/>
                    <w:left w:w="28" w:type="dxa"/>
                    <w:bottom w:w="0" w:type="dxa"/>
                    <w:right w:w="28" w:type="dxa"/>
                  </w:tcMar>
                  <w:vAlign w:val="center"/>
                </w:tcPr>
                <w:p w14:paraId="7AEAE92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固体</w:t>
                  </w:r>
                </w:p>
              </w:tc>
              <w:tc>
                <w:tcPr>
                  <w:tcW w:w="738" w:type="pct"/>
                  <w:shd w:val="clear" w:color="auto" w:fill="auto"/>
                  <w:noWrap w:val="0"/>
                  <w:tcMar>
                    <w:top w:w="0" w:type="dxa"/>
                    <w:left w:w="28" w:type="dxa"/>
                    <w:bottom w:w="0" w:type="dxa"/>
                    <w:right w:w="28" w:type="dxa"/>
                  </w:tcMar>
                  <w:vAlign w:val="center"/>
                </w:tcPr>
                <w:p w14:paraId="1C5BAEE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w:t>
                  </w:r>
                </w:p>
              </w:tc>
              <w:tc>
                <w:tcPr>
                  <w:tcW w:w="637" w:type="pct"/>
                  <w:shd w:val="clear" w:color="auto" w:fill="auto"/>
                  <w:noWrap w:val="0"/>
                  <w:tcMar>
                    <w:top w:w="0" w:type="dxa"/>
                    <w:left w:w="28" w:type="dxa"/>
                    <w:bottom w:w="0" w:type="dxa"/>
                    <w:right w:w="28" w:type="dxa"/>
                  </w:tcMar>
                  <w:vAlign w:val="center"/>
                </w:tcPr>
                <w:p w14:paraId="4CBB75A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295.828</w:t>
                  </w:r>
                </w:p>
              </w:tc>
              <w:tc>
                <w:tcPr>
                  <w:tcW w:w="926" w:type="pct"/>
                  <w:noWrap w:val="0"/>
                  <w:tcMar>
                    <w:top w:w="0" w:type="dxa"/>
                    <w:left w:w="28" w:type="dxa"/>
                    <w:bottom w:w="0" w:type="dxa"/>
                    <w:right w:w="28" w:type="dxa"/>
                  </w:tcMar>
                  <w:vAlign w:val="center"/>
                </w:tcPr>
                <w:p w14:paraId="76D58F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进行危废鉴定，若鉴定为一般工业固体废物，定期外卖，若鉴定为危险废物，委托资质单位进行处理</w:t>
                  </w:r>
                </w:p>
              </w:tc>
            </w:tr>
            <w:tr w14:paraId="4C34C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7" w:type="pct"/>
                  <w:noWrap w:val="0"/>
                  <w:tcMar>
                    <w:top w:w="0" w:type="dxa"/>
                    <w:left w:w="28" w:type="dxa"/>
                    <w:bottom w:w="0" w:type="dxa"/>
                    <w:right w:w="28" w:type="dxa"/>
                  </w:tcMar>
                  <w:vAlign w:val="center"/>
                </w:tcPr>
                <w:p w14:paraId="5FB9345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职工生活</w:t>
                  </w:r>
                </w:p>
              </w:tc>
              <w:tc>
                <w:tcPr>
                  <w:tcW w:w="744" w:type="pct"/>
                  <w:shd w:val="clear" w:color="auto" w:fill="auto"/>
                  <w:noWrap w:val="0"/>
                  <w:tcMar>
                    <w:top w:w="0" w:type="dxa"/>
                    <w:left w:w="28" w:type="dxa"/>
                    <w:bottom w:w="0" w:type="dxa"/>
                    <w:right w:w="28" w:type="dxa"/>
                  </w:tcMar>
                  <w:vAlign w:val="center"/>
                </w:tcPr>
                <w:p w14:paraId="16378DE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职工生活垃圾</w:t>
                  </w:r>
                </w:p>
              </w:tc>
              <w:tc>
                <w:tcPr>
                  <w:tcW w:w="383" w:type="pct"/>
                  <w:noWrap w:val="0"/>
                  <w:tcMar>
                    <w:top w:w="0" w:type="dxa"/>
                    <w:left w:w="28" w:type="dxa"/>
                    <w:bottom w:w="0" w:type="dxa"/>
                    <w:right w:w="28" w:type="dxa"/>
                  </w:tcMar>
                  <w:vAlign w:val="center"/>
                </w:tcPr>
                <w:p w14:paraId="4489F35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固态</w:t>
                  </w:r>
                </w:p>
              </w:tc>
              <w:tc>
                <w:tcPr>
                  <w:tcW w:w="883" w:type="pct"/>
                  <w:noWrap w:val="0"/>
                  <w:tcMar>
                    <w:top w:w="0" w:type="dxa"/>
                    <w:left w:w="28" w:type="dxa"/>
                    <w:bottom w:w="0" w:type="dxa"/>
                    <w:right w:w="28" w:type="dxa"/>
                  </w:tcMar>
                  <w:vAlign w:val="center"/>
                </w:tcPr>
                <w:p w14:paraId="28B0EA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738" w:type="pct"/>
                  <w:noWrap w:val="0"/>
                  <w:tcMar>
                    <w:top w:w="0" w:type="dxa"/>
                    <w:left w:w="28" w:type="dxa"/>
                    <w:bottom w:w="0" w:type="dxa"/>
                    <w:right w:w="28" w:type="dxa"/>
                  </w:tcMar>
                  <w:vAlign w:val="center"/>
                </w:tcPr>
                <w:p w14:paraId="28BF70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w:t>
                  </w:r>
                </w:p>
              </w:tc>
              <w:tc>
                <w:tcPr>
                  <w:tcW w:w="637" w:type="pct"/>
                  <w:noWrap w:val="0"/>
                  <w:tcMar>
                    <w:top w:w="0" w:type="dxa"/>
                    <w:left w:w="28" w:type="dxa"/>
                    <w:bottom w:w="0" w:type="dxa"/>
                    <w:right w:w="28" w:type="dxa"/>
                  </w:tcMar>
                  <w:vAlign w:val="center"/>
                </w:tcPr>
                <w:p w14:paraId="3A3A216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3t</w:t>
                  </w:r>
                  <w:r>
                    <w:rPr>
                      <w:rFonts w:hint="eastAsia" w:ascii="Times New Roman" w:hAnsi="Times New Roman" w:eastAsia="宋体" w:cs="Times New Roman"/>
                      <w:color w:val="auto"/>
                      <w:sz w:val="18"/>
                      <w:szCs w:val="18"/>
                      <w:highlight w:val="none"/>
                      <w:lang w:val="en-US" w:eastAsia="zh-CN"/>
                    </w:rPr>
                    <w:t>/a</w:t>
                  </w:r>
                </w:p>
              </w:tc>
              <w:tc>
                <w:tcPr>
                  <w:tcW w:w="926" w:type="pct"/>
                  <w:noWrap w:val="0"/>
                  <w:tcMar>
                    <w:top w:w="0" w:type="dxa"/>
                    <w:left w:w="28" w:type="dxa"/>
                    <w:bottom w:w="0" w:type="dxa"/>
                    <w:right w:w="28" w:type="dxa"/>
                  </w:tcMar>
                  <w:vAlign w:val="center"/>
                </w:tcPr>
                <w:p w14:paraId="3DBC3E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全部交由当地环卫部门统一收集处理</w:t>
                  </w:r>
                </w:p>
              </w:tc>
            </w:tr>
          </w:tbl>
          <w:p w14:paraId="0C3C9AE1">
            <w:pPr>
              <w:keepNext w:val="0"/>
              <w:keepLines w:val="0"/>
              <w:pageBreakBefore w:val="0"/>
              <w:kinsoku/>
              <w:wordWrap/>
              <w:overflowPunct/>
              <w:topLinePunct w:val="0"/>
              <w:bidi w:val="0"/>
              <w:adjustRightInd w:val="0"/>
              <w:snapToGrid w:val="0"/>
              <w:spacing w:line="480" w:lineRule="exact"/>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本项目危险废物产生情况</w:t>
            </w:r>
            <w:r>
              <w:rPr>
                <w:rFonts w:hint="eastAsia" w:cs="Times New Roman"/>
                <w:color w:val="auto"/>
                <w:sz w:val="21"/>
                <w:szCs w:val="21"/>
                <w:highlight w:val="none"/>
                <w:lang w:eastAsia="zh-CN"/>
              </w:rPr>
              <w:t>及</w:t>
            </w:r>
            <w:r>
              <w:rPr>
                <w:rFonts w:hint="default" w:ascii="Times New Roman" w:hAnsi="Times New Roman" w:cs="Times New Roman"/>
                <w:color w:val="auto"/>
                <w:sz w:val="21"/>
                <w:szCs w:val="21"/>
                <w:highlight w:val="none"/>
              </w:rPr>
              <w:t>见下表：</w:t>
            </w:r>
          </w:p>
          <w:p w14:paraId="70A3762A">
            <w:pPr>
              <w:pStyle w:val="1313"/>
              <w:keepNext w:val="0"/>
              <w:keepLines w:val="0"/>
              <w:pageBreakBefore w:val="0"/>
              <w:widowControl w:val="0"/>
              <w:kinsoku/>
              <w:wordWrap/>
              <w:overflowPunct/>
              <w:topLinePunct w:val="0"/>
              <w:autoSpaceDE/>
              <w:autoSpaceDN/>
              <w:bidi w:val="0"/>
              <w:adjustRightInd w:val="0"/>
              <w:snapToGrid w:val="0"/>
              <w:spacing w:before="79" w:beforeLines="25" w:after="79" w:afterLines="25" w:line="240" w:lineRule="auto"/>
              <w:textAlignment w:val="auto"/>
              <w:rPr>
                <w:rFonts w:hint="default" w:ascii="Times New Roman" w:hAnsi="Times New Roman" w:eastAsia="宋体" w:cs="Times New Roman"/>
                <w:b/>
                <w:bCs/>
                <w:color w:val="auto"/>
                <w:kern w:val="0"/>
                <w:sz w:val="24"/>
                <w:szCs w:val="24"/>
                <w:highlight w:val="none"/>
                <w:lang w:val="en-US" w:eastAsia="zh-CN" w:bidi="ar-SA"/>
              </w:rPr>
            </w:pPr>
            <w:r>
              <w:rPr>
                <w:rFonts w:hint="default" w:ascii="Times New Roman" w:hAnsi="Times New Roman" w:eastAsia="宋体" w:cs="Times New Roman"/>
                <w:b/>
                <w:bCs/>
                <w:color w:val="auto"/>
                <w:kern w:val="0"/>
                <w:sz w:val="21"/>
                <w:szCs w:val="21"/>
                <w:highlight w:val="none"/>
                <w:lang w:val="en-US" w:eastAsia="zh-CN" w:bidi="ar-SA"/>
              </w:rPr>
              <w:t>表4-</w:t>
            </w:r>
            <w:r>
              <w:rPr>
                <w:rFonts w:hint="eastAsia" w:ascii="Times New Roman" w:hAnsi="Times New Roman" w:eastAsia="宋体" w:cs="Times New Roman"/>
                <w:b/>
                <w:bCs/>
                <w:color w:val="auto"/>
                <w:kern w:val="0"/>
                <w:sz w:val="21"/>
                <w:szCs w:val="21"/>
                <w:highlight w:val="none"/>
                <w:lang w:val="en-US" w:eastAsia="zh-CN" w:bidi="ar-SA"/>
              </w:rPr>
              <w:t>13</w:t>
            </w:r>
            <w:r>
              <w:rPr>
                <w:rFonts w:hint="default" w:ascii="Times New Roman" w:hAnsi="Times New Roman" w:eastAsia="宋体" w:cs="Times New Roman"/>
                <w:b/>
                <w:bCs/>
                <w:color w:val="auto"/>
                <w:kern w:val="0"/>
                <w:sz w:val="21"/>
                <w:szCs w:val="21"/>
                <w:highlight w:val="none"/>
                <w:lang w:val="en-US" w:eastAsia="zh-CN" w:bidi="ar-SA"/>
              </w:rPr>
              <w:t xml:space="preserve">  </w:t>
            </w:r>
            <w:r>
              <w:rPr>
                <w:rFonts w:hint="default" w:ascii="Times New Roman" w:hAnsi="Times New Roman" w:eastAsia="宋体" w:cs="Times New Roman"/>
                <w:b/>
                <w:bCs/>
                <w:color w:val="auto"/>
                <w:sz w:val="21"/>
                <w:szCs w:val="21"/>
                <w:highlight w:val="none"/>
              </w:rPr>
              <w:t>本项目</w:t>
            </w:r>
            <w:r>
              <w:rPr>
                <w:rFonts w:hint="default" w:ascii="Times New Roman" w:hAnsi="Times New Roman" w:eastAsia="宋体" w:cs="Times New Roman"/>
                <w:b/>
                <w:bCs/>
                <w:color w:val="auto"/>
                <w:kern w:val="0"/>
                <w:sz w:val="21"/>
                <w:szCs w:val="21"/>
                <w:highlight w:val="none"/>
                <w:lang w:val="en-US" w:eastAsia="zh-CN" w:bidi="ar-SA"/>
              </w:rPr>
              <w:t>危险废物汇总表</w:t>
            </w:r>
          </w:p>
          <w:tbl>
            <w:tblPr>
              <w:tblStyle w:val="8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5"/>
              <w:gridCol w:w="1272"/>
              <w:gridCol w:w="942"/>
              <w:gridCol w:w="625"/>
              <w:gridCol w:w="926"/>
              <w:gridCol w:w="839"/>
              <w:gridCol w:w="846"/>
              <w:gridCol w:w="839"/>
              <w:gridCol w:w="841"/>
              <w:gridCol w:w="845"/>
            </w:tblGrid>
            <w:tr w14:paraId="0D37D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6" w:type="pct"/>
                  <w:tcBorders>
                    <w:tl2br w:val="nil"/>
                    <w:tr2bl w:val="nil"/>
                  </w:tcBorders>
                  <w:tcMar>
                    <w:top w:w="0" w:type="dxa"/>
                    <w:left w:w="28" w:type="dxa"/>
                    <w:bottom w:w="0" w:type="dxa"/>
                    <w:right w:w="28" w:type="dxa"/>
                  </w:tcMar>
                  <w:vAlign w:val="center"/>
                </w:tcPr>
                <w:p w14:paraId="4375147C">
                  <w:pPr>
                    <w:jc w:val="center"/>
                    <w:rPr>
                      <w:color w:val="auto"/>
                      <w:sz w:val="18"/>
                      <w:szCs w:val="18"/>
                    </w:rPr>
                  </w:pPr>
                  <w:r>
                    <w:rPr>
                      <w:color w:val="auto"/>
                      <w:sz w:val="18"/>
                      <w:szCs w:val="18"/>
                    </w:rPr>
                    <w:t>序号</w:t>
                  </w:r>
                </w:p>
              </w:tc>
              <w:tc>
                <w:tcPr>
                  <w:tcW w:w="759" w:type="pct"/>
                  <w:tcBorders>
                    <w:tl2br w:val="nil"/>
                    <w:tr2bl w:val="nil"/>
                  </w:tcBorders>
                  <w:tcMar>
                    <w:top w:w="0" w:type="dxa"/>
                    <w:left w:w="28" w:type="dxa"/>
                    <w:bottom w:w="0" w:type="dxa"/>
                    <w:right w:w="28" w:type="dxa"/>
                  </w:tcMar>
                  <w:vAlign w:val="center"/>
                </w:tcPr>
                <w:p w14:paraId="7D9FC1A5">
                  <w:pPr>
                    <w:jc w:val="center"/>
                    <w:rPr>
                      <w:color w:val="auto"/>
                      <w:sz w:val="18"/>
                      <w:szCs w:val="18"/>
                    </w:rPr>
                  </w:pPr>
                  <w:r>
                    <w:rPr>
                      <w:color w:val="auto"/>
                      <w:sz w:val="18"/>
                      <w:szCs w:val="18"/>
                    </w:rPr>
                    <w:t>产生工序及装置</w:t>
                  </w:r>
                </w:p>
              </w:tc>
              <w:tc>
                <w:tcPr>
                  <w:tcW w:w="562" w:type="pct"/>
                  <w:tcBorders>
                    <w:tl2br w:val="nil"/>
                    <w:tr2bl w:val="nil"/>
                  </w:tcBorders>
                  <w:tcMar>
                    <w:top w:w="0" w:type="dxa"/>
                    <w:left w:w="28" w:type="dxa"/>
                    <w:bottom w:w="0" w:type="dxa"/>
                    <w:right w:w="28" w:type="dxa"/>
                  </w:tcMar>
                  <w:vAlign w:val="center"/>
                </w:tcPr>
                <w:p w14:paraId="74D4C6A8">
                  <w:pPr>
                    <w:jc w:val="center"/>
                    <w:rPr>
                      <w:color w:val="auto"/>
                      <w:sz w:val="18"/>
                      <w:szCs w:val="18"/>
                    </w:rPr>
                  </w:pPr>
                  <w:r>
                    <w:rPr>
                      <w:color w:val="auto"/>
                      <w:sz w:val="18"/>
                      <w:szCs w:val="18"/>
                    </w:rPr>
                    <w:t>危险废物名称</w:t>
                  </w:r>
                </w:p>
              </w:tc>
              <w:tc>
                <w:tcPr>
                  <w:tcW w:w="373" w:type="pct"/>
                  <w:tcBorders>
                    <w:tl2br w:val="nil"/>
                    <w:tr2bl w:val="nil"/>
                  </w:tcBorders>
                  <w:tcMar>
                    <w:top w:w="0" w:type="dxa"/>
                    <w:left w:w="28" w:type="dxa"/>
                    <w:bottom w:w="0" w:type="dxa"/>
                    <w:right w:w="28" w:type="dxa"/>
                  </w:tcMar>
                  <w:vAlign w:val="center"/>
                </w:tcPr>
                <w:p w14:paraId="21D614A4">
                  <w:pPr>
                    <w:jc w:val="center"/>
                    <w:rPr>
                      <w:color w:val="auto"/>
                      <w:sz w:val="18"/>
                      <w:szCs w:val="18"/>
                    </w:rPr>
                  </w:pPr>
                  <w:r>
                    <w:rPr>
                      <w:color w:val="auto"/>
                      <w:sz w:val="18"/>
                      <w:szCs w:val="18"/>
                    </w:rPr>
                    <w:t>形态</w:t>
                  </w:r>
                </w:p>
              </w:tc>
              <w:tc>
                <w:tcPr>
                  <w:tcW w:w="553" w:type="pct"/>
                  <w:tcBorders>
                    <w:tl2br w:val="nil"/>
                    <w:tr2bl w:val="nil"/>
                  </w:tcBorders>
                  <w:tcMar>
                    <w:top w:w="0" w:type="dxa"/>
                    <w:left w:w="28" w:type="dxa"/>
                    <w:bottom w:w="0" w:type="dxa"/>
                    <w:right w:w="28" w:type="dxa"/>
                  </w:tcMar>
                  <w:vAlign w:val="center"/>
                </w:tcPr>
                <w:p w14:paraId="2CE2A9ED">
                  <w:pPr>
                    <w:jc w:val="center"/>
                    <w:rPr>
                      <w:color w:val="auto"/>
                      <w:sz w:val="18"/>
                      <w:szCs w:val="18"/>
                    </w:rPr>
                  </w:pPr>
                  <w:r>
                    <w:rPr>
                      <w:color w:val="auto"/>
                      <w:sz w:val="18"/>
                      <w:szCs w:val="18"/>
                    </w:rPr>
                    <w:t>危险废物代码</w:t>
                  </w:r>
                </w:p>
              </w:tc>
              <w:tc>
                <w:tcPr>
                  <w:tcW w:w="501" w:type="pct"/>
                  <w:tcBorders>
                    <w:tl2br w:val="nil"/>
                    <w:tr2bl w:val="nil"/>
                  </w:tcBorders>
                  <w:tcMar>
                    <w:top w:w="0" w:type="dxa"/>
                    <w:left w:w="28" w:type="dxa"/>
                    <w:bottom w:w="0" w:type="dxa"/>
                    <w:right w:w="28" w:type="dxa"/>
                  </w:tcMar>
                  <w:vAlign w:val="center"/>
                </w:tcPr>
                <w:p w14:paraId="0E9DB47B">
                  <w:pPr>
                    <w:jc w:val="center"/>
                    <w:rPr>
                      <w:color w:val="auto"/>
                      <w:sz w:val="18"/>
                      <w:szCs w:val="18"/>
                    </w:rPr>
                  </w:pPr>
                  <w:r>
                    <w:rPr>
                      <w:color w:val="auto"/>
                      <w:sz w:val="18"/>
                      <w:szCs w:val="18"/>
                    </w:rPr>
                    <w:t>产生量</w:t>
                  </w:r>
                </w:p>
              </w:tc>
              <w:tc>
                <w:tcPr>
                  <w:tcW w:w="505" w:type="pct"/>
                  <w:tcBorders>
                    <w:tl2br w:val="nil"/>
                    <w:tr2bl w:val="nil"/>
                  </w:tcBorders>
                  <w:tcMar>
                    <w:top w:w="0" w:type="dxa"/>
                    <w:left w:w="28" w:type="dxa"/>
                    <w:bottom w:w="0" w:type="dxa"/>
                    <w:right w:w="28" w:type="dxa"/>
                  </w:tcMar>
                  <w:vAlign w:val="center"/>
                </w:tcPr>
                <w:p w14:paraId="53217BD2">
                  <w:pPr>
                    <w:ind w:left="-80" w:leftChars="-38" w:right="-8" w:rightChars="-4"/>
                    <w:jc w:val="center"/>
                    <w:rPr>
                      <w:color w:val="auto"/>
                      <w:sz w:val="18"/>
                      <w:szCs w:val="18"/>
                    </w:rPr>
                  </w:pPr>
                  <w:r>
                    <w:rPr>
                      <w:color w:val="auto"/>
                      <w:sz w:val="18"/>
                      <w:szCs w:val="18"/>
                    </w:rPr>
                    <w:t>有害</w:t>
                  </w:r>
                </w:p>
                <w:p w14:paraId="4697F66A">
                  <w:pPr>
                    <w:ind w:left="-80" w:leftChars="-38" w:right="-8" w:rightChars="-4"/>
                    <w:jc w:val="center"/>
                    <w:rPr>
                      <w:color w:val="auto"/>
                      <w:sz w:val="18"/>
                      <w:szCs w:val="18"/>
                    </w:rPr>
                  </w:pPr>
                  <w:r>
                    <w:rPr>
                      <w:color w:val="auto"/>
                      <w:sz w:val="18"/>
                      <w:szCs w:val="18"/>
                    </w:rPr>
                    <w:t>成分</w:t>
                  </w:r>
                </w:p>
              </w:tc>
              <w:tc>
                <w:tcPr>
                  <w:tcW w:w="501" w:type="pct"/>
                  <w:tcBorders>
                    <w:tl2br w:val="nil"/>
                    <w:tr2bl w:val="nil"/>
                  </w:tcBorders>
                  <w:tcMar>
                    <w:top w:w="0" w:type="dxa"/>
                    <w:left w:w="28" w:type="dxa"/>
                    <w:bottom w:w="0" w:type="dxa"/>
                    <w:right w:w="28" w:type="dxa"/>
                  </w:tcMar>
                  <w:vAlign w:val="center"/>
                </w:tcPr>
                <w:p w14:paraId="4ED51327">
                  <w:pPr>
                    <w:ind w:left="-113" w:leftChars="-54" w:right="-103" w:rightChars="-49"/>
                    <w:jc w:val="center"/>
                    <w:rPr>
                      <w:color w:val="auto"/>
                      <w:sz w:val="18"/>
                      <w:szCs w:val="18"/>
                    </w:rPr>
                  </w:pPr>
                  <w:r>
                    <w:rPr>
                      <w:color w:val="auto"/>
                      <w:sz w:val="18"/>
                      <w:szCs w:val="18"/>
                    </w:rPr>
                    <w:t>处置量</w:t>
                  </w:r>
                </w:p>
              </w:tc>
              <w:tc>
                <w:tcPr>
                  <w:tcW w:w="502" w:type="pct"/>
                  <w:tcBorders>
                    <w:tl2br w:val="nil"/>
                    <w:tr2bl w:val="nil"/>
                  </w:tcBorders>
                  <w:tcMar>
                    <w:top w:w="0" w:type="dxa"/>
                    <w:left w:w="28" w:type="dxa"/>
                    <w:bottom w:w="0" w:type="dxa"/>
                    <w:right w:w="28" w:type="dxa"/>
                  </w:tcMar>
                  <w:vAlign w:val="center"/>
                </w:tcPr>
                <w:p w14:paraId="5F4CA66B">
                  <w:pPr>
                    <w:jc w:val="center"/>
                    <w:rPr>
                      <w:color w:val="auto"/>
                      <w:sz w:val="18"/>
                      <w:szCs w:val="18"/>
                    </w:rPr>
                  </w:pPr>
                  <w:r>
                    <w:rPr>
                      <w:color w:val="auto"/>
                      <w:sz w:val="18"/>
                      <w:szCs w:val="18"/>
                    </w:rPr>
                    <w:t>危险</w:t>
                  </w:r>
                </w:p>
                <w:p w14:paraId="1A993C40">
                  <w:pPr>
                    <w:jc w:val="center"/>
                    <w:rPr>
                      <w:color w:val="auto"/>
                      <w:sz w:val="18"/>
                      <w:szCs w:val="18"/>
                    </w:rPr>
                  </w:pPr>
                  <w:r>
                    <w:rPr>
                      <w:color w:val="auto"/>
                      <w:sz w:val="18"/>
                      <w:szCs w:val="18"/>
                    </w:rPr>
                    <w:t>特性</w:t>
                  </w:r>
                </w:p>
              </w:tc>
              <w:tc>
                <w:tcPr>
                  <w:tcW w:w="504" w:type="pct"/>
                  <w:tcBorders>
                    <w:tl2br w:val="nil"/>
                    <w:tr2bl w:val="nil"/>
                  </w:tcBorders>
                  <w:tcMar>
                    <w:top w:w="0" w:type="dxa"/>
                    <w:left w:w="28" w:type="dxa"/>
                    <w:bottom w:w="0" w:type="dxa"/>
                    <w:right w:w="28" w:type="dxa"/>
                  </w:tcMar>
                  <w:vAlign w:val="center"/>
                </w:tcPr>
                <w:p w14:paraId="03A933E0">
                  <w:pPr>
                    <w:jc w:val="center"/>
                    <w:rPr>
                      <w:color w:val="auto"/>
                      <w:sz w:val="18"/>
                      <w:szCs w:val="18"/>
                    </w:rPr>
                  </w:pPr>
                  <w:r>
                    <w:rPr>
                      <w:color w:val="auto"/>
                      <w:sz w:val="18"/>
                      <w:szCs w:val="18"/>
                    </w:rPr>
                    <w:t>储存及处置设施</w:t>
                  </w:r>
                </w:p>
              </w:tc>
            </w:tr>
            <w:tr w14:paraId="404C9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6" w:type="pct"/>
                  <w:tcBorders>
                    <w:tl2br w:val="nil"/>
                    <w:tr2bl w:val="nil"/>
                  </w:tcBorders>
                  <w:tcMar>
                    <w:top w:w="0" w:type="dxa"/>
                    <w:left w:w="28" w:type="dxa"/>
                    <w:bottom w:w="0" w:type="dxa"/>
                    <w:right w:w="28" w:type="dxa"/>
                  </w:tcMar>
                  <w:vAlign w:val="center"/>
                </w:tcPr>
                <w:p w14:paraId="4D6D37E8">
                  <w:pPr>
                    <w:topLinePunct/>
                    <w:adjustRightInd w:val="0"/>
                    <w:snapToGrid w:val="0"/>
                    <w:jc w:val="center"/>
                    <w:rPr>
                      <w:color w:val="auto"/>
                      <w:sz w:val="18"/>
                      <w:szCs w:val="18"/>
                    </w:rPr>
                  </w:pPr>
                  <w:r>
                    <w:rPr>
                      <w:rFonts w:hint="eastAsia"/>
                      <w:color w:val="auto"/>
                      <w:sz w:val="18"/>
                      <w:szCs w:val="18"/>
                      <w:lang w:val="en-US" w:eastAsia="zh-CN"/>
                    </w:rPr>
                    <w:t>1</w:t>
                  </w:r>
                </w:p>
              </w:tc>
              <w:tc>
                <w:tcPr>
                  <w:tcW w:w="759" w:type="pct"/>
                  <w:tcBorders>
                    <w:tl2br w:val="nil"/>
                    <w:tr2bl w:val="nil"/>
                  </w:tcBorders>
                  <w:tcMar>
                    <w:top w:w="0" w:type="dxa"/>
                    <w:left w:w="28" w:type="dxa"/>
                    <w:bottom w:w="0" w:type="dxa"/>
                    <w:right w:w="28" w:type="dxa"/>
                  </w:tcMar>
                  <w:vAlign w:val="center"/>
                </w:tcPr>
                <w:p w14:paraId="72069200">
                  <w:pPr>
                    <w:adjustRightInd w:val="0"/>
                    <w:snapToGrid w:val="0"/>
                    <w:jc w:val="center"/>
                    <w:rPr>
                      <w:color w:val="auto"/>
                      <w:sz w:val="18"/>
                      <w:szCs w:val="18"/>
                    </w:rPr>
                  </w:pPr>
                  <w:r>
                    <w:rPr>
                      <w:color w:val="auto"/>
                      <w:sz w:val="18"/>
                      <w:szCs w:val="18"/>
                    </w:rPr>
                    <w:t>维护设备</w:t>
                  </w:r>
                </w:p>
              </w:tc>
              <w:tc>
                <w:tcPr>
                  <w:tcW w:w="562" w:type="pct"/>
                  <w:tcBorders>
                    <w:tl2br w:val="nil"/>
                    <w:tr2bl w:val="nil"/>
                  </w:tcBorders>
                  <w:tcMar>
                    <w:top w:w="0" w:type="dxa"/>
                    <w:left w:w="28" w:type="dxa"/>
                    <w:bottom w:w="0" w:type="dxa"/>
                    <w:right w:w="28" w:type="dxa"/>
                  </w:tcMar>
                  <w:vAlign w:val="center"/>
                </w:tcPr>
                <w:p w14:paraId="011BF839">
                  <w:pPr>
                    <w:adjustRightInd w:val="0"/>
                    <w:snapToGrid w:val="0"/>
                    <w:jc w:val="center"/>
                    <w:rPr>
                      <w:color w:val="auto"/>
                      <w:sz w:val="18"/>
                      <w:szCs w:val="18"/>
                    </w:rPr>
                  </w:pPr>
                  <w:r>
                    <w:rPr>
                      <w:color w:val="auto"/>
                      <w:sz w:val="18"/>
                      <w:szCs w:val="18"/>
                    </w:rPr>
                    <w:t>废</w:t>
                  </w:r>
                  <w:r>
                    <w:rPr>
                      <w:rFonts w:hint="eastAsia"/>
                      <w:color w:val="auto"/>
                      <w:sz w:val="18"/>
                      <w:szCs w:val="18"/>
                      <w:lang w:eastAsia="zh-CN"/>
                    </w:rPr>
                    <w:t>机油</w:t>
                  </w:r>
                </w:p>
              </w:tc>
              <w:tc>
                <w:tcPr>
                  <w:tcW w:w="373" w:type="pct"/>
                  <w:tcBorders>
                    <w:tl2br w:val="nil"/>
                    <w:tr2bl w:val="nil"/>
                  </w:tcBorders>
                  <w:tcMar>
                    <w:top w:w="0" w:type="dxa"/>
                    <w:left w:w="28" w:type="dxa"/>
                    <w:bottom w:w="0" w:type="dxa"/>
                    <w:right w:w="28" w:type="dxa"/>
                  </w:tcMar>
                  <w:vAlign w:val="center"/>
                </w:tcPr>
                <w:p w14:paraId="290E5DAD">
                  <w:pPr>
                    <w:adjustRightInd w:val="0"/>
                    <w:snapToGrid w:val="0"/>
                    <w:jc w:val="center"/>
                    <w:rPr>
                      <w:color w:val="auto"/>
                      <w:sz w:val="18"/>
                      <w:szCs w:val="18"/>
                    </w:rPr>
                  </w:pPr>
                  <w:r>
                    <w:rPr>
                      <w:color w:val="auto"/>
                      <w:sz w:val="18"/>
                      <w:szCs w:val="18"/>
                    </w:rPr>
                    <w:t>液态</w:t>
                  </w:r>
                </w:p>
              </w:tc>
              <w:tc>
                <w:tcPr>
                  <w:tcW w:w="553" w:type="pct"/>
                  <w:tcBorders>
                    <w:tl2br w:val="nil"/>
                    <w:tr2bl w:val="nil"/>
                  </w:tcBorders>
                  <w:tcMar>
                    <w:top w:w="0" w:type="dxa"/>
                    <w:left w:w="28" w:type="dxa"/>
                    <w:bottom w:w="0" w:type="dxa"/>
                    <w:right w:w="28" w:type="dxa"/>
                  </w:tcMar>
                  <w:vAlign w:val="center"/>
                </w:tcPr>
                <w:p w14:paraId="272C8DD1">
                  <w:pPr>
                    <w:adjustRightInd w:val="0"/>
                    <w:snapToGrid w:val="0"/>
                    <w:jc w:val="center"/>
                    <w:rPr>
                      <w:color w:val="auto"/>
                      <w:sz w:val="18"/>
                      <w:szCs w:val="18"/>
                    </w:rPr>
                  </w:pPr>
                  <w:r>
                    <w:rPr>
                      <w:color w:val="auto"/>
                      <w:sz w:val="18"/>
                      <w:szCs w:val="18"/>
                    </w:rPr>
                    <w:t>HW08，900-217-08</w:t>
                  </w:r>
                </w:p>
              </w:tc>
              <w:tc>
                <w:tcPr>
                  <w:tcW w:w="501" w:type="pct"/>
                  <w:tcBorders>
                    <w:tl2br w:val="nil"/>
                    <w:tr2bl w:val="nil"/>
                  </w:tcBorders>
                  <w:tcMar>
                    <w:top w:w="0" w:type="dxa"/>
                    <w:left w:w="28" w:type="dxa"/>
                    <w:bottom w:w="0" w:type="dxa"/>
                    <w:right w:w="28" w:type="dxa"/>
                  </w:tcMar>
                  <w:vAlign w:val="center"/>
                </w:tcPr>
                <w:p w14:paraId="73495357">
                  <w:pPr>
                    <w:adjustRightInd w:val="0"/>
                    <w:snapToGrid w:val="0"/>
                    <w:jc w:val="center"/>
                    <w:rPr>
                      <w:color w:val="auto"/>
                      <w:sz w:val="18"/>
                      <w:szCs w:val="18"/>
                    </w:rPr>
                  </w:pPr>
                  <w:r>
                    <w:rPr>
                      <w:color w:val="auto"/>
                      <w:sz w:val="18"/>
                      <w:szCs w:val="18"/>
                    </w:rPr>
                    <w:t>0.2t/a</w:t>
                  </w:r>
                </w:p>
              </w:tc>
              <w:tc>
                <w:tcPr>
                  <w:tcW w:w="505" w:type="pct"/>
                  <w:tcBorders>
                    <w:tl2br w:val="nil"/>
                    <w:tr2bl w:val="nil"/>
                  </w:tcBorders>
                  <w:tcMar>
                    <w:top w:w="0" w:type="dxa"/>
                    <w:left w:w="28" w:type="dxa"/>
                    <w:bottom w:w="0" w:type="dxa"/>
                    <w:right w:w="28" w:type="dxa"/>
                  </w:tcMar>
                  <w:vAlign w:val="center"/>
                </w:tcPr>
                <w:p w14:paraId="5F0F32F1">
                  <w:pPr>
                    <w:jc w:val="center"/>
                    <w:rPr>
                      <w:color w:val="auto"/>
                      <w:sz w:val="18"/>
                      <w:szCs w:val="18"/>
                    </w:rPr>
                  </w:pPr>
                  <w:r>
                    <w:rPr>
                      <w:color w:val="auto"/>
                      <w:sz w:val="18"/>
                      <w:szCs w:val="18"/>
                    </w:rPr>
                    <w:t>矿物油</w:t>
                  </w:r>
                </w:p>
              </w:tc>
              <w:tc>
                <w:tcPr>
                  <w:tcW w:w="501" w:type="pct"/>
                  <w:tcBorders>
                    <w:tl2br w:val="nil"/>
                    <w:tr2bl w:val="nil"/>
                  </w:tcBorders>
                  <w:shd w:val="clear" w:color="auto" w:fill="auto"/>
                  <w:tcMar>
                    <w:top w:w="0" w:type="dxa"/>
                    <w:left w:w="28" w:type="dxa"/>
                    <w:bottom w:w="0" w:type="dxa"/>
                    <w:right w:w="28" w:type="dxa"/>
                  </w:tcMar>
                  <w:vAlign w:val="center"/>
                </w:tcPr>
                <w:p w14:paraId="65223339">
                  <w:pPr>
                    <w:adjustRightInd w:val="0"/>
                    <w:snapToGrid w:val="0"/>
                    <w:jc w:val="center"/>
                    <w:rPr>
                      <w:rFonts w:ascii="Times New Roman" w:hAnsi="Times New Roman" w:eastAsia="宋体" w:cs="Times New Roman"/>
                      <w:color w:val="auto"/>
                      <w:kern w:val="2"/>
                      <w:sz w:val="18"/>
                      <w:szCs w:val="18"/>
                      <w:lang w:val="en-US" w:eastAsia="zh-CN" w:bidi="ar-SA"/>
                    </w:rPr>
                  </w:pPr>
                  <w:r>
                    <w:rPr>
                      <w:color w:val="auto"/>
                      <w:sz w:val="18"/>
                      <w:szCs w:val="18"/>
                    </w:rPr>
                    <w:t>0.2t/a</w:t>
                  </w:r>
                </w:p>
              </w:tc>
              <w:tc>
                <w:tcPr>
                  <w:tcW w:w="502" w:type="pct"/>
                  <w:tcBorders>
                    <w:tl2br w:val="nil"/>
                    <w:tr2bl w:val="nil"/>
                  </w:tcBorders>
                  <w:tcMar>
                    <w:top w:w="0" w:type="dxa"/>
                    <w:left w:w="28" w:type="dxa"/>
                    <w:bottom w:w="0" w:type="dxa"/>
                    <w:right w:w="28" w:type="dxa"/>
                  </w:tcMar>
                  <w:vAlign w:val="center"/>
                </w:tcPr>
                <w:p w14:paraId="6C13EC38">
                  <w:pPr>
                    <w:widowControl/>
                    <w:jc w:val="center"/>
                    <w:rPr>
                      <w:color w:val="auto"/>
                      <w:kern w:val="0"/>
                      <w:sz w:val="18"/>
                      <w:szCs w:val="18"/>
                      <w:lang w:bidi="ar"/>
                    </w:rPr>
                  </w:pPr>
                  <w:r>
                    <w:rPr>
                      <w:color w:val="auto"/>
                      <w:sz w:val="18"/>
                      <w:szCs w:val="18"/>
                    </w:rPr>
                    <w:t>T、I</w:t>
                  </w:r>
                </w:p>
              </w:tc>
              <w:tc>
                <w:tcPr>
                  <w:tcW w:w="504" w:type="pct"/>
                  <w:vMerge w:val="restart"/>
                  <w:tcBorders>
                    <w:tl2br w:val="nil"/>
                    <w:tr2bl w:val="nil"/>
                  </w:tcBorders>
                  <w:tcMar>
                    <w:top w:w="0" w:type="dxa"/>
                    <w:left w:w="28" w:type="dxa"/>
                    <w:bottom w:w="0" w:type="dxa"/>
                    <w:right w:w="28" w:type="dxa"/>
                  </w:tcMar>
                  <w:vAlign w:val="center"/>
                </w:tcPr>
                <w:p w14:paraId="535A0A5E">
                  <w:pPr>
                    <w:widowControl/>
                    <w:jc w:val="center"/>
                    <w:rPr>
                      <w:color w:val="auto"/>
                      <w:kern w:val="0"/>
                      <w:sz w:val="18"/>
                      <w:szCs w:val="18"/>
                      <w:lang w:bidi="ar"/>
                    </w:rPr>
                  </w:pPr>
                  <w:r>
                    <w:rPr>
                      <w:rFonts w:hint="eastAsia" w:ascii="Times New Roman" w:hAnsi="Times New Roman" w:eastAsia="宋体" w:cs="Times New Roman"/>
                      <w:color w:val="auto"/>
                      <w:sz w:val="18"/>
                      <w:szCs w:val="18"/>
                      <w:highlight w:val="none"/>
                      <w:lang w:val="en-US" w:eastAsia="zh-CN"/>
                    </w:rPr>
                    <w:t>暂存在</w:t>
                  </w:r>
                  <w:r>
                    <w:rPr>
                      <w:rFonts w:hint="eastAsia" w:cs="Times New Roman"/>
                      <w:color w:val="auto"/>
                      <w:sz w:val="18"/>
                      <w:szCs w:val="18"/>
                      <w:highlight w:val="none"/>
                      <w:lang w:val="en-US" w:eastAsia="zh-CN"/>
                    </w:rPr>
                    <w:t>危废间</w:t>
                  </w:r>
                  <w:r>
                    <w:rPr>
                      <w:rFonts w:hint="eastAsia" w:ascii="Times New Roman" w:hAnsi="Times New Roman" w:eastAsia="宋体" w:cs="Times New Roman"/>
                      <w:color w:val="auto"/>
                      <w:sz w:val="18"/>
                      <w:szCs w:val="18"/>
                      <w:highlight w:val="none"/>
                      <w:lang w:val="en-US" w:eastAsia="zh-CN"/>
                    </w:rPr>
                    <w:t>，交由有资质单位处置</w:t>
                  </w:r>
                </w:p>
              </w:tc>
            </w:tr>
            <w:tr w14:paraId="08B46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6" w:type="pct"/>
                  <w:tcBorders>
                    <w:tl2br w:val="nil"/>
                    <w:tr2bl w:val="nil"/>
                  </w:tcBorders>
                  <w:tcMar>
                    <w:top w:w="0" w:type="dxa"/>
                    <w:left w:w="28" w:type="dxa"/>
                    <w:bottom w:w="0" w:type="dxa"/>
                    <w:right w:w="28" w:type="dxa"/>
                  </w:tcMar>
                  <w:vAlign w:val="center"/>
                </w:tcPr>
                <w:p w14:paraId="7B6A656E">
                  <w:pPr>
                    <w:topLinePunct/>
                    <w:adjustRightInd w:val="0"/>
                    <w:snapToGrid w:val="0"/>
                    <w:jc w:val="center"/>
                    <w:rPr>
                      <w:color w:val="auto"/>
                      <w:sz w:val="18"/>
                      <w:szCs w:val="18"/>
                    </w:rPr>
                  </w:pPr>
                  <w:r>
                    <w:rPr>
                      <w:rFonts w:hint="eastAsia"/>
                      <w:color w:val="auto"/>
                      <w:sz w:val="18"/>
                      <w:szCs w:val="18"/>
                      <w:lang w:val="en-US" w:eastAsia="zh-CN"/>
                    </w:rPr>
                    <w:t>2</w:t>
                  </w:r>
                </w:p>
              </w:tc>
              <w:tc>
                <w:tcPr>
                  <w:tcW w:w="759" w:type="pct"/>
                  <w:tcBorders>
                    <w:tl2br w:val="nil"/>
                    <w:tr2bl w:val="nil"/>
                  </w:tcBorders>
                  <w:tcMar>
                    <w:top w:w="0" w:type="dxa"/>
                    <w:left w:w="28" w:type="dxa"/>
                    <w:bottom w:w="0" w:type="dxa"/>
                    <w:right w:w="28" w:type="dxa"/>
                  </w:tcMar>
                  <w:vAlign w:val="center"/>
                </w:tcPr>
                <w:p w14:paraId="3BC230AF">
                  <w:pPr>
                    <w:adjustRightInd w:val="0"/>
                    <w:snapToGrid w:val="0"/>
                    <w:jc w:val="center"/>
                    <w:rPr>
                      <w:color w:val="auto"/>
                      <w:sz w:val="18"/>
                      <w:szCs w:val="18"/>
                    </w:rPr>
                  </w:pPr>
                  <w:r>
                    <w:rPr>
                      <w:color w:val="auto"/>
                      <w:sz w:val="18"/>
                      <w:szCs w:val="18"/>
                    </w:rPr>
                    <w:t>维护设备</w:t>
                  </w:r>
                </w:p>
              </w:tc>
              <w:tc>
                <w:tcPr>
                  <w:tcW w:w="562" w:type="pct"/>
                  <w:tcBorders>
                    <w:tl2br w:val="nil"/>
                    <w:tr2bl w:val="nil"/>
                  </w:tcBorders>
                  <w:tcMar>
                    <w:top w:w="0" w:type="dxa"/>
                    <w:left w:w="28" w:type="dxa"/>
                    <w:bottom w:w="0" w:type="dxa"/>
                    <w:right w:w="28" w:type="dxa"/>
                  </w:tcMar>
                  <w:vAlign w:val="center"/>
                </w:tcPr>
                <w:p w14:paraId="23D29001">
                  <w:pPr>
                    <w:adjustRightInd w:val="0"/>
                    <w:snapToGrid w:val="0"/>
                    <w:jc w:val="center"/>
                    <w:rPr>
                      <w:color w:val="auto"/>
                      <w:sz w:val="18"/>
                      <w:szCs w:val="18"/>
                    </w:rPr>
                  </w:pPr>
                  <w:r>
                    <w:rPr>
                      <w:color w:val="auto"/>
                      <w:sz w:val="18"/>
                      <w:szCs w:val="18"/>
                    </w:rPr>
                    <w:t>废</w:t>
                  </w:r>
                  <w:r>
                    <w:rPr>
                      <w:rFonts w:hint="eastAsia"/>
                      <w:color w:val="auto"/>
                      <w:sz w:val="18"/>
                      <w:szCs w:val="18"/>
                      <w:lang w:val="en-US" w:eastAsia="zh-CN"/>
                    </w:rPr>
                    <w:t>机油</w:t>
                  </w:r>
                  <w:r>
                    <w:rPr>
                      <w:color w:val="auto"/>
                      <w:sz w:val="18"/>
                      <w:szCs w:val="18"/>
                    </w:rPr>
                    <w:t>桶</w:t>
                  </w:r>
                </w:p>
              </w:tc>
              <w:tc>
                <w:tcPr>
                  <w:tcW w:w="373" w:type="pct"/>
                  <w:tcBorders>
                    <w:tl2br w:val="nil"/>
                    <w:tr2bl w:val="nil"/>
                  </w:tcBorders>
                  <w:tcMar>
                    <w:top w:w="0" w:type="dxa"/>
                    <w:left w:w="28" w:type="dxa"/>
                    <w:bottom w:w="0" w:type="dxa"/>
                    <w:right w:w="28" w:type="dxa"/>
                  </w:tcMar>
                  <w:vAlign w:val="center"/>
                </w:tcPr>
                <w:p w14:paraId="5FEB3574">
                  <w:pPr>
                    <w:adjustRightInd w:val="0"/>
                    <w:snapToGrid w:val="0"/>
                    <w:jc w:val="center"/>
                    <w:rPr>
                      <w:color w:val="auto"/>
                      <w:sz w:val="18"/>
                      <w:szCs w:val="18"/>
                    </w:rPr>
                  </w:pPr>
                  <w:r>
                    <w:rPr>
                      <w:color w:val="auto"/>
                      <w:sz w:val="18"/>
                      <w:szCs w:val="18"/>
                    </w:rPr>
                    <w:t>固态</w:t>
                  </w:r>
                </w:p>
              </w:tc>
              <w:tc>
                <w:tcPr>
                  <w:tcW w:w="553" w:type="pct"/>
                  <w:tcBorders>
                    <w:tl2br w:val="nil"/>
                    <w:tr2bl w:val="nil"/>
                  </w:tcBorders>
                  <w:tcMar>
                    <w:top w:w="0" w:type="dxa"/>
                    <w:left w:w="28" w:type="dxa"/>
                    <w:bottom w:w="0" w:type="dxa"/>
                    <w:right w:w="28" w:type="dxa"/>
                  </w:tcMar>
                  <w:vAlign w:val="center"/>
                </w:tcPr>
                <w:p w14:paraId="5D6E7ABB">
                  <w:pPr>
                    <w:adjustRightInd w:val="0"/>
                    <w:snapToGrid w:val="0"/>
                    <w:jc w:val="center"/>
                    <w:rPr>
                      <w:color w:val="auto"/>
                      <w:sz w:val="18"/>
                      <w:szCs w:val="18"/>
                    </w:rPr>
                  </w:pPr>
                  <w:r>
                    <w:rPr>
                      <w:color w:val="auto"/>
                      <w:sz w:val="18"/>
                      <w:szCs w:val="18"/>
                    </w:rPr>
                    <w:t>HW08，900-249-08</w:t>
                  </w:r>
                </w:p>
              </w:tc>
              <w:tc>
                <w:tcPr>
                  <w:tcW w:w="501" w:type="pct"/>
                  <w:tcBorders>
                    <w:tl2br w:val="nil"/>
                    <w:tr2bl w:val="nil"/>
                  </w:tcBorders>
                  <w:tcMar>
                    <w:top w:w="0" w:type="dxa"/>
                    <w:left w:w="28" w:type="dxa"/>
                    <w:bottom w:w="0" w:type="dxa"/>
                    <w:right w:w="28" w:type="dxa"/>
                  </w:tcMar>
                  <w:vAlign w:val="center"/>
                </w:tcPr>
                <w:p w14:paraId="72673EBC">
                  <w:pPr>
                    <w:adjustRightInd w:val="0"/>
                    <w:snapToGrid w:val="0"/>
                    <w:jc w:val="center"/>
                    <w:rPr>
                      <w:color w:val="auto"/>
                      <w:sz w:val="18"/>
                      <w:szCs w:val="18"/>
                    </w:rPr>
                  </w:pPr>
                  <w:r>
                    <w:rPr>
                      <w:color w:val="auto"/>
                      <w:sz w:val="18"/>
                      <w:szCs w:val="18"/>
                    </w:rPr>
                    <w:t>0.</w:t>
                  </w:r>
                  <w:r>
                    <w:rPr>
                      <w:rFonts w:hint="eastAsia"/>
                      <w:color w:val="auto"/>
                      <w:sz w:val="18"/>
                      <w:szCs w:val="18"/>
                      <w:lang w:val="en-US" w:eastAsia="zh-CN"/>
                    </w:rPr>
                    <w:t>144</w:t>
                  </w:r>
                  <w:r>
                    <w:rPr>
                      <w:color w:val="auto"/>
                      <w:sz w:val="18"/>
                      <w:szCs w:val="18"/>
                    </w:rPr>
                    <w:t>t/a</w:t>
                  </w:r>
                </w:p>
              </w:tc>
              <w:tc>
                <w:tcPr>
                  <w:tcW w:w="505" w:type="pct"/>
                  <w:tcBorders>
                    <w:tl2br w:val="nil"/>
                    <w:tr2bl w:val="nil"/>
                  </w:tcBorders>
                  <w:tcMar>
                    <w:top w:w="0" w:type="dxa"/>
                    <w:left w:w="28" w:type="dxa"/>
                    <w:bottom w:w="0" w:type="dxa"/>
                    <w:right w:w="28" w:type="dxa"/>
                  </w:tcMar>
                  <w:vAlign w:val="center"/>
                </w:tcPr>
                <w:p w14:paraId="7DDE943A">
                  <w:pPr>
                    <w:jc w:val="center"/>
                    <w:rPr>
                      <w:color w:val="auto"/>
                      <w:sz w:val="18"/>
                      <w:szCs w:val="18"/>
                    </w:rPr>
                  </w:pPr>
                  <w:r>
                    <w:rPr>
                      <w:color w:val="auto"/>
                      <w:sz w:val="18"/>
                      <w:szCs w:val="18"/>
                    </w:rPr>
                    <w:t>沾染矿物油</w:t>
                  </w:r>
                </w:p>
              </w:tc>
              <w:tc>
                <w:tcPr>
                  <w:tcW w:w="501" w:type="pct"/>
                  <w:tcBorders>
                    <w:tl2br w:val="nil"/>
                    <w:tr2bl w:val="nil"/>
                  </w:tcBorders>
                  <w:shd w:val="clear" w:color="auto" w:fill="auto"/>
                  <w:tcMar>
                    <w:top w:w="0" w:type="dxa"/>
                    <w:left w:w="28" w:type="dxa"/>
                    <w:bottom w:w="0" w:type="dxa"/>
                    <w:right w:w="28" w:type="dxa"/>
                  </w:tcMar>
                  <w:vAlign w:val="center"/>
                </w:tcPr>
                <w:p w14:paraId="5EE95E7E">
                  <w:pPr>
                    <w:adjustRightInd w:val="0"/>
                    <w:snapToGrid w:val="0"/>
                    <w:jc w:val="center"/>
                    <w:rPr>
                      <w:rFonts w:ascii="Times New Roman" w:hAnsi="Times New Roman" w:eastAsia="宋体" w:cs="Times New Roman"/>
                      <w:color w:val="auto"/>
                      <w:kern w:val="2"/>
                      <w:sz w:val="18"/>
                      <w:szCs w:val="18"/>
                      <w:lang w:val="en-US" w:eastAsia="zh-CN" w:bidi="ar-SA"/>
                    </w:rPr>
                  </w:pPr>
                  <w:r>
                    <w:rPr>
                      <w:color w:val="auto"/>
                      <w:sz w:val="18"/>
                      <w:szCs w:val="18"/>
                    </w:rPr>
                    <w:t>0.</w:t>
                  </w:r>
                  <w:r>
                    <w:rPr>
                      <w:rFonts w:hint="eastAsia"/>
                      <w:color w:val="auto"/>
                      <w:sz w:val="18"/>
                      <w:szCs w:val="18"/>
                      <w:lang w:val="en-US" w:eastAsia="zh-CN"/>
                    </w:rPr>
                    <w:t>144</w:t>
                  </w:r>
                  <w:r>
                    <w:rPr>
                      <w:color w:val="auto"/>
                      <w:sz w:val="18"/>
                      <w:szCs w:val="18"/>
                    </w:rPr>
                    <w:t>t/a</w:t>
                  </w:r>
                </w:p>
              </w:tc>
              <w:tc>
                <w:tcPr>
                  <w:tcW w:w="502" w:type="pct"/>
                  <w:tcBorders>
                    <w:tl2br w:val="nil"/>
                    <w:tr2bl w:val="nil"/>
                  </w:tcBorders>
                  <w:tcMar>
                    <w:top w:w="0" w:type="dxa"/>
                    <w:left w:w="28" w:type="dxa"/>
                    <w:bottom w:w="0" w:type="dxa"/>
                    <w:right w:w="28" w:type="dxa"/>
                  </w:tcMar>
                  <w:vAlign w:val="center"/>
                </w:tcPr>
                <w:p w14:paraId="39DAF77E">
                  <w:pPr>
                    <w:adjustRightInd w:val="0"/>
                    <w:snapToGrid w:val="0"/>
                    <w:jc w:val="center"/>
                    <w:rPr>
                      <w:color w:val="auto"/>
                      <w:sz w:val="18"/>
                      <w:szCs w:val="18"/>
                    </w:rPr>
                  </w:pPr>
                  <w:r>
                    <w:rPr>
                      <w:color w:val="auto"/>
                      <w:sz w:val="18"/>
                      <w:szCs w:val="18"/>
                    </w:rPr>
                    <w:t>T、I</w:t>
                  </w:r>
                </w:p>
              </w:tc>
              <w:tc>
                <w:tcPr>
                  <w:tcW w:w="504" w:type="pct"/>
                  <w:vMerge w:val="continue"/>
                  <w:tcBorders>
                    <w:tl2br w:val="nil"/>
                    <w:tr2bl w:val="nil"/>
                  </w:tcBorders>
                  <w:tcMar>
                    <w:top w:w="0" w:type="dxa"/>
                    <w:left w:w="28" w:type="dxa"/>
                    <w:bottom w:w="0" w:type="dxa"/>
                    <w:right w:w="28" w:type="dxa"/>
                  </w:tcMar>
                  <w:vAlign w:val="center"/>
                </w:tcPr>
                <w:p w14:paraId="20556FF2">
                  <w:pPr>
                    <w:adjustRightInd w:val="0"/>
                    <w:snapToGrid w:val="0"/>
                    <w:jc w:val="center"/>
                    <w:rPr>
                      <w:color w:val="auto"/>
                      <w:sz w:val="18"/>
                      <w:szCs w:val="18"/>
                      <w:highlight w:val="yellow"/>
                    </w:rPr>
                  </w:pPr>
                </w:p>
              </w:tc>
            </w:tr>
            <w:tr w14:paraId="46400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6" w:type="pct"/>
                  <w:vAlign w:val="center"/>
                </w:tcPr>
                <w:p w14:paraId="0B28C6E1">
                  <w:pPr>
                    <w:topLinePunct/>
                    <w:adjustRightInd w:val="0"/>
                    <w:snapToGrid w:val="0"/>
                    <w:jc w:val="center"/>
                    <w:rPr>
                      <w:color w:val="auto"/>
                      <w:sz w:val="18"/>
                      <w:szCs w:val="18"/>
                    </w:rPr>
                  </w:pPr>
                  <w:r>
                    <w:rPr>
                      <w:rFonts w:hint="eastAsia"/>
                      <w:color w:val="auto"/>
                      <w:sz w:val="18"/>
                      <w:szCs w:val="18"/>
                      <w:lang w:val="en-US" w:eastAsia="zh-CN"/>
                    </w:rPr>
                    <w:t>3</w:t>
                  </w:r>
                </w:p>
              </w:tc>
              <w:tc>
                <w:tcPr>
                  <w:tcW w:w="759" w:type="pct"/>
                  <w:shd w:val="clear" w:color="auto" w:fill="auto"/>
                  <w:vAlign w:val="center"/>
                </w:tcPr>
                <w:p w14:paraId="3662529F">
                  <w:pPr>
                    <w:adjustRightInd w:val="0"/>
                    <w:snapToGrid w:val="0"/>
                    <w:jc w:val="center"/>
                    <w:rPr>
                      <w:rFonts w:ascii="Times New Roman" w:hAnsi="Times New Roman" w:eastAsia="宋体" w:cs="Times New Roman"/>
                      <w:color w:val="auto"/>
                      <w:kern w:val="2"/>
                      <w:sz w:val="18"/>
                      <w:szCs w:val="18"/>
                      <w:lang w:val="en-US" w:eastAsia="zh-CN" w:bidi="ar-SA"/>
                    </w:rPr>
                  </w:pPr>
                  <w:r>
                    <w:rPr>
                      <w:color w:val="auto"/>
                      <w:sz w:val="18"/>
                      <w:szCs w:val="18"/>
                    </w:rPr>
                    <w:t>废气治理</w:t>
                  </w:r>
                </w:p>
              </w:tc>
              <w:tc>
                <w:tcPr>
                  <w:tcW w:w="562" w:type="pct"/>
                  <w:shd w:val="clear" w:color="auto" w:fill="auto"/>
                  <w:vAlign w:val="center"/>
                </w:tcPr>
                <w:p w14:paraId="75087008">
                  <w:pPr>
                    <w:adjustRightInd w:val="0"/>
                    <w:snapToGrid w:val="0"/>
                    <w:jc w:val="center"/>
                    <w:rPr>
                      <w:rFonts w:ascii="Times New Roman" w:hAnsi="Times New Roman" w:eastAsia="宋体" w:cs="Times New Roman"/>
                      <w:color w:val="auto"/>
                      <w:kern w:val="2"/>
                      <w:sz w:val="18"/>
                      <w:szCs w:val="18"/>
                      <w:lang w:val="en-US" w:eastAsia="zh-CN" w:bidi="ar-SA"/>
                    </w:rPr>
                  </w:pPr>
                  <w:r>
                    <w:rPr>
                      <w:color w:val="auto"/>
                      <w:sz w:val="18"/>
                      <w:szCs w:val="18"/>
                    </w:rPr>
                    <w:t>废活性炭</w:t>
                  </w:r>
                </w:p>
              </w:tc>
              <w:tc>
                <w:tcPr>
                  <w:tcW w:w="373" w:type="pct"/>
                  <w:shd w:val="clear" w:color="auto" w:fill="auto"/>
                  <w:vAlign w:val="center"/>
                </w:tcPr>
                <w:p w14:paraId="5FBECDAD">
                  <w:pPr>
                    <w:adjustRightInd w:val="0"/>
                    <w:snapToGrid w:val="0"/>
                    <w:jc w:val="center"/>
                    <w:rPr>
                      <w:rFonts w:ascii="Times New Roman" w:hAnsi="Times New Roman" w:eastAsia="宋体" w:cs="Times New Roman"/>
                      <w:color w:val="auto"/>
                      <w:kern w:val="2"/>
                      <w:sz w:val="18"/>
                      <w:szCs w:val="18"/>
                      <w:lang w:val="en-US" w:eastAsia="zh-CN" w:bidi="ar-SA"/>
                    </w:rPr>
                  </w:pPr>
                  <w:r>
                    <w:rPr>
                      <w:color w:val="auto"/>
                      <w:sz w:val="18"/>
                      <w:szCs w:val="18"/>
                    </w:rPr>
                    <w:t>固态</w:t>
                  </w:r>
                </w:p>
              </w:tc>
              <w:tc>
                <w:tcPr>
                  <w:tcW w:w="553" w:type="pct"/>
                  <w:shd w:val="clear" w:color="auto" w:fill="auto"/>
                  <w:vAlign w:val="center"/>
                </w:tcPr>
                <w:p w14:paraId="35E55FE8">
                  <w:pPr>
                    <w:adjustRightInd w:val="0"/>
                    <w:snapToGrid w:val="0"/>
                    <w:jc w:val="center"/>
                    <w:rPr>
                      <w:rFonts w:ascii="Times New Roman" w:hAnsi="Times New Roman" w:eastAsia="宋体" w:cs="Times New Roman"/>
                      <w:color w:val="auto"/>
                      <w:kern w:val="2"/>
                      <w:sz w:val="18"/>
                      <w:szCs w:val="18"/>
                      <w:lang w:val="en-US" w:eastAsia="zh-CN" w:bidi="ar-SA"/>
                    </w:rPr>
                  </w:pPr>
                  <w:r>
                    <w:rPr>
                      <w:color w:val="auto"/>
                      <w:sz w:val="18"/>
                      <w:szCs w:val="18"/>
                    </w:rPr>
                    <w:t>HW49，900-039-49</w:t>
                  </w:r>
                </w:p>
              </w:tc>
              <w:tc>
                <w:tcPr>
                  <w:tcW w:w="501" w:type="pct"/>
                  <w:shd w:val="clear" w:color="auto" w:fill="auto"/>
                  <w:vAlign w:val="center"/>
                </w:tcPr>
                <w:p w14:paraId="3B9D1D00">
                  <w:pPr>
                    <w:adjustRightInd w:val="0"/>
                    <w:snapToGrid w:val="0"/>
                    <w:jc w:val="center"/>
                    <w:rPr>
                      <w:rFonts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2.273</w:t>
                  </w:r>
                  <w:r>
                    <w:rPr>
                      <w:color w:val="auto"/>
                      <w:sz w:val="18"/>
                      <w:szCs w:val="18"/>
                    </w:rPr>
                    <w:t>t/a</w:t>
                  </w:r>
                </w:p>
              </w:tc>
              <w:tc>
                <w:tcPr>
                  <w:tcW w:w="505" w:type="pct"/>
                  <w:shd w:val="clear" w:color="auto" w:fill="auto"/>
                  <w:vAlign w:val="center"/>
                </w:tcPr>
                <w:p w14:paraId="156E5B0D">
                  <w:pPr>
                    <w:jc w:val="center"/>
                    <w:rPr>
                      <w:rFonts w:ascii="Times New Roman" w:hAnsi="Times New Roman" w:eastAsia="宋体" w:cs="Times New Roman"/>
                      <w:color w:val="auto"/>
                      <w:kern w:val="2"/>
                      <w:sz w:val="18"/>
                      <w:szCs w:val="18"/>
                      <w:lang w:val="en-US" w:eastAsia="zh-CN" w:bidi="ar-SA"/>
                    </w:rPr>
                  </w:pPr>
                  <w:r>
                    <w:rPr>
                      <w:color w:val="auto"/>
                      <w:sz w:val="18"/>
                      <w:szCs w:val="18"/>
                    </w:rPr>
                    <w:t>吸附VOCs</w:t>
                  </w:r>
                </w:p>
              </w:tc>
              <w:tc>
                <w:tcPr>
                  <w:tcW w:w="501" w:type="pct"/>
                  <w:shd w:val="clear" w:color="auto" w:fill="auto"/>
                  <w:vAlign w:val="center"/>
                </w:tcPr>
                <w:p w14:paraId="45A7B13A">
                  <w:pPr>
                    <w:adjustRightInd w:val="0"/>
                    <w:snapToGrid w:val="0"/>
                    <w:jc w:val="center"/>
                    <w:rPr>
                      <w:rFonts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2.273</w:t>
                  </w:r>
                  <w:r>
                    <w:rPr>
                      <w:color w:val="auto"/>
                      <w:sz w:val="18"/>
                      <w:szCs w:val="18"/>
                    </w:rPr>
                    <w:t>t/a</w:t>
                  </w:r>
                </w:p>
              </w:tc>
              <w:tc>
                <w:tcPr>
                  <w:tcW w:w="502" w:type="pct"/>
                  <w:shd w:val="clear" w:color="auto" w:fill="auto"/>
                  <w:vAlign w:val="center"/>
                </w:tcPr>
                <w:p w14:paraId="4D46DE0E">
                  <w:pPr>
                    <w:widowControl/>
                    <w:jc w:val="center"/>
                    <w:rPr>
                      <w:rFonts w:ascii="Times New Roman" w:hAnsi="Times New Roman" w:eastAsia="宋体" w:cs="Times New Roman"/>
                      <w:color w:val="auto"/>
                      <w:kern w:val="0"/>
                      <w:sz w:val="18"/>
                      <w:szCs w:val="18"/>
                      <w:lang w:val="en-US" w:eastAsia="zh-CN" w:bidi="ar"/>
                    </w:rPr>
                  </w:pPr>
                  <w:r>
                    <w:rPr>
                      <w:color w:val="auto"/>
                      <w:sz w:val="18"/>
                      <w:szCs w:val="18"/>
                    </w:rPr>
                    <w:t>T</w:t>
                  </w:r>
                </w:p>
              </w:tc>
              <w:tc>
                <w:tcPr>
                  <w:tcW w:w="504" w:type="pct"/>
                  <w:vMerge w:val="continue"/>
                  <w:vAlign w:val="center"/>
                </w:tcPr>
                <w:p w14:paraId="32C18CB6">
                  <w:pPr>
                    <w:adjustRightInd w:val="0"/>
                    <w:snapToGrid w:val="0"/>
                    <w:jc w:val="center"/>
                    <w:rPr>
                      <w:color w:val="auto"/>
                      <w:sz w:val="18"/>
                      <w:szCs w:val="18"/>
                    </w:rPr>
                  </w:pPr>
                </w:p>
              </w:tc>
            </w:tr>
          </w:tbl>
          <w:p w14:paraId="680D5EEE">
            <w:pPr>
              <w:spacing w:line="360" w:lineRule="auto"/>
              <w:ind w:firstLine="422" w:firstLineChars="200"/>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2、环境管理要求</w:t>
            </w:r>
          </w:p>
          <w:p w14:paraId="2CB21DDB">
            <w:pPr>
              <w:autoSpaceDE w:val="0"/>
              <w:autoSpaceDN w:val="0"/>
              <w:adjustRightInd w:val="0"/>
              <w:spacing w:line="360" w:lineRule="auto"/>
              <w:ind w:firstLine="420" w:firstLineChars="200"/>
              <w:rPr>
                <w:rFonts w:hint="default" w:ascii="Times New Roman" w:hAnsi="Times New Roman" w:eastAsia="宋体" w:cs="Times New Roman"/>
                <w:color w:val="auto"/>
                <w:szCs w:val="21"/>
                <w:highlight w:val="none"/>
              </w:rPr>
            </w:pPr>
            <w:r>
              <w:rPr>
                <w:rFonts w:hint="default" w:ascii="Times New Roman" w:hAnsi="Times New Roman" w:cs="Times New Roman"/>
                <w:color w:val="auto"/>
                <w:szCs w:val="21"/>
                <w:highlight w:val="none"/>
              </w:rPr>
              <w:t>一般固体废物执行《中华人民共和国固体废物污染环境防治法》相关要求，采取防扬散、防流失、防渗漏或者其他防止污染环境的措施，不得擅自倾倒、堆放、丢弃、遗撒，管理过程中应符合《一般工业固体废物管理台账制定指南（试行）》（公告 2021 年第 82 号）要求</w:t>
            </w:r>
            <w:r>
              <w:rPr>
                <w:rFonts w:hint="eastAsia"/>
                <w:color w:val="auto"/>
                <w:highlight w:val="none"/>
                <w:lang w:eastAsia="zh-CN"/>
              </w:rPr>
              <w:t>。</w:t>
            </w:r>
            <w:r>
              <w:rPr>
                <w:color w:val="auto"/>
                <w:highlight w:val="none"/>
              </w:rPr>
              <w:t>贮存区采取防风防雨措施；各类固废应分类收集；贮存区按照《环境保护图形标志——固体废物贮存（处置）场》（GB15562.2）的要求设置环保图形标志；指定专人进行日常管理</w:t>
            </w:r>
            <w:r>
              <w:rPr>
                <w:rFonts w:hint="eastAsia"/>
                <w:color w:val="auto"/>
                <w:highlight w:val="none"/>
                <w:lang w:eastAsia="zh-CN"/>
              </w:rPr>
              <w:t>；做好一般固体废物台账记录，记录一般固废的产生及处置情况</w:t>
            </w:r>
            <w:r>
              <w:rPr>
                <w:rFonts w:hint="default" w:ascii="Times New Roman" w:hAnsi="Times New Roman" w:eastAsia="宋体" w:cs="Times New Roman"/>
                <w:color w:val="auto"/>
                <w:szCs w:val="21"/>
                <w:highlight w:val="none"/>
              </w:rPr>
              <w:t>。</w:t>
            </w:r>
          </w:p>
          <w:p w14:paraId="0A3EFA23">
            <w:pPr>
              <w:spacing w:line="360" w:lineRule="auto"/>
              <w:ind w:firstLine="420" w:firstLineChars="200"/>
              <w:rPr>
                <w:rFonts w:hint="eastAsia"/>
                <w:color w:val="auto"/>
                <w:szCs w:val="21"/>
                <w:highlight w:val="none"/>
                <w:lang w:eastAsia="zh-CN"/>
              </w:rPr>
            </w:pPr>
            <w:r>
              <w:rPr>
                <w:rFonts w:hint="eastAsia"/>
                <w:color w:val="auto"/>
                <w:szCs w:val="21"/>
                <w:highlight w:val="none"/>
                <w:lang w:eastAsia="zh-CN"/>
              </w:rPr>
              <w:t>厂区</w:t>
            </w:r>
            <w:r>
              <w:rPr>
                <w:rFonts w:hint="eastAsia"/>
                <w:color w:val="auto"/>
                <w:szCs w:val="21"/>
                <w:highlight w:val="none"/>
              </w:rPr>
              <w:t>内</w:t>
            </w:r>
            <w:r>
              <w:rPr>
                <w:rFonts w:hint="eastAsia"/>
                <w:color w:val="auto"/>
                <w:szCs w:val="21"/>
                <w:highlight w:val="none"/>
                <w:lang w:val="en-US" w:eastAsia="zh-CN"/>
              </w:rPr>
              <w:t>拟建设</w:t>
            </w:r>
            <w:r>
              <w:rPr>
                <w:color w:val="auto"/>
                <w:szCs w:val="21"/>
                <w:highlight w:val="none"/>
              </w:rPr>
              <w:t>1</w:t>
            </w:r>
            <w:r>
              <w:rPr>
                <w:rFonts w:hint="eastAsia"/>
                <w:color w:val="auto"/>
                <w:szCs w:val="21"/>
                <w:highlight w:val="none"/>
                <w:lang w:eastAsia="zh-CN"/>
              </w:rPr>
              <w:t>座</w:t>
            </w:r>
            <w:r>
              <w:rPr>
                <w:rFonts w:hint="eastAsia"/>
                <w:color w:val="auto"/>
                <w:szCs w:val="21"/>
                <w:highlight w:val="none"/>
                <w:lang w:val="en-US" w:eastAsia="zh-CN"/>
              </w:rPr>
              <w:t>10</w:t>
            </w:r>
            <w:r>
              <w:rPr>
                <w:rFonts w:hint="eastAsia"/>
                <w:color w:val="auto"/>
                <w:szCs w:val="21"/>
                <w:highlight w:val="none"/>
              </w:rPr>
              <w:t>m</w:t>
            </w:r>
            <w:r>
              <w:rPr>
                <w:rFonts w:hint="eastAsia"/>
                <w:color w:val="auto"/>
                <w:szCs w:val="21"/>
                <w:highlight w:val="none"/>
                <w:vertAlign w:val="superscript"/>
              </w:rPr>
              <w:t>2</w:t>
            </w:r>
            <w:r>
              <w:rPr>
                <w:rFonts w:hint="eastAsia"/>
                <w:color w:val="auto"/>
                <w:szCs w:val="21"/>
                <w:highlight w:val="none"/>
                <w:lang w:eastAsia="zh-CN"/>
              </w:rPr>
              <w:t>危废间，高约</w:t>
            </w:r>
            <w:r>
              <w:rPr>
                <w:rFonts w:hint="eastAsia"/>
                <w:color w:val="auto"/>
                <w:szCs w:val="21"/>
                <w:highlight w:val="none"/>
                <w:lang w:val="en-US" w:eastAsia="zh-CN"/>
              </w:rPr>
              <w:t>6m</w:t>
            </w:r>
            <w:r>
              <w:rPr>
                <w:rFonts w:hint="eastAsia"/>
                <w:color w:val="auto"/>
                <w:szCs w:val="21"/>
                <w:highlight w:val="none"/>
              </w:rPr>
              <w:t>，位于</w:t>
            </w:r>
            <w:r>
              <w:rPr>
                <w:rFonts w:hint="eastAsia"/>
                <w:color w:val="auto"/>
                <w:szCs w:val="21"/>
                <w:highlight w:val="none"/>
                <w:lang w:val="en-US" w:eastAsia="zh-CN"/>
              </w:rPr>
              <w:t>生产</w:t>
            </w:r>
            <w:r>
              <w:rPr>
                <w:rFonts w:hint="eastAsia"/>
                <w:color w:val="auto"/>
                <w:szCs w:val="21"/>
                <w:highlight w:val="none"/>
              </w:rPr>
              <w:t>车间</w:t>
            </w:r>
            <w:r>
              <w:rPr>
                <w:rFonts w:hint="eastAsia"/>
                <w:color w:val="auto"/>
                <w:szCs w:val="21"/>
                <w:highlight w:val="none"/>
                <w:lang w:val="en-US" w:eastAsia="zh-CN"/>
              </w:rPr>
              <w:t>西南</w:t>
            </w:r>
            <w:r>
              <w:rPr>
                <w:rFonts w:hint="eastAsia"/>
                <w:color w:val="auto"/>
                <w:szCs w:val="21"/>
                <w:highlight w:val="none"/>
              </w:rPr>
              <w:t>角</w:t>
            </w:r>
            <w:r>
              <w:rPr>
                <w:rFonts w:hint="eastAsia"/>
                <w:color w:val="auto"/>
                <w:szCs w:val="21"/>
                <w:highlight w:val="none"/>
                <w:lang w:eastAsia="zh-CN"/>
              </w:rPr>
              <w:t>。</w:t>
            </w:r>
          </w:p>
          <w:p w14:paraId="5D11B133">
            <w:pPr>
              <w:spacing w:line="360" w:lineRule="auto"/>
              <w:ind w:firstLine="420" w:firstLineChars="200"/>
              <w:rPr>
                <w:color w:val="auto"/>
                <w:szCs w:val="21"/>
                <w:highlight w:val="none"/>
              </w:rPr>
            </w:pPr>
            <w:r>
              <w:rPr>
                <w:rFonts w:hint="eastAsia"/>
                <w:color w:val="auto"/>
                <w:szCs w:val="21"/>
                <w:highlight w:val="none"/>
                <w:lang w:val="en-US" w:eastAsia="zh-CN"/>
              </w:rPr>
              <w:t>本项目</w:t>
            </w:r>
            <w:r>
              <w:rPr>
                <w:rFonts w:hint="eastAsia"/>
                <w:color w:val="auto"/>
                <w:szCs w:val="21"/>
                <w:highlight w:val="none"/>
                <w:lang w:eastAsia="zh-CN"/>
              </w:rPr>
              <w:t>危险废物产生情况如下：</w:t>
            </w:r>
            <w:r>
              <w:rPr>
                <w:rFonts w:hint="eastAsia"/>
                <w:color w:val="auto"/>
                <w:szCs w:val="21"/>
                <w:highlight w:val="none"/>
                <w:lang w:val="en-US" w:eastAsia="zh-CN"/>
              </w:rPr>
              <w:t>废机油产生量为0.2t/a，废机油桶产生量为0.144t/a，</w:t>
            </w:r>
            <w:r>
              <w:rPr>
                <w:rFonts w:hint="eastAsia"/>
                <w:bCs/>
                <w:color w:val="auto"/>
                <w:highlight w:val="none"/>
                <w:lang w:val="en-US" w:eastAsia="zh-CN"/>
              </w:rPr>
              <w:t>占地</w:t>
            </w:r>
            <w:r>
              <w:rPr>
                <w:rFonts w:hint="eastAsia" w:ascii="Times New Roman" w:hAnsi="Times New Roman" w:eastAsia="宋体" w:cs="Times New Roman"/>
                <w:color w:val="auto"/>
                <w:sz w:val="21"/>
                <w:szCs w:val="21"/>
                <w:highlight w:val="none"/>
                <w:lang w:val="en-US" w:eastAsia="zh-CN"/>
              </w:rPr>
              <w:t>约</w:t>
            </w:r>
            <w:r>
              <w:rPr>
                <w:rFonts w:hint="eastAsia" w:cs="Times New Roman"/>
                <w:color w:val="auto"/>
                <w:sz w:val="21"/>
                <w:szCs w:val="21"/>
                <w:highlight w:val="none"/>
                <w:lang w:val="en-US" w:eastAsia="zh-CN"/>
              </w:rPr>
              <w:t>2</w:t>
            </w:r>
            <w:r>
              <w:rPr>
                <w:rFonts w:hint="eastAsia"/>
                <w:bCs/>
                <w:color w:val="auto"/>
                <w:highlight w:val="none"/>
                <w:lang w:val="en-US" w:eastAsia="zh-CN"/>
              </w:rPr>
              <w:t>m</w:t>
            </w:r>
            <w:r>
              <w:rPr>
                <w:rFonts w:hint="eastAsia"/>
                <w:bCs/>
                <w:color w:val="auto"/>
                <w:highlight w:val="none"/>
                <w:vertAlign w:val="superscript"/>
                <w:lang w:val="en-US" w:eastAsia="zh-CN"/>
              </w:rPr>
              <w:t>2</w:t>
            </w:r>
            <w:r>
              <w:rPr>
                <w:rFonts w:hint="eastAsia"/>
                <w:bCs/>
                <w:color w:val="auto"/>
                <w:highlight w:val="none"/>
                <w:lang w:val="de-DE" w:eastAsia="zh-CN"/>
              </w:rPr>
              <w:t>；</w:t>
            </w:r>
            <w:r>
              <w:rPr>
                <w:rFonts w:hint="eastAsia" w:ascii="Times New Roman" w:hAnsi="Times New Roman" w:eastAsia="宋体" w:cs="Times New Roman"/>
                <w:color w:val="auto"/>
                <w:sz w:val="21"/>
                <w:szCs w:val="21"/>
                <w:highlight w:val="none"/>
                <w:lang w:val="en-US" w:eastAsia="zh-CN"/>
              </w:rPr>
              <w:t>废活性炭</w:t>
            </w:r>
            <w:r>
              <w:rPr>
                <w:rFonts w:hint="eastAsia" w:cs="Times New Roman"/>
                <w:color w:val="auto"/>
                <w:sz w:val="21"/>
                <w:szCs w:val="21"/>
                <w:highlight w:val="none"/>
                <w:lang w:val="en-US" w:eastAsia="zh-CN"/>
              </w:rPr>
              <w:t>2.273</w:t>
            </w:r>
            <w:r>
              <w:rPr>
                <w:rFonts w:hint="eastAsia" w:ascii="Times New Roman" w:hAnsi="Times New Roman" w:eastAsia="宋体" w:cs="Times New Roman"/>
                <w:color w:val="auto"/>
                <w:sz w:val="21"/>
                <w:szCs w:val="21"/>
                <w:highlight w:val="none"/>
                <w:lang w:val="en-US" w:eastAsia="zh-CN"/>
              </w:rPr>
              <w:t>t/a，占地约</w:t>
            </w:r>
            <w:r>
              <w:rPr>
                <w:rFonts w:hint="eastAsia" w:cs="Times New Roman"/>
                <w:color w:val="auto"/>
                <w:sz w:val="21"/>
                <w:szCs w:val="21"/>
                <w:highlight w:val="none"/>
                <w:lang w:val="en-US" w:eastAsia="zh-CN"/>
              </w:rPr>
              <w:t>5</w:t>
            </w:r>
            <w:r>
              <w:rPr>
                <w:rFonts w:hint="eastAsia"/>
                <w:bCs/>
                <w:color w:val="auto"/>
                <w:highlight w:val="none"/>
                <w:lang w:val="en-US" w:eastAsia="zh-CN"/>
              </w:rPr>
              <w:t>m</w:t>
            </w:r>
            <w:r>
              <w:rPr>
                <w:rFonts w:hint="eastAsia"/>
                <w:bCs/>
                <w:color w:val="auto"/>
                <w:highlight w:val="none"/>
                <w:vertAlign w:val="superscript"/>
                <w:lang w:val="en-US" w:eastAsia="zh-CN"/>
              </w:rPr>
              <w:t>2</w:t>
            </w:r>
            <w:r>
              <w:rPr>
                <w:rFonts w:hint="eastAsia"/>
                <w:bCs/>
                <w:color w:val="auto"/>
                <w:highlight w:val="none"/>
                <w:lang w:val="de-DE" w:eastAsia="zh-CN"/>
              </w:rPr>
              <w:t>。本项目建成后危险废物总占地约</w:t>
            </w:r>
            <w:r>
              <w:rPr>
                <w:rFonts w:hint="eastAsia"/>
                <w:bCs/>
                <w:color w:val="auto"/>
                <w:highlight w:val="none"/>
                <w:lang w:val="en-US" w:eastAsia="zh-CN"/>
              </w:rPr>
              <w:t>7m</w:t>
            </w:r>
            <w:r>
              <w:rPr>
                <w:rFonts w:hint="eastAsia"/>
                <w:bCs/>
                <w:color w:val="auto"/>
                <w:highlight w:val="none"/>
                <w:vertAlign w:val="superscript"/>
                <w:lang w:val="en-US" w:eastAsia="zh-CN"/>
              </w:rPr>
              <w:t>2</w:t>
            </w:r>
            <w:r>
              <w:rPr>
                <w:rFonts w:hint="eastAsia"/>
                <w:bCs/>
                <w:color w:val="auto"/>
                <w:highlight w:val="none"/>
                <w:lang w:val="de-DE" w:eastAsia="zh-CN"/>
              </w:rPr>
              <w:t>。定期做好危废处置工作，</w:t>
            </w:r>
            <w:r>
              <w:rPr>
                <w:rFonts w:hint="eastAsia"/>
                <w:color w:val="auto"/>
                <w:szCs w:val="21"/>
                <w:highlight w:val="none"/>
                <w:lang w:eastAsia="zh-CN"/>
              </w:rPr>
              <w:t>厂区</w:t>
            </w:r>
            <w:r>
              <w:rPr>
                <w:rFonts w:hint="eastAsia"/>
                <w:color w:val="auto"/>
                <w:szCs w:val="21"/>
                <w:highlight w:val="none"/>
              </w:rPr>
              <w:t>内</w:t>
            </w:r>
            <w:r>
              <w:rPr>
                <w:rFonts w:hint="eastAsia"/>
                <w:color w:val="auto"/>
                <w:szCs w:val="21"/>
                <w:highlight w:val="none"/>
                <w:lang w:val="en-US" w:eastAsia="zh-CN"/>
              </w:rPr>
              <w:t>拟建设</w:t>
            </w:r>
            <w:r>
              <w:rPr>
                <w:color w:val="auto"/>
                <w:szCs w:val="21"/>
                <w:highlight w:val="none"/>
              </w:rPr>
              <w:t>1</w:t>
            </w:r>
            <w:r>
              <w:rPr>
                <w:rFonts w:hint="eastAsia"/>
                <w:color w:val="auto"/>
                <w:szCs w:val="21"/>
                <w:highlight w:val="none"/>
                <w:lang w:eastAsia="zh-CN"/>
              </w:rPr>
              <w:t>座</w:t>
            </w:r>
            <w:r>
              <w:rPr>
                <w:rFonts w:hint="eastAsia"/>
                <w:color w:val="auto"/>
                <w:szCs w:val="21"/>
                <w:highlight w:val="none"/>
                <w:lang w:val="en-US" w:eastAsia="zh-CN"/>
              </w:rPr>
              <w:t>10</w:t>
            </w:r>
            <w:r>
              <w:rPr>
                <w:rFonts w:hint="eastAsia"/>
                <w:color w:val="auto"/>
                <w:szCs w:val="21"/>
                <w:highlight w:val="none"/>
              </w:rPr>
              <w:t>m</w:t>
            </w:r>
            <w:r>
              <w:rPr>
                <w:rFonts w:hint="eastAsia"/>
                <w:color w:val="auto"/>
                <w:szCs w:val="21"/>
                <w:highlight w:val="none"/>
                <w:vertAlign w:val="superscript"/>
              </w:rPr>
              <w:t>2</w:t>
            </w:r>
            <w:r>
              <w:rPr>
                <w:rFonts w:hint="eastAsia"/>
                <w:color w:val="auto"/>
                <w:szCs w:val="21"/>
                <w:highlight w:val="none"/>
                <w:lang w:eastAsia="zh-CN"/>
              </w:rPr>
              <w:t>危废间</w:t>
            </w:r>
            <w:r>
              <w:rPr>
                <w:rFonts w:hint="eastAsia"/>
                <w:color w:val="auto"/>
                <w:szCs w:val="21"/>
                <w:highlight w:val="none"/>
              </w:rPr>
              <w:t>可以满足存放要求。</w:t>
            </w:r>
            <w:r>
              <w:rPr>
                <w:color w:val="auto"/>
                <w:szCs w:val="21"/>
                <w:highlight w:val="none"/>
              </w:rPr>
              <w:t>危险废物储存在该危险废物暂存间中，分类储存，严谨烟火和外人出入。危废</w:t>
            </w:r>
            <w:r>
              <w:rPr>
                <w:rFonts w:hint="eastAsia"/>
                <w:color w:val="auto"/>
                <w:szCs w:val="21"/>
                <w:highlight w:val="none"/>
                <w:lang w:eastAsia="zh-CN"/>
              </w:rPr>
              <w:t>仓库</w:t>
            </w:r>
            <w:r>
              <w:rPr>
                <w:color w:val="auto"/>
                <w:szCs w:val="21"/>
                <w:highlight w:val="none"/>
              </w:rPr>
              <w:t>地面做硬化处理，设置围堰，不同种类的危险废物分类存放。</w:t>
            </w:r>
            <w:r>
              <w:rPr>
                <w:rFonts w:hint="eastAsia"/>
                <w:color w:val="auto"/>
                <w:szCs w:val="21"/>
                <w:highlight w:val="none"/>
                <w:lang w:eastAsia="zh-CN"/>
              </w:rPr>
              <w:t>危废间</w:t>
            </w:r>
            <w:r>
              <w:rPr>
                <w:color w:val="auto"/>
                <w:szCs w:val="21"/>
                <w:highlight w:val="none"/>
              </w:rPr>
              <w:t>设置相应的环境保护图形标志。</w:t>
            </w:r>
          </w:p>
          <w:p w14:paraId="6A6388BD">
            <w:pPr>
              <w:autoSpaceDE w:val="0"/>
              <w:autoSpaceDN w:val="0"/>
              <w:adjustRightInd w:val="0"/>
              <w:spacing w:line="420" w:lineRule="exact"/>
              <w:ind w:firstLine="25" w:firstLineChars="12"/>
              <w:jc w:val="center"/>
              <w:rPr>
                <w:rFonts w:hint="default" w:ascii="Times New Roman" w:hAnsi="Times New Roman" w:eastAsia="宋体" w:cs="Times New Roman"/>
                <w:b/>
                <w:bCs/>
                <w:color w:val="auto"/>
                <w:szCs w:val="21"/>
                <w:highlight w:val="none"/>
              </w:rPr>
            </w:pPr>
            <w:r>
              <w:rPr>
                <w:rFonts w:hint="default" w:ascii="Times New Roman" w:hAnsi="Times New Roman" w:eastAsia="宋体" w:cs="Times New Roman"/>
                <w:b/>
                <w:bCs/>
                <w:color w:val="auto"/>
                <w:szCs w:val="21"/>
                <w:highlight w:val="none"/>
              </w:rPr>
              <w:t>表4-</w:t>
            </w:r>
            <w:r>
              <w:rPr>
                <w:rFonts w:hint="eastAsia" w:cs="Times New Roman"/>
                <w:b/>
                <w:bCs/>
                <w:color w:val="auto"/>
                <w:szCs w:val="21"/>
                <w:highlight w:val="none"/>
                <w:lang w:val="en-US" w:eastAsia="zh-CN"/>
              </w:rPr>
              <w:t>14</w:t>
            </w:r>
            <w:r>
              <w:rPr>
                <w:rFonts w:hint="default" w:ascii="Times New Roman" w:hAnsi="Times New Roman" w:eastAsia="宋体" w:cs="Times New Roman"/>
                <w:b/>
                <w:bCs/>
                <w:color w:val="auto"/>
                <w:szCs w:val="21"/>
                <w:highlight w:val="none"/>
              </w:rPr>
              <w:t>项目危险废物贮存场所（设施）基本情况表</w:t>
            </w:r>
          </w:p>
          <w:tbl>
            <w:tblPr>
              <w:tblStyle w:val="83"/>
              <w:tblW w:w="4995"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469"/>
              <w:gridCol w:w="1349"/>
              <w:gridCol w:w="1071"/>
              <w:gridCol w:w="1429"/>
              <w:gridCol w:w="975"/>
              <w:gridCol w:w="756"/>
              <w:gridCol w:w="1190"/>
              <w:gridCol w:w="1133"/>
            </w:tblGrid>
            <w:tr w14:paraId="187EFFC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80" w:type="pct"/>
                  <w:tcBorders>
                    <w:top w:val="single" w:color="auto" w:sz="2" w:space="0"/>
                    <w:left w:val="single" w:color="auto" w:sz="2" w:space="0"/>
                    <w:bottom w:val="single" w:color="auto" w:sz="2" w:space="0"/>
                    <w:right w:val="single" w:color="auto" w:sz="2" w:space="0"/>
                  </w:tcBorders>
                  <w:vAlign w:val="center"/>
                </w:tcPr>
                <w:p w14:paraId="48832296">
                  <w:pPr>
                    <w:spacing w:before="120" w:beforeLines="50"/>
                    <w:ind w:left="-143" w:leftChars="-68" w:right="-124" w:rightChars="-59"/>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序号</w:t>
                  </w:r>
                </w:p>
              </w:tc>
              <w:tc>
                <w:tcPr>
                  <w:tcW w:w="805" w:type="pct"/>
                  <w:tcBorders>
                    <w:top w:val="single" w:color="auto" w:sz="2" w:space="0"/>
                    <w:left w:val="single" w:color="auto" w:sz="2" w:space="0"/>
                    <w:bottom w:val="single" w:color="auto" w:sz="2" w:space="0"/>
                    <w:right w:val="single" w:color="auto" w:sz="2" w:space="0"/>
                  </w:tcBorders>
                  <w:vAlign w:val="center"/>
                </w:tcPr>
                <w:p w14:paraId="57F06B70">
                  <w:pPr>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贮存场所</w:t>
                  </w:r>
                </w:p>
                <w:p w14:paraId="5A5E3AFC">
                  <w:pPr>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b/>
                      <w:bCs/>
                      <w:color w:val="auto"/>
                      <w:sz w:val="18"/>
                      <w:szCs w:val="18"/>
                      <w:highlight w:val="none"/>
                    </w:rPr>
                    <w:t>名称</w:t>
                  </w:r>
                </w:p>
              </w:tc>
              <w:tc>
                <w:tcPr>
                  <w:tcW w:w="639" w:type="pct"/>
                  <w:tcBorders>
                    <w:top w:val="single" w:color="auto" w:sz="2" w:space="0"/>
                    <w:left w:val="single" w:color="auto" w:sz="2" w:space="0"/>
                    <w:bottom w:val="single" w:color="auto" w:sz="2" w:space="0"/>
                    <w:right w:val="single" w:color="auto" w:sz="2" w:space="0"/>
                  </w:tcBorders>
                  <w:vAlign w:val="center"/>
                </w:tcPr>
                <w:p w14:paraId="3D91FB50">
                  <w:pPr>
                    <w:spacing w:before="120" w:beforeLines="50"/>
                    <w:ind w:left="-143" w:leftChars="-68" w:right="-124" w:rightChars="-59"/>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危险废物名称</w:t>
                  </w:r>
                </w:p>
              </w:tc>
              <w:tc>
                <w:tcPr>
                  <w:tcW w:w="853" w:type="pct"/>
                  <w:tcBorders>
                    <w:top w:val="single" w:color="auto" w:sz="2" w:space="0"/>
                    <w:left w:val="single" w:color="auto" w:sz="2" w:space="0"/>
                    <w:bottom w:val="single" w:color="auto" w:sz="2" w:space="0"/>
                    <w:right w:val="single" w:color="auto" w:sz="2" w:space="0"/>
                  </w:tcBorders>
                  <w:vAlign w:val="center"/>
                </w:tcPr>
                <w:p w14:paraId="5FEFDF37">
                  <w:pPr>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bCs/>
                      <w:color w:val="auto"/>
                      <w:sz w:val="18"/>
                      <w:szCs w:val="18"/>
                      <w:highlight w:val="none"/>
                    </w:rPr>
                    <w:t>危险废物代码</w:t>
                  </w:r>
                </w:p>
              </w:tc>
              <w:tc>
                <w:tcPr>
                  <w:tcW w:w="582" w:type="pct"/>
                  <w:tcBorders>
                    <w:top w:val="single" w:color="auto" w:sz="2" w:space="0"/>
                    <w:left w:val="single" w:color="auto" w:sz="2" w:space="0"/>
                    <w:bottom w:val="single" w:color="auto" w:sz="2" w:space="0"/>
                    <w:right w:val="single" w:color="auto" w:sz="2" w:space="0"/>
                  </w:tcBorders>
                  <w:vAlign w:val="center"/>
                </w:tcPr>
                <w:p w14:paraId="0DD182FB">
                  <w:pPr>
                    <w:spacing w:before="120" w:beforeLines="50"/>
                    <w:ind w:left="-143" w:leftChars="-68" w:right="-124" w:rightChars="-59"/>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位置</w:t>
                  </w:r>
                </w:p>
              </w:tc>
              <w:tc>
                <w:tcPr>
                  <w:tcW w:w="451" w:type="pct"/>
                  <w:tcBorders>
                    <w:top w:val="single" w:color="auto" w:sz="2" w:space="0"/>
                    <w:left w:val="single" w:color="auto" w:sz="2" w:space="0"/>
                    <w:bottom w:val="single" w:color="auto" w:sz="2" w:space="0"/>
                    <w:right w:val="single" w:color="auto" w:sz="2" w:space="0"/>
                  </w:tcBorders>
                  <w:vAlign w:val="center"/>
                </w:tcPr>
                <w:p w14:paraId="0682E0E8">
                  <w:pPr>
                    <w:spacing w:before="120" w:beforeLines="50"/>
                    <w:ind w:left="-143" w:leftChars="-68" w:right="-124" w:rightChars="-59"/>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占地面积</w:t>
                  </w:r>
                </w:p>
              </w:tc>
              <w:tc>
                <w:tcPr>
                  <w:tcW w:w="710" w:type="pct"/>
                  <w:tcBorders>
                    <w:top w:val="single" w:color="auto" w:sz="2" w:space="0"/>
                    <w:left w:val="single" w:color="auto" w:sz="2" w:space="0"/>
                    <w:bottom w:val="single" w:color="auto" w:sz="2" w:space="0"/>
                    <w:right w:val="single" w:color="auto" w:sz="2" w:space="0"/>
                  </w:tcBorders>
                  <w:vAlign w:val="center"/>
                </w:tcPr>
                <w:p w14:paraId="263C205C">
                  <w:pPr>
                    <w:spacing w:before="120" w:beforeLines="50"/>
                    <w:ind w:left="-143" w:leftChars="-68" w:right="-124" w:rightChars="-59"/>
                    <w:jc w:val="center"/>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贮存方式</w:t>
                  </w:r>
                </w:p>
              </w:tc>
              <w:tc>
                <w:tcPr>
                  <w:tcW w:w="676" w:type="pct"/>
                  <w:tcBorders>
                    <w:top w:val="single" w:color="auto" w:sz="2" w:space="0"/>
                    <w:left w:val="single" w:color="auto" w:sz="2" w:space="0"/>
                    <w:bottom w:val="single" w:color="auto" w:sz="2" w:space="0"/>
                    <w:right w:val="single" w:color="auto" w:sz="2" w:space="0"/>
                  </w:tcBorders>
                  <w:vAlign w:val="center"/>
                </w:tcPr>
                <w:p w14:paraId="0A6700CC">
                  <w:pPr>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贮存</w:t>
                  </w:r>
                </w:p>
                <w:p w14:paraId="18329A18">
                  <w:pPr>
                    <w:jc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周期</w:t>
                  </w:r>
                </w:p>
              </w:tc>
            </w:tr>
            <w:tr w14:paraId="145AECF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80" w:type="pct"/>
                  <w:vMerge w:val="restart"/>
                  <w:tcBorders>
                    <w:top w:val="single" w:color="auto" w:sz="2" w:space="0"/>
                    <w:left w:val="single" w:color="auto" w:sz="2" w:space="0"/>
                    <w:right w:val="single" w:color="auto" w:sz="2" w:space="0"/>
                  </w:tcBorders>
                  <w:vAlign w:val="center"/>
                </w:tcPr>
                <w:p w14:paraId="31ACC94E">
                  <w:pPr>
                    <w:pStyle w:val="1042"/>
                    <w:numPr>
                      <w:ilvl w:val="0"/>
                      <w:numId w:val="18"/>
                    </w:numPr>
                    <w:spacing w:before="120" w:beforeLines="50"/>
                    <w:ind w:right="-124" w:rightChars="-59" w:firstLine="0" w:firstLineChars="0"/>
                    <w:jc w:val="center"/>
                    <w:rPr>
                      <w:rStyle w:val="227"/>
                      <w:rFonts w:hint="default" w:ascii="Times New Roman" w:hAnsi="Times New Roman" w:eastAsia="宋体" w:cs="Times New Roman"/>
                      <w:color w:val="auto"/>
                      <w:sz w:val="18"/>
                      <w:szCs w:val="18"/>
                      <w:highlight w:val="none"/>
                    </w:rPr>
                  </w:pPr>
                </w:p>
              </w:tc>
              <w:tc>
                <w:tcPr>
                  <w:tcW w:w="805" w:type="pct"/>
                  <w:vMerge w:val="restart"/>
                  <w:tcBorders>
                    <w:top w:val="single" w:color="auto" w:sz="2" w:space="0"/>
                    <w:left w:val="single" w:color="auto" w:sz="2" w:space="0"/>
                    <w:right w:val="single" w:color="auto" w:sz="2" w:space="0"/>
                  </w:tcBorders>
                  <w:vAlign w:val="center"/>
                </w:tcPr>
                <w:p w14:paraId="6ACF3417">
                  <w:pPr>
                    <w:autoSpaceDE w:val="0"/>
                    <w:autoSpaceDN w:val="0"/>
                    <w:adjustRightInd w:val="0"/>
                    <w:spacing w:line="300" w:lineRule="exact"/>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危废间</w:t>
                  </w:r>
                </w:p>
              </w:tc>
              <w:tc>
                <w:tcPr>
                  <w:tcW w:w="639" w:type="pct"/>
                  <w:tcBorders>
                    <w:top w:val="single" w:color="auto" w:sz="2" w:space="0"/>
                    <w:left w:val="single" w:color="auto" w:sz="2" w:space="0"/>
                    <w:bottom w:val="single" w:color="auto" w:sz="2" w:space="0"/>
                    <w:right w:val="single" w:color="auto" w:sz="2" w:space="0"/>
                  </w:tcBorders>
                  <w:shd w:val="clear" w:color="auto" w:fill="auto"/>
                  <w:vAlign w:val="center"/>
                </w:tcPr>
                <w:p w14:paraId="5AD18E4D">
                  <w:pPr>
                    <w:adjustRightInd w:val="0"/>
                    <w:snapToGrid w:val="0"/>
                    <w:jc w:val="center"/>
                    <w:rPr>
                      <w:rFonts w:hint="default" w:ascii="Times New Roman" w:hAnsi="Times New Roman" w:eastAsia="宋体" w:cs="Times New Roman"/>
                      <w:color w:val="auto"/>
                      <w:kern w:val="2"/>
                      <w:sz w:val="18"/>
                      <w:szCs w:val="18"/>
                      <w:lang w:val="en-US" w:eastAsia="zh-CN" w:bidi="ar-SA"/>
                    </w:rPr>
                  </w:pPr>
                  <w:r>
                    <w:rPr>
                      <w:color w:val="auto"/>
                      <w:sz w:val="18"/>
                      <w:szCs w:val="18"/>
                    </w:rPr>
                    <w:t>废</w:t>
                  </w:r>
                  <w:r>
                    <w:rPr>
                      <w:rFonts w:hint="eastAsia"/>
                      <w:color w:val="auto"/>
                      <w:sz w:val="18"/>
                      <w:szCs w:val="18"/>
                      <w:lang w:eastAsia="zh-CN"/>
                    </w:rPr>
                    <w:t>机油</w:t>
                  </w:r>
                </w:p>
              </w:tc>
              <w:tc>
                <w:tcPr>
                  <w:tcW w:w="853" w:type="pct"/>
                  <w:tcBorders>
                    <w:top w:val="single" w:color="auto" w:sz="2" w:space="0"/>
                    <w:left w:val="single" w:color="auto" w:sz="2" w:space="0"/>
                    <w:bottom w:val="single" w:color="auto" w:sz="2" w:space="0"/>
                    <w:right w:val="single" w:color="auto" w:sz="2" w:space="0"/>
                  </w:tcBorders>
                  <w:shd w:val="clear" w:color="auto" w:fill="auto"/>
                  <w:vAlign w:val="center"/>
                </w:tcPr>
                <w:p w14:paraId="7391F5CE">
                  <w:pPr>
                    <w:adjustRightInd w:val="0"/>
                    <w:snapToGrid w:val="0"/>
                    <w:jc w:val="center"/>
                    <w:rPr>
                      <w:rFonts w:hint="default" w:ascii="Times New Roman" w:hAnsi="Times New Roman" w:eastAsia="宋体" w:cs="Times New Roman"/>
                      <w:color w:val="auto"/>
                      <w:kern w:val="2"/>
                      <w:sz w:val="18"/>
                      <w:szCs w:val="18"/>
                      <w:lang w:val="en-US" w:eastAsia="zh-CN" w:bidi="ar-SA"/>
                    </w:rPr>
                  </w:pPr>
                  <w:r>
                    <w:rPr>
                      <w:color w:val="auto"/>
                      <w:sz w:val="18"/>
                      <w:szCs w:val="18"/>
                    </w:rPr>
                    <w:t>HW08，900-217-08</w:t>
                  </w:r>
                </w:p>
              </w:tc>
              <w:tc>
                <w:tcPr>
                  <w:tcW w:w="582" w:type="pct"/>
                  <w:vMerge w:val="restart"/>
                  <w:tcBorders>
                    <w:top w:val="single" w:color="auto" w:sz="2" w:space="0"/>
                    <w:left w:val="single" w:color="auto" w:sz="2" w:space="0"/>
                    <w:right w:val="single" w:color="auto" w:sz="2" w:space="0"/>
                  </w:tcBorders>
                  <w:vAlign w:val="center"/>
                </w:tcPr>
                <w:p w14:paraId="5D2F3008">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生产</w:t>
                  </w:r>
                  <w:r>
                    <w:rPr>
                      <w:rFonts w:hint="default" w:ascii="Times New Roman" w:hAnsi="Times New Roman" w:eastAsia="宋体" w:cs="Times New Roman"/>
                      <w:color w:val="auto"/>
                      <w:sz w:val="18"/>
                      <w:szCs w:val="18"/>
                      <w:highlight w:val="none"/>
                    </w:rPr>
                    <w:t>车间</w:t>
                  </w:r>
                  <w:r>
                    <w:rPr>
                      <w:rFonts w:hint="eastAsia" w:cs="Times New Roman"/>
                      <w:color w:val="auto"/>
                      <w:sz w:val="18"/>
                      <w:szCs w:val="18"/>
                      <w:highlight w:val="none"/>
                      <w:lang w:val="en-US" w:eastAsia="zh-CN"/>
                    </w:rPr>
                    <w:t>西南</w:t>
                  </w:r>
                  <w:r>
                    <w:rPr>
                      <w:rFonts w:hint="default" w:ascii="Times New Roman" w:hAnsi="Times New Roman" w:eastAsia="宋体" w:cs="Times New Roman"/>
                      <w:color w:val="auto"/>
                      <w:sz w:val="18"/>
                      <w:szCs w:val="18"/>
                      <w:highlight w:val="none"/>
                    </w:rPr>
                    <w:t>角</w:t>
                  </w:r>
                </w:p>
              </w:tc>
              <w:tc>
                <w:tcPr>
                  <w:tcW w:w="451" w:type="pct"/>
                  <w:vMerge w:val="restart"/>
                  <w:tcBorders>
                    <w:top w:val="single" w:color="auto" w:sz="2" w:space="0"/>
                    <w:left w:val="single" w:color="auto" w:sz="2" w:space="0"/>
                    <w:right w:val="single" w:color="auto" w:sz="2" w:space="0"/>
                  </w:tcBorders>
                  <w:vAlign w:val="center"/>
                </w:tcPr>
                <w:p w14:paraId="42A2DAD8">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2</w:t>
                  </w:r>
                  <w:r>
                    <w:rPr>
                      <w:rFonts w:hint="default" w:ascii="Times New Roman" w:hAnsi="Times New Roman" w:eastAsia="宋体" w:cs="Times New Roman"/>
                      <w:color w:val="auto"/>
                      <w:sz w:val="18"/>
                      <w:szCs w:val="18"/>
                      <w:highlight w:val="none"/>
                    </w:rPr>
                    <w:t>m</w:t>
                  </w:r>
                  <w:r>
                    <w:rPr>
                      <w:rFonts w:hint="default" w:ascii="Times New Roman" w:hAnsi="Times New Roman" w:eastAsia="宋体" w:cs="Times New Roman"/>
                      <w:color w:val="auto"/>
                      <w:sz w:val="18"/>
                      <w:szCs w:val="18"/>
                      <w:highlight w:val="none"/>
                      <w:vertAlign w:val="superscript"/>
                    </w:rPr>
                    <w:t>2</w:t>
                  </w:r>
                </w:p>
              </w:tc>
              <w:tc>
                <w:tcPr>
                  <w:tcW w:w="710" w:type="pct"/>
                  <w:vMerge w:val="restart"/>
                  <w:tcBorders>
                    <w:top w:val="single" w:color="auto" w:sz="2" w:space="0"/>
                    <w:left w:val="single" w:color="auto" w:sz="2" w:space="0"/>
                    <w:right w:val="single" w:color="auto" w:sz="2" w:space="0"/>
                  </w:tcBorders>
                  <w:vAlign w:val="center"/>
                </w:tcPr>
                <w:p w14:paraId="777AF62F">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密闭堆存</w:t>
                  </w:r>
                </w:p>
              </w:tc>
              <w:tc>
                <w:tcPr>
                  <w:tcW w:w="676" w:type="pct"/>
                  <w:vMerge w:val="restart"/>
                  <w:tcBorders>
                    <w:top w:val="single" w:color="auto" w:sz="2" w:space="0"/>
                    <w:left w:val="single" w:color="auto" w:sz="2" w:space="0"/>
                    <w:right w:val="single" w:color="auto" w:sz="2" w:space="0"/>
                  </w:tcBorders>
                  <w:vAlign w:val="center"/>
                </w:tcPr>
                <w:p w14:paraId="557DA35F">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12个月</w:t>
                  </w:r>
                </w:p>
              </w:tc>
            </w:tr>
            <w:tr w14:paraId="49EC193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80" w:type="pct"/>
                  <w:vMerge w:val="continue"/>
                  <w:tcBorders>
                    <w:left w:val="single" w:color="auto" w:sz="2" w:space="0"/>
                    <w:right w:val="single" w:color="auto" w:sz="2" w:space="0"/>
                  </w:tcBorders>
                  <w:vAlign w:val="center"/>
                </w:tcPr>
                <w:p w14:paraId="25C793EE">
                  <w:pPr>
                    <w:pStyle w:val="1042"/>
                    <w:spacing w:before="120" w:beforeLines="50"/>
                    <w:ind w:right="-124" w:rightChars="-59" w:firstLine="0" w:firstLineChars="0"/>
                    <w:rPr>
                      <w:rStyle w:val="227"/>
                      <w:rFonts w:hint="default" w:ascii="Times New Roman" w:hAnsi="Times New Roman" w:eastAsia="宋体" w:cs="Times New Roman"/>
                      <w:color w:val="auto"/>
                      <w:sz w:val="18"/>
                      <w:szCs w:val="18"/>
                      <w:highlight w:val="none"/>
                    </w:rPr>
                  </w:pPr>
                </w:p>
              </w:tc>
              <w:tc>
                <w:tcPr>
                  <w:tcW w:w="805" w:type="pct"/>
                  <w:vMerge w:val="continue"/>
                  <w:tcBorders>
                    <w:left w:val="single" w:color="auto" w:sz="2" w:space="0"/>
                    <w:right w:val="single" w:color="auto" w:sz="2" w:space="0"/>
                  </w:tcBorders>
                  <w:vAlign w:val="center"/>
                </w:tcPr>
                <w:p w14:paraId="1A970090">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p>
              </w:tc>
              <w:tc>
                <w:tcPr>
                  <w:tcW w:w="639" w:type="pct"/>
                  <w:tcBorders>
                    <w:top w:val="single" w:color="auto" w:sz="2" w:space="0"/>
                    <w:left w:val="single" w:color="auto" w:sz="2" w:space="0"/>
                    <w:bottom w:val="single" w:color="auto" w:sz="2" w:space="0"/>
                    <w:right w:val="single" w:color="auto" w:sz="2" w:space="0"/>
                  </w:tcBorders>
                  <w:shd w:val="clear" w:color="auto" w:fill="auto"/>
                  <w:vAlign w:val="center"/>
                </w:tcPr>
                <w:p w14:paraId="670CDBAD">
                  <w:pPr>
                    <w:adjustRightInd w:val="0"/>
                    <w:snapToGrid w:val="0"/>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eastAsia="zh-CN"/>
                    </w:rPr>
                    <w:t>废机油桶</w:t>
                  </w:r>
                </w:p>
              </w:tc>
              <w:tc>
                <w:tcPr>
                  <w:tcW w:w="853" w:type="pct"/>
                  <w:tcBorders>
                    <w:top w:val="single" w:color="auto" w:sz="2" w:space="0"/>
                    <w:left w:val="single" w:color="auto" w:sz="2" w:space="0"/>
                    <w:bottom w:val="single" w:color="auto" w:sz="2" w:space="0"/>
                    <w:right w:val="single" w:color="auto" w:sz="2" w:space="0"/>
                  </w:tcBorders>
                  <w:shd w:val="clear" w:color="auto" w:fill="auto"/>
                  <w:vAlign w:val="center"/>
                </w:tcPr>
                <w:p w14:paraId="1C7B01C3">
                  <w:pPr>
                    <w:adjustRightInd w:val="0"/>
                    <w:snapToGrid w:val="0"/>
                    <w:jc w:val="center"/>
                    <w:rPr>
                      <w:rFonts w:hint="eastAsia" w:ascii="Times New Roman" w:hAnsi="Times New Roman" w:eastAsia="宋体" w:cs="Times New Roman"/>
                      <w:color w:val="auto"/>
                      <w:kern w:val="2"/>
                      <w:sz w:val="18"/>
                      <w:szCs w:val="18"/>
                      <w:lang w:val="en-US" w:eastAsia="zh-CN" w:bidi="ar-SA"/>
                    </w:rPr>
                  </w:pPr>
                  <w:r>
                    <w:rPr>
                      <w:color w:val="auto"/>
                      <w:sz w:val="18"/>
                      <w:szCs w:val="18"/>
                    </w:rPr>
                    <w:t>HW08，900-249-08</w:t>
                  </w:r>
                </w:p>
              </w:tc>
              <w:tc>
                <w:tcPr>
                  <w:tcW w:w="582" w:type="pct"/>
                  <w:vMerge w:val="continue"/>
                  <w:tcBorders>
                    <w:left w:val="single" w:color="auto" w:sz="2" w:space="0"/>
                    <w:right w:val="single" w:color="auto" w:sz="2" w:space="0"/>
                  </w:tcBorders>
                  <w:vAlign w:val="center"/>
                </w:tcPr>
                <w:p w14:paraId="4942FC2D">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p>
              </w:tc>
              <w:tc>
                <w:tcPr>
                  <w:tcW w:w="451" w:type="pct"/>
                  <w:vMerge w:val="continue"/>
                  <w:tcBorders>
                    <w:left w:val="single" w:color="auto" w:sz="2" w:space="0"/>
                    <w:right w:val="single" w:color="auto" w:sz="2" w:space="0"/>
                  </w:tcBorders>
                  <w:vAlign w:val="center"/>
                </w:tcPr>
                <w:p w14:paraId="16945428">
                  <w:pPr>
                    <w:autoSpaceDE w:val="0"/>
                    <w:autoSpaceDN w:val="0"/>
                    <w:adjustRightInd w:val="0"/>
                    <w:spacing w:line="300" w:lineRule="exact"/>
                    <w:jc w:val="center"/>
                    <w:rPr>
                      <w:rFonts w:hint="eastAsia" w:cs="Times New Roman"/>
                      <w:color w:val="auto"/>
                      <w:sz w:val="18"/>
                      <w:szCs w:val="18"/>
                      <w:highlight w:val="none"/>
                      <w:lang w:val="en-US" w:eastAsia="zh-CN"/>
                    </w:rPr>
                  </w:pPr>
                </w:p>
              </w:tc>
              <w:tc>
                <w:tcPr>
                  <w:tcW w:w="710" w:type="pct"/>
                  <w:vMerge w:val="continue"/>
                  <w:tcBorders>
                    <w:left w:val="single" w:color="auto" w:sz="2" w:space="0"/>
                    <w:bottom w:val="single" w:color="auto" w:sz="2" w:space="0"/>
                    <w:right w:val="single" w:color="auto" w:sz="2" w:space="0"/>
                  </w:tcBorders>
                  <w:vAlign w:val="center"/>
                </w:tcPr>
                <w:p w14:paraId="051A2199">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p>
              </w:tc>
              <w:tc>
                <w:tcPr>
                  <w:tcW w:w="676" w:type="pct"/>
                  <w:vMerge w:val="continue"/>
                  <w:tcBorders>
                    <w:left w:val="single" w:color="auto" w:sz="2" w:space="0"/>
                    <w:bottom w:val="single" w:color="auto" w:sz="2" w:space="0"/>
                    <w:right w:val="single" w:color="auto" w:sz="2" w:space="0"/>
                  </w:tcBorders>
                  <w:vAlign w:val="center"/>
                </w:tcPr>
                <w:p w14:paraId="57B407C0">
                  <w:pPr>
                    <w:autoSpaceDE w:val="0"/>
                    <w:autoSpaceDN w:val="0"/>
                    <w:adjustRightInd w:val="0"/>
                    <w:spacing w:line="300" w:lineRule="exact"/>
                    <w:jc w:val="center"/>
                    <w:rPr>
                      <w:rFonts w:hint="eastAsia" w:cs="Times New Roman"/>
                      <w:color w:val="auto"/>
                      <w:sz w:val="18"/>
                      <w:szCs w:val="18"/>
                      <w:highlight w:val="none"/>
                      <w:lang w:val="en-US" w:eastAsia="zh-CN"/>
                    </w:rPr>
                  </w:pPr>
                </w:p>
              </w:tc>
            </w:tr>
            <w:tr w14:paraId="273AB97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280" w:type="pct"/>
                  <w:vMerge w:val="continue"/>
                  <w:tcBorders>
                    <w:left w:val="single" w:color="auto" w:sz="2" w:space="0"/>
                    <w:right w:val="single" w:color="auto" w:sz="2" w:space="0"/>
                  </w:tcBorders>
                  <w:vAlign w:val="center"/>
                </w:tcPr>
                <w:p w14:paraId="245D8A42">
                  <w:pPr>
                    <w:pStyle w:val="1042"/>
                    <w:spacing w:before="120" w:beforeLines="50"/>
                    <w:ind w:right="-124" w:rightChars="-59" w:firstLine="0" w:firstLineChars="0"/>
                    <w:rPr>
                      <w:rStyle w:val="227"/>
                      <w:rFonts w:hint="default" w:ascii="Times New Roman" w:hAnsi="Times New Roman" w:eastAsia="宋体" w:cs="Times New Roman"/>
                      <w:color w:val="auto"/>
                      <w:sz w:val="18"/>
                      <w:szCs w:val="18"/>
                      <w:highlight w:val="none"/>
                    </w:rPr>
                  </w:pPr>
                </w:p>
              </w:tc>
              <w:tc>
                <w:tcPr>
                  <w:tcW w:w="805" w:type="pct"/>
                  <w:vMerge w:val="continue"/>
                  <w:tcBorders>
                    <w:left w:val="single" w:color="auto" w:sz="2" w:space="0"/>
                    <w:right w:val="single" w:color="auto" w:sz="2" w:space="0"/>
                  </w:tcBorders>
                  <w:vAlign w:val="center"/>
                </w:tcPr>
                <w:p w14:paraId="73B0D2E8">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p>
              </w:tc>
              <w:tc>
                <w:tcPr>
                  <w:tcW w:w="639" w:type="pct"/>
                  <w:tcBorders>
                    <w:top w:val="single" w:color="auto" w:sz="2" w:space="0"/>
                    <w:left w:val="single" w:color="auto" w:sz="2" w:space="0"/>
                    <w:bottom w:val="single" w:color="auto" w:sz="2" w:space="0"/>
                    <w:right w:val="single" w:color="auto" w:sz="2" w:space="0"/>
                  </w:tcBorders>
                  <w:shd w:val="clear" w:color="auto" w:fill="auto"/>
                  <w:vAlign w:val="center"/>
                </w:tcPr>
                <w:p w14:paraId="6853DF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废活性炭</w:t>
                  </w:r>
                </w:p>
              </w:tc>
              <w:tc>
                <w:tcPr>
                  <w:tcW w:w="853" w:type="pct"/>
                  <w:tcBorders>
                    <w:top w:val="single" w:color="auto" w:sz="2" w:space="0"/>
                    <w:left w:val="single" w:color="auto" w:sz="2" w:space="0"/>
                    <w:bottom w:val="single" w:color="auto" w:sz="2" w:space="0"/>
                    <w:right w:val="single" w:color="auto" w:sz="2" w:space="0"/>
                  </w:tcBorders>
                  <w:shd w:val="clear" w:color="auto" w:fill="auto"/>
                  <w:vAlign w:val="center"/>
                </w:tcPr>
                <w:p w14:paraId="313481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HW49，</w:t>
                  </w:r>
                  <w:r>
                    <w:rPr>
                      <w:rFonts w:hint="default" w:ascii="Times New Roman" w:hAnsi="Times New Roman" w:eastAsia="宋体" w:cs="Times New Roman"/>
                      <w:color w:val="auto"/>
                      <w:sz w:val="18"/>
                      <w:szCs w:val="18"/>
                      <w:highlight w:val="none"/>
                      <w:lang w:val="en-US" w:eastAsia="zh-CN"/>
                    </w:rPr>
                    <w:t>900-039-49</w:t>
                  </w:r>
                </w:p>
              </w:tc>
              <w:tc>
                <w:tcPr>
                  <w:tcW w:w="582" w:type="pct"/>
                  <w:vMerge w:val="continue"/>
                  <w:tcBorders>
                    <w:left w:val="single" w:color="auto" w:sz="2" w:space="0"/>
                    <w:right w:val="single" w:color="auto" w:sz="2" w:space="0"/>
                  </w:tcBorders>
                  <w:vAlign w:val="center"/>
                </w:tcPr>
                <w:p w14:paraId="4A99E9D3">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p>
              </w:tc>
              <w:tc>
                <w:tcPr>
                  <w:tcW w:w="451" w:type="pct"/>
                  <w:tcBorders>
                    <w:left w:val="single" w:color="auto" w:sz="2" w:space="0"/>
                    <w:right w:val="single" w:color="auto" w:sz="2" w:space="0"/>
                  </w:tcBorders>
                  <w:vAlign w:val="center"/>
                </w:tcPr>
                <w:p w14:paraId="5FDAD80F">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5</w:t>
                  </w:r>
                  <w:r>
                    <w:rPr>
                      <w:rFonts w:hint="default" w:ascii="Times New Roman" w:hAnsi="Times New Roman" w:eastAsia="宋体" w:cs="Times New Roman"/>
                      <w:color w:val="auto"/>
                      <w:sz w:val="18"/>
                      <w:szCs w:val="18"/>
                      <w:highlight w:val="none"/>
                    </w:rPr>
                    <w:t>m</w:t>
                  </w:r>
                  <w:r>
                    <w:rPr>
                      <w:rFonts w:hint="default" w:ascii="Times New Roman" w:hAnsi="Times New Roman" w:eastAsia="宋体" w:cs="Times New Roman"/>
                      <w:color w:val="auto"/>
                      <w:sz w:val="18"/>
                      <w:szCs w:val="18"/>
                      <w:highlight w:val="none"/>
                      <w:vertAlign w:val="superscript"/>
                    </w:rPr>
                    <w:t>2</w:t>
                  </w:r>
                </w:p>
              </w:tc>
              <w:tc>
                <w:tcPr>
                  <w:tcW w:w="710" w:type="pct"/>
                  <w:tcBorders>
                    <w:top w:val="single" w:color="auto" w:sz="2" w:space="0"/>
                    <w:left w:val="single" w:color="auto" w:sz="2" w:space="0"/>
                    <w:bottom w:val="single" w:color="auto" w:sz="2" w:space="0"/>
                    <w:right w:val="single" w:color="auto" w:sz="2" w:space="0"/>
                  </w:tcBorders>
                  <w:vAlign w:val="center"/>
                </w:tcPr>
                <w:p w14:paraId="7202BD05">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密闭堆存</w:t>
                  </w:r>
                </w:p>
              </w:tc>
              <w:tc>
                <w:tcPr>
                  <w:tcW w:w="676" w:type="pct"/>
                  <w:tcBorders>
                    <w:top w:val="single" w:color="auto" w:sz="2" w:space="0"/>
                    <w:left w:val="single" w:color="auto" w:sz="2" w:space="0"/>
                    <w:bottom w:val="single" w:color="auto" w:sz="2" w:space="0"/>
                    <w:right w:val="single" w:color="auto" w:sz="2" w:space="0"/>
                  </w:tcBorders>
                  <w:vAlign w:val="center"/>
                </w:tcPr>
                <w:p w14:paraId="339BD00E">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12个月</w:t>
                  </w:r>
                </w:p>
              </w:tc>
            </w:tr>
          </w:tbl>
          <w:p w14:paraId="0779721C">
            <w:pPr>
              <w:keepNext w:val="0"/>
              <w:keepLines w:val="0"/>
              <w:pageBreakBefore w:val="0"/>
              <w:widowControl w:val="0"/>
              <w:kinsoku/>
              <w:wordWrap/>
              <w:overflowPunct/>
              <w:topLinePunct w:val="0"/>
              <w:autoSpaceDE w:val="0"/>
              <w:autoSpaceDN w:val="0"/>
              <w:bidi w:val="0"/>
              <w:adjustRightInd w:val="0"/>
              <w:snapToGrid w:val="0"/>
              <w:spacing w:line="360" w:lineRule="auto"/>
              <w:ind w:firstLine="420" w:firstLineChars="200"/>
              <w:textAlignment w:val="auto"/>
              <w:rPr>
                <w:rFonts w:hint="default" w:ascii="Times New Roman" w:hAnsi="Times New Roman" w:cs="Times New Roman"/>
                <w:color w:val="auto"/>
                <w:kern w:val="0"/>
                <w:sz w:val="21"/>
                <w:szCs w:val="21"/>
                <w:highlight w:val="none"/>
                <w:lang w:val="zh-CN" w:eastAsia="zh-CN"/>
              </w:rPr>
            </w:pPr>
            <w:r>
              <w:rPr>
                <w:rFonts w:hint="eastAsia" w:cs="Times New Roman"/>
                <w:color w:val="auto"/>
                <w:kern w:val="0"/>
                <w:sz w:val="21"/>
                <w:szCs w:val="21"/>
                <w:highlight w:val="none"/>
                <w:lang w:val="zh-CN" w:eastAsia="zh-CN"/>
              </w:rPr>
              <w:t>危废间的建设及管理严格按照相关技术规范进行：</w:t>
            </w:r>
          </w:p>
          <w:p w14:paraId="49502D8F">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危险废物贮存容器使用符合标准的容器。容器及材质要满足相应的强度要求，且完好无损，材质和衬里与危险废物相容。</w:t>
            </w:r>
          </w:p>
          <w:p w14:paraId="7C6A34E0">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危废存储转运作好危险废物情况的记录，记录上注明危险废物的名称、来源、数量、特性和包装容器的类别、入库日期、存放库位、废物出库日期及接收单位名称；危险废物的相关记录台账应继续保留</w:t>
            </w:r>
            <w:r>
              <w:rPr>
                <w:rFonts w:hint="eastAsia" w:cs="Times New Roman"/>
                <w:color w:val="auto"/>
                <w:szCs w:val="21"/>
                <w:highlight w:val="none"/>
                <w:lang w:eastAsia="zh-CN"/>
              </w:rPr>
              <w:t>五</w:t>
            </w:r>
            <w:r>
              <w:rPr>
                <w:rFonts w:hint="default" w:ascii="Times New Roman" w:hAnsi="Times New Roman" w:cs="Times New Roman"/>
                <w:color w:val="auto"/>
                <w:szCs w:val="21"/>
                <w:highlight w:val="none"/>
              </w:rPr>
              <w:t>年。</w:t>
            </w:r>
          </w:p>
          <w:p w14:paraId="1C51E796">
            <w:pPr>
              <w:autoSpaceDE w:val="0"/>
              <w:autoSpaceDN w:val="0"/>
              <w:adjustRightInd w:val="0"/>
              <w:spacing w:line="360" w:lineRule="auto"/>
              <w:ind w:firstLine="420" w:firstLineChars="200"/>
              <w:rPr>
                <w:rFonts w:hint="eastAsia" w:eastAsia="宋体"/>
                <w:color w:val="auto"/>
                <w:szCs w:val="21"/>
                <w:highlight w:val="none"/>
                <w:lang w:eastAsia="zh-CN"/>
              </w:rPr>
            </w:pPr>
            <w:r>
              <w:rPr>
                <w:rFonts w:hint="default" w:ascii="Times New Roman" w:hAnsi="Times New Roman" w:cs="Times New Roman"/>
                <w:color w:val="auto"/>
                <w:szCs w:val="21"/>
                <w:highlight w:val="none"/>
              </w:rPr>
              <w:t>本项目产生的危险废物储存时间较短，危险废物定期清理，存放于危险暂存间中，及时交由相应的危险废物处置单位进行处理。采取以上措施后，本项目危险废物可以得到有效处理，不会对环境造成影响</w:t>
            </w:r>
            <w:r>
              <w:rPr>
                <w:rFonts w:hint="eastAsia" w:ascii="Times New Roman" w:hAnsi="Times New Roman" w:cs="Times New Roman"/>
                <w:color w:val="auto"/>
                <w:szCs w:val="21"/>
                <w:highlight w:val="none"/>
                <w:lang w:eastAsia="zh-CN"/>
              </w:rPr>
              <w:t>。</w:t>
            </w:r>
          </w:p>
          <w:p w14:paraId="68D4DDA8">
            <w:pPr>
              <w:adjustRightInd w:val="0"/>
              <w:snapToGrid w:val="0"/>
              <w:spacing w:line="360" w:lineRule="auto"/>
              <w:ind w:firstLine="422" w:firstLineChars="200"/>
              <w:rPr>
                <w:b/>
                <w:color w:val="auto"/>
                <w:highlight w:val="none"/>
              </w:rPr>
            </w:pPr>
            <w:r>
              <w:rPr>
                <w:b/>
                <w:color w:val="auto"/>
                <w:highlight w:val="none"/>
              </w:rPr>
              <w:t>五、地下水</w:t>
            </w:r>
          </w:p>
          <w:p w14:paraId="16F55C56">
            <w:pPr>
              <w:adjustRightInd w:val="0"/>
              <w:snapToGrid w:val="0"/>
              <w:spacing w:line="360" w:lineRule="auto"/>
              <w:ind w:firstLine="420" w:firstLineChars="200"/>
              <w:rPr>
                <w:bCs/>
                <w:color w:val="auto"/>
              </w:rPr>
            </w:pPr>
            <w:r>
              <w:rPr>
                <w:bCs/>
                <w:color w:val="auto"/>
              </w:rPr>
              <w:t>1、污染途径、类型</w:t>
            </w:r>
          </w:p>
          <w:p w14:paraId="53F4795E">
            <w:pPr>
              <w:adjustRightInd w:val="0"/>
              <w:snapToGrid w:val="0"/>
              <w:spacing w:line="360" w:lineRule="auto"/>
              <w:ind w:firstLine="420" w:firstLineChars="200"/>
              <w:rPr>
                <w:color w:val="auto"/>
              </w:rPr>
            </w:pPr>
            <w:r>
              <w:rPr>
                <w:color w:val="auto"/>
              </w:rPr>
              <w:t>本项目污染源主要为</w:t>
            </w:r>
            <w:r>
              <w:rPr>
                <w:rFonts w:hint="eastAsia"/>
                <w:color w:val="auto"/>
                <w:lang w:eastAsia="zh-CN"/>
              </w:rPr>
              <w:t>危废间、</w:t>
            </w:r>
            <w:r>
              <w:rPr>
                <w:rFonts w:hint="eastAsia"/>
                <w:color w:val="auto"/>
                <w:lang w:val="en-US" w:eastAsia="zh-CN"/>
              </w:rPr>
              <w:t>中和槽、</w:t>
            </w:r>
            <w:r>
              <w:rPr>
                <w:color w:val="auto"/>
              </w:rPr>
              <w:t>化粪池。主要污染因子为COD、氨氮等。由于</w:t>
            </w:r>
            <w:r>
              <w:rPr>
                <w:rFonts w:hint="eastAsia"/>
                <w:color w:val="auto"/>
                <w:lang w:eastAsia="zh-CN"/>
              </w:rPr>
              <w:t>危废间、</w:t>
            </w:r>
            <w:r>
              <w:rPr>
                <w:rFonts w:hint="eastAsia"/>
                <w:color w:val="auto"/>
                <w:lang w:val="en-US" w:eastAsia="zh-CN"/>
              </w:rPr>
              <w:t>中和槽</w:t>
            </w:r>
            <w:r>
              <w:rPr>
                <w:rFonts w:hint="eastAsia"/>
                <w:color w:val="auto"/>
                <w:lang w:eastAsia="zh-CN"/>
              </w:rPr>
              <w:t>、</w:t>
            </w:r>
            <w:r>
              <w:rPr>
                <w:color w:val="auto"/>
              </w:rPr>
              <w:t>化粪池进行相应的防渗和硬化处理，即使上述污染源发生泄漏在防渗层完好的情况下也不会发生垂直入渗现象。故而本项目对地下水几乎无影响途径。</w:t>
            </w:r>
          </w:p>
          <w:p w14:paraId="54FDEDF1">
            <w:pPr>
              <w:adjustRightInd w:val="0"/>
              <w:snapToGrid w:val="0"/>
              <w:spacing w:line="360" w:lineRule="auto"/>
              <w:ind w:firstLine="420" w:firstLineChars="200"/>
              <w:rPr>
                <w:bCs/>
                <w:color w:val="auto"/>
              </w:rPr>
            </w:pPr>
            <w:r>
              <w:rPr>
                <w:bCs/>
                <w:color w:val="auto"/>
              </w:rPr>
              <w:t>2、采取保护措施</w:t>
            </w:r>
          </w:p>
          <w:p w14:paraId="4167C97C">
            <w:pPr>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本项目</w:t>
            </w:r>
            <w:r>
              <w:rPr>
                <w:rFonts w:hint="eastAsia" w:cs="Times New Roman"/>
                <w:bCs/>
                <w:color w:val="auto"/>
                <w:szCs w:val="21"/>
                <w:lang w:val="en-US" w:eastAsia="zh-CN"/>
              </w:rPr>
              <w:t>危废间</w:t>
            </w:r>
            <w:r>
              <w:rPr>
                <w:rFonts w:hint="eastAsia"/>
                <w:color w:val="auto"/>
                <w:lang w:eastAsia="zh-CN"/>
              </w:rPr>
              <w:t>、</w:t>
            </w:r>
            <w:r>
              <w:rPr>
                <w:rFonts w:hint="eastAsia"/>
                <w:color w:val="auto"/>
                <w:lang w:val="en-US" w:eastAsia="zh-CN"/>
              </w:rPr>
              <w:t>中和槽</w:t>
            </w:r>
            <w:r>
              <w:rPr>
                <w:rFonts w:hint="default" w:ascii="Times New Roman" w:hAnsi="Times New Roman" w:eastAsia="宋体" w:cs="Times New Roman"/>
                <w:bCs/>
                <w:color w:val="auto"/>
                <w:szCs w:val="21"/>
                <w:lang w:val="en-US" w:eastAsia="zh-CN"/>
              </w:rPr>
              <w:t>、</w:t>
            </w:r>
            <w:r>
              <w:rPr>
                <w:rFonts w:hint="default" w:ascii="Times New Roman" w:hAnsi="Times New Roman" w:eastAsia="宋体" w:cs="Times New Roman"/>
                <w:bCs/>
                <w:color w:val="auto"/>
                <w:szCs w:val="21"/>
              </w:rPr>
              <w:t>化粪池需严格进行防渗硬化，进行重点防渗处理，车间进行一般防渗。分区防渗措施见表4-</w:t>
            </w:r>
            <w:r>
              <w:rPr>
                <w:rFonts w:hint="eastAsia" w:cs="Times New Roman"/>
                <w:bCs/>
                <w:color w:val="auto"/>
                <w:szCs w:val="21"/>
                <w:lang w:val="en-US" w:eastAsia="zh-CN"/>
              </w:rPr>
              <w:t>15</w:t>
            </w:r>
            <w:r>
              <w:rPr>
                <w:rFonts w:hint="default" w:ascii="Times New Roman" w:hAnsi="Times New Roman" w:eastAsia="宋体" w:cs="Times New Roman"/>
                <w:bCs/>
                <w:color w:val="auto"/>
                <w:szCs w:val="21"/>
              </w:rPr>
              <w:t>。企业定期对地面进行检查维护，防止防渗层的破坏，在采取相应的措施后，即使发生泄漏由于进行防渗处理，废液也无法进行下渗，本项目的运营几乎没有影响途径，对地下水影响较小。</w:t>
            </w:r>
          </w:p>
          <w:p w14:paraId="2F2D0FC4">
            <w:pPr>
              <w:keepNext w:val="0"/>
              <w:keepLines w:val="0"/>
              <w:pageBreakBefore w:val="0"/>
              <w:widowControl w:val="0"/>
              <w:kinsoku/>
              <w:wordWrap/>
              <w:overflowPunct/>
              <w:topLinePunct w:val="0"/>
              <w:autoSpaceDE w:val="0"/>
              <w:autoSpaceDN w:val="0"/>
              <w:bidi w:val="0"/>
              <w:adjustRightInd w:val="0"/>
              <w:snapToGrid w:val="0"/>
              <w:spacing w:line="360" w:lineRule="auto"/>
              <w:ind w:firstLine="25" w:firstLineChars="12"/>
              <w:jc w:val="center"/>
              <w:textAlignment w:val="auto"/>
              <w:rPr>
                <w:rFonts w:hint="default" w:ascii="Times New Roman" w:hAnsi="Times New Roman" w:eastAsia="宋体" w:cs="Times New Roman"/>
                <w:b/>
                <w:bCs/>
                <w:color w:val="auto"/>
                <w:szCs w:val="21"/>
              </w:rPr>
            </w:pPr>
            <w:r>
              <w:rPr>
                <w:rFonts w:hint="default" w:ascii="Times New Roman" w:hAnsi="Times New Roman" w:eastAsia="宋体" w:cs="Times New Roman"/>
                <w:b/>
                <w:bCs/>
                <w:color w:val="auto"/>
                <w:szCs w:val="21"/>
              </w:rPr>
              <w:t>表4-</w:t>
            </w:r>
            <w:r>
              <w:rPr>
                <w:rFonts w:hint="eastAsia" w:cs="Times New Roman"/>
                <w:b/>
                <w:bCs/>
                <w:color w:val="auto"/>
                <w:szCs w:val="21"/>
                <w:lang w:val="en-US" w:eastAsia="zh-CN"/>
              </w:rPr>
              <w:t>15</w:t>
            </w:r>
            <w:r>
              <w:rPr>
                <w:rFonts w:hint="eastAsia" w:cs="Times New Roman"/>
                <w:b/>
                <w:bCs/>
                <w:color w:val="auto"/>
                <w:szCs w:val="21"/>
                <w:lang w:eastAsia="zh-CN"/>
              </w:rPr>
              <w:t>本项目</w:t>
            </w:r>
            <w:r>
              <w:rPr>
                <w:rFonts w:hint="default" w:ascii="Times New Roman" w:hAnsi="Times New Roman" w:eastAsia="宋体" w:cs="Times New Roman"/>
                <w:b/>
                <w:bCs/>
                <w:color w:val="auto"/>
                <w:szCs w:val="21"/>
              </w:rPr>
              <w:t>拟采取的防腐、防渗措施</w:t>
            </w:r>
          </w:p>
          <w:tbl>
            <w:tblPr>
              <w:tblStyle w:val="83"/>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6"/>
              <w:gridCol w:w="1141"/>
              <w:gridCol w:w="1905"/>
              <w:gridCol w:w="4530"/>
            </w:tblGrid>
            <w:tr w14:paraId="206E8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pct"/>
                  <w:tcBorders>
                    <w:top w:val="single" w:color="auto" w:sz="4" w:space="0"/>
                    <w:left w:val="single" w:color="auto" w:sz="4" w:space="0"/>
                    <w:bottom w:val="single" w:color="auto" w:sz="4" w:space="0"/>
                    <w:right w:val="single" w:color="auto" w:sz="4" w:space="0"/>
                  </w:tcBorders>
                  <w:vAlign w:val="center"/>
                </w:tcPr>
                <w:p w14:paraId="1C130FCC">
                  <w:pPr>
                    <w:adjustRightInd w:val="0"/>
                    <w:snapToGrid w:val="0"/>
                    <w:spacing w:line="300" w:lineRule="exact"/>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序号</w:t>
                  </w:r>
                </w:p>
              </w:tc>
              <w:tc>
                <w:tcPr>
                  <w:tcW w:w="681" w:type="pct"/>
                  <w:tcBorders>
                    <w:top w:val="single" w:color="auto" w:sz="4" w:space="0"/>
                    <w:left w:val="single" w:color="auto" w:sz="4" w:space="0"/>
                    <w:bottom w:val="single" w:color="auto" w:sz="4" w:space="0"/>
                    <w:right w:val="single" w:color="auto" w:sz="4" w:space="0"/>
                  </w:tcBorders>
                  <w:vAlign w:val="center"/>
                </w:tcPr>
                <w:p w14:paraId="35B601D4">
                  <w:pPr>
                    <w:adjustRightInd w:val="0"/>
                    <w:snapToGrid w:val="0"/>
                    <w:spacing w:line="300" w:lineRule="exact"/>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分区</w:t>
                  </w:r>
                </w:p>
              </w:tc>
              <w:tc>
                <w:tcPr>
                  <w:tcW w:w="1137" w:type="pct"/>
                  <w:tcBorders>
                    <w:top w:val="single" w:color="auto" w:sz="4" w:space="0"/>
                    <w:left w:val="single" w:color="auto" w:sz="4" w:space="0"/>
                    <w:bottom w:val="single" w:color="auto" w:sz="4" w:space="0"/>
                    <w:right w:val="single" w:color="auto" w:sz="4" w:space="0"/>
                  </w:tcBorders>
                  <w:vAlign w:val="center"/>
                </w:tcPr>
                <w:p w14:paraId="18D88579">
                  <w:pPr>
                    <w:adjustRightInd w:val="0"/>
                    <w:snapToGrid w:val="0"/>
                    <w:spacing w:line="300" w:lineRule="exact"/>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名称</w:t>
                  </w:r>
                </w:p>
              </w:tc>
              <w:tc>
                <w:tcPr>
                  <w:tcW w:w="2704" w:type="pct"/>
                  <w:tcBorders>
                    <w:top w:val="single" w:color="auto" w:sz="4" w:space="0"/>
                    <w:left w:val="single" w:color="auto" w:sz="4" w:space="0"/>
                    <w:bottom w:val="single" w:color="auto" w:sz="4" w:space="0"/>
                    <w:right w:val="single" w:color="auto" w:sz="4" w:space="0"/>
                  </w:tcBorders>
                  <w:vAlign w:val="center"/>
                </w:tcPr>
                <w:p w14:paraId="490F26D0">
                  <w:pPr>
                    <w:adjustRightInd w:val="0"/>
                    <w:snapToGrid w:val="0"/>
                    <w:spacing w:line="300" w:lineRule="exact"/>
                    <w:jc w:val="center"/>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防渗要求</w:t>
                  </w:r>
                </w:p>
              </w:tc>
            </w:tr>
            <w:tr w14:paraId="48761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pct"/>
                  <w:vMerge w:val="restart"/>
                  <w:tcBorders>
                    <w:top w:val="single" w:color="auto" w:sz="4" w:space="0"/>
                    <w:left w:val="single" w:color="auto" w:sz="4" w:space="0"/>
                    <w:bottom w:val="single" w:color="auto" w:sz="4" w:space="0"/>
                    <w:right w:val="single" w:color="auto" w:sz="4" w:space="0"/>
                  </w:tcBorders>
                  <w:vAlign w:val="center"/>
                </w:tcPr>
                <w:p w14:paraId="0C64D864">
                  <w:pPr>
                    <w:adjustRightInd w:val="0"/>
                    <w:snapToGrid w:val="0"/>
                    <w:spacing w:line="300" w:lineRule="exact"/>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w:t>
                  </w:r>
                </w:p>
              </w:tc>
              <w:tc>
                <w:tcPr>
                  <w:tcW w:w="681" w:type="pct"/>
                  <w:vMerge w:val="restart"/>
                  <w:tcBorders>
                    <w:top w:val="single" w:color="auto" w:sz="4" w:space="0"/>
                    <w:left w:val="single" w:color="auto" w:sz="4" w:space="0"/>
                    <w:bottom w:val="single" w:color="auto" w:sz="4" w:space="0"/>
                    <w:right w:val="single" w:color="auto" w:sz="4" w:space="0"/>
                  </w:tcBorders>
                  <w:vAlign w:val="center"/>
                </w:tcPr>
                <w:p w14:paraId="46BB13C0">
                  <w:pPr>
                    <w:adjustRightInd w:val="0"/>
                    <w:snapToGrid w:val="0"/>
                    <w:spacing w:line="300" w:lineRule="exact"/>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重点防渗区</w:t>
                  </w:r>
                </w:p>
              </w:tc>
              <w:tc>
                <w:tcPr>
                  <w:tcW w:w="1137" w:type="pct"/>
                  <w:tcBorders>
                    <w:top w:val="single" w:color="auto" w:sz="4" w:space="0"/>
                    <w:left w:val="single" w:color="auto" w:sz="4" w:space="0"/>
                    <w:bottom w:val="single" w:color="auto" w:sz="4" w:space="0"/>
                    <w:right w:val="single" w:color="auto" w:sz="4" w:space="0"/>
                  </w:tcBorders>
                  <w:vAlign w:val="center"/>
                </w:tcPr>
                <w:p w14:paraId="1C975D42">
                  <w:pPr>
                    <w:adjustRightInd w:val="0"/>
                    <w:snapToGrid w:val="0"/>
                    <w:spacing w:line="300" w:lineRule="exact"/>
                    <w:jc w:val="center"/>
                    <w:rPr>
                      <w:rFonts w:hint="eastAsia" w:ascii="Times New Roman" w:hAnsi="Times New Roman" w:eastAsia="宋体" w:cs="Times New Roman"/>
                      <w:color w:val="auto"/>
                      <w:sz w:val="18"/>
                      <w:szCs w:val="18"/>
                      <w:lang w:eastAsia="zh-CN"/>
                    </w:rPr>
                  </w:pPr>
                  <w:r>
                    <w:rPr>
                      <w:rFonts w:hint="default" w:ascii="Times New Roman" w:hAnsi="Times New Roman" w:eastAsia="宋体" w:cs="Times New Roman"/>
                      <w:color w:val="auto"/>
                      <w:sz w:val="18"/>
                      <w:szCs w:val="18"/>
                    </w:rPr>
                    <w:t>化粪池</w:t>
                  </w:r>
                  <w:r>
                    <w:rPr>
                      <w:rFonts w:hint="eastAsia" w:cs="Times New Roman"/>
                      <w:color w:val="auto"/>
                      <w:sz w:val="18"/>
                      <w:szCs w:val="18"/>
                      <w:lang w:eastAsia="zh-CN"/>
                    </w:rPr>
                    <w:t>、</w:t>
                  </w:r>
                  <w:r>
                    <w:rPr>
                      <w:rFonts w:hint="eastAsia" w:cs="Times New Roman"/>
                      <w:color w:val="auto"/>
                      <w:sz w:val="18"/>
                      <w:szCs w:val="18"/>
                      <w:lang w:val="en-US" w:eastAsia="zh-CN"/>
                    </w:rPr>
                    <w:t>中和槽</w:t>
                  </w:r>
                </w:p>
              </w:tc>
              <w:tc>
                <w:tcPr>
                  <w:tcW w:w="2704" w:type="pct"/>
                  <w:tcBorders>
                    <w:top w:val="single" w:color="auto" w:sz="4" w:space="0"/>
                    <w:left w:val="single" w:color="auto" w:sz="4" w:space="0"/>
                    <w:bottom w:val="single" w:color="auto" w:sz="4" w:space="0"/>
                    <w:right w:val="single" w:color="auto" w:sz="4" w:space="0"/>
                  </w:tcBorders>
                  <w:vAlign w:val="center"/>
                </w:tcPr>
                <w:p w14:paraId="00287255">
                  <w:pPr>
                    <w:adjustRightInd w:val="0"/>
                    <w:snapToGrid w:val="0"/>
                    <w:spacing w:line="300" w:lineRule="exact"/>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等效黏土防渗层Mb≥6.0m，K≤1×10</w:t>
                  </w:r>
                  <w:r>
                    <w:rPr>
                      <w:rFonts w:hint="default" w:ascii="Times New Roman" w:hAnsi="Times New Roman" w:eastAsia="宋体" w:cs="Times New Roman"/>
                      <w:color w:val="auto"/>
                      <w:sz w:val="18"/>
                      <w:szCs w:val="18"/>
                      <w:highlight w:val="none"/>
                      <w:vertAlign w:val="superscript"/>
                    </w:rPr>
                    <w:t>-7</w:t>
                  </w:r>
                  <w:r>
                    <w:rPr>
                      <w:rFonts w:hint="default" w:ascii="Times New Roman" w:hAnsi="Times New Roman" w:eastAsia="宋体" w:cs="Times New Roman"/>
                      <w:color w:val="auto"/>
                      <w:sz w:val="18"/>
                      <w:szCs w:val="18"/>
                      <w:highlight w:val="none"/>
                    </w:rPr>
                    <w:t>cm/s</w:t>
                  </w:r>
                </w:p>
              </w:tc>
            </w:tr>
            <w:tr w14:paraId="44AD5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pct"/>
                  <w:vMerge w:val="continue"/>
                  <w:tcBorders>
                    <w:top w:val="single" w:color="auto" w:sz="4" w:space="0"/>
                    <w:left w:val="single" w:color="auto" w:sz="4" w:space="0"/>
                    <w:bottom w:val="single" w:color="auto" w:sz="4" w:space="0"/>
                    <w:right w:val="single" w:color="auto" w:sz="4" w:space="0"/>
                  </w:tcBorders>
                  <w:vAlign w:val="center"/>
                </w:tcPr>
                <w:p w14:paraId="7F473F1C">
                  <w:pPr>
                    <w:adjustRightInd w:val="0"/>
                    <w:snapToGrid w:val="0"/>
                    <w:spacing w:line="300" w:lineRule="exact"/>
                    <w:jc w:val="center"/>
                    <w:rPr>
                      <w:rFonts w:hint="default" w:ascii="Times New Roman" w:hAnsi="Times New Roman" w:eastAsia="宋体" w:cs="Times New Roman"/>
                      <w:color w:val="auto"/>
                      <w:sz w:val="18"/>
                      <w:szCs w:val="18"/>
                    </w:rPr>
                  </w:pPr>
                </w:p>
              </w:tc>
              <w:tc>
                <w:tcPr>
                  <w:tcW w:w="681" w:type="pct"/>
                  <w:vMerge w:val="continue"/>
                  <w:tcBorders>
                    <w:top w:val="single" w:color="auto" w:sz="4" w:space="0"/>
                    <w:left w:val="single" w:color="auto" w:sz="4" w:space="0"/>
                    <w:bottom w:val="single" w:color="auto" w:sz="4" w:space="0"/>
                    <w:right w:val="single" w:color="auto" w:sz="4" w:space="0"/>
                  </w:tcBorders>
                  <w:vAlign w:val="center"/>
                </w:tcPr>
                <w:p w14:paraId="7B9A6B4E">
                  <w:pPr>
                    <w:adjustRightInd w:val="0"/>
                    <w:snapToGrid w:val="0"/>
                    <w:spacing w:line="300" w:lineRule="exact"/>
                    <w:jc w:val="center"/>
                    <w:rPr>
                      <w:rFonts w:hint="default" w:ascii="Times New Roman" w:hAnsi="Times New Roman" w:eastAsia="宋体" w:cs="Times New Roman"/>
                      <w:color w:val="auto"/>
                      <w:sz w:val="18"/>
                      <w:szCs w:val="18"/>
                    </w:rPr>
                  </w:pPr>
                </w:p>
              </w:tc>
              <w:tc>
                <w:tcPr>
                  <w:tcW w:w="1137" w:type="pct"/>
                  <w:tcBorders>
                    <w:top w:val="single" w:color="auto" w:sz="4" w:space="0"/>
                    <w:left w:val="single" w:color="auto" w:sz="4" w:space="0"/>
                    <w:bottom w:val="single" w:color="auto" w:sz="4" w:space="0"/>
                    <w:right w:val="single" w:color="auto" w:sz="4" w:space="0"/>
                  </w:tcBorders>
                  <w:vAlign w:val="center"/>
                </w:tcPr>
                <w:p w14:paraId="54CE140B">
                  <w:pPr>
                    <w:adjustRightInd w:val="0"/>
                    <w:snapToGrid w:val="0"/>
                    <w:spacing w:line="300" w:lineRule="exact"/>
                    <w:jc w:val="center"/>
                    <w:rPr>
                      <w:rFonts w:hint="default" w:ascii="Times New Roman" w:hAnsi="Times New Roman" w:eastAsia="宋体" w:cs="Times New Roman"/>
                      <w:color w:val="auto"/>
                      <w:sz w:val="18"/>
                      <w:szCs w:val="18"/>
                    </w:rPr>
                  </w:pPr>
                  <w:r>
                    <w:rPr>
                      <w:rFonts w:hint="eastAsia" w:cs="Times New Roman"/>
                      <w:color w:val="auto"/>
                      <w:sz w:val="18"/>
                      <w:szCs w:val="18"/>
                      <w:lang w:val="en-US" w:eastAsia="zh-CN"/>
                    </w:rPr>
                    <w:t>危废间</w:t>
                  </w:r>
                </w:p>
              </w:tc>
              <w:tc>
                <w:tcPr>
                  <w:tcW w:w="2704" w:type="pct"/>
                  <w:tcBorders>
                    <w:top w:val="single" w:color="auto" w:sz="4" w:space="0"/>
                    <w:left w:val="single" w:color="auto" w:sz="4" w:space="0"/>
                    <w:bottom w:val="single" w:color="auto" w:sz="4" w:space="0"/>
                    <w:right w:val="single" w:color="auto" w:sz="4" w:space="0"/>
                  </w:tcBorders>
                  <w:vAlign w:val="center"/>
                </w:tcPr>
                <w:p w14:paraId="359E685D">
                  <w:pPr>
                    <w:adjustRightInd w:val="0"/>
                    <w:snapToGrid w:val="0"/>
                    <w:spacing w:line="300" w:lineRule="exact"/>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至少1m厚黏土层（渗透系数K≤1×10</w:t>
                  </w:r>
                  <w:r>
                    <w:rPr>
                      <w:rFonts w:hint="default" w:ascii="Times New Roman" w:hAnsi="Times New Roman" w:eastAsia="宋体" w:cs="Times New Roman"/>
                      <w:color w:val="auto"/>
                      <w:sz w:val="18"/>
                      <w:szCs w:val="18"/>
                      <w:highlight w:val="none"/>
                      <w:vertAlign w:val="superscript"/>
                    </w:rPr>
                    <w:t>-7</w:t>
                  </w:r>
                  <w:r>
                    <w:rPr>
                      <w:rFonts w:hint="default" w:ascii="Times New Roman" w:hAnsi="Times New Roman" w:eastAsia="宋体" w:cs="Times New Roman"/>
                      <w:color w:val="auto"/>
                      <w:sz w:val="18"/>
                      <w:szCs w:val="18"/>
                      <w:highlight w:val="none"/>
                    </w:rPr>
                    <w:t>cm/s），或2mm厚高密度聚乙烯膜，或至少2mm厚的其他人工材料，渗透系数≤10</w:t>
                  </w:r>
                  <w:r>
                    <w:rPr>
                      <w:rFonts w:hint="default" w:ascii="Times New Roman" w:hAnsi="Times New Roman" w:eastAsia="宋体" w:cs="Times New Roman"/>
                      <w:color w:val="auto"/>
                      <w:sz w:val="18"/>
                      <w:szCs w:val="18"/>
                      <w:highlight w:val="none"/>
                      <w:vertAlign w:val="superscript"/>
                    </w:rPr>
                    <w:t>-10</w:t>
                  </w:r>
                  <w:r>
                    <w:rPr>
                      <w:rFonts w:hint="default" w:ascii="Times New Roman" w:hAnsi="Times New Roman" w:eastAsia="宋体" w:cs="Times New Roman"/>
                      <w:color w:val="auto"/>
                      <w:sz w:val="18"/>
                      <w:szCs w:val="18"/>
                      <w:highlight w:val="none"/>
                    </w:rPr>
                    <w:t>cm/s</w:t>
                  </w:r>
                </w:p>
              </w:tc>
            </w:tr>
            <w:tr w14:paraId="6972C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pct"/>
                  <w:vMerge w:val="restart"/>
                  <w:tcBorders>
                    <w:top w:val="single" w:color="auto" w:sz="4" w:space="0"/>
                    <w:left w:val="single" w:color="auto" w:sz="4" w:space="0"/>
                    <w:bottom w:val="single" w:color="auto" w:sz="4" w:space="0"/>
                    <w:right w:val="single" w:color="auto" w:sz="4" w:space="0"/>
                  </w:tcBorders>
                  <w:vAlign w:val="center"/>
                </w:tcPr>
                <w:p w14:paraId="3CD3AAAF">
                  <w:pPr>
                    <w:adjustRightInd w:val="0"/>
                    <w:snapToGrid w:val="0"/>
                    <w:spacing w:line="300" w:lineRule="exact"/>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w:t>
                  </w:r>
                </w:p>
              </w:tc>
              <w:tc>
                <w:tcPr>
                  <w:tcW w:w="681" w:type="pct"/>
                  <w:vMerge w:val="restart"/>
                  <w:tcBorders>
                    <w:top w:val="single" w:color="auto" w:sz="4" w:space="0"/>
                    <w:left w:val="single" w:color="auto" w:sz="4" w:space="0"/>
                    <w:bottom w:val="single" w:color="auto" w:sz="4" w:space="0"/>
                    <w:right w:val="single" w:color="auto" w:sz="4" w:space="0"/>
                  </w:tcBorders>
                  <w:vAlign w:val="center"/>
                </w:tcPr>
                <w:p w14:paraId="16694CFB">
                  <w:pPr>
                    <w:adjustRightInd w:val="0"/>
                    <w:snapToGrid w:val="0"/>
                    <w:spacing w:line="300" w:lineRule="exact"/>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一般防渗区</w:t>
                  </w:r>
                </w:p>
              </w:tc>
              <w:tc>
                <w:tcPr>
                  <w:tcW w:w="1137" w:type="pct"/>
                  <w:tcBorders>
                    <w:top w:val="single" w:color="auto" w:sz="4" w:space="0"/>
                    <w:left w:val="single" w:color="auto" w:sz="4" w:space="0"/>
                    <w:bottom w:val="single" w:color="auto" w:sz="4" w:space="0"/>
                    <w:right w:val="single" w:color="auto" w:sz="4" w:space="0"/>
                  </w:tcBorders>
                  <w:vAlign w:val="center"/>
                </w:tcPr>
                <w:p w14:paraId="49FD91AD">
                  <w:pPr>
                    <w:adjustRightInd w:val="0"/>
                    <w:snapToGrid w:val="0"/>
                    <w:spacing w:line="300" w:lineRule="exact"/>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生产区</w:t>
                  </w:r>
                </w:p>
              </w:tc>
              <w:tc>
                <w:tcPr>
                  <w:tcW w:w="2704" w:type="pct"/>
                  <w:vMerge w:val="restart"/>
                  <w:tcBorders>
                    <w:top w:val="single" w:color="auto" w:sz="4" w:space="0"/>
                    <w:left w:val="single" w:color="auto" w:sz="4" w:space="0"/>
                    <w:bottom w:val="single" w:color="auto" w:sz="4" w:space="0"/>
                    <w:right w:val="single" w:color="auto" w:sz="4" w:space="0"/>
                  </w:tcBorders>
                  <w:vAlign w:val="center"/>
                </w:tcPr>
                <w:p w14:paraId="2390C43B">
                  <w:pPr>
                    <w:adjustRightInd w:val="0"/>
                    <w:snapToGrid w:val="0"/>
                    <w:spacing w:line="300" w:lineRule="exact"/>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等效黏土防渗层Mb≥1.5m，K≤1×10</w:t>
                  </w:r>
                  <w:r>
                    <w:rPr>
                      <w:rFonts w:hint="default" w:ascii="Times New Roman" w:hAnsi="Times New Roman" w:eastAsia="宋体" w:cs="Times New Roman"/>
                      <w:color w:val="auto"/>
                      <w:sz w:val="18"/>
                      <w:szCs w:val="18"/>
                      <w:highlight w:val="none"/>
                      <w:vertAlign w:val="superscript"/>
                    </w:rPr>
                    <w:t>-7</w:t>
                  </w:r>
                  <w:r>
                    <w:rPr>
                      <w:rFonts w:hint="default" w:ascii="Times New Roman" w:hAnsi="Times New Roman" w:eastAsia="宋体" w:cs="Times New Roman"/>
                      <w:color w:val="auto"/>
                      <w:sz w:val="18"/>
                      <w:szCs w:val="18"/>
                      <w:highlight w:val="none"/>
                    </w:rPr>
                    <w:t>cm/s</w:t>
                  </w:r>
                </w:p>
              </w:tc>
            </w:tr>
            <w:tr w14:paraId="2C9F4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pct"/>
                  <w:vMerge w:val="continue"/>
                  <w:tcBorders>
                    <w:top w:val="single" w:color="auto" w:sz="4" w:space="0"/>
                    <w:left w:val="single" w:color="auto" w:sz="4" w:space="0"/>
                    <w:bottom w:val="single" w:color="auto" w:sz="4" w:space="0"/>
                    <w:right w:val="single" w:color="auto" w:sz="4" w:space="0"/>
                  </w:tcBorders>
                  <w:vAlign w:val="center"/>
                </w:tcPr>
                <w:p w14:paraId="7F3648B1">
                  <w:pPr>
                    <w:adjustRightInd w:val="0"/>
                    <w:snapToGrid w:val="0"/>
                    <w:spacing w:line="300" w:lineRule="exact"/>
                    <w:jc w:val="center"/>
                    <w:rPr>
                      <w:rFonts w:hint="default" w:ascii="Times New Roman" w:hAnsi="Times New Roman" w:eastAsia="宋体" w:cs="Times New Roman"/>
                      <w:color w:val="auto"/>
                      <w:sz w:val="18"/>
                      <w:szCs w:val="18"/>
                    </w:rPr>
                  </w:pPr>
                </w:p>
              </w:tc>
              <w:tc>
                <w:tcPr>
                  <w:tcW w:w="681" w:type="pct"/>
                  <w:vMerge w:val="continue"/>
                  <w:tcBorders>
                    <w:top w:val="single" w:color="auto" w:sz="4" w:space="0"/>
                    <w:left w:val="single" w:color="auto" w:sz="4" w:space="0"/>
                    <w:bottom w:val="single" w:color="auto" w:sz="4" w:space="0"/>
                    <w:right w:val="single" w:color="auto" w:sz="4" w:space="0"/>
                  </w:tcBorders>
                  <w:vAlign w:val="center"/>
                </w:tcPr>
                <w:p w14:paraId="390EDCA0">
                  <w:pPr>
                    <w:adjustRightInd w:val="0"/>
                    <w:snapToGrid w:val="0"/>
                    <w:spacing w:line="300" w:lineRule="exact"/>
                    <w:jc w:val="center"/>
                    <w:rPr>
                      <w:rFonts w:hint="default" w:ascii="Times New Roman" w:hAnsi="Times New Roman" w:eastAsia="宋体" w:cs="Times New Roman"/>
                      <w:color w:val="auto"/>
                      <w:sz w:val="18"/>
                      <w:szCs w:val="18"/>
                    </w:rPr>
                  </w:pPr>
                </w:p>
              </w:tc>
              <w:tc>
                <w:tcPr>
                  <w:tcW w:w="1137" w:type="pct"/>
                  <w:tcBorders>
                    <w:top w:val="single" w:color="auto" w:sz="4" w:space="0"/>
                    <w:left w:val="single" w:color="auto" w:sz="4" w:space="0"/>
                    <w:bottom w:val="single" w:color="auto" w:sz="4" w:space="0"/>
                    <w:right w:val="single" w:color="auto" w:sz="4" w:space="0"/>
                  </w:tcBorders>
                  <w:vAlign w:val="center"/>
                </w:tcPr>
                <w:p w14:paraId="3C8F8F94">
                  <w:pPr>
                    <w:adjustRightInd w:val="0"/>
                    <w:snapToGrid w:val="0"/>
                    <w:spacing w:line="300" w:lineRule="exact"/>
                    <w:jc w:val="center"/>
                    <w:rPr>
                      <w:rFonts w:hint="default" w:ascii="Times New Roman" w:hAnsi="Times New Roman" w:eastAsia="宋体" w:cs="Times New Roman"/>
                      <w:color w:val="auto"/>
                      <w:sz w:val="18"/>
                      <w:szCs w:val="18"/>
                      <w:lang w:val="en-US" w:eastAsia="zh-CN"/>
                    </w:rPr>
                  </w:pPr>
                  <w:r>
                    <w:rPr>
                      <w:rFonts w:hint="default" w:ascii="Times New Roman" w:hAnsi="Times New Roman" w:eastAsia="宋体" w:cs="Times New Roman"/>
                      <w:color w:val="auto"/>
                      <w:sz w:val="18"/>
                      <w:szCs w:val="18"/>
                    </w:rPr>
                    <w:t>一般</w:t>
                  </w:r>
                  <w:r>
                    <w:rPr>
                      <w:rFonts w:hint="default" w:ascii="Times New Roman" w:hAnsi="Times New Roman" w:eastAsia="宋体" w:cs="Times New Roman"/>
                      <w:color w:val="auto"/>
                      <w:sz w:val="18"/>
                      <w:szCs w:val="18"/>
                      <w:lang w:val="en-US" w:eastAsia="zh-CN"/>
                    </w:rPr>
                    <w:t>固废暂存间</w:t>
                  </w:r>
                </w:p>
              </w:tc>
              <w:tc>
                <w:tcPr>
                  <w:tcW w:w="2704" w:type="pct"/>
                  <w:vMerge w:val="continue"/>
                  <w:tcBorders>
                    <w:top w:val="single" w:color="auto" w:sz="4" w:space="0"/>
                    <w:left w:val="single" w:color="auto" w:sz="4" w:space="0"/>
                    <w:bottom w:val="single" w:color="auto" w:sz="4" w:space="0"/>
                    <w:right w:val="single" w:color="auto" w:sz="4" w:space="0"/>
                  </w:tcBorders>
                  <w:vAlign w:val="center"/>
                </w:tcPr>
                <w:p w14:paraId="0574746A">
                  <w:pPr>
                    <w:adjustRightInd w:val="0"/>
                    <w:snapToGrid w:val="0"/>
                    <w:spacing w:line="300" w:lineRule="exact"/>
                    <w:jc w:val="center"/>
                    <w:rPr>
                      <w:rFonts w:hint="default" w:ascii="Times New Roman" w:hAnsi="Times New Roman" w:eastAsia="宋体" w:cs="Times New Roman"/>
                      <w:color w:val="auto"/>
                      <w:sz w:val="18"/>
                      <w:szCs w:val="18"/>
                      <w:highlight w:val="none"/>
                    </w:rPr>
                  </w:pPr>
                </w:p>
              </w:tc>
            </w:tr>
            <w:tr w14:paraId="11138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 w:type="pct"/>
                  <w:tcBorders>
                    <w:top w:val="single" w:color="auto" w:sz="4" w:space="0"/>
                    <w:left w:val="single" w:color="auto" w:sz="4" w:space="0"/>
                    <w:bottom w:val="single" w:color="auto" w:sz="4" w:space="0"/>
                    <w:right w:val="single" w:color="auto" w:sz="4" w:space="0"/>
                  </w:tcBorders>
                  <w:vAlign w:val="center"/>
                </w:tcPr>
                <w:p w14:paraId="15739B4D">
                  <w:pPr>
                    <w:adjustRightInd w:val="0"/>
                    <w:snapToGrid w:val="0"/>
                    <w:spacing w:line="300" w:lineRule="exact"/>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3</w:t>
                  </w:r>
                </w:p>
              </w:tc>
              <w:tc>
                <w:tcPr>
                  <w:tcW w:w="681" w:type="pct"/>
                  <w:tcBorders>
                    <w:top w:val="single" w:color="auto" w:sz="4" w:space="0"/>
                    <w:left w:val="single" w:color="auto" w:sz="4" w:space="0"/>
                    <w:bottom w:val="single" w:color="auto" w:sz="4" w:space="0"/>
                    <w:right w:val="single" w:color="auto" w:sz="4" w:space="0"/>
                  </w:tcBorders>
                  <w:vAlign w:val="center"/>
                </w:tcPr>
                <w:p w14:paraId="60B7F1DD">
                  <w:pPr>
                    <w:adjustRightInd w:val="0"/>
                    <w:snapToGrid w:val="0"/>
                    <w:spacing w:line="300" w:lineRule="exact"/>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简单防渗区</w:t>
                  </w:r>
                </w:p>
              </w:tc>
              <w:tc>
                <w:tcPr>
                  <w:tcW w:w="1137" w:type="pct"/>
                  <w:tcBorders>
                    <w:top w:val="single" w:color="auto" w:sz="4" w:space="0"/>
                    <w:left w:val="single" w:color="auto" w:sz="4" w:space="0"/>
                    <w:bottom w:val="single" w:color="auto" w:sz="4" w:space="0"/>
                    <w:right w:val="single" w:color="auto" w:sz="4" w:space="0"/>
                  </w:tcBorders>
                  <w:vAlign w:val="center"/>
                </w:tcPr>
                <w:p w14:paraId="7AC4F815">
                  <w:pPr>
                    <w:adjustRightInd w:val="0"/>
                    <w:snapToGrid w:val="0"/>
                    <w:spacing w:line="300" w:lineRule="exact"/>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其他区域</w:t>
                  </w:r>
                </w:p>
              </w:tc>
              <w:tc>
                <w:tcPr>
                  <w:tcW w:w="2704" w:type="pct"/>
                  <w:tcBorders>
                    <w:top w:val="single" w:color="auto" w:sz="4" w:space="0"/>
                    <w:left w:val="single" w:color="auto" w:sz="4" w:space="0"/>
                    <w:bottom w:val="single" w:color="auto" w:sz="4" w:space="0"/>
                    <w:right w:val="single" w:color="auto" w:sz="4" w:space="0"/>
                  </w:tcBorders>
                  <w:vAlign w:val="center"/>
                </w:tcPr>
                <w:p w14:paraId="21450512">
                  <w:pPr>
                    <w:adjustRightInd w:val="0"/>
                    <w:snapToGrid w:val="0"/>
                    <w:spacing w:line="300" w:lineRule="exact"/>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一般地面硬化措施</w:t>
                  </w:r>
                </w:p>
              </w:tc>
            </w:tr>
          </w:tbl>
          <w:p w14:paraId="176705B5">
            <w:pPr>
              <w:adjustRightInd w:val="0"/>
              <w:snapToGrid w:val="0"/>
              <w:spacing w:line="360" w:lineRule="auto"/>
              <w:ind w:firstLine="420" w:firstLineChars="200"/>
              <w:rPr>
                <w:bCs/>
                <w:color w:val="auto"/>
              </w:rPr>
            </w:pPr>
            <w:r>
              <w:rPr>
                <w:bCs/>
                <w:color w:val="auto"/>
              </w:rPr>
              <w:t>在日常运行时应当加强危废间</w:t>
            </w:r>
            <w:r>
              <w:rPr>
                <w:rFonts w:hint="eastAsia"/>
                <w:color w:val="auto"/>
                <w:lang w:eastAsia="zh-CN"/>
              </w:rPr>
              <w:t>、</w:t>
            </w:r>
            <w:r>
              <w:rPr>
                <w:rFonts w:hint="eastAsia"/>
                <w:color w:val="auto"/>
                <w:lang w:val="en-US" w:eastAsia="zh-CN"/>
              </w:rPr>
              <w:t>中和槽</w:t>
            </w:r>
            <w:r>
              <w:rPr>
                <w:bCs/>
                <w:color w:val="auto"/>
              </w:rPr>
              <w:t>、化粪池的防渗的巡检和维护工作，确保防渗层不破损。在污染防治措施到位，严格管理的前提下，本项目对地下水影响极小。</w:t>
            </w:r>
          </w:p>
          <w:p w14:paraId="3852D141">
            <w:pPr>
              <w:adjustRightInd w:val="0"/>
              <w:snapToGrid w:val="0"/>
              <w:spacing w:line="360" w:lineRule="auto"/>
              <w:ind w:left="420"/>
              <w:rPr>
                <w:bCs/>
                <w:color w:val="auto"/>
              </w:rPr>
            </w:pPr>
            <w:r>
              <w:rPr>
                <w:bCs/>
                <w:color w:val="auto"/>
              </w:rPr>
              <w:t>3、跟踪监测要求</w:t>
            </w:r>
          </w:p>
          <w:p w14:paraId="3682F5E8">
            <w:pPr>
              <w:adjustRightInd w:val="0"/>
              <w:snapToGrid w:val="0"/>
              <w:spacing w:line="360" w:lineRule="auto"/>
              <w:ind w:firstLine="420" w:firstLineChars="200"/>
              <w:rPr>
                <w:bCs/>
                <w:color w:val="auto"/>
              </w:rPr>
            </w:pPr>
            <w:r>
              <w:rPr>
                <w:bCs/>
                <w:color w:val="auto"/>
                <w:lang w:val="zh-CN"/>
              </w:rPr>
              <w:t>根据以上分析，本项目正常工况下无污染地下水、土壤环境等重大污染源，且项目500米范围内无地下水集中式饮用水水源和热水、矿泉水、温泉等特殊地下水资源，运营期正常工况下不需要针对地下水、土壤环境污染进行跟踪监测</w:t>
            </w:r>
            <w:r>
              <w:rPr>
                <w:bCs/>
                <w:color w:val="auto"/>
              </w:rPr>
              <w:t>。</w:t>
            </w:r>
          </w:p>
          <w:p w14:paraId="5F2B2EA5">
            <w:pPr>
              <w:adjustRightInd w:val="0"/>
              <w:snapToGrid w:val="0"/>
              <w:spacing w:line="360" w:lineRule="auto"/>
              <w:ind w:firstLine="422" w:firstLineChars="200"/>
              <w:rPr>
                <w:b/>
                <w:color w:val="auto"/>
              </w:rPr>
            </w:pPr>
            <w:r>
              <w:rPr>
                <w:b/>
                <w:color w:val="auto"/>
              </w:rPr>
              <w:t>六、土壤</w:t>
            </w:r>
          </w:p>
          <w:p w14:paraId="017AAF6A">
            <w:pPr>
              <w:adjustRightInd w:val="0"/>
              <w:snapToGrid w:val="0"/>
              <w:spacing w:line="360" w:lineRule="auto"/>
              <w:ind w:firstLine="420" w:firstLineChars="200"/>
              <w:rPr>
                <w:bCs/>
                <w:color w:val="auto"/>
              </w:rPr>
            </w:pPr>
            <w:r>
              <w:rPr>
                <w:bCs/>
                <w:color w:val="auto"/>
              </w:rPr>
              <w:t>1、污染途径、类型</w:t>
            </w:r>
          </w:p>
          <w:p w14:paraId="0386C690">
            <w:pPr>
              <w:adjustRightInd w:val="0"/>
              <w:snapToGrid w:val="0"/>
              <w:spacing w:line="360" w:lineRule="auto"/>
              <w:ind w:firstLine="420" w:firstLineChars="200"/>
              <w:rPr>
                <w:bCs/>
                <w:color w:val="auto"/>
              </w:rPr>
            </w:pPr>
            <w:r>
              <w:rPr>
                <w:bCs/>
                <w:color w:val="auto"/>
              </w:rPr>
              <w:t>本项目对土壤可能造成的污染途径主要是危废间</w:t>
            </w:r>
            <w:r>
              <w:rPr>
                <w:rFonts w:hint="eastAsia"/>
                <w:color w:val="auto"/>
                <w:lang w:eastAsia="zh-CN"/>
              </w:rPr>
              <w:t>、</w:t>
            </w:r>
            <w:r>
              <w:rPr>
                <w:rFonts w:hint="eastAsia"/>
                <w:color w:val="auto"/>
                <w:lang w:val="en-US" w:eastAsia="zh-CN"/>
              </w:rPr>
              <w:t>中和槽</w:t>
            </w:r>
            <w:r>
              <w:rPr>
                <w:bCs/>
                <w:color w:val="auto"/>
              </w:rPr>
              <w:t>、化粪池、生产车间等区域的渗漏引起的土壤污染，以及废气有组织、无组织排放源排放的相关污染物的沉降，主要污染因子为</w:t>
            </w:r>
            <w:r>
              <w:rPr>
                <w:rFonts w:hint="eastAsia"/>
                <w:bCs/>
                <w:color w:val="auto"/>
                <w:lang w:val="en-US" w:eastAsia="zh-CN"/>
              </w:rPr>
              <w:t>氯化氢、VOCs、</w:t>
            </w:r>
            <w:r>
              <w:rPr>
                <w:bCs/>
                <w:color w:val="auto"/>
              </w:rPr>
              <w:t>COD、氨氮</w:t>
            </w:r>
            <w:r>
              <w:rPr>
                <w:rFonts w:hint="eastAsia"/>
                <w:bCs/>
                <w:color w:val="auto"/>
                <w:lang w:eastAsia="zh-CN"/>
              </w:rPr>
              <w:t>、</w:t>
            </w:r>
            <w:r>
              <w:rPr>
                <w:rFonts w:hint="eastAsia"/>
                <w:bCs/>
                <w:color w:val="auto"/>
                <w:lang w:val="en-US" w:eastAsia="zh-CN"/>
              </w:rPr>
              <w:t>氯化物、全盐量</w:t>
            </w:r>
            <w:r>
              <w:rPr>
                <w:bCs/>
                <w:color w:val="auto"/>
              </w:rPr>
              <w:t>等。化粪池</w:t>
            </w:r>
            <w:r>
              <w:rPr>
                <w:rFonts w:hint="eastAsia"/>
                <w:color w:val="auto"/>
                <w:lang w:eastAsia="zh-CN"/>
              </w:rPr>
              <w:t>、</w:t>
            </w:r>
            <w:r>
              <w:rPr>
                <w:rFonts w:hint="eastAsia"/>
                <w:color w:val="auto"/>
                <w:lang w:val="en-US" w:eastAsia="zh-CN"/>
              </w:rPr>
              <w:t>中和槽</w:t>
            </w:r>
            <w:r>
              <w:rPr>
                <w:bCs/>
                <w:color w:val="auto"/>
              </w:rPr>
              <w:t>和危废暂存间均进行相应的重点防渗和硬化处理，生产车间内均进行一般防渗处理。拟建项目对土壤环境影响不大。</w:t>
            </w:r>
          </w:p>
          <w:p w14:paraId="3060FFFC">
            <w:pPr>
              <w:adjustRightInd w:val="0"/>
              <w:snapToGrid w:val="0"/>
              <w:spacing w:line="360" w:lineRule="auto"/>
              <w:ind w:firstLine="420" w:firstLineChars="200"/>
              <w:rPr>
                <w:bCs/>
                <w:color w:val="auto"/>
              </w:rPr>
            </w:pPr>
            <w:r>
              <w:rPr>
                <w:bCs/>
                <w:color w:val="auto"/>
              </w:rPr>
              <w:t>2、采取保护措施</w:t>
            </w:r>
          </w:p>
          <w:p w14:paraId="60BED808">
            <w:pPr>
              <w:adjustRightInd w:val="0"/>
              <w:snapToGrid w:val="0"/>
              <w:spacing w:line="360" w:lineRule="auto"/>
              <w:ind w:firstLine="420" w:firstLineChars="200"/>
              <w:rPr>
                <w:bCs/>
                <w:color w:val="auto"/>
              </w:rPr>
            </w:pPr>
            <w:r>
              <w:rPr>
                <w:rFonts w:hint="default" w:ascii="Times New Roman" w:hAnsi="Times New Roman" w:cs="Times New Roman"/>
                <w:bCs/>
                <w:color w:val="auto"/>
                <w:szCs w:val="21"/>
              </w:rPr>
              <w:t>本项目厂区车间根据生产情况的防渗硬化处理，防渗措施详见表4-</w:t>
            </w:r>
            <w:r>
              <w:rPr>
                <w:rFonts w:hint="eastAsia" w:cs="Times New Roman"/>
                <w:bCs/>
                <w:color w:val="auto"/>
                <w:szCs w:val="21"/>
                <w:lang w:val="en-US" w:eastAsia="zh-CN"/>
              </w:rPr>
              <w:t>15</w:t>
            </w:r>
            <w:r>
              <w:rPr>
                <w:rFonts w:hint="default" w:ascii="Times New Roman" w:hAnsi="Times New Roman" w:cs="Times New Roman"/>
                <w:bCs/>
                <w:color w:val="auto"/>
                <w:szCs w:val="21"/>
              </w:rPr>
              <w:t>。企业定期对地面进行检查维护，防止防渗层的破坏，在采取相应的措施后，本项目基本无法在防渗区下渗。综上，本项目的运营对土壤影响较小</w:t>
            </w:r>
            <w:r>
              <w:rPr>
                <w:bCs/>
                <w:color w:val="auto"/>
              </w:rPr>
              <w:t>。</w:t>
            </w:r>
          </w:p>
          <w:p w14:paraId="2D2099A4">
            <w:pPr>
              <w:adjustRightInd w:val="0"/>
              <w:snapToGrid w:val="0"/>
              <w:spacing w:line="360" w:lineRule="auto"/>
              <w:ind w:firstLine="420" w:firstLineChars="200"/>
              <w:rPr>
                <w:bCs/>
                <w:color w:val="auto"/>
              </w:rPr>
            </w:pPr>
            <w:r>
              <w:rPr>
                <w:bCs/>
                <w:color w:val="auto"/>
              </w:rPr>
              <w:t>3、跟踪监测</w:t>
            </w:r>
          </w:p>
          <w:p w14:paraId="7116FD11">
            <w:pPr>
              <w:adjustRightInd w:val="0"/>
              <w:snapToGrid w:val="0"/>
              <w:spacing w:line="360" w:lineRule="auto"/>
              <w:ind w:firstLine="420" w:firstLineChars="200"/>
              <w:rPr>
                <w:rFonts w:hint="eastAsia" w:ascii="Times New Roman" w:hAnsi="Times New Roman" w:eastAsia="宋体" w:cs="Times New Roman"/>
                <w:bCs/>
                <w:color w:val="auto"/>
                <w:szCs w:val="21"/>
                <w:lang w:val="en-US" w:eastAsia="zh-CN"/>
              </w:rPr>
            </w:pPr>
            <w:r>
              <w:rPr>
                <w:rFonts w:hint="default" w:ascii="Times New Roman" w:hAnsi="Times New Roman" w:cs="Times New Roman" w:eastAsiaTheme="minorEastAsia"/>
                <w:bCs/>
                <w:color w:val="auto"/>
                <w:szCs w:val="21"/>
              </w:rPr>
              <w:t>由于</w:t>
            </w:r>
            <w:r>
              <w:rPr>
                <w:rFonts w:hint="eastAsia" w:cs="Times New Roman" w:eastAsiaTheme="minorEastAsia"/>
                <w:bCs/>
                <w:color w:val="auto"/>
                <w:szCs w:val="21"/>
                <w:lang w:eastAsia="zh-CN"/>
              </w:rPr>
              <w:t>本项目</w:t>
            </w:r>
            <w:r>
              <w:rPr>
                <w:rFonts w:hint="default" w:ascii="Times New Roman" w:hAnsi="Times New Roman" w:cs="Times New Roman" w:eastAsiaTheme="minorEastAsia"/>
                <w:bCs/>
                <w:color w:val="auto"/>
                <w:szCs w:val="21"/>
              </w:rPr>
              <w:t>厂区内均硬化，在采取土壤污染防治措施后基本不会存在污染途径，不会对周边土壤产生影响。无需进行土壤跟踪监测</w:t>
            </w:r>
            <w:r>
              <w:rPr>
                <w:rFonts w:hint="eastAsia" w:cs="Times New Roman"/>
                <w:bCs/>
                <w:color w:val="auto"/>
                <w:szCs w:val="21"/>
                <w:lang w:eastAsia="zh-CN"/>
              </w:rPr>
              <w:t>。</w:t>
            </w:r>
          </w:p>
          <w:p w14:paraId="038E69E9">
            <w:pPr>
              <w:adjustRightInd w:val="0"/>
              <w:snapToGrid w:val="0"/>
              <w:spacing w:line="360" w:lineRule="auto"/>
              <w:ind w:firstLine="422" w:firstLineChars="200"/>
              <w:rPr>
                <w:b/>
                <w:color w:val="auto"/>
              </w:rPr>
            </w:pPr>
            <w:r>
              <w:rPr>
                <w:b/>
                <w:color w:val="auto"/>
              </w:rPr>
              <w:t>七、生态</w:t>
            </w:r>
          </w:p>
          <w:p w14:paraId="129CD614">
            <w:pPr>
              <w:adjustRightInd w:val="0"/>
              <w:snapToGrid w:val="0"/>
              <w:spacing w:line="360" w:lineRule="auto"/>
              <w:ind w:firstLine="420" w:firstLineChars="200"/>
              <w:rPr>
                <w:bCs/>
                <w:color w:val="auto"/>
              </w:rPr>
            </w:pPr>
            <w:r>
              <w:rPr>
                <w:bCs/>
                <w:color w:val="auto"/>
              </w:rPr>
              <w:t>项目在</w:t>
            </w:r>
            <w:r>
              <w:rPr>
                <w:rFonts w:hint="eastAsia"/>
                <w:bCs/>
                <w:color w:val="auto"/>
                <w:lang w:val="en-US" w:eastAsia="zh-CN"/>
              </w:rPr>
              <w:t>租赁现有厂房进行</w:t>
            </w:r>
            <w:r>
              <w:rPr>
                <w:bCs/>
                <w:color w:val="auto"/>
              </w:rPr>
              <w:t>开展</w:t>
            </w:r>
            <w:r>
              <w:rPr>
                <w:rFonts w:hint="eastAsia"/>
                <w:bCs/>
                <w:color w:val="auto"/>
                <w:lang w:eastAsia="zh-CN"/>
              </w:rPr>
              <w:t>，不需新增占地</w:t>
            </w:r>
            <w:r>
              <w:rPr>
                <w:bCs/>
                <w:color w:val="auto"/>
              </w:rPr>
              <w:t>。项目占地内没有珍稀动植物物种，生态环境质量一般。项目占地内原有生物物种在项目周围地域广泛存在，基本不影响评价区域的生物多样性，项目运营对周围生态环境基本上没有产生明显的影响。</w:t>
            </w:r>
          </w:p>
          <w:p w14:paraId="7C79C87C">
            <w:pPr>
              <w:adjustRightInd w:val="0"/>
              <w:snapToGrid w:val="0"/>
              <w:spacing w:line="360" w:lineRule="auto"/>
              <w:ind w:firstLine="422" w:firstLineChars="200"/>
              <w:rPr>
                <w:b/>
                <w:color w:val="auto"/>
              </w:rPr>
            </w:pPr>
            <w:r>
              <w:rPr>
                <w:b/>
                <w:color w:val="auto"/>
              </w:rPr>
              <w:t>八、环境风险分析</w:t>
            </w:r>
          </w:p>
          <w:p w14:paraId="126D91F1">
            <w:pPr>
              <w:spacing w:line="420" w:lineRule="exact"/>
              <w:ind w:firstLine="420" w:firstLineChars="200"/>
              <w:rPr>
                <w:color w:val="auto"/>
                <w:highlight w:val="none"/>
              </w:rPr>
            </w:pPr>
            <w:r>
              <w:rPr>
                <w:color w:val="auto"/>
              </w:rPr>
              <w:t>1、本项目危险</w:t>
            </w:r>
            <w:r>
              <w:rPr>
                <w:color w:val="auto"/>
                <w:highlight w:val="none"/>
              </w:rPr>
              <w:t>物质和风险源分布及可能影响途径</w:t>
            </w:r>
          </w:p>
          <w:p w14:paraId="4F9818BF">
            <w:pPr>
              <w:spacing w:line="420" w:lineRule="exact"/>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（1）危险物质和风险源分布</w:t>
            </w:r>
          </w:p>
          <w:p w14:paraId="14E665DB">
            <w:pPr>
              <w:spacing w:line="420" w:lineRule="exact"/>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根据项目生产用原辅材料及生产工艺分析，本项目使用的原辅材料、产品、能耗及固体废物中涉及《建设项目环境风险评价技术导则》（HJ169-2018）附录B、《企业突发环境事件风险分级方法》中“附录A突发环境事件风险物质及临界量清单”和</w:t>
            </w:r>
            <w:r>
              <w:rPr>
                <w:rFonts w:hint="default" w:ascii="Times New Roman" w:hAnsi="Times New Roman" w:cs="Times New Roman"/>
                <w:color w:val="auto"/>
                <w:highlight w:val="none"/>
              </w:rPr>
              <w:t>《危险化学品重大危险源辨识》（GB18218-2018）</w:t>
            </w:r>
            <w:r>
              <w:rPr>
                <w:rFonts w:hint="default" w:ascii="Times New Roman" w:hAnsi="Times New Roman" w:cs="Times New Roman"/>
                <w:color w:val="auto"/>
                <w:szCs w:val="21"/>
                <w:highlight w:val="none"/>
              </w:rPr>
              <w:t>中的危险物质，主要为</w:t>
            </w:r>
            <w:r>
              <w:rPr>
                <w:rFonts w:hint="eastAsia" w:cs="Times New Roman"/>
                <w:color w:val="auto"/>
                <w:szCs w:val="21"/>
                <w:highlight w:val="none"/>
                <w:lang w:val="en-US" w:eastAsia="zh-CN"/>
              </w:rPr>
              <w:t>机油、废机油</w:t>
            </w:r>
            <w:r>
              <w:rPr>
                <w:rFonts w:hint="eastAsia" w:cs="Times New Roman"/>
                <w:color w:val="auto"/>
                <w:szCs w:val="21"/>
                <w:highlight w:val="none"/>
                <w:lang w:eastAsia="zh-CN"/>
              </w:rPr>
              <w:t>、废活性炭</w:t>
            </w:r>
            <w:r>
              <w:rPr>
                <w:rFonts w:hint="default" w:ascii="Times New Roman" w:hAnsi="Times New Roman" w:cs="Times New Roman"/>
                <w:color w:val="auto"/>
                <w:szCs w:val="21"/>
                <w:highlight w:val="none"/>
              </w:rPr>
              <w:t>等。主要分布于</w:t>
            </w:r>
            <w:r>
              <w:rPr>
                <w:rFonts w:hint="eastAsia" w:cs="Times New Roman"/>
                <w:color w:val="auto"/>
                <w:szCs w:val="21"/>
                <w:highlight w:val="none"/>
                <w:lang w:eastAsia="zh-CN"/>
              </w:rPr>
              <w:t>生产车间及危废间</w:t>
            </w:r>
            <w:r>
              <w:rPr>
                <w:rFonts w:hint="default" w:ascii="Times New Roman" w:hAnsi="Times New Roman" w:cs="Times New Roman"/>
                <w:color w:val="auto"/>
                <w:szCs w:val="21"/>
                <w:highlight w:val="none"/>
              </w:rPr>
              <w:t>。</w:t>
            </w:r>
          </w:p>
          <w:p w14:paraId="34CC4C07">
            <w:pPr>
              <w:keepNext w:val="0"/>
              <w:keepLines w:val="0"/>
              <w:pageBreakBefore w:val="0"/>
              <w:widowControl w:val="0"/>
              <w:kinsoku/>
              <w:wordWrap/>
              <w:overflowPunct/>
              <w:topLinePunct w:val="0"/>
              <w:autoSpaceDE w:val="0"/>
              <w:autoSpaceDN w:val="0"/>
              <w:bidi w:val="0"/>
              <w:adjustRightInd w:val="0"/>
              <w:snapToGrid w:val="0"/>
              <w:spacing w:line="360" w:lineRule="auto"/>
              <w:ind w:firstLine="25" w:firstLineChars="12"/>
              <w:jc w:val="center"/>
              <w:textAlignment w:val="auto"/>
              <w:rPr>
                <w:rFonts w:hint="default" w:cs="Times New Roman"/>
                <w:b/>
                <w:bCs/>
                <w:color w:val="auto"/>
                <w:szCs w:val="21"/>
                <w:highlight w:val="none"/>
                <w:lang w:val="en-US" w:eastAsia="zh-CN"/>
              </w:rPr>
            </w:pPr>
            <w:r>
              <w:rPr>
                <w:rFonts w:hint="default" w:cs="Times New Roman"/>
                <w:b/>
                <w:bCs/>
                <w:color w:val="auto"/>
                <w:szCs w:val="21"/>
                <w:highlight w:val="none"/>
                <w:lang w:val="en-US" w:eastAsia="zh-CN"/>
              </w:rPr>
              <w:t>表4-</w:t>
            </w:r>
            <w:r>
              <w:rPr>
                <w:rFonts w:hint="eastAsia" w:cs="Times New Roman"/>
                <w:b/>
                <w:bCs/>
                <w:color w:val="auto"/>
                <w:szCs w:val="21"/>
                <w:highlight w:val="none"/>
                <w:lang w:val="en-US" w:eastAsia="zh-CN"/>
              </w:rPr>
              <w:t>16</w:t>
            </w:r>
            <w:r>
              <w:rPr>
                <w:rFonts w:hint="default" w:cs="Times New Roman"/>
                <w:b/>
                <w:bCs/>
                <w:color w:val="auto"/>
                <w:szCs w:val="21"/>
                <w:highlight w:val="none"/>
                <w:lang w:val="en-US" w:eastAsia="zh-CN"/>
              </w:rPr>
              <w:t xml:space="preserve"> 项目风险物质存放情况</w:t>
            </w:r>
          </w:p>
          <w:tbl>
            <w:tblPr>
              <w:tblStyle w:val="8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64"/>
              <w:gridCol w:w="1916"/>
              <w:gridCol w:w="1916"/>
              <w:gridCol w:w="985"/>
              <w:gridCol w:w="994"/>
            </w:tblGrid>
            <w:tr w14:paraId="16CFA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63" w:type="dxa"/>
                  <w:tcBorders>
                    <w:top w:val="single" w:color="auto" w:sz="4" w:space="0"/>
                    <w:left w:val="single" w:color="auto" w:sz="4" w:space="0"/>
                    <w:bottom w:val="single" w:color="auto" w:sz="4" w:space="0"/>
                    <w:right w:val="single" w:color="auto" w:sz="4" w:space="0"/>
                  </w:tcBorders>
                  <w:vAlign w:val="center"/>
                </w:tcPr>
                <w:p w14:paraId="05349333">
                  <w:pPr>
                    <w:autoSpaceDE w:val="0"/>
                    <w:autoSpaceDN w:val="0"/>
                    <w:adjustRightInd w:val="0"/>
                    <w:spacing w:line="300" w:lineRule="exact"/>
                    <w:jc w:val="center"/>
                    <w:rPr>
                      <w:rFonts w:hint="eastAsia" w:ascii="Times New Roman" w:hAnsi="Times New Roman" w:eastAsia="宋体" w:cs="Times New Roman"/>
                      <w:b/>
                      <w:bCs/>
                      <w:color w:val="auto"/>
                      <w:sz w:val="18"/>
                      <w:szCs w:val="18"/>
                      <w:highlight w:val="none"/>
                      <w:lang w:eastAsia="zh-CN"/>
                    </w:rPr>
                  </w:pPr>
                  <w:r>
                    <w:rPr>
                      <w:rFonts w:hint="eastAsia" w:cs="Times New Roman"/>
                      <w:b/>
                      <w:bCs/>
                      <w:color w:val="auto"/>
                      <w:sz w:val="18"/>
                      <w:szCs w:val="18"/>
                      <w:highlight w:val="none"/>
                      <w:lang w:val="en-US" w:eastAsia="zh-CN"/>
                    </w:rPr>
                    <w:t>编号</w:t>
                  </w:r>
                </w:p>
              </w:tc>
              <w:tc>
                <w:tcPr>
                  <w:tcW w:w="1914" w:type="dxa"/>
                  <w:tcBorders>
                    <w:top w:val="single" w:color="auto" w:sz="4" w:space="0"/>
                    <w:left w:val="single" w:color="auto" w:sz="4" w:space="0"/>
                    <w:bottom w:val="single" w:color="auto" w:sz="4" w:space="0"/>
                    <w:right w:val="single" w:color="auto" w:sz="4" w:space="0"/>
                  </w:tcBorders>
                  <w:vAlign w:val="center"/>
                </w:tcPr>
                <w:p w14:paraId="245C5CFE">
                  <w:pPr>
                    <w:autoSpaceDE w:val="0"/>
                    <w:autoSpaceDN w:val="0"/>
                    <w:adjustRightInd w:val="0"/>
                    <w:spacing w:line="30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风险物质</w:t>
                  </w:r>
                </w:p>
              </w:tc>
              <w:tc>
                <w:tcPr>
                  <w:tcW w:w="1914" w:type="dxa"/>
                  <w:tcBorders>
                    <w:top w:val="single" w:color="auto" w:sz="4" w:space="0"/>
                    <w:left w:val="single" w:color="auto" w:sz="4" w:space="0"/>
                    <w:bottom w:val="single" w:color="auto" w:sz="4" w:space="0"/>
                    <w:right w:val="single" w:color="auto" w:sz="4" w:space="0"/>
                  </w:tcBorders>
                  <w:vAlign w:val="center"/>
                </w:tcPr>
                <w:p w14:paraId="5171B070">
                  <w:pPr>
                    <w:autoSpaceDE w:val="0"/>
                    <w:autoSpaceDN w:val="0"/>
                    <w:adjustRightInd w:val="0"/>
                    <w:spacing w:line="300" w:lineRule="exact"/>
                    <w:jc w:val="center"/>
                    <w:rPr>
                      <w:rFonts w:hint="default" w:ascii="Times New Roman" w:hAnsi="Times New Roman" w:cs="Times New Roman"/>
                      <w:b/>
                      <w:bCs/>
                      <w:color w:val="auto"/>
                      <w:sz w:val="18"/>
                      <w:szCs w:val="18"/>
                      <w:highlight w:val="none"/>
                    </w:rPr>
                  </w:pPr>
                  <w:r>
                    <w:rPr>
                      <w:rFonts w:hint="eastAsia" w:cs="Times New Roman"/>
                      <w:b/>
                      <w:bCs/>
                      <w:color w:val="auto"/>
                      <w:sz w:val="18"/>
                      <w:szCs w:val="18"/>
                      <w:highlight w:val="none"/>
                      <w:lang w:eastAsia="zh-CN"/>
                    </w:rPr>
                    <w:t>最大</w:t>
                  </w:r>
                  <w:r>
                    <w:rPr>
                      <w:rFonts w:hint="default" w:ascii="Times New Roman" w:hAnsi="Times New Roman" w:cs="Times New Roman"/>
                      <w:b/>
                      <w:bCs/>
                      <w:color w:val="auto"/>
                      <w:sz w:val="18"/>
                      <w:szCs w:val="18"/>
                      <w:highlight w:val="none"/>
                    </w:rPr>
                    <w:t>储存量t/a</w:t>
                  </w:r>
                </w:p>
              </w:tc>
              <w:tc>
                <w:tcPr>
                  <w:tcW w:w="984" w:type="dxa"/>
                  <w:tcBorders>
                    <w:top w:val="single" w:color="auto" w:sz="4" w:space="0"/>
                    <w:left w:val="single" w:color="auto" w:sz="4" w:space="0"/>
                    <w:bottom w:val="single" w:color="auto" w:sz="4" w:space="0"/>
                    <w:right w:val="single" w:color="auto" w:sz="4" w:space="0"/>
                  </w:tcBorders>
                  <w:vAlign w:val="center"/>
                </w:tcPr>
                <w:p w14:paraId="2650B8AC">
                  <w:pPr>
                    <w:autoSpaceDE w:val="0"/>
                    <w:autoSpaceDN w:val="0"/>
                    <w:adjustRightInd w:val="0"/>
                    <w:spacing w:line="30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临界量t</w:t>
                  </w:r>
                </w:p>
              </w:tc>
              <w:tc>
                <w:tcPr>
                  <w:tcW w:w="993" w:type="dxa"/>
                  <w:tcBorders>
                    <w:top w:val="single" w:color="auto" w:sz="4" w:space="0"/>
                    <w:left w:val="single" w:color="auto" w:sz="4" w:space="0"/>
                    <w:bottom w:val="single" w:color="auto" w:sz="4" w:space="0"/>
                    <w:right w:val="single" w:color="auto" w:sz="4" w:space="0"/>
                  </w:tcBorders>
                  <w:vAlign w:val="center"/>
                </w:tcPr>
                <w:p w14:paraId="50BFED39">
                  <w:pPr>
                    <w:autoSpaceDE w:val="0"/>
                    <w:autoSpaceDN w:val="0"/>
                    <w:adjustRightInd w:val="0"/>
                    <w:spacing w:line="300" w:lineRule="exact"/>
                    <w:jc w:val="center"/>
                    <w:rPr>
                      <w:rFonts w:hint="default" w:ascii="Times New Roman" w:hAnsi="Times New Roman" w:cs="Times New Roman"/>
                      <w:b/>
                      <w:bCs/>
                      <w:color w:val="auto"/>
                      <w:sz w:val="18"/>
                      <w:szCs w:val="18"/>
                      <w:highlight w:val="none"/>
                    </w:rPr>
                  </w:pPr>
                  <w:r>
                    <w:rPr>
                      <w:rFonts w:hint="default" w:ascii="Times New Roman" w:hAnsi="Times New Roman" w:cs="Times New Roman"/>
                      <w:b/>
                      <w:bCs/>
                      <w:color w:val="auto"/>
                      <w:sz w:val="18"/>
                      <w:szCs w:val="18"/>
                      <w:highlight w:val="none"/>
                    </w:rPr>
                    <w:t>Q值</w:t>
                  </w:r>
                </w:p>
              </w:tc>
            </w:tr>
            <w:tr w14:paraId="0480A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63" w:type="dxa"/>
                  <w:tcBorders>
                    <w:top w:val="single" w:color="auto" w:sz="4" w:space="0"/>
                    <w:left w:val="single" w:color="auto" w:sz="4" w:space="0"/>
                    <w:right w:val="single" w:color="auto" w:sz="4" w:space="0"/>
                  </w:tcBorders>
                  <w:vAlign w:val="center"/>
                </w:tcPr>
                <w:p w14:paraId="26A02C9E">
                  <w:pPr>
                    <w:autoSpaceDE w:val="0"/>
                    <w:autoSpaceDN w:val="0"/>
                    <w:adjustRightInd w:val="0"/>
                    <w:spacing w:line="300" w:lineRule="exact"/>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1</w:t>
                  </w:r>
                </w:p>
              </w:tc>
              <w:tc>
                <w:tcPr>
                  <w:tcW w:w="1914" w:type="dxa"/>
                  <w:tcBorders>
                    <w:top w:val="single" w:color="auto" w:sz="4" w:space="0"/>
                    <w:left w:val="single" w:color="auto" w:sz="4" w:space="0"/>
                    <w:bottom w:val="single" w:color="auto" w:sz="4" w:space="0"/>
                    <w:right w:val="single" w:color="auto" w:sz="4" w:space="0"/>
                  </w:tcBorders>
                  <w:vAlign w:val="center"/>
                </w:tcPr>
                <w:p w14:paraId="00BC614D">
                  <w:pPr>
                    <w:autoSpaceDE w:val="0"/>
                    <w:autoSpaceDN w:val="0"/>
                    <w:adjustRightInd w:val="0"/>
                    <w:spacing w:line="300" w:lineRule="exact"/>
                    <w:jc w:val="center"/>
                    <w:rPr>
                      <w:rFonts w:hint="eastAsia" w:cs="Times New Roman"/>
                      <w:color w:val="auto"/>
                      <w:sz w:val="18"/>
                      <w:szCs w:val="18"/>
                      <w:highlight w:val="none"/>
                      <w:lang w:val="en-US" w:eastAsia="zh-CN"/>
                    </w:rPr>
                  </w:pPr>
                  <w:r>
                    <w:rPr>
                      <w:rFonts w:hint="eastAsia" w:cs="Times New Roman"/>
                      <w:color w:val="auto"/>
                      <w:sz w:val="18"/>
                      <w:szCs w:val="18"/>
                      <w:highlight w:val="none"/>
                      <w:lang w:eastAsia="zh-CN"/>
                    </w:rPr>
                    <w:t>废活性炭</w:t>
                  </w:r>
                </w:p>
              </w:tc>
              <w:tc>
                <w:tcPr>
                  <w:tcW w:w="1914" w:type="dxa"/>
                  <w:tcBorders>
                    <w:top w:val="single" w:color="auto" w:sz="4" w:space="0"/>
                    <w:left w:val="single" w:color="auto" w:sz="4" w:space="0"/>
                    <w:bottom w:val="single" w:color="auto" w:sz="4" w:space="0"/>
                    <w:right w:val="single" w:color="auto" w:sz="4" w:space="0"/>
                  </w:tcBorders>
                  <w:vAlign w:val="center"/>
                </w:tcPr>
                <w:p w14:paraId="180FBE3A">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0.615</w:t>
                  </w:r>
                </w:p>
              </w:tc>
              <w:tc>
                <w:tcPr>
                  <w:tcW w:w="984" w:type="dxa"/>
                  <w:tcBorders>
                    <w:top w:val="single" w:color="auto" w:sz="4" w:space="0"/>
                    <w:left w:val="single" w:color="auto" w:sz="4" w:space="0"/>
                    <w:bottom w:val="single" w:color="auto" w:sz="4" w:space="0"/>
                    <w:right w:val="single" w:color="auto" w:sz="4" w:space="0"/>
                  </w:tcBorders>
                  <w:vAlign w:val="center"/>
                </w:tcPr>
                <w:p w14:paraId="11FD234B">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200</w:t>
                  </w:r>
                </w:p>
              </w:tc>
              <w:tc>
                <w:tcPr>
                  <w:tcW w:w="993" w:type="dxa"/>
                  <w:tcBorders>
                    <w:top w:val="single" w:color="auto" w:sz="4" w:space="0"/>
                    <w:left w:val="single" w:color="auto" w:sz="4" w:space="0"/>
                    <w:bottom w:val="single" w:color="auto" w:sz="4" w:space="0"/>
                    <w:right w:val="single" w:color="auto" w:sz="4" w:space="0"/>
                  </w:tcBorders>
                  <w:vAlign w:val="center"/>
                </w:tcPr>
                <w:p w14:paraId="2E2A923A">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0.00307</w:t>
                  </w:r>
                </w:p>
              </w:tc>
            </w:tr>
            <w:tr w14:paraId="79CC8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63" w:type="dxa"/>
                  <w:tcBorders>
                    <w:left w:val="single" w:color="auto" w:sz="4" w:space="0"/>
                    <w:right w:val="single" w:color="auto" w:sz="4" w:space="0"/>
                  </w:tcBorders>
                  <w:vAlign w:val="center"/>
                </w:tcPr>
                <w:p w14:paraId="06ABC391">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2</w:t>
                  </w:r>
                </w:p>
              </w:tc>
              <w:tc>
                <w:tcPr>
                  <w:tcW w:w="1914" w:type="dxa"/>
                  <w:tcBorders>
                    <w:top w:val="single" w:color="auto" w:sz="4" w:space="0"/>
                    <w:left w:val="single" w:color="auto" w:sz="4" w:space="0"/>
                    <w:bottom w:val="single" w:color="auto" w:sz="4" w:space="0"/>
                    <w:right w:val="single" w:color="auto" w:sz="4" w:space="0"/>
                  </w:tcBorders>
                  <w:vAlign w:val="center"/>
                </w:tcPr>
                <w:p w14:paraId="661F3EB3">
                  <w:pPr>
                    <w:autoSpaceDE w:val="0"/>
                    <w:autoSpaceDN w:val="0"/>
                    <w:adjustRightInd w:val="0"/>
                    <w:spacing w:line="300" w:lineRule="exact"/>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机油</w:t>
                  </w:r>
                </w:p>
              </w:tc>
              <w:tc>
                <w:tcPr>
                  <w:tcW w:w="1914" w:type="dxa"/>
                  <w:tcBorders>
                    <w:top w:val="single" w:color="auto" w:sz="4" w:space="0"/>
                    <w:left w:val="single" w:color="auto" w:sz="4" w:space="0"/>
                    <w:bottom w:val="single" w:color="auto" w:sz="4" w:space="0"/>
                    <w:right w:val="single" w:color="auto" w:sz="4" w:space="0"/>
                  </w:tcBorders>
                  <w:vAlign w:val="center"/>
                </w:tcPr>
                <w:p w14:paraId="7C5562D5">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0.36</w:t>
                  </w:r>
                </w:p>
              </w:tc>
              <w:tc>
                <w:tcPr>
                  <w:tcW w:w="984" w:type="dxa"/>
                  <w:tcBorders>
                    <w:top w:val="single" w:color="auto" w:sz="4" w:space="0"/>
                    <w:left w:val="single" w:color="auto" w:sz="4" w:space="0"/>
                    <w:bottom w:val="single" w:color="auto" w:sz="4" w:space="0"/>
                    <w:right w:val="single" w:color="auto" w:sz="4" w:space="0"/>
                  </w:tcBorders>
                  <w:vAlign w:val="center"/>
                </w:tcPr>
                <w:p w14:paraId="28FBADB1">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2500</w:t>
                  </w:r>
                </w:p>
              </w:tc>
              <w:tc>
                <w:tcPr>
                  <w:tcW w:w="993" w:type="dxa"/>
                  <w:tcBorders>
                    <w:top w:val="single" w:color="auto" w:sz="4" w:space="0"/>
                    <w:left w:val="single" w:color="auto" w:sz="4" w:space="0"/>
                    <w:bottom w:val="single" w:color="auto" w:sz="4" w:space="0"/>
                    <w:right w:val="single" w:color="auto" w:sz="4" w:space="0"/>
                  </w:tcBorders>
                  <w:vAlign w:val="center"/>
                </w:tcPr>
                <w:p w14:paraId="680320C3">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0.00014</w:t>
                  </w:r>
                </w:p>
              </w:tc>
            </w:tr>
            <w:tr w14:paraId="2569CB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63" w:type="dxa"/>
                  <w:tcBorders>
                    <w:left w:val="single" w:color="auto" w:sz="4" w:space="0"/>
                    <w:right w:val="single" w:color="auto" w:sz="4" w:space="0"/>
                  </w:tcBorders>
                  <w:vAlign w:val="center"/>
                </w:tcPr>
                <w:p w14:paraId="71CA344D">
                  <w:pPr>
                    <w:autoSpaceDE w:val="0"/>
                    <w:autoSpaceDN w:val="0"/>
                    <w:adjustRightInd w:val="0"/>
                    <w:spacing w:line="300" w:lineRule="exact"/>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1914" w:type="dxa"/>
                  <w:tcBorders>
                    <w:top w:val="single" w:color="auto" w:sz="4" w:space="0"/>
                    <w:left w:val="single" w:color="auto" w:sz="4" w:space="0"/>
                    <w:bottom w:val="single" w:color="auto" w:sz="4" w:space="0"/>
                    <w:right w:val="single" w:color="auto" w:sz="4" w:space="0"/>
                  </w:tcBorders>
                  <w:vAlign w:val="center"/>
                </w:tcPr>
                <w:p w14:paraId="4EC05FDF">
                  <w:pPr>
                    <w:autoSpaceDE w:val="0"/>
                    <w:autoSpaceDN w:val="0"/>
                    <w:adjustRightInd w:val="0"/>
                    <w:spacing w:line="300" w:lineRule="exact"/>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废机油</w:t>
                  </w:r>
                </w:p>
              </w:tc>
              <w:tc>
                <w:tcPr>
                  <w:tcW w:w="1914" w:type="dxa"/>
                  <w:tcBorders>
                    <w:top w:val="single" w:color="auto" w:sz="4" w:space="0"/>
                    <w:left w:val="single" w:color="auto" w:sz="4" w:space="0"/>
                    <w:bottom w:val="single" w:color="auto" w:sz="4" w:space="0"/>
                    <w:right w:val="single" w:color="auto" w:sz="4" w:space="0"/>
                  </w:tcBorders>
                  <w:vAlign w:val="center"/>
                </w:tcPr>
                <w:p w14:paraId="78F51966">
                  <w:pPr>
                    <w:autoSpaceDE w:val="0"/>
                    <w:autoSpaceDN w:val="0"/>
                    <w:adjustRightInd w:val="0"/>
                    <w:spacing w:line="300" w:lineRule="exact"/>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0.2</w:t>
                  </w:r>
                </w:p>
              </w:tc>
              <w:tc>
                <w:tcPr>
                  <w:tcW w:w="984" w:type="dxa"/>
                  <w:tcBorders>
                    <w:top w:val="single" w:color="auto" w:sz="4" w:space="0"/>
                    <w:left w:val="single" w:color="auto" w:sz="4" w:space="0"/>
                    <w:bottom w:val="single" w:color="auto" w:sz="4" w:space="0"/>
                    <w:right w:val="single" w:color="auto" w:sz="4" w:space="0"/>
                  </w:tcBorders>
                  <w:vAlign w:val="center"/>
                </w:tcPr>
                <w:p w14:paraId="77C0419B">
                  <w:pPr>
                    <w:autoSpaceDE w:val="0"/>
                    <w:autoSpaceDN w:val="0"/>
                    <w:adjustRightInd w:val="0"/>
                    <w:spacing w:line="300" w:lineRule="exact"/>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2500</w:t>
                  </w:r>
                </w:p>
              </w:tc>
              <w:tc>
                <w:tcPr>
                  <w:tcW w:w="993" w:type="dxa"/>
                  <w:tcBorders>
                    <w:top w:val="single" w:color="auto" w:sz="4" w:space="0"/>
                    <w:left w:val="single" w:color="auto" w:sz="4" w:space="0"/>
                    <w:bottom w:val="single" w:color="auto" w:sz="4" w:space="0"/>
                    <w:right w:val="single" w:color="auto" w:sz="4" w:space="0"/>
                  </w:tcBorders>
                  <w:vAlign w:val="center"/>
                </w:tcPr>
                <w:p w14:paraId="5E43DB67">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0.00008</w:t>
                  </w:r>
                </w:p>
              </w:tc>
            </w:tr>
            <w:tr w14:paraId="17826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563" w:type="dxa"/>
                  <w:tcBorders>
                    <w:left w:val="single" w:color="auto" w:sz="4" w:space="0"/>
                    <w:right w:val="single" w:color="auto" w:sz="4" w:space="0"/>
                  </w:tcBorders>
                  <w:vAlign w:val="center"/>
                </w:tcPr>
                <w:p w14:paraId="1D74C7BC">
                  <w:pPr>
                    <w:autoSpaceDE w:val="0"/>
                    <w:autoSpaceDN w:val="0"/>
                    <w:adjustRightInd w:val="0"/>
                    <w:spacing w:line="300" w:lineRule="exact"/>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w:t>
                  </w:r>
                </w:p>
              </w:tc>
              <w:tc>
                <w:tcPr>
                  <w:tcW w:w="1914" w:type="dxa"/>
                  <w:tcBorders>
                    <w:top w:val="single" w:color="auto" w:sz="4" w:space="0"/>
                    <w:left w:val="single" w:color="auto" w:sz="4" w:space="0"/>
                    <w:bottom w:val="single" w:color="auto" w:sz="4" w:space="0"/>
                    <w:right w:val="single" w:color="auto" w:sz="4" w:space="0"/>
                  </w:tcBorders>
                  <w:vAlign w:val="center"/>
                </w:tcPr>
                <w:p w14:paraId="43FEB23E">
                  <w:pPr>
                    <w:autoSpaceDE w:val="0"/>
                    <w:autoSpaceDN w:val="0"/>
                    <w:adjustRightInd w:val="0"/>
                    <w:spacing w:line="300" w:lineRule="exact"/>
                    <w:jc w:val="center"/>
                    <w:rPr>
                      <w:rFonts w:hint="default" w:ascii="Times New Roman" w:hAnsi="Times New Roman" w:cs="Times New Roman"/>
                      <w:color w:val="auto"/>
                      <w:sz w:val="18"/>
                      <w:szCs w:val="18"/>
                      <w:highlight w:val="none"/>
                    </w:rPr>
                  </w:pPr>
                  <w:r>
                    <w:rPr>
                      <w:rFonts w:hint="eastAsia" w:ascii="Times New Roman" w:hAnsi="Times New Roman" w:cs="Times New Roman"/>
                      <w:color w:val="auto"/>
                      <w:sz w:val="18"/>
                      <w:szCs w:val="18"/>
                      <w:highlight w:val="none"/>
                      <w:lang w:eastAsia="zh-CN"/>
                    </w:rPr>
                    <w:t>合计</w:t>
                  </w:r>
                </w:p>
              </w:tc>
              <w:tc>
                <w:tcPr>
                  <w:tcW w:w="1914" w:type="dxa"/>
                  <w:tcBorders>
                    <w:top w:val="single" w:color="auto" w:sz="4" w:space="0"/>
                    <w:left w:val="single" w:color="auto" w:sz="4" w:space="0"/>
                    <w:bottom w:val="single" w:color="auto" w:sz="4" w:space="0"/>
                    <w:right w:val="single" w:color="auto" w:sz="4" w:space="0"/>
                  </w:tcBorders>
                  <w:vAlign w:val="center"/>
                </w:tcPr>
                <w:p w14:paraId="0B789346">
                  <w:pPr>
                    <w:autoSpaceDE w:val="0"/>
                    <w:autoSpaceDN w:val="0"/>
                    <w:adjustRightInd w:val="0"/>
                    <w:spacing w:line="30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984" w:type="dxa"/>
                  <w:tcBorders>
                    <w:top w:val="single" w:color="auto" w:sz="4" w:space="0"/>
                    <w:left w:val="single" w:color="auto" w:sz="4" w:space="0"/>
                    <w:bottom w:val="single" w:color="auto" w:sz="4" w:space="0"/>
                    <w:right w:val="single" w:color="auto" w:sz="4" w:space="0"/>
                  </w:tcBorders>
                  <w:vAlign w:val="center"/>
                </w:tcPr>
                <w:p w14:paraId="41F8A1FE">
                  <w:pPr>
                    <w:autoSpaceDE w:val="0"/>
                    <w:autoSpaceDN w:val="0"/>
                    <w:adjustRightInd w:val="0"/>
                    <w:spacing w:line="300" w:lineRule="exact"/>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p>
              </w:tc>
              <w:tc>
                <w:tcPr>
                  <w:tcW w:w="993" w:type="dxa"/>
                  <w:tcBorders>
                    <w:top w:val="single" w:color="auto" w:sz="4" w:space="0"/>
                    <w:left w:val="single" w:color="auto" w:sz="4" w:space="0"/>
                    <w:bottom w:val="single" w:color="auto" w:sz="4" w:space="0"/>
                    <w:right w:val="single" w:color="auto" w:sz="4" w:space="0"/>
                  </w:tcBorders>
                  <w:vAlign w:val="center"/>
                </w:tcPr>
                <w:p w14:paraId="70370D7E">
                  <w:pPr>
                    <w:autoSpaceDE w:val="0"/>
                    <w:autoSpaceDN w:val="0"/>
                    <w:adjustRightInd w:val="0"/>
                    <w:spacing w:line="300" w:lineRule="exact"/>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0.00329</w:t>
                  </w:r>
                </w:p>
              </w:tc>
            </w:tr>
          </w:tbl>
          <w:p w14:paraId="533FB456">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由上表可知，</w:t>
            </w:r>
            <w:r>
              <w:rPr>
                <w:rFonts w:hint="eastAsia" w:cs="Times New Roman"/>
                <w:color w:val="auto"/>
                <w:szCs w:val="21"/>
                <w:highlight w:val="none"/>
                <w:lang w:eastAsia="zh-CN"/>
              </w:rPr>
              <w:t>全厂</w:t>
            </w:r>
            <w:r>
              <w:rPr>
                <w:rFonts w:hint="default" w:ascii="Times New Roman" w:hAnsi="Times New Roman" w:cs="Times New Roman"/>
                <w:color w:val="auto"/>
                <w:szCs w:val="21"/>
                <w:highlight w:val="none"/>
              </w:rPr>
              <w:t>风险物质储存量均小于临界量，总Q值为</w:t>
            </w:r>
            <w:r>
              <w:rPr>
                <w:rFonts w:hint="default" w:ascii="Times New Roman" w:hAnsi="Times New Roman" w:cs="Times New Roman"/>
                <w:color w:val="auto"/>
                <w:szCs w:val="21"/>
                <w:highlight w:val="none"/>
                <w:lang w:val="en-US" w:eastAsia="zh-CN"/>
              </w:rPr>
              <w:t>0.00329</w:t>
            </w:r>
            <w:r>
              <w:rPr>
                <w:rFonts w:hint="default" w:ascii="Times New Roman" w:hAnsi="Times New Roman" w:cs="Times New Roman"/>
                <w:color w:val="auto"/>
                <w:szCs w:val="21"/>
                <w:highlight w:val="none"/>
              </w:rPr>
              <w:t>＜1，风险评价等级为简单分析。</w:t>
            </w:r>
          </w:p>
          <w:p w14:paraId="2A780B8A">
            <w:pPr>
              <w:pStyle w:val="55"/>
              <w:keepNext w:val="0"/>
              <w:keepLines w:val="0"/>
              <w:pageBreakBefore w:val="0"/>
              <w:tabs>
                <w:tab w:val="left" w:pos="1470"/>
              </w:tabs>
              <w:kinsoku/>
              <w:wordWrap/>
              <w:overflowPunct/>
              <w:topLinePunct w:val="0"/>
              <w:autoSpaceDE/>
              <w:autoSpaceDN/>
              <w:bidi w:val="0"/>
              <w:adjustRightInd w:val="0"/>
              <w:snapToGrid w:val="0"/>
              <w:spacing w:before="0" w:after="0" w:line="360" w:lineRule="auto"/>
              <w:ind w:right="0" w:firstLine="422" w:firstLineChars="200"/>
              <w:textAlignment w:val="auto"/>
              <w:rPr>
                <w:b/>
                <w:color w:val="auto"/>
                <w:sz w:val="21"/>
                <w:highlight w:val="none"/>
              </w:rPr>
            </w:pPr>
            <w:r>
              <w:rPr>
                <w:rFonts w:hint="eastAsia"/>
                <w:b/>
                <w:color w:val="auto"/>
                <w:sz w:val="21"/>
                <w:highlight w:val="none"/>
              </w:rPr>
              <w:t>（2）</w:t>
            </w:r>
            <w:r>
              <w:rPr>
                <w:b/>
                <w:color w:val="auto"/>
                <w:sz w:val="21"/>
                <w:highlight w:val="none"/>
              </w:rPr>
              <w:t>环境风险分析</w:t>
            </w:r>
          </w:p>
          <w:p w14:paraId="2CEAF331">
            <w:pPr>
              <w:keepNext w:val="0"/>
              <w:keepLines w:val="0"/>
              <w:pageBreakBefore w:val="0"/>
              <w:kinsoku/>
              <w:wordWrap/>
              <w:overflowPunct/>
              <w:topLinePunct w:val="0"/>
              <w:autoSpaceDE/>
              <w:autoSpaceDN/>
              <w:bidi w:val="0"/>
              <w:adjustRightInd w:val="0"/>
              <w:snapToGrid w:val="0"/>
              <w:spacing w:line="360" w:lineRule="auto"/>
              <w:ind w:right="0" w:firstLine="420" w:firstLineChars="200"/>
              <w:textAlignment w:val="auto"/>
              <w:rPr>
                <w:color w:val="auto"/>
                <w:kern w:val="0"/>
              </w:rPr>
            </w:pPr>
            <w:r>
              <w:rPr>
                <w:rFonts w:hint="eastAsia"/>
                <w:color w:val="auto"/>
                <w:lang w:val="en-US" w:eastAsia="zh-CN"/>
              </w:rPr>
              <w:t>机油</w:t>
            </w:r>
            <w:r>
              <w:rPr>
                <w:rFonts w:hint="eastAsia"/>
                <w:color w:val="auto"/>
              </w:rPr>
              <w:t>均存于专门的暂存处，危险废物</w:t>
            </w:r>
            <w:r>
              <w:rPr>
                <w:rFonts w:hint="eastAsia"/>
                <w:color w:val="auto"/>
                <w:lang w:eastAsia="zh-CN"/>
              </w:rPr>
              <w:t>（</w:t>
            </w:r>
            <w:r>
              <w:rPr>
                <w:rFonts w:hint="eastAsia"/>
                <w:color w:val="auto"/>
                <w:lang w:val="en-US" w:eastAsia="zh-CN"/>
              </w:rPr>
              <w:t>废机油和废活性炭</w:t>
            </w:r>
            <w:r>
              <w:rPr>
                <w:rFonts w:hint="eastAsia"/>
                <w:color w:val="auto"/>
                <w:lang w:eastAsia="zh-CN"/>
              </w:rPr>
              <w:t>）</w:t>
            </w:r>
            <w:r>
              <w:rPr>
                <w:rFonts w:hint="eastAsia"/>
                <w:color w:val="auto"/>
              </w:rPr>
              <w:t>存放于</w:t>
            </w:r>
            <w:r>
              <w:rPr>
                <w:rFonts w:hint="eastAsia"/>
                <w:color w:val="auto"/>
                <w:lang w:eastAsia="zh-CN"/>
              </w:rPr>
              <w:t>危废间</w:t>
            </w:r>
            <w:r>
              <w:rPr>
                <w:rFonts w:hint="eastAsia"/>
                <w:color w:val="auto"/>
                <w:kern w:val="0"/>
              </w:rPr>
              <w:t>，储存过程一般不会发生泄漏。但操作人员在装卸过程中不严格按操作规程取用，容易引起泄漏；电器设备维护管理和使用不当，明火管理不当，吸烟等，均可能导致火灾事故发生。综合考虑本项目最大可信事故为火灾事故。电气使用不当等引起火灾事故以及火灾事故引发的次生污染CO、消防废水等将会对大气、水环境及人群健康产生影响。燃烧产生的次生污染物一氧化碳等将会向大气扩散，对周围人群、大气环境以及生态环境产生影响。消防废水如不能完全收集并处理达标，将会对区域污水处理厂造成冲击，进而影响周围地表水，加之防渗措施不当，会造成地下水环境污染</w:t>
            </w:r>
            <w:r>
              <w:rPr>
                <w:bCs/>
                <w:color w:val="auto"/>
              </w:rPr>
              <w:t>。</w:t>
            </w:r>
          </w:p>
          <w:p w14:paraId="33B7865D">
            <w:pPr>
              <w:keepNext w:val="0"/>
              <w:keepLines w:val="0"/>
              <w:pageBreakBefore w:val="0"/>
              <w:kinsoku/>
              <w:wordWrap/>
              <w:overflowPunct/>
              <w:topLinePunct w:val="0"/>
              <w:autoSpaceDE/>
              <w:autoSpaceDN/>
              <w:bidi w:val="0"/>
              <w:adjustRightInd w:val="0"/>
              <w:snapToGrid w:val="0"/>
              <w:spacing w:line="360" w:lineRule="auto"/>
              <w:ind w:right="0" w:firstLine="422" w:firstLineChars="200"/>
              <w:textAlignment w:val="auto"/>
              <w:rPr>
                <w:b/>
                <w:bCs/>
                <w:color w:val="auto"/>
              </w:rPr>
            </w:pPr>
            <w:r>
              <w:rPr>
                <w:rFonts w:hint="eastAsia"/>
                <w:b/>
                <w:bCs/>
                <w:color w:val="auto"/>
              </w:rPr>
              <w:t>（3）</w:t>
            </w:r>
            <w:r>
              <w:rPr>
                <w:b/>
                <w:bCs/>
                <w:color w:val="auto"/>
              </w:rPr>
              <w:t>风险防范措施</w:t>
            </w:r>
          </w:p>
          <w:p w14:paraId="5D6854F1">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1）火灾事故防范措施</w:t>
            </w:r>
          </w:p>
          <w:p w14:paraId="0FA8A723">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严格按照有关建筑防火规范和《爆炸危险环境电力装置设计规范》进行设计；加大宣传教育力度，增强工作人员的整体消防安全意识。参加社会消防安全知识培训，提高广大职工的消防安全意识，使其掌握防火、灭火、逃生的基础知识；制定安全生产管理制度，严禁厂区吸烟和使用明火。电线必须穿管敷设，禁止临时随意拉接。车间内须使用排气风扇，加强通风；禁止无关人员进入车间，车间内严禁堆放杂物。制定和落实消防器材检查、维护保养制度，及时更换、维修消防栓、灭火器、水带等，使其始终处于完好状态。</w:t>
            </w:r>
          </w:p>
          <w:p w14:paraId="0508F79B">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2）大气环境风险防范措施</w:t>
            </w:r>
          </w:p>
          <w:p w14:paraId="464079CC">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①在车间内设置有气体泄漏报警器，报警信号传输到值班室。</w:t>
            </w:r>
          </w:p>
          <w:p w14:paraId="680A5490">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②车间外配套风向仪，用于观测准确风向，当发生气体泄漏事故时，组织人员向事故发生源上风向疏散，以减少对人群的伤害。</w:t>
            </w:r>
          </w:p>
          <w:p w14:paraId="678029B3">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③对设备、法兰等的密封性经常进行检查，防止气体泄漏现象的发生。</w:t>
            </w:r>
          </w:p>
          <w:p w14:paraId="3EB281B0">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④制定规范的操作规程，并严格管理，生产人员应持证上岗。</w:t>
            </w:r>
          </w:p>
          <w:p w14:paraId="69E20900">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3）水环境风险防范措施</w:t>
            </w:r>
          </w:p>
          <w:p w14:paraId="42583244">
            <w:pPr>
              <w:adjustRightInd w:val="0"/>
              <w:snapToGrid w:val="0"/>
              <w:spacing w:line="360" w:lineRule="auto"/>
              <w:ind w:firstLine="420" w:firstLineChars="200"/>
              <w:rPr>
                <w:rFonts w:hint="default" w:ascii="Times New Roman" w:hAnsi="Times New Roman" w:cs="Times New Roman"/>
                <w:bCs/>
                <w:color w:val="auto"/>
              </w:rPr>
            </w:pPr>
            <w:r>
              <w:rPr>
                <w:rFonts w:hint="default" w:ascii="Times New Roman" w:hAnsi="Times New Roman" w:cs="Times New Roman"/>
                <w:bCs/>
                <w:color w:val="auto"/>
              </w:rPr>
              <w:t>项目危废暂存间严格落实《危险废物贮存污染控制标准》（GB18597-2023）要求，需设置有事故水池等泄漏液收集系统，且进行防渗处理，确保事故时</w:t>
            </w:r>
            <w:r>
              <w:rPr>
                <w:rFonts w:hint="eastAsia" w:cs="Times New Roman"/>
                <w:bCs/>
                <w:color w:val="auto"/>
                <w:lang w:eastAsia="zh-CN"/>
              </w:rPr>
              <w:t>泄漏</w:t>
            </w:r>
            <w:r>
              <w:rPr>
                <w:rFonts w:hint="default" w:ascii="Times New Roman" w:hAnsi="Times New Roman" w:cs="Times New Roman"/>
                <w:bCs/>
                <w:color w:val="auto"/>
              </w:rPr>
              <w:t>物质不会通过渗透和地表径流污染地下水和地表水。</w:t>
            </w:r>
          </w:p>
          <w:p w14:paraId="27A67456">
            <w:pPr>
              <w:keepNext w:val="0"/>
              <w:keepLines w:val="0"/>
              <w:pageBreakBefore w:val="0"/>
              <w:kinsoku/>
              <w:wordWrap/>
              <w:overflowPunct/>
              <w:topLinePunct w:val="0"/>
              <w:autoSpaceDE/>
              <w:autoSpaceDN/>
              <w:bidi w:val="0"/>
              <w:adjustRightInd w:val="0"/>
              <w:snapToGrid w:val="0"/>
              <w:spacing w:line="360" w:lineRule="auto"/>
              <w:ind w:right="0" w:firstLine="422" w:firstLineChars="200"/>
              <w:textAlignment w:val="auto"/>
              <w:rPr>
                <w:rFonts w:hint="eastAsia"/>
                <w:b/>
                <w:bCs/>
                <w:color w:val="auto"/>
              </w:rPr>
            </w:pPr>
            <w:r>
              <w:rPr>
                <w:rFonts w:hint="eastAsia"/>
                <w:b/>
                <w:bCs/>
                <w:color w:val="auto"/>
              </w:rPr>
              <w:t>（4）环境风险分析结论</w:t>
            </w:r>
          </w:p>
          <w:p w14:paraId="2CC129C8">
            <w:pPr>
              <w:spacing w:line="360" w:lineRule="auto"/>
              <w:ind w:firstLine="420" w:firstLineChars="200"/>
              <w:rPr>
                <w:rFonts w:hint="eastAsia"/>
                <w:color w:val="auto"/>
                <w:lang w:eastAsia="zh-CN"/>
              </w:rPr>
            </w:pPr>
            <w:r>
              <w:rPr>
                <w:color w:val="auto"/>
              </w:rPr>
              <w:t>综上所述，在落实好环评报告中提出的风险防范措施的前提下，项目风险水平处于</w:t>
            </w:r>
            <w:r>
              <w:rPr>
                <w:rFonts w:hint="eastAsia"/>
                <w:color w:val="auto"/>
                <w:lang w:val="en-US" w:eastAsia="zh-CN"/>
              </w:rPr>
              <w:t>可控</w:t>
            </w:r>
            <w:r>
              <w:rPr>
                <w:color w:val="auto"/>
              </w:rPr>
              <w:t>范围之内，不会对周围环境产生明显不利影响</w:t>
            </w:r>
            <w:r>
              <w:rPr>
                <w:rFonts w:hint="eastAsia"/>
                <w:color w:val="auto"/>
                <w:lang w:eastAsia="zh-CN"/>
              </w:rPr>
              <w:t>。</w:t>
            </w:r>
          </w:p>
          <w:p w14:paraId="29301BC5">
            <w:pPr>
              <w:adjustRightInd w:val="0"/>
              <w:snapToGrid w:val="0"/>
              <w:spacing w:line="360" w:lineRule="auto"/>
              <w:ind w:firstLine="422" w:firstLineChars="200"/>
              <w:rPr>
                <w:b/>
                <w:color w:val="auto"/>
              </w:rPr>
            </w:pPr>
            <w:r>
              <w:rPr>
                <w:b/>
                <w:color w:val="auto"/>
              </w:rPr>
              <w:t>九、环保投资及三同时分析</w:t>
            </w:r>
          </w:p>
          <w:p w14:paraId="19F66CF9">
            <w:pPr>
              <w:adjustRightInd w:val="0"/>
              <w:snapToGrid w:val="0"/>
              <w:spacing w:line="360" w:lineRule="auto"/>
              <w:ind w:firstLine="420" w:firstLineChars="200"/>
              <w:rPr>
                <w:bCs/>
                <w:color w:val="auto"/>
              </w:rPr>
            </w:pPr>
            <w:r>
              <w:rPr>
                <w:color w:val="auto"/>
              </w:rPr>
              <w:t>工程总</w:t>
            </w:r>
            <w:r>
              <w:rPr>
                <w:rFonts w:hint="default" w:ascii="Times New Roman" w:hAnsi="Times New Roman" w:cs="Times New Roman"/>
                <w:color w:val="auto"/>
                <w:szCs w:val="21"/>
                <w:highlight w:val="none"/>
              </w:rPr>
              <w:t>投资</w:t>
            </w:r>
            <w:r>
              <w:rPr>
                <w:rFonts w:hint="eastAsia" w:cs="Times New Roman"/>
                <w:color w:val="auto"/>
                <w:szCs w:val="21"/>
                <w:highlight w:val="none"/>
                <w:lang w:val="en-US" w:eastAsia="zh-CN"/>
              </w:rPr>
              <w:t>2600</w:t>
            </w:r>
            <w:r>
              <w:rPr>
                <w:rFonts w:hint="default" w:ascii="Times New Roman" w:hAnsi="Times New Roman" w:cs="Times New Roman"/>
                <w:color w:val="auto"/>
                <w:szCs w:val="21"/>
                <w:highlight w:val="none"/>
              </w:rPr>
              <w:t>万元，其中环保投资</w:t>
            </w:r>
            <w:r>
              <w:rPr>
                <w:rFonts w:hint="eastAsia" w:cs="Times New Roman"/>
                <w:color w:val="auto"/>
                <w:szCs w:val="21"/>
                <w:highlight w:val="none"/>
                <w:lang w:val="en-US" w:eastAsia="zh-CN"/>
              </w:rPr>
              <w:t>100</w:t>
            </w:r>
            <w:r>
              <w:rPr>
                <w:rFonts w:hint="default" w:ascii="Times New Roman" w:hAnsi="Times New Roman" w:cs="Times New Roman"/>
                <w:color w:val="auto"/>
                <w:szCs w:val="21"/>
                <w:highlight w:val="none"/>
              </w:rPr>
              <w:t>万元，占总投资的</w:t>
            </w:r>
            <w:r>
              <w:rPr>
                <w:rFonts w:hint="eastAsia" w:cs="Times New Roman"/>
                <w:color w:val="auto"/>
                <w:szCs w:val="21"/>
                <w:highlight w:val="none"/>
                <w:lang w:val="en-US" w:eastAsia="zh-CN"/>
              </w:rPr>
              <w:t>3.8</w:t>
            </w:r>
            <w:r>
              <w:rPr>
                <w:rFonts w:hint="default" w:ascii="Times New Roman" w:hAnsi="Times New Roman" w:cs="Times New Roman"/>
                <w:color w:val="auto"/>
                <w:szCs w:val="21"/>
                <w:highlight w:val="none"/>
              </w:rPr>
              <w:t>%</w:t>
            </w:r>
            <w:r>
              <w:rPr>
                <w:color w:val="auto"/>
              </w:rPr>
              <w:t>，</w:t>
            </w:r>
            <w:r>
              <w:rPr>
                <w:bCs/>
                <w:color w:val="auto"/>
              </w:rPr>
              <w:t>根据项目的工程分析，污染因素分析及治理对策分析和调查，项目环保投资及三同时一览表如下：</w:t>
            </w:r>
          </w:p>
          <w:p w14:paraId="327FDCCA">
            <w:pPr>
              <w:adjustRightInd w:val="0"/>
              <w:snapToGrid w:val="0"/>
              <w:spacing w:line="360" w:lineRule="auto"/>
              <w:jc w:val="center"/>
              <w:rPr>
                <w:b/>
                <w:color w:val="auto"/>
              </w:rPr>
            </w:pPr>
            <w:r>
              <w:rPr>
                <w:b/>
                <w:color w:val="auto"/>
              </w:rPr>
              <w:t>表4-</w:t>
            </w:r>
            <w:r>
              <w:rPr>
                <w:rFonts w:hint="eastAsia"/>
                <w:b/>
                <w:color w:val="auto"/>
                <w:lang w:val="en-US" w:eastAsia="zh-CN"/>
              </w:rPr>
              <w:t>17</w:t>
            </w:r>
            <w:r>
              <w:rPr>
                <w:b/>
                <w:color w:val="auto"/>
              </w:rPr>
              <w:t>项目环保投资及“三同时”一览表     单位：万元</w:t>
            </w:r>
          </w:p>
          <w:tbl>
            <w:tblPr>
              <w:tblStyle w:val="8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1296"/>
              <w:gridCol w:w="3579"/>
              <w:gridCol w:w="1254"/>
              <w:gridCol w:w="1195"/>
            </w:tblGrid>
            <w:tr w14:paraId="302F6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753" w:type="dxa"/>
                  <w:vAlign w:val="center"/>
                </w:tcPr>
                <w:p w14:paraId="4289C224">
                  <w:pPr>
                    <w:spacing w:line="240" w:lineRule="atLeast"/>
                    <w:jc w:val="center"/>
                    <w:rPr>
                      <w:b/>
                      <w:bCs/>
                      <w:color w:val="auto"/>
                      <w:sz w:val="18"/>
                      <w:szCs w:val="18"/>
                    </w:rPr>
                  </w:pPr>
                  <w:r>
                    <w:rPr>
                      <w:b/>
                      <w:bCs/>
                      <w:color w:val="auto"/>
                      <w:sz w:val="18"/>
                      <w:szCs w:val="18"/>
                    </w:rPr>
                    <w:t>序号</w:t>
                  </w:r>
                </w:p>
              </w:tc>
              <w:tc>
                <w:tcPr>
                  <w:tcW w:w="1296" w:type="dxa"/>
                  <w:vAlign w:val="center"/>
                </w:tcPr>
                <w:p w14:paraId="7CF07732">
                  <w:pPr>
                    <w:spacing w:line="240" w:lineRule="atLeast"/>
                    <w:jc w:val="center"/>
                    <w:rPr>
                      <w:b/>
                      <w:bCs/>
                      <w:color w:val="auto"/>
                      <w:sz w:val="18"/>
                      <w:szCs w:val="18"/>
                    </w:rPr>
                  </w:pPr>
                  <w:r>
                    <w:rPr>
                      <w:b/>
                      <w:bCs/>
                      <w:color w:val="auto"/>
                      <w:sz w:val="18"/>
                      <w:szCs w:val="18"/>
                    </w:rPr>
                    <w:t>项目</w:t>
                  </w:r>
                </w:p>
              </w:tc>
              <w:tc>
                <w:tcPr>
                  <w:tcW w:w="3579" w:type="dxa"/>
                  <w:vAlign w:val="center"/>
                </w:tcPr>
                <w:p w14:paraId="41DB2D57">
                  <w:pPr>
                    <w:spacing w:line="240" w:lineRule="atLeast"/>
                    <w:jc w:val="center"/>
                    <w:rPr>
                      <w:b/>
                      <w:bCs/>
                      <w:color w:val="auto"/>
                      <w:sz w:val="18"/>
                      <w:szCs w:val="18"/>
                    </w:rPr>
                  </w:pPr>
                  <w:r>
                    <w:rPr>
                      <w:b/>
                      <w:bCs/>
                      <w:color w:val="auto"/>
                      <w:sz w:val="18"/>
                      <w:szCs w:val="18"/>
                    </w:rPr>
                    <w:t>环保措施及验收内容</w:t>
                  </w:r>
                </w:p>
              </w:tc>
              <w:tc>
                <w:tcPr>
                  <w:tcW w:w="1254" w:type="dxa"/>
                  <w:vAlign w:val="center"/>
                </w:tcPr>
                <w:p w14:paraId="61592BA3">
                  <w:pPr>
                    <w:spacing w:line="240" w:lineRule="atLeast"/>
                    <w:jc w:val="center"/>
                    <w:rPr>
                      <w:b/>
                      <w:bCs/>
                      <w:color w:val="auto"/>
                      <w:sz w:val="18"/>
                      <w:szCs w:val="18"/>
                    </w:rPr>
                  </w:pPr>
                  <w:r>
                    <w:rPr>
                      <w:b/>
                      <w:bCs/>
                      <w:color w:val="auto"/>
                      <w:sz w:val="18"/>
                      <w:szCs w:val="18"/>
                    </w:rPr>
                    <w:t>投资估算</w:t>
                  </w:r>
                </w:p>
              </w:tc>
              <w:tc>
                <w:tcPr>
                  <w:tcW w:w="1195" w:type="dxa"/>
                  <w:vAlign w:val="center"/>
                </w:tcPr>
                <w:p w14:paraId="3554667C">
                  <w:pPr>
                    <w:spacing w:line="240" w:lineRule="atLeast"/>
                    <w:jc w:val="center"/>
                    <w:rPr>
                      <w:b/>
                      <w:bCs/>
                      <w:color w:val="auto"/>
                      <w:sz w:val="18"/>
                      <w:szCs w:val="18"/>
                    </w:rPr>
                  </w:pPr>
                  <w:r>
                    <w:rPr>
                      <w:b/>
                      <w:bCs/>
                      <w:color w:val="auto"/>
                      <w:sz w:val="18"/>
                      <w:szCs w:val="18"/>
                    </w:rPr>
                    <w:t>备注</w:t>
                  </w:r>
                </w:p>
              </w:tc>
            </w:tr>
            <w:tr w14:paraId="57538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753" w:type="dxa"/>
                  <w:vAlign w:val="center"/>
                </w:tcPr>
                <w:p w14:paraId="43EAFC27">
                  <w:pPr>
                    <w:spacing w:line="240" w:lineRule="atLeast"/>
                    <w:jc w:val="center"/>
                    <w:rPr>
                      <w:bCs/>
                      <w:color w:val="auto"/>
                      <w:sz w:val="18"/>
                      <w:szCs w:val="18"/>
                    </w:rPr>
                  </w:pPr>
                  <w:r>
                    <w:rPr>
                      <w:bCs/>
                      <w:color w:val="auto"/>
                      <w:sz w:val="18"/>
                      <w:szCs w:val="18"/>
                    </w:rPr>
                    <w:t>1</w:t>
                  </w:r>
                </w:p>
              </w:tc>
              <w:tc>
                <w:tcPr>
                  <w:tcW w:w="1296" w:type="dxa"/>
                  <w:vAlign w:val="center"/>
                </w:tcPr>
                <w:p w14:paraId="708160BB">
                  <w:pPr>
                    <w:widowControl/>
                    <w:spacing w:line="300" w:lineRule="exact"/>
                    <w:jc w:val="center"/>
                    <w:rPr>
                      <w:bCs/>
                      <w:color w:val="auto"/>
                      <w:sz w:val="18"/>
                      <w:szCs w:val="18"/>
                    </w:rPr>
                  </w:pPr>
                  <w:r>
                    <w:rPr>
                      <w:bCs/>
                      <w:color w:val="auto"/>
                      <w:sz w:val="18"/>
                      <w:szCs w:val="18"/>
                    </w:rPr>
                    <w:t>大气污染防治措施</w:t>
                  </w:r>
                </w:p>
              </w:tc>
              <w:tc>
                <w:tcPr>
                  <w:tcW w:w="3579" w:type="dxa"/>
                  <w:vAlign w:val="center"/>
                </w:tcPr>
                <w:p w14:paraId="56356518">
                  <w:pPr>
                    <w:pStyle w:val="82"/>
                    <w:widowControl/>
                    <w:spacing w:line="300" w:lineRule="exact"/>
                    <w:ind w:left="0" w:leftChars="0" w:firstLine="0" w:firstLineChars="0"/>
                    <w:jc w:val="center"/>
                    <w:rPr>
                      <w:bCs/>
                      <w:color w:val="auto"/>
                      <w:sz w:val="18"/>
                      <w:szCs w:val="18"/>
                    </w:rPr>
                  </w:pPr>
                  <w:r>
                    <w:rPr>
                      <w:rFonts w:hint="eastAsia"/>
                      <w:bCs/>
                      <w:color w:val="auto"/>
                      <w:sz w:val="18"/>
                      <w:szCs w:val="18"/>
                      <w:lang w:val="en-US" w:eastAsia="zh-CN"/>
                    </w:rPr>
                    <w:t>水喷淋+酸雾吸收塔+除雾器+二级活性炭吸附装置、</w:t>
                  </w:r>
                  <w:r>
                    <w:rPr>
                      <w:bCs/>
                      <w:color w:val="auto"/>
                      <w:sz w:val="18"/>
                      <w:szCs w:val="18"/>
                    </w:rPr>
                    <w:t>集气罩、输送管道、排气筒</w:t>
                  </w:r>
                </w:p>
              </w:tc>
              <w:tc>
                <w:tcPr>
                  <w:tcW w:w="1254" w:type="dxa"/>
                  <w:vAlign w:val="center"/>
                </w:tcPr>
                <w:p w14:paraId="6E2AA175">
                  <w:pPr>
                    <w:spacing w:line="240" w:lineRule="atLeast"/>
                    <w:jc w:val="center"/>
                    <w:rPr>
                      <w:rFonts w:hint="default" w:eastAsia="宋体"/>
                      <w:bCs/>
                      <w:color w:val="auto"/>
                      <w:sz w:val="18"/>
                      <w:szCs w:val="18"/>
                      <w:lang w:val="en-US" w:eastAsia="zh-CN"/>
                    </w:rPr>
                  </w:pPr>
                  <w:r>
                    <w:rPr>
                      <w:rFonts w:hint="eastAsia"/>
                      <w:bCs/>
                      <w:color w:val="auto"/>
                      <w:sz w:val="18"/>
                      <w:szCs w:val="18"/>
                      <w:lang w:val="en-US" w:eastAsia="zh-CN"/>
                    </w:rPr>
                    <w:t>50</w:t>
                  </w:r>
                </w:p>
              </w:tc>
              <w:tc>
                <w:tcPr>
                  <w:tcW w:w="1195" w:type="dxa"/>
                  <w:vMerge w:val="restart"/>
                  <w:vAlign w:val="center"/>
                </w:tcPr>
                <w:p w14:paraId="7BC22793">
                  <w:pPr>
                    <w:widowControl/>
                    <w:spacing w:line="300" w:lineRule="exact"/>
                    <w:jc w:val="center"/>
                    <w:rPr>
                      <w:bCs/>
                      <w:color w:val="auto"/>
                      <w:sz w:val="18"/>
                      <w:szCs w:val="18"/>
                    </w:rPr>
                  </w:pPr>
                  <w:r>
                    <w:rPr>
                      <w:bCs/>
                      <w:color w:val="auto"/>
                      <w:sz w:val="18"/>
                      <w:szCs w:val="18"/>
                    </w:rPr>
                    <w:t>项目的污染治理设施与主体工程同时设计、同时施工、同时投入使用</w:t>
                  </w:r>
                </w:p>
              </w:tc>
            </w:tr>
            <w:tr w14:paraId="651F2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5" w:hRule="atLeast"/>
                <w:jc w:val="center"/>
              </w:trPr>
              <w:tc>
                <w:tcPr>
                  <w:tcW w:w="753" w:type="dxa"/>
                  <w:vAlign w:val="center"/>
                </w:tcPr>
                <w:p w14:paraId="47DBFA6D">
                  <w:pPr>
                    <w:spacing w:line="240" w:lineRule="atLeast"/>
                    <w:jc w:val="center"/>
                    <w:rPr>
                      <w:bCs/>
                      <w:color w:val="auto"/>
                      <w:sz w:val="18"/>
                      <w:szCs w:val="18"/>
                    </w:rPr>
                  </w:pPr>
                  <w:r>
                    <w:rPr>
                      <w:bCs/>
                      <w:color w:val="auto"/>
                      <w:sz w:val="18"/>
                      <w:szCs w:val="18"/>
                    </w:rPr>
                    <w:t>2</w:t>
                  </w:r>
                </w:p>
              </w:tc>
              <w:tc>
                <w:tcPr>
                  <w:tcW w:w="1296" w:type="dxa"/>
                  <w:vAlign w:val="center"/>
                </w:tcPr>
                <w:p w14:paraId="25CDE1E1">
                  <w:pPr>
                    <w:widowControl/>
                    <w:spacing w:line="300" w:lineRule="exact"/>
                    <w:jc w:val="center"/>
                    <w:rPr>
                      <w:bCs/>
                      <w:color w:val="auto"/>
                      <w:sz w:val="18"/>
                      <w:szCs w:val="18"/>
                    </w:rPr>
                  </w:pPr>
                  <w:r>
                    <w:rPr>
                      <w:bCs/>
                      <w:color w:val="auto"/>
                      <w:sz w:val="18"/>
                      <w:szCs w:val="18"/>
                    </w:rPr>
                    <w:t>水污染物防治措施</w:t>
                  </w:r>
                </w:p>
              </w:tc>
              <w:tc>
                <w:tcPr>
                  <w:tcW w:w="3579" w:type="dxa"/>
                  <w:vAlign w:val="center"/>
                </w:tcPr>
                <w:p w14:paraId="0EBB8D38">
                  <w:pPr>
                    <w:adjustRightInd w:val="0"/>
                    <w:snapToGrid w:val="0"/>
                    <w:spacing w:line="240" w:lineRule="atLeast"/>
                    <w:jc w:val="center"/>
                    <w:rPr>
                      <w:rFonts w:hint="default" w:eastAsia="宋体"/>
                      <w:color w:val="auto"/>
                      <w:lang w:val="en-US" w:eastAsia="zh-CN"/>
                    </w:rPr>
                  </w:pPr>
                  <w:r>
                    <w:rPr>
                      <w:color w:val="auto"/>
                      <w:sz w:val="18"/>
                      <w:szCs w:val="18"/>
                    </w:rPr>
                    <w:t>化粪池</w:t>
                  </w:r>
                  <w:r>
                    <w:rPr>
                      <w:rFonts w:hint="eastAsia"/>
                      <w:color w:val="auto"/>
                      <w:sz w:val="18"/>
                      <w:szCs w:val="18"/>
                      <w:lang w:eastAsia="zh-CN"/>
                    </w:rPr>
                    <w:t>、</w:t>
                  </w:r>
                  <w:r>
                    <w:rPr>
                      <w:rFonts w:hint="eastAsia"/>
                      <w:color w:val="auto"/>
                      <w:sz w:val="18"/>
                      <w:szCs w:val="18"/>
                      <w:lang w:val="en-US" w:eastAsia="zh-CN"/>
                    </w:rPr>
                    <w:t>中和槽</w:t>
                  </w:r>
                </w:p>
              </w:tc>
              <w:tc>
                <w:tcPr>
                  <w:tcW w:w="1254" w:type="dxa"/>
                  <w:vAlign w:val="center"/>
                </w:tcPr>
                <w:p w14:paraId="0012AD69">
                  <w:pPr>
                    <w:spacing w:line="240" w:lineRule="atLeast"/>
                    <w:jc w:val="center"/>
                    <w:rPr>
                      <w:rFonts w:hint="default" w:eastAsia="宋体"/>
                      <w:bCs/>
                      <w:color w:val="auto"/>
                      <w:sz w:val="18"/>
                      <w:szCs w:val="18"/>
                      <w:lang w:val="en-US" w:eastAsia="zh-CN"/>
                    </w:rPr>
                  </w:pPr>
                  <w:r>
                    <w:rPr>
                      <w:rFonts w:hint="eastAsia"/>
                      <w:bCs/>
                      <w:color w:val="auto"/>
                      <w:sz w:val="18"/>
                      <w:szCs w:val="18"/>
                      <w:lang w:val="en-US" w:eastAsia="zh-CN"/>
                    </w:rPr>
                    <w:t>10</w:t>
                  </w:r>
                </w:p>
              </w:tc>
              <w:tc>
                <w:tcPr>
                  <w:tcW w:w="1195" w:type="dxa"/>
                  <w:vMerge w:val="continue"/>
                  <w:vAlign w:val="center"/>
                </w:tcPr>
                <w:p w14:paraId="17FF3833">
                  <w:pPr>
                    <w:widowControl/>
                    <w:spacing w:line="300" w:lineRule="exact"/>
                    <w:jc w:val="center"/>
                    <w:rPr>
                      <w:bCs/>
                      <w:color w:val="auto"/>
                      <w:sz w:val="18"/>
                      <w:szCs w:val="18"/>
                    </w:rPr>
                  </w:pPr>
                </w:p>
              </w:tc>
            </w:tr>
            <w:tr w14:paraId="46354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753" w:type="dxa"/>
                  <w:vAlign w:val="center"/>
                </w:tcPr>
                <w:p w14:paraId="1387FE7E">
                  <w:pPr>
                    <w:spacing w:line="240" w:lineRule="atLeast"/>
                    <w:jc w:val="center"/>
                    <w:rPr>
                      <w:bCs/>
                      <w:color w:val="auto"/>
                      <w:sz w:val="18"/>
                      <w:szCs w:val="18"/>
                    </w:rPr>
                  </w:pPr>
                  <w:r>
                    <w:rPr>
                      <w:bCs/>
                      <w:color w:val="auto"/>
                      <w:sz w:val="18"/>
                      <w:szCs w:val="18"/>
                    </w:rPr>
                    <w:t>3</w:t>
                  </w:r>
                </w:p>
              </w:tc>
              <w:tc>
                <w:tcPr>
                  <w:tcW w:w="1296" w:type="dxa"/>
                  <w:vAlign w:val="center"/>
                </w:tcPr>
                <w:p w14:paraId="705B90D3">
                  <w:pPr>
                    <w:widowControl/>
                    <w:spacing w:line="300" w:lineRule="exact"/>
                    <w:jc w:val="center"/>
                    <w:rPr>
                      <w:bCs/>
                      <w:color w:val="auto"/>
                      <w:sz w:val="18"/>
                      <w:szCs w:val="18"/>
                    </w:rPr>
                  </w:pPr>
                  <w:r>
                    <w:rPr>
                      <w:bCs/>
                      <w:color w:val="auto"/>
                      <w:sz w:val="18"/>
                      <w:szCs w:val="18"/>
                    </w:rPr>
                    <w:t>噪声污染防治措施</w:t>
                  </w:r>
                </w:p>
              </w:tc>
              <w:tc>
                <w:tcPr>
                  <w:tcW w:w="3579" w:type="dxa"/>
                  <w:vAlign w:val="center"/>
                </w:tcPr>
                <w:p w14:paraId="050717DE">
                  <w:pPr>
                    <w:widowControl/>
                    <w:spacing w:line="300" w:lineRule="exact"/>
                    <w:jc w:val="center"/>
                    <w:rPr>
                      <w:bCs/>
                      <w:color w:val="auto"/>
                      <w:sz w:val="18"/>
                      <w:szCs w:val="18"/>
                    </w:rPr>
                  </w:pPr>
                  <w:r>
                    <w:rPr>
                      <w:bCs/>
                      <w:color w:val="auto"/>
                      <w:sz w:val="18"/>
                      <w:szCs w:val="18"/>
                    </w:rPr>
                    <w:t>合理布置，高噪声设备采用减震、消声、隔声等降噪措施。</w:t>
                  </w:r>
                </w:p>
              </w:tc>
              <w:tc>
                <w:tcPr>
                  <w:tcW w:w="1254" w:type="dxa"/>
                  <w:vAlign w:val="center"/>
                </w:tcPr>
                <w:p w14:paraId="5D1F2A24">
                  <w:pPr>
                    <w:spacing w:line="240" w:lineRule="atLeast"/>
                    <w:jc w:val="center"/>
                    <w:rPr>
                      <w:rFonts w:hint="default" w:eastAsia="宋体"/>
                      <w:bCs/>
                      <w:color w:val="auto"/>
                      <w:sz w:val="18"/>
                      <w:szCs w:val="18"/>
                      <w:lang w:val="en-US" w:eastAsia="zh-CN"/>
                    </w:rPr>
                  </w:pPr>
                  <w:r>
                    <w:rPr>
                      <w:rFonts w:hint="eastAsia"/>
                      <w:bCs/>
                      <w:color w:val="auto"/>
                      <w:sz w:val="18"/>
                      <w:szCs w:val="18"/>
                      <w:lang w:val="en-US" w:eastAsia="zh-CN"/>
                    </w:rPr>
                    <w:t>15</w:t>
                  </w:r>
                </w:p>
              </w:tc>
              <w:tc>
                <w:tcPr>
                  <w:tcW w:w="1195" w:type="dxa"/>
                  <w:vMerge w:val="continue"/>
                  <w:vAlign w:val="center"/>
                </w:tcPr>
                <w:p w14:paraId="39A7D7D6">
                  <w:pPr>
                    <w:widowControl/>
                    <w:spacing w:line="300" w:lineRule="exact"/>
                    <w:jc w:val="center"/>
                    <w:rPr>
                      <w:bCs/>
                      <w:color w:val="auto"/>
                      <w:sz w:val="18"/>
                      <w:szCs w:val="18"/>
                    </w:rPr>
                  </w:pPr>
                </w:p>
              </w:tc>
            </w:tr>
            <w:tr w14:paraId="36955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753" w:type="dxa"/>
                  <w:vAlign w:val="center"/>
                </w:tcPr>
                <w:p w14:paraId="72210F87">
                  <w:pPr>
                    <w:spacing w:line="240" w:lineRule="atLeast"/>
                    <w:jc w:val="center"/>
                    <w:rPr>
                      <w:bCs/>
                      <w:color w:val="auto"/>
                      <w:sz w:val="18"/>
                      <w:szCs w:val="18"/>
                    </w:rPr>
                  </w:pPr>
                  <w:r>
                    <w:rPr>
                      <w:bCs/>
                      <w:color w:val="auto"/>
                      <w:sz w:val="18"/>
                      <w:szCs w:val="18"/>
                    </w:rPr>
                    <w:t>4</w:t>
                  </w:r>
                </w:p>
              </w:tc>
              <w:tc>
                <w:tcPr>
                  <w:tcW w:w="1296" w:type="dxa"/>
                  <w:vAlign w:val="center"/>
                </w:tcPr>
                <w:p w14:paraId="2EE57235">
                  <w:pPr>
                    <w:widowControl/>
                    <w:spacing w:line="300" w:lineRule="exact"/>
                    <w:jc w:val="center"/>
                    <w:rPr>
                      <w:bCs/>
                      <w:color w:val="auto"/>
                      <w:sz w:val="18"/>
                      <w:szCs w:val="18"/>
                    </w:rPr>
                  </w:pPr>
                  <w:r>
                    <w:rPr>
                      <w:bCs/>
                      <w:color w:val="auto"/>
                      <w:sz w:val="18"/>
                      <w:szCs w:val="18"/>
                    </w:rPr>
                    <w:t>固体废物处理处置措施</w:t>
                  </w:r>
                </w:p>
              </w:tc>
              <w:tc>
                <w:tcPr>
                  <w:tcW w:w="3579" w:type="dxa"/>
                  <w:vAlign w:val="center"/>
                </w:tcPr>
                <w:p w14:paraId="7A719958">
                  <w:pPr>
                    <w:widowControl/>
                    <w:spacing w:line="300" w:lineRule="exact"/>
                    <w:jc w:val="center"/>
                    <w:rPr>
                      <w:rFonts w:hint="default" w:eastAsia="宋体"/>
                      <w:bCs/>
                      <w:color w:val="auto"/>
                      <w:sz w:val="18"/>
                      <w:szCs w:val="18"/>
                      <w:lang w:val="en-US" w:eastAsia="zh-CN"/>
                    </w:rPr>
                  </w:pPr>
                  <w:r>
                    <w:rPr>
                      <w:bCs/>
                      <w:color w:val="auto"/>
                      <w:sz w:val="18"/>
                      <w:szCs w:val="18"/>
                    </w:rPr>
                    <w:t>危废间</w:t>
                  </w:r>
                  <w:r>
                    <w:rPr>
                      <w:rFonts w:hint="eastAsia"/>
                      <w:bCs/>
                      <w:color w:val="auto"/>
                      <w:sz w:val="18"/>
                      <w:szCs w:val="18"/>
                      <w:lang w:eastAsia="zh-CN"/>
                    </w:rPr>
                    <w:t>、</w:t>
                  </w:r>
                  <w:r>
                    <w:rPr>
                      <w:rFonts w:hint="eastAsia"/>
                      <w:bCs/>
                      <w:color w:val="auto"/>
                      <w:sz w:val="18"/>
                      <w:szCs w:val="18"/>
                      <w:lang w:val="en-US" w:eastAsia="zh-CN"/>
                    </w:rPr>
                    <w:t>一般固废暂存处</w:t>
                  </w:r>
                </w:p>
              </w:tc>
              <w:tc>
                <w:tcPr>
                  <w:tcW w:w="1254" w:type="dxa"/>
                  <w:vAlign w:val="center"/>
                </w:tcPr>
                <w:p w14:paraId="3DEA3AC2">
                  <w:pPr>
                    <w:spacing w:line="240" w:lineRule="atLeast"/>
                    <w:jc w:val="center"/>
                    <w:rPr>
                      <w:rFonts w:hint="eastAsia" w:eastAsia="宋体"/>
                      <w:bCs/>
                      <w:color w:val="auto"/>
                      <w:sz w:val="18"/>
                      <w:szCs w:val="18"/>
                      <w:lang w:eastAsia="zh-CN"/>
                    </w:rPr>
                  </w:pPr>
                  <w:r>
                    <w:rPr>
                      <w:rFonts w:hint="eastAsia"/>
                      <w:bCs/>
                      <w:color w:val="auto"/>
                      <w:sz w:val="18"/>
                      <w:szCs w:val="18"/>
                      <w:lang w:val="en-US" w:eastAsia="zh-CN"/>
                    </w:rPr>
                    <w:t>5</w:t>
                  </w:r>
                </w:p>
              </w:tc>
              <w:tc>
                <w:tcPr>
                  <w:tcW w:w="1195" w:type="dxa"/>
                  <w:vMerge w:val="continue"/>
                  <w:vAlign w:val="center"/>
                </w:tcPr>
                <w:p w14:paraId="5B194D3A">
                  <w:pPr>
                    <w:widowControl/>
                    <w:spacing w:line="300" w:lineRule="exact"/>
                    <w:jc w:val="center"/>
                    <w:rPr>
                      <w:bCs/>
                      <w:color w:val="auto"/>
                      <w:sz w:val="18"/>
                      <w:szCs w:val="18"/>
                    </w:rPr>
                  </w:pPr>
                </w:p>
              </w:tc>
            </w:tr>
            <w:tr w14:paraId="3AF94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753" w:type="dxa"/>
                  <w:vAlign w:val="center"/>
                </w:tcPr>
                <w:p w14:paraId="527A0731">
                  <w:pPr>
                    <w:spacing w:line="240" w:lineRule="atLeast"/>
                    <w:jc w:val="center"/>
                    <w:rPr>
                      <w:bCs/>
                      <w:color w:val="auto"/>
                      <w:sz w:val="18"/>
                      <w:szCs w:val="18"/>
                    </w:rPr>
                  </w:pPr>
                  <w:r>
                    <w:rPr>
                      <w:bCs/>
                      <w:color w:val="auto"/>
                      <w:sz w:val="18"/>
                      <w:szCs w:val="18"/>
                    </w:rPr>
                    <w:t>5</w:t>
                  </w:r>
                </w:p>
              </w:tc>
              <w:tc>
                <w:tcPr>
                  <w:tcW w:w="1296" w:type="dxa"/>
                  <w:vAlign w:val="center"/>
                </w:tcPr>
                <w:p w14:paraId="0F23BA22">
                  <w:pPr>
                    <w:widowControl/>
                    <w:spacing w:line="300" w:lineRule="exact"/>
                    <w:jc w:val="center"/>
                    <w:rPr>
                      <w:bCs/>
                      <w:color w:val="auto"/>
                      <w:sz w:val="18"/>
                      <w:szCs w:val="18"/>
                    </w:rPr>
                  </w:pPr>
                  <w:r>
                    <w:rPr>
                      <w:bCs/>
                      <w:color w:val="auto"/>
                      <w:sz w:val="18"/>
                      <w:szCs w:val="18"/>
                    </w:rPr>
                    <w:t>地下水、土壤防治措施</w:t>
                  </w:r>
                </w:p>
              </w:tc>
              <w:tc>
                <w:tcPr>
                  <w:tcW w:w="3579" w:type="dxa"/>
                  <w:vAlign w:val="center"/>
                </w:tcPr>
                <w:p w14:paraId="281648F3">
                  <w:pPr>
                    <w:widowControl/>
                    <w:spacing w:line="300" w:lineRule="exact"/>
                    <w:jc w:val="center"/>
                    <w:rPr>
                      <w:bCs/>
                      <w:color w:val="auto"/>
                      <w:sz w:val="18"/>
                      <w:szCs w:val="18"/>
                    </w:rPr>
                  </w:pPr>
                  <w:r>
                    <w:rPr>
                      <w:bCs/>
                      <w:color w:val="auto"/>
                      <w:sz w:val="18"/>
                      <w:szCs w:val="18"/>
                    </w:rPr>
                    <w:t>地面硬化+防渗处理</w:t>
                  </w:r>
                </w:p>
              </w:tc>
              <w:tc>
                <w:tcPr>
                  <w:tcW w:w="1254" w:type="dxa"/>
                  <w:vAlign w:val="center"/>
                </w:tcPr>
                <w:p w14:paraId="7AC3119D">
                  <w:pPr>
                    <w:spacing w:line="240" w:lineRule="atLeast"/>
                    <w:jc w:val="center"/>
                    <w:rPr>
                      <w:rFonts w:hint="default" w:eastAsia="宋体"/>
                      <w:bCs/>
                      <w:color w:val="auto"/>
                      <w:sz w:val="18"/>
                      <w:szCs w:val="18"/>
                      <w:lang w:val="en-US" w:eastAsia="zh-CN"/>
                    </w:rPr>
                  </w:pPr>
                  <w:r>
                    <w:rPr>
                      <w:rFonts w:hint="eastAsia"/>
                      <w:bCs/>
                      <w:color w:val="auto"/>
                      <w:sz w:val="18"/>
                      <w:szCs w:val="18"/>
                      <w:lang w:val="en-US" w:eastAsia="zh-CN"/>
                    </w:rPr>
                    <w:t>20</w:t>
                  </w:r>
                </w:p>
              </w:tc>
              <w:tc>
                <w:tcPr>
                  <w:tcW w:w="1195" w:type="dxa"/>
                  <w:vMerge w:val="continue"/>
                  <w:vAlign w:val="center"/>
                </w:tcPr>
                <w:p w14:paraId="255EBB73">
                  <w:pPr>
                    <w:widowControl/>
                    <w:spacing w:line="300" w:lineRule="exact"/>
                    <w:jc w:val="center"/>
                    <w:rPr>
                      <w:bCs/>
                      <w:color w:val="auto"/>
                      <w:sz w:val="18"/>
                      <w:szCs w:val="18"/>
                    </w:rPr>
                  </w:pPr>
                </w:p>
              </w:tc>
            </w:tr>
            <w:tr w14:paraId="4F024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628" w:type="dxa"/>
                  <w:gridSpan w:val="3"/>
                  <w:vAlign w:val="center"/>
                </w:tcPr>
                <w:p w14:paraId="298B2D97">
                  <w:pPr>
                    <w:pStyle w:val="894"/>
                    <w:tabs>
                      <w:tab w:val="clear" w:pos="400"/>
                    </w:tabs>
                    <w:spacing w:line="300" w:lineRule="exact"/>
                    <w:ind w:firstLine="0"/>
                    <w:jc w:val="center"/>
                    <w:rPr>
                      <w:bCs/>
                      <w:color w:val="auto"/>
                      <w:sz w:val="18"/>
                      <w:szCs w:val="18"/>
                    </w:rPr>
                  </w:pPr>
                  <w:r>
                    <w:rPr>
                      <w:bCs/>
                      <w:color w:val="auto"/>
                      <w:sz w:val="18"/>
                      <w:szCs w:val="18"/>
                    </w:rPr>
                    <w:t>合计</w:t>
                  </w:r>
                </w:p>
              </w:tc>
              <w:tc>
                <w:tcPr>
                  <w:tcW w:w="1254" w:type="dxa"/>
                  <w:vAlign w:val="center"/>
                </w:tcPr>
                <w:p w14:paraId="2B56CA3A">
                  <w:pPr>
                    <w:pStyle w:val="894"/>
                    <w:tabs>
                      <w:tab w:val="clear" w:pos="400"/>
                    </w:tabs>
                    <w:spacing w:line="300" w:lineRule="exact"/>
                    <w:ind w:firstLine="0"/>
                    <w:jc w:val="center"/>
                    <w:rPr>
                      <w:rFonts w:hint="default" w:eastAsia="宋体"/>
                      <w:bCs/>
                      <w:color w:val="auto"/>
                      <w:sz w:val="18"/>
                      <w:szCs w:val="18"/>
                      <w:lang w:val="en-US" w:eastAsia="zh-CN"/>
                    </w:rPr>
                  </w:pPr>
                  <w:r>
                    <w:rPr>
                      <w:rFonts w:hint="eastAsia"/>
                      <w:bCs/>
                      <w:color w:val="auto"/>
                      <w:sz w:val="18"/>
                      <w:szCs w:val="18"/>
                      <w:lang w:val="en-US" w:eastAsia="zh-CN"/>
                    </w:rPr>
                    <w:t>100</w:t>
                  </w:r>
                </w:p>
              </w:tc>
              <w:tc>
                <w:tcPr>
                  <w:tcW w:w="1195" w:type="dxa"/>
                  <w:vMerge w:val="continue"/>
                  <w:vAlign w:val="center"/>
                </w:tcPr>
                <w:p w14:paraId="01AA8F99">
                  <w:pPr>
                    <w:spacing w:line="240" w:lineRule="atLeast"/>
                    <w:jc w:val="center"/>
                    <w:rPr>
                      <w:bCs/>
                      <w:color w:val="auto"/>
                      <w:sz w:val="18"/>
                      <w:szCs w:val="18"/>
                    </w:rPr>
                  </w:pPr>
                </w:p>
              </w:tc>
            </w:tr>
          </w:tbl>
          <w:p w14:paraId="14317B3C">
            <w:pPr>
              <w:adjustRightInd w:val="0"/>
              <w:snapToGrid w:val="0"/>
              <w:spacing w:line="360" w:lineRule="auto"/>
              <w:ind w:firstLine="422" w:firstLineChars="200"/>
              <w:rPr>
                <w:b/>
                <w:bCs/>
                <w:color w:val="auto"/>
                <w:highlight w:val="none"/>
              </w:rPr>
            </w:pPr>
            <w:r>
              <w:rPr>
                <w:rFonts w:hint="eastAsia"/>
                <w:b/>
                <w:bCs/>
                <w:color w:val="auto"/>
                <w:highlight w:val="none"/>
              </w:rPr>
              <w:t>十</w:t>
            </w:r>
            <w:r>
              <w:rPr>
                <w:b/>
                <w:bCs/>
                <w:color w:val="auto"/>
                <w:highlight w:val="none"/>
              </w:rPr>
              <w:t>、环境管理</w:t>
            </w:r>
          </w:p>
          <w:p w14:paraId="7E5D69F2">
            <w:pPr>
              <w:pStyle w:val="9"/>
              <w:adjustRightInd w:val="0"/>
              <w:spacing w:before="0" w:after="0" w:line="360" w:lineRule="auto"/>
              <w:ind w:right="0" w:firstLine="422" w:firstLineChars="200"/>
              <w:rPr>
                <w:b/>
                <w:bCs/>
                <w:color w:val="auto"/>
                <w:sz w:val="21"/>
                <w:szCs w:val="21"/>
                <w:highlight w:val="none"/>
              </w:rPr>
            </w:pPr>
            <w:r>
              <w:rPr>
                <w:rFonts w:hint="eastAsia"/>
                <w:b/>
                <w:bCs/>
                <w:color w:val="auto"/>
                <w:sz w:val="21"/>
                <w:szCs w:val="21"/>
                <w:highlight w:val="none"/>
              </w:rPr>
              <w:t>（1）</w:t>
            </w:r>
            <w:r>
              <w:rPr>
                <w:b/>
                <w:bCs/>
                <w:color w:val="auto"/>
                <w:sz w:val="21"/>
                <w:szCs w:val="21"/>
                <w:highlight w:val="none"/>
              </w:rPr>
              <w:t>环境信息公开</w:t>
            </w:r>
          </w:p>
          <w:p w14:paraId="40850419">
            <w:pPr>
              <w:pStyle w:val="9"/>
              <w:adjustRightInd w:val="0"/>
              <w:spacing w:before="0" w:after="0" w:line="360" w:lineRule="auto"/>
              <w:ind w:right="0" w:firstLine="480"/>
              <w:rPr>
                <w:color w:val="auto"/>
                <w:sz w:val="21"/>
                <w:szCs w:val="21"/>
                <w:highlight w:val="none"/>
              </w:rPr>
            </w:pPr>
            <w:r>
              <w:rPr>
                <w:color w:val="auto"/>
                <w:sz w:val="21"/>
                <w:szCs w:val="21"/>
                <w:highlight w:val="none"/>
              </w:rPr>
              <w:t>环保机构合理设置对于有效地管理较为重要，一般分为环境管理机构和监测机构两部分。本项目建成后，建设单位应设立专门的环境管理机构，配备专职（可兼职）环保人员，负责该公司日常环保监督管理工作。保证工作质量，且专职环保人员需经过专职的培训，并定期参加国家或地方环保部门的考核。</w:t>
            </w:r>
          </w:p>
          <w:p w14:paraId="070ED476">
            <w:pPr>
              <w:pStyle w:val="9"/>
              <w:adjustRightInd w:val="0"/>
              <w:spacing w:before="0" w:after="0" w:line="360" w:lineRule="auto"/>
              <w:ind w:right="0" w:firstLine="422" w:firstLineChars="200"/>
              <w:rPr>
                <w:b/>
                <w:bCs/>
                <w:color w:val="auto"/>
                <w:sz w:val="21"/>
                <w:szCs w:val="21"/>
                <w:highlight w:val="none"/>
              </w:rPr>
            </w:pPr>
            <w:r>
              <w:rPr>
                <w:rFonts w:hint="eastAsia"/>
                <w:b/>
                <w:bCs/>
                <w:color w:val="auto"/>
                <w:sz w:val="21"/>
                <w:szCs w:val="21"/>
                <w:highlight w:val="none"/>
              </w:rPr>
              <w:t>（2）</w:t>
            </w:r>
            <w:r>
              <w:rPr>
                <w:b/>
                <w:bCs/>
                <w:color w:val="auto"/>
                <w:sz w:val="21"/>
                <w:szCs w:val="21"/>
                <w:highlight w:val="none"/>
              </w:rPr>
              <w:t>环保机构职责</w:t>
            </w:r>
          </w:p>
          <w:p w14:paraId="4AFCFDB5">
            <w:pPr>
              <w:pStyle w:val="9"/>
              <w:adjustRightInd w:val="0"/>
              <w:spacing w:before="0" w:after="0" w:line="360" w:lineRule="auto"/>
              <w:ind w:right="0" w:firstLine="420" w:firstLineChars="200"/>
              <w:rPr>
                <w:color w:val="auto"/>
                <w:sz w:val="21"/>
                <w:szCs w:val="21"/>
                <w:highlight w:val="none"/>
              </w:rPr>
            </w:pPr>
            <w:r>
              <w:rPr>
                <w:color w:val="auto"/>
                <w:sz w:val="21"/>
                <w:szCs w:val="21"/>
                <w:highlight w:val="none"/>
              </w:rPr>
              <w:t>本项目环境管理机构应履行以下主要职责：</w:t>
            </w:r>
          </w:p>
          <w:p w14:paraId="2B8EE3F7">
            <w:pPr>
              <w:pStyle w:val="9"/>
              <w:adjustRightInd w:val="0"/>
              <w:spacing w:before="0" w:after="0" w:line="360" w:lineRule="auto"/>
              <w:ind w:right="0" w:firstLine="480"/>
              <w:rPr>
                <w:color w:val="auto"/>
                <w:sz w:val="21"/>
                <w:szCs w:val="21"/>
                <w:highlight w:val="none"/>
              </w:rPr>
            </w:pPr>
            <w:r>
              <w:rPr>
                <w:color w:val="auto"/>
                <w:sz w:val="21"/>
                <w:szCs w:val="21"/>
                <w:highlight w:val="none"/>
              </w:rPr>
              <w:t>①组织宣传贯彻国家和地方的环境保护方针、政策、标准，对企业员工进行环保知识教育；</w:t>
            </w:r>
          </w:p>
          <w:p w14:paraId="6C7C6799">
            <w:pPr>
              <w:pStyle w:val="9"/>
              <w:adjustRightInd w:val="0"/>
              <w:spacing w:before="0" w:after="0" w:line="360" w:lineRule="auto"/>
              <w:ind w:right="0" w:firstLine="420" w:firstLineChars="200"/>
              <w:rPr>
                <w:color w:val="auto"/>
                <w:sz w:val="21"/>
                <w:szCs w:val="21"/>
                <w:highlight w:val="none"/>
              </w:rPr>
            </w:pPr>
            <w:r>
              <w:rPr>
                <w:color w:val="auto"/>
                <w:sz w:val="21"/>
                <w:szCs w:val="21"/>
                <w:highlight w:val="none"/>
              </w:rPr>
              <w:t>②组织制定和修改项目的环境保护管理规章制度并监督执行；</w:t>
            </w:r>
          </w:p>
          <w:p w14:paraId="05214D3A">
            <w:pPr>
              <w:pStyle w:val="9"/>
              <w:adjustRightInd w:val="0"/>
              <w:spacing w:before="0" w:after="0" w:line="360" w:lineRule="auto"/>
              <w:ind w:right="0" w:firstLine="480"/>
              <w:rPr>
                <w:color w:val="auto"/>
                <w:sz w:val="21"/>
                <w:szCs w:val="21"/>
                <w:highlight w:val="none"/>
              </w:rPr>
            </w:pPr>
            <w:r>
              <w:rPr>
                <w:color w:val="auto"/>
                <w:sz w:val="21"/>
                <w:szCs w:val="21"/>
                <w:highlight w:val="none"/>
              </w:rPr>
              <w:t>③根据国家、地方政府等规定的环境质量要求，结合本项目实际情况制定并组织实施各项环境保护规则和计划，协调经济发展和环境保护之间的关系；</w:t>
            </w:r>
          </w:p>
          <w:p w14:paraId="5864B234">
            <w:pPr>
              <w:pStyle w:val="9"/>
              <w:adjustRightInd w:val="0"/>
              <w:spacing w:before="0" w:after="0" w:line="360" w:lineRule="auto"/>
              <w:ind w:right="0" w:firstLine="480"/>
              <w:rPr>
                <w:color w:val="auto"/>
                <w:sz w:val="21"/>
                <w:szCs w:val="21"/>
                <w:highlight w:val="none"/>
              </w:rPr>
            </w:pPr>
            <w:r>
              <w:rPr>
                <w:color w:val="auto"/>
                <w:sz w:val="21"/>
                <w:szCs w:val="21"/>
                <w:highlight w:val="none"/>
              </w:rPr>
              <w:t>④检查项目环境保护设施运行状况，配合厂内日常环境监测，确保各污染物控制措施可靠、有效；</w:t>
            </w:r>
          </w:p>
          <w:p w14:paraId="528DA67D">
            <w:pPr>
              <w:pStyle w:val="9"/>
              <w:adjustRightInd w:val="0"/>
              <w:spacing w:before="0" w:after="0" w:line="360" w:lineRule="auto"/>
              <w:ind w:right="0" w:firstLine="420" w:firstLineChars="200"/>
              <w:rPr>
                <w:color w:val="auto"/>
                <w:sz w:val="21"/>
                <w:szCs w:val="21"/>
                <w:highlight w:val="none"/>
              </w:rPr>
            </w:pPr>
            <w:r>
              <w:rPr>
                <w:color w:val="auto"/>
                <w:sz w:val="21"/>
                <w:szCs w:val="21"/>
                <w:highlight w:val="none"/>
              </w:rPr>
              <w:t>⑤对可能造成的环境污染及时向上级汇报，并提出防治、应急措施；</w:t>
            </w:r>
          </w:p>
          <w:p w14:paraId="63CA34BD">
            <w:pPr>
              <w:pStyle w:val="9"/>
              <w:adjustRightInd w:val="0"/>
              <w:spacing w:before="0" w:after="0" w:line="360" w:lineRule="auto"/>
              <w:ind w:right="0" w:firstLine="420" w:firstLineChars="200"/>
              <w:rPr>
                <w:color w:val="auto"/>
                <w:sz w:val="21"/>
                <w:szCs w:val="21"/>
                <w:highlight w:val="none"/>
              </w:rPr>
            </w:pPr>
            <w:r>
              <w:rPr>
                <w:color w:val="auto"/>
                <w:sz w:val="21"/>
                <w:szCs w:val="21"/>
                <w:highlight w:val="none"/>
              </w:rPr>
              <w:t>⑥组织开展项目的环境保护专业技术培训，提高员工环保素质；</w:t>
            </w:r>
          </w:p>
          <w:p w14:paraId="77426106">
            <w:pPr>
              <w:pStyle w:val="9"/>
              <w:adjustRightInd w:val="0"/>
              <w:spacing w:before="0" w:after="0" w:line="360" w:lineRule="auto"/>
              <w:ind w:right="0" w:firstLine="480"/>
              <w:rPr>
                <w:color w:val="auto"/>
                <w:sz w:val="21"/>
                <w:szCs w:val="21"/>
                <w:highlight w:val="none"/>
              </w:rPr>
            </w:pPr>
            <w:r>
              <w:rPr>
                <w:color w:val="auto"/>
                <w:sz w:val="21"/>
                <w:szCs w:val="21"/>
                <w:highlight w:val="none"/>
              </w:rPr>
              <w:t>⑦接受地方</w:t>
            </w:r>
            <w:r>
              <w:rPr>
                <w:rFonts w:hint="eastAsia"/>
                <w:color w:val="auto"/>
                <w:sz w:val="21"/>
                <w:szCs w:val="21"/>
                <w:highlight w:val="none"/>
              </w:rPr>
              <w:t>生态环境</w:t>
            </w:r>
            <w:r>
              <w:rPr>
                <w:color w:val="auto"/>
                <w:sz w:val="21"/>
                <w:szCs w:val="21"/>
                <w:highlight w:val="none"/>
              </w:rPr>
              <w:t>局的业务指导和监督，按要求上报各项管理工作的执行情况及有关环境数据，为区域整体环境管理服务；</w:t>
            </w:r>
          </w:p>
          <w:p w14:paraId="3F919804">
            <w:pPr>
              <w:pStyle w:val="9"/>
              <w:adjustRightInd w:val="0"/>
              <w:spacing w:before="0" w:after="0" w:line="360" w:lineRule="auto"/>
              <w:ind w:right="0" w:firstLine="420" w:firstLineChars="200"/>
              <w:rPr>
                <w:color w:val="auto"/>
                <w:sz w:val="21"/>
                <w:szCs w:val="21"/>
                <w:highlight w:val="none"/>
              </w:rPr>
            </w:pPr>
            <w:r>
              <w:rPr>
                <w:color w:val="auto"/>
                <w:sz w:val="21"/>
                <w:szCs w:val="21"/>
                <w:highlight w:val="none"/>
              </w:rPr>
              <w:t>⑧推广应用环境保护先进技术和经验。</w:t>
            </w:r>
          </w:p>
          <w:p w14:paraId="5C5E3637">
            <w:pPr>
              <w:pStyle w:val="9"/>
              <w:adjustRightInd w:val="0"/>
              <w:spacing w:before="0" w:after="0" w:line="360" w:lineRule="auto"/>
              <w:ind w:right="0" w:firstLine="422" w:firstLineChars="200"/>
              <w:rPr>
                <w:b/>
                <w:bCs/>
                <w:color w:val="auto"/>
                <w:sz w:val="21"/>
                <w:szCs w:val="21"/>
                <w:highlight w:val="none"/>
              </w:rPr>
            </w:pPr>
            <w:r>
              <w:rPr>
                <w:rFonts w:hint="eastAsia"/>
                <w:b/>
                <w:bCs/>
                <w:color w:val="auto"/>
                <w:sz w:val="21"/>
                <w:szCs w:val="21"/>
                <w:highlight w:val="none"/>
              </w:rPr>
              <w:t>（3）</w:t>
            </w:r>
            <w:r>
              <w:rPr>
                <w:b/>
                <w:bCs/>
                <w:color w:val="auto"/>
                <w:sz w:val="21"/>
                <w:szCs w:val="21"/>
                <w:highlight w:val="none"/>
              </w:rPr>
              <w:t>环境保护管理制度</w:t>
            </w:r>
          </w:p>
          <w:p w14:paraId="49ADBBBB">
            <w:pPr>
              <w:pStyle w:val="9"/>
              <w:adjustRightInd w:val="0"/>
              <w:spacing w:before="0" w:after="0" w:line="360" w:lineRule="auto"/>
              <w:ind w:right="0" w:firstLine="480"/>
              <w:rPr>
                <w:color w:val="auto"/>
                <w:sz w:val="21"/>
                <w:szCs w:val="21"/>
                <w:highlight w:val="none"/>
              </w:rPr>
            </w:pPr>
            <w:r>
              <w:rPr>
                <w:color w:val="auto"/>
                <w:sz w:val="21"/>
                <w:szCs w:val="21"/>
                <w:highlight w:val="none"/>
              </w:rPr>
              <w:t>①对技术工人进行上岗前的环保知识法规教育及操作规范的培训，使各项环保设施的操作规范化，保证环保设施的正常运转；</w:t>
            </w:r>
          </w:p>
          <w:p w14:paraId="04F8D8A8">
            <w:pPr>
              <w:pStyle w:val="9"/>
              <w:adjustRightInd w:val="0"/>
              <w:spacing w:before="0" w:after="0" w:line="360" w:lineRule="auto"/>
              <w:ind w:right="0" w:firstLine="480"/>
              <w:rPr>
                <w:color w:val="auto"/>
                <w:sz w:val="21"/>
                <w:szCs w:val="21"/>
                <w:highlight w:val="none"/>
              </w:rPr>
            </w:pPr>
            <w:r>
              <w:rPr>
                <w:color w:val="auto"/>
                <w:sz w:val="21"/>
                <w:szCs w:val="21"/>
                <w:highlight w:val="none"/>
              </w:rPr>
              <w:t>②定期向环保主管部门汇报环保工作情况，污染治理设施运行情况，监视性监测结果；</w:t>
            </w:r>
          </w:p>
          <w:p w14:paraId="7F2A4024">
            <w:pPr>
              <w:pStyle w:val="9"/>
              <w:adjustRightInd w:val="0"/>
              <w:spacing w:before="0" w:after="0" w:line="360" w:lineRule="auto"/>
              <w:ind w:right="0" w:firstLine="480"/>
              <w:rPr>
                <w:color w:val="auto"/>
                <w:sz w:val="21"/>
                <w:szCs w:val="21"/>
                <w:highlight w:val="none"/>
              </w:rPr>
            </w:pPr>
            <w:r>
              <w:rPr>
                <w:color w:val="auto"/>
                <w:sz w:val="21"/>
                <w:szCs w:val="21"/>
                <w:highlight w:val="none"/>
              </w:rPr>
              <w:t>③加强环境监测工作，重点是各污染源的监测，并注意做好记录，监测中如发现异常情况应及时向有关部门通报，及时采取应急措施，防止事故排放；</w:t>
            </w:r>
          </w:p>
          <w:p w14:paraId="489DF7FE">
            <w:pPr>
              <w:pStyle w:val="9"/>
              <w:adjustRightInd w:val="0"/>
              <w:spacing w:before="0" w:after="0" w:line="360" w:lineRule="auto"/>
              <w:ind w:right="0" w:firstLine="480"/>
              <w:rPr>
                <w:color w:val="auto"/>
                <w:sz w:val="21"/>
                <w:szCs w:val="21"/>
                <w:highlight w:val="none"/>
              </w:rPr>
            </w:pPr>
            <w:r>
              <w:rPr>
                <w:color w:val="auto"/>
                <w:sz w:val="21"/>
                <w:szCs w:val="21"/>
                <w:highlight w:val="none"/>
              </w:rPr>
              <w:t>④建立本企业的环境保护工作档案，包括污染物排放情况；污染治理设施的运行、操作和管理情况；监测记录；污染事故情况及有关记录；其他与污染防治有关的情况和资料等。</w:t>
            </w:r>
          </w:p>
          <w:p w14:paraId="519BD4DA">
            <w:pPr>
              <w:pStyle w:val="9"/>
              <w:adjustRightInd w:val="0"/>
              <w:spacing w:before="0" w:after="0" w:line="360" w:lineRule="auto"/>
              <w:ind w:right="0" w:firstLine="420" w:firstLineChars="200"/>
              <w:rPr>
                <w:color w:val="auto"/>
                <w:sz w:val="21"/>
                <w:szCs w:val="21"/>
                <w:highlight w:val="none"/>
              </w:rPr>
            </w:pPr>
            <w:r>
              <w:rPr>
                <w:color w:val="auto"/>
                <w:sz w:val="21"/>
                <w:szCs w:val="21"/>
                <w:highlight w:val="none"/>
              </w:rPr>
              <w:t>⑤贯彻落实建设项目环境影响评价和“三同时”制度</w:t>
            </w:r>
          </w:p>
          <w:p w14:paraId="3FF3F2CE">
            <w:pPr>
              <w:pStyle w:val="9"/>
              <w:adjustRightInd w:val="0"/>
              <w:spacing w:before="0" w:after="0" w:line="360" w:lineRule="auto"/>
              <w:ind w:right="0" w:firstLine="422" w:firstLineChars="200"/>
              <w:rPr>
                <w:b/>
                <w:bCs/>
                <w:color w:val="auto"/>
                <w:sz w:val="21"/>
                <w:szCs w:val="21"/>
                <w:highlight w:val="none"/>
              </w:rPr>
            </w:pPr>
            <w:r>
              <w:rPr>
                <w:rFonts w:hint="eastAsia"/>
                <w:b/>
                <w:bCs/>
                <w:color w:val="auto"/>
                <w:sz w:val="21"/>
                <w:szCs w:val="21"/>
                <w:highlight w:val="none"/>
              </w:rPr>
              <w:t>（4）</w:t>
            </w:r>
            <w:r>
              <w:rPr>
                <w:b/>
                <w:bCs/>
                <w:color w:val="auto"/>
                <w:sz w:val="21"/>
                <w:szCs w:val="21"/>
                <w:highlight w:val="none"/>
              </w:rPr>
              <w:t>环保设施运行维护制度</w:t>
            </w:r>
          </w:p>
          <w:p w14:paraId="32F58767">
            <w:pPr>
              <w:pStyle w:val="9"/>
              <w:adjustRightInd w:val="0"/>
              <w:spacing w:before="0" w:after="0" w:line="360" w:lineRule="auto"/>
              <w:ind w:right="0" w:firstLine="480"/>
              <w:rPr>
                <w:color w:val="auto"/>
                <w:sz w:val="21"/>
                <w:szCs w:val="21"/>
                <w:highlight w:val="none"/>
              </w:rPr>
            </w:pPr>
            <w:r>
              <w:rPr>
                <w:color w:val="auto"/>
                <w:sz w:val="21"/>
                <w:szCs w:val="21"/>
                <w:highlight w:val="none"/>
              </w:rPr>
              <w:t>①制定各环保设施操作规程，定期维修制度，使各项环保设施在生产过程中处于良好地运行状态；</w:t>
            </w:r>
          </w:p>
          <w:p w14:paraId="65E0C583">
            <w:pPr>
              <w:pStyle w:val="9"/>
              <w:adjustRightInd w:val="0"/>
              <w:spacing w:before="0" w:after="0" w:line="360" w:lineRule="auto"/>
              <w:ind w:right="0" w:firstLine="480"/>
              <w:rPr>
                <w:color w:val="auto"/>
                <w:sz w:val="21"/>
                <w:szCs w:val="21"/>
                <w:highlight w:val="none"/>
              </w:rPr>
            </w:pPr>
            <w:r>
              <w:rPr>
                <w:color w:val="auto"/>
                <w:sz w:val="21"/>
                <w:szCs w:val="21"/>
                <w:highlight w:val="none"/>
              </w:rPr>
              <w:t>②加强对环保设施的运行管理，制定定期维修制度，如环保设施出现故障，应立即停产检修，严禁事故排放；</w:t>
            </w:r>
          </w:p>
          <w:p w14:paraId="6FE3EAF9">
            <w:pPr>
              <w:adjustRightInd w:val="0"/>
              <w:snapToGrid w:val="0"/>
              <w:spacing w:line="360" w:lineRule="auto"/>
              <w:ind w:firstLine="420" w:firstLineChars="200"/>
              <w:rPr>
                <w:color w:val="auto"/>
                <w:highlight w:val="none"/>
              </w:rPr>
            </w:pPr>
            <w:r>
              <w:rPr>
                <w:color w:val="auto"/>
                <w:highlight w:val="none"/>
              </w:rPr>
              <w:t>③保持环保设施与主体生产设备同步保养、同步检修、同步运行，有效发挥环保设施减排能力。对不能达到设计要求的环保设施，逐个排查，制订并落实整改方案，提升处理能力。产生水、气（汽）、声、渣等污染的项目，必须遵守国家和地方的污染物排放标准，并符合污染物排放总量控制的要求。</w:t>
            </w:r>
          </w:p>
          <w:p w14:paraId="3BFEAD68">
            <w:pPr>
              <w:spacing w:line="360" w:lineRule="auto"/>
              <w:ind w:firstLine="422" w:firstLineChars="200"/>
              <w:rPr>
                <w:b/>
                <w:bCs/>
                <w:color w:val="auto"/>
                <w:highlight w:val="none"/>
              </w:rPr>
            </w:pPr>
            <w:r>
              <w:rPr>
                <w:rFonts w:hint="eastAsia"/>
                <w:b/>
                <w:bCs/>
                <w:color w:val="auto"/>
                <w:highlight w:val="none"/>
              </w:rPr>
              <w:t>（5）</w:t>
            </w:r>
            <w:r>
              <w:rPr>
                <w:b/>
                <w:bCs/>
                <w:color w:val="auto"/>
                <w:highlight w:val="none"/>
              </w:rPr>
              <w:t>环境监测</w:t>
            </w:r>
          </w:p>
          <w:p w14:paraId="63CB1255">
            <w:pPr>
              <w:spacing w:line="360" w:lineRule="auto"/>
              <w:ind w:firstLine="420" w:firstLineChars="200"/>
              <w:rPr>
                <w:color w:val="auto"/>
                <w:highlight w:val="none"/>
              </w:rPr>
            </w:pPr>
            <w:r>
              <w:rPr>
                <w:rFonts w:hint="eastAsia"/>
                <w:color w:val="auto"/>
                <w:highlight w:val="none"/>
                <w:lang w:eastAsia="zh-CN"/>
              </w:rPr>
              <w:t>根据《</w:t>
            </w:r>
            <w:r>
              <w:rPr>
                <w:color w:val="auto"/>
                <w:highlight w:val="none"/>
                <w:lang w:eastAsia="zh-CN"/>
              </w:rPr>
              <w:t>排污</w:t>
            </w:r>
            <w:r>
              <w:rPr>
                <w:rFonts w:hint="eastAsia"/>
                <w:color w:val="auto"/>
                <w:highlight w:val="none"/>
                <w:lang w:eastAsia="zh-CN"/>
              </w:rPr>
              <w:t>单位自行监</w:t>
            </w:r>
            <w:r>
              <w:rPr>
                <w:color w:val="auto"/>
                <w:highlight w:val="none"/>
                <w:lang w:eastAsia="zh-CN"/>
              </w:rPr>
              <w:t>测技术指南</w:t>
            </w:r>
            <w:r>
              <w:rPr>
                <w:rFonts w:hint="eastAsia"/>
                <w:color w:val="auto"/>
                <w:highlight w:val="none"/>
                <w:lang w:val="en-US" w:eastAsia="zh-CN"/>
              </w:rPr>
              <w:t>--总则</w:t>
            </w:r>
            <w:r>
              <w:rPr>
                <w:rFonts w:hint="eastAsia"/>
                <w:color w:val="auto"/>
                <w:highlight w:val="none"/>
                <w:lang w:eastAsia="zh-CN"/>
              </w:rPr>
              <w:t>》（H</w:t>
            </w:r>
            <w:r>
              <w:rPr>
                <w:color w:val="auto"/>
                <w:highlight w:val="none"/>
                <w:lang w:eastAsia="zh-CN"/>
              </w:rPr>
              <w:t>J</w:t>
            </w:r>
            <w:r>
              <w:rPr>
                <w:rFonts w:hint="eastAsia"/>
                <w:color w:val="auto"/>
                <w:highlight w:val="none"/>
                <w:lang w:val="en-US" w:eastAsia="zh-CN"/>
              </w:rPr>
              <w:t>819-2017</w:t>
            </w:r>
            <w:r>
              <w:rPr>
                <w:rFonts w:hint="eastAsia"/>
                <w:color w:val="auto"/>
                <w:highlight w:val="none"/>
                <w:lang w:eastAsia="zh-CN"/>
              </w:rPr>
              <w:t>）、</w:t>
            </w:r>
            <w:r>
              <w:rPr>
                <w:rFonts w:hint="eastAsia" w:hAnsi="宋体"/>
                <w:color w:val="auto"/>
              </w:rPr>
              <w:t>《排污单位自行监测技术指南 无机化学工业》（HJ 1138—2020）</w:t>
            </w:r>
            <w:r>
              <w:rPr>
                <w:color w:val="auto"/>
                <w:highlight w:val="none"/>
              </w:rPr>
              <w:t>的要求，结合本工程的实际情况，企业应对常规项目及特征污染物进行日常监测，特征污染物企业需具备自主监测能力。在不具备监测条件的情况下，可委托具有监测能力的当地环境监测站及相关机构进行监测。</w:t>
            </w:r>
          </w:p>
          <w:p w14:paraId="20963A98">
            <w:pPr>
              <w:adjustRightInd w:val="0"/>
              <w:snapToGrid w:val="0"/>
              <w:spacing w:line="360" w:lineRule="auto"/>
              <w:ind w:firstLine="422" w:firstLineChars="200"/>
              <w:rPr>
                <w:b/>
                <w:bCs/>
                <w:color w:val="auto"/>
                <w:highlight w:val="none"/>
              </w:rPr>
            </w:pPr>
            <w:r>
              <w:rPr>
                <w:rFonts w:hint="eastAsia"/>
                <w:b/>
                <w:bCs/>
                <w:color w:val="auto"/>
                <w:highlight w:val="none"/>
              </w:rPr>
              <w:t>十</w:t>
            </w:r>
            <w:r>
              <w:rPr>
                <w:b/>
                <w:bCs/>
                <w:color w:val="auto"/>
                <w:highlight w:val="none"/>
              </w:rPr>
              <w:t>、排污许可分析</w:t>
            </w:r>
          </w:p>
          <w:p w14:paraId="11F2BAB5">
            <w:pPr>
              <w:adjustRightInd w:val="0"/>
              <w:snapToGrid w:val="0"/>
              <w:spacing w:line="360" w:lineRule="auto"/>
              <w:ind w:firstLine="420" w:firstLineChars="200"/>
              <w:rPr>
                <w:color w:val="auto"/>
                <w:highlight w:val="none"/>
              </w:rPr>
            </w:pPr>
            <w:r>
              <w:rPr>
                <w:color w:val="auto"/>
                <w:highlight w:val="none"/>
              </w:rPr>
              <w:t>根据《控制污染物排放许可制实施方案》（国办发[2016]81号）、《排污许可证管理暂行规定》（环水体[2016]186号）、</w:t>
            </w:r>
            <w:r>
              <w:rPr>
                <w:rFonts w:hint="eastAsia"/>
                <w:color w:val="auto"/>
                <w:highlight w:val="none"/>
                <w:lang w:eastAsia="zh-CN"/>
              </w:rPr>
              <w:t>《排污许可管理条例》（国务院令第736号）</w:t>
            </w:r>
            <w:r>
              <w:rPr>
                <w:color w:val="auto"/>
                <w:highlight w:val="none"/>
              </w:rPr>
              <w:t>等文件，“排污单位应当依法持有排污许可证，并按照排污许可证的规定排放污染物”。</w:t>
            </w:r>
          </w:p>
          <w:p w14:paraId="6DD305EC">
            <w:pPr>
              <w:adjustRightInd w:val="0"/>
              <w:snapToGrid w:val="0"/>
              <w:spacing w:line="360" w:lineRule="auto"/>
              <w:ind w:firstLine="420" w:firstLineChars="200"/>
              <w:rPr>
                <w:color w:val="auto"/>
                <w:highlight w:val="none"/>
              </w:rPr>
            </w:pPr>
            <w:r>
              <w:rPr>
                <w:color w:val="auto"/>
                <w:highlight w:val="none"/>
              </w:rPr>
              <w:t>根据《控制污染物排放许可制实施方案》（国办发[2016]81号，2016年11月11日）、《关于印发&lt;排污许可证管理暂行规定&gt;的通知》（环水体[2016]186号，2016年12月23日）、</w:t>
            </w:r>
            <w:r>
              <w:rPr>
                <w:rFonts w:hint="eastAsia"/>
                <w:color w:val="auto"/>
                <w:highlight w:val="none"/>
                <w:lang w:eastAsia="zh-CN"/>
              </w:rPr>
              <w:t>《排污许可管理条例》（国务院令第736号）</w:t>
            </w:r>
            <w:r>
              <w:rPr>
                <w:color w:val="auto"/>
                <w:highlight w:val="none"/>
              </w:rPr>
              <w:t>等文件，环境影响评价制度是建设项目的环境准入门槛，排污许可制是企事业单位生产运营期排污的法律依据，必须做好充分衔接，实现从污染预防到污染治理和排放控制的全过程监管。</w:t>
            </w:r>
          </w:p>
          <w:p w14:paraId="56A99AF9">
            <w:pPr>
              <w:adjustRightInd w:val="0"/>
              <w:snapToGrid w:val="0"/>
              <w:spacing w:line="360" w:lineRule="auto"/>
              <w:ind w:firstLine="420" w:firstLineChars="200"/>
              <w:rPr>
                <w:color w:val="auto"/>
                <w:highlight w:val="none"/>
              </w:rPr>
            </w:pPr>
            <w:r>
              <w:rPr>
                <w:color w:val="auto"/>
                <w:highlight w:val="none"/>
              </w:rPr>
              <w:t>根据《固定污染源排污许可分类管理名录（2019年版）》（环办环评函[2020]9号，2020年01月06日），本项目属于</w:t>
            </w:r>
            <w:r>
              <w:rPr>
                <w:rFonts w:hint="eastAsia"/>
                <w:color w:val="auto"/>
                <w:highlight w:val="none"/>
              </w:rPr>
              <w:t>二十一、化学原料和化学制品制造业 26</w:t>
            </w:r>
            <w:r>
              <w:rPr>
                <w:rFonts w:hint="eastAsia"/>
                <w:color w:val="auto"/>
                <w:highlight w:val="none"/>
                <w:lang w:val="en-US" w:eastAsia="zh-CN"/>
              </w:rPr>
              <w:t>-45基础化学原料制造 261-单纯混合或者分装的无机盐制造 2613</w:t>
            </w:r>
            <w:r>
              <w:rPr>
                <w:color w:val="auto"/>
                <w:highlight w:val="none"/>
              </w:rPr>
              <w:t>，因此需进行</w:t>
            </w:r>
            <w:r>
              <w:rPr>
                <w:rFonts w:hint="eastAsia"/>
                <w:color w:val="auto"/>
                <w:highlight w:val="none"/>
                <w:lang w:val="en-US" w:eastAsia="zh-CN"/>
              </w:rPr>
              <w:t>简化</w:t>
            </w:r>
            <w:r>
              <w:rPr>
                <w:color w:val="auto"/>
                <w:highlight w:val="none"/>
              </w:rPr>
              <w:t>管理。</w:t>
            </w:r>
          </w:p>
          <w:p w14:paraId="3124C1F2">
            <w:pPr>
              <w:adjustRightInd w:val="0"/>
              <w:snapToGrid w:val="0"/>
              <w:spacing w:line="360" w:lineRule="auto"/>
              <w:ind w:firstLine="422" w:firstLineChars="200"/>
              <w:rPr>
                <w:b/>
                <w:bCs/>
                <w:color w:val="auto"/>
                <w:highlight w:val="none"/>
              </w:rPr>
            </w:pPr>
            <w:r>
              <w:rPr>
                <w:rFonts w:hint="eastAsia"/>
                <w:b/>
                <w:bCs/>
                <w:color w:val="auto"/>
                <w:highlight w:val="none"/>
              </w:rPr>
              <w:t>十一</w:t>
            </w:r>
            <w:r>
              <w:rPr>
                <w:b/>
                <w:bCs/>
                <w:color w:val="auto"/>
                <w:highlight w:val="none"/>
              </w:rPr>
              <w:t>、排污口规范设置</w:t>
            </w:r>
          </w:p>
          <w:p w14:paraId="140DFACB">
            <w:pPr>
              <w:adjustRightInd w:val="0"/>
              <w:snapToGrid w:val="0"/>
              <w:spacing w:line="360" w:lineRule="auto"/>
              <w:ind w:firstLine="420" w:firstLineChars="200"/>
              <w:rPr>
                <w:color w:val="auto"/>
                <w:highlight w:val="none"/>
              </w:rPr>
            </w:pPr>
            <w:r>
              <w:rPr>
                <w:color w:val="auto"/>
                <w:highlight w:val="none"/>
              </w:rPr>
              <w:t>根据国家标准《环境保护图形标志—排放口（源）》、国家环境保护总局</w:t>
            </w:r>
            <w:r>
              <w:rPr>
                <w:rFonts w:hint="eastAsia"/>
                <w:color w:val="auto"/>
                <w:highlight w:val="none"/>
                <w:lang w:eastAsia="zh-CN"/>
              </w:rPr>
              <w:t>《排污口规范化整治要求（试行）》</w:t>
            </w:r>
            <w:r>
              <w:rPr>
                <w:color w:val="auto"/>
                <w:highlight w:val="none"/>
              </w:rPr>
              <w:t>（国家环保局环监[1996]470号）、《山东省污水排放口环境信息公开技术规范》（DB37/T2463-2014）的技术要求，企业所有排放口（包括水、气、声、渣）必须按照“便于采样、便于计量检测、便于日常监督检查”的原则来规范化要求，设置与之相适应的环境保护图形标志牌和企业排污口分布图，对污染物治理设施安装运行监控装置、排污口规范化要符合当地环保部门的有关要求。</w:t>
            </w:r>
          </w:p>
          <w:p w14:paraId="564EE242">
            <w:pPr>
              <w:adjustRightInd w:val="0"/>
              <w:snapToGrid w:val="0"/>
              <w:spacing w:line="360" w:lineRule="auto"/>
              <w:ind w:firstLine="420" w:firstLineChars="200"/>
              <w:rPr>
                <w:color w:val="auto"/>
                <w:highlight w:val="none"/>
              </w:rPr>
            </w:pPr>
            <w:r>
              <w:rPr>
                <w:color w:val="auto"/>
                <w:highlight w:val="none"/>
              </w:rPr>
              <w:t>根据国家环境保护总局《关于开展排放口规范化整治工作的通知》环发[1999]24号和《排放口规范化整治技术》环发[1999]24号附件二等规定的要求，一切新建、改扩建、改建的排污单位以及限期治理的排污单位必须在建设污染治理设施的同时，建设规范化排放口。因此，建设项目产生的各类污染物排放口必须规范化，而且规范化工作的完成必须与污染治理设施同步，并列入污染物治理设施的验收内容。</w:t>
            </w:r>
          </w:p>
          <w:p w14:paraId="681EEE2C">
            <w:pPr>
              <w:adjustRightInd w:val="0"/>
              <w:snapToGrid w:val="0"/>
              <w:spacing w:line="360" w:lineRule="auto"/>
              <w:ind w:firstLine="420" w:firstLineChars="200"/>
              <w:rPr>
                <w:color w:val="auto"/>
                <w:highlight w:val="none"/>
              </w:rPr>
            </w:pPr>
            <w:r>
              <w:rPr>
                <w:color w:val="auto"/>
                <w:highlight w:val="none"/>
              </w:rPr>
              <w:t>①项目产生的一般固废企业收集后外售。存放场地需采取防扬散、防流失措施，并应在存放场地设置环保标志牌。</w:t>
            </w:r>
          </w:p>
          <w:p w14:paraId="3B3FC825">
            <w:pPr>
              <w:adjustRightInd w:val="0"/>
              <w:snapToGrid w:val="0"/>
              <w:spacing w:line="360" w:lineRule="auto"/>
              <w:ind w:firstLine="420" w:firstLineChars="200"/>
              <w:rPr>
                <w:color w:val="auto"/>
                <w:highlight w:val="none"/>
              </w:rPr>
            </w:pPr>
            <w:r>
              <w:rPr>
                <w:color w:val="auto"/>
                <w:highlight w:val="none"/>
              </w:rPr>
              <w:t>②主要固定噪声源附近应设置环境保护图形标志牌。</w:t>
            </w:r>
          </w:p>
          <w:p w14:paraId="5E7C078E">
            <w:pPr>
              <w:adjustRightInd w:val="0"/>
              <w:snapToGrid w:val="0"/>
              <w:spacing w:line="360" w:lineRule="auto"/>
              <w:ind w:firstLine="420" w:firstLineChars="200"/>
              <w:rPr>
                <w:color w:val="auto"/>
                <w:highlight w:val="none"/>
              </w:rPr>
            </w:pPr>
            <w:r>
              <w:rPr>
                <w:color w:val="auto"/>
                <w:highlight w:val="none"/>
              </w:rPr>
              <w:t>③项目废气污染源排气筒应按照“排污口”要求进行设置，并设置便于采样、监测的采样口或采样平台；在排气筒附近醒目处设置环保标志牌。</w:t>
            </w:r>
          </w:p>
          <w:p w14:paraId="5AD16EA0">
            <w:pPr>
              <w:spacing w:line="360" w:lineRule="auto"/>
              <w:ind w:firstLine="411" w:firstLineChars="196"/>
              <w:jc w:val="left"/>
              <w:rPr>
                <w:rFonts w:hint="eastAsia"/>
                <w:b/>
                <w:bCs/>
                <w:color w:val="auto"/>
                <w:highlight w:val="none"/>
              </w:rPr>
            </w:pPr>
            <w:r>
              <w:rPr>
                <w:color w:val="auto"/>
                <w:highlight w:val="none"/>
              </w:rPr>
              <w:t>本项目建成后，应将上述所有污染排放口名称、位置、数量，以及排放污染物名称、数量等内容进行统计，并登记上报当地环保部门，以便进行验收和排放口的规范化管理。</w:t>
            </w:r>
          </w:p>
          <w:p w14:paraId="116993C6">
            <w:pPr>
              <w:spacing w:line="360" w:lineRule="auto"/>
              <w:ind w:firstLine="413" w:firstLineChars="196"/>
              <w:jc w:val="left"/>
              <w:rPr>
                <w:b/>
                <w:bCs/>
                <w:color w:val="auto"/>
                <w:highlight w:val="none"/>
              </w:rPr>
            </w:pPr>
            <w:r>
              <w:rPr>
                <w:rFonts w:hint="eastAsia"/>
                <w:b/>
                <w:bCs/>
                <w:color w:val="auto"/>
                <w:highlight w:val="none"/>
              </w:rPr>
              <w:t>十二、电磁辐射</w:t>
            </w:r>
          </w:p>
          <w:p w14:paraId="46BF5C4C">
            <w:pPr>
              <w:adjustRightInd w:val="0"/>
              <w:snapToGrid w:val="0"/>
              <w:spacing w:line="360" w:lineRule="auto"/>
              <w:ind w:firstLine="420" w:firstLineChars="200"/>
              <w:rPr>
                <w:rFonts w:ascii="Times New Roman" w:hAnsi="Times New Roman" w:eastAsia="宋体" w:cs="Times New Roman"/>
                <w:color w:val="auto"/>
                <w:highlight w:val="none"/>
              </w:rPr>
            </w:pPr>
            <w:r>
              <w:rPr>
                <w:rFonts w:hint="eastAsia" w:ascii="Times New Roman" w:hAnsi="Times New Roman" w:eastAsia="宋体" w:cs="Times New Roman"/>
                <w:color w:val="auto"/>
                <w:highlight w:val="none"/>
              </w:rPr>
              <w:t>本项目不涉及电磁辐射影响。</w:t>
            </w:r>
          </w:p>
          <w:p w14:paraId="74E8E149">
            <w:pPr>
              <w:pStyle w:val="82"/>
              <w:ind w:firstLine="0" w:firstLineChars="0"/>
              <w:rPr>
                <w:color w:val="auto"/>
              </w:rPr>
            </w:pPr>
          </w:p>
        </w:tc>
      </w:tr>
    </w:tbl>
    <w:p w14:paraId="35638BBA">
      <w:pPr>
        <w:pStyle w:val="77"/>
        <w:spacing w:line="420" w:lineRule="exact"/>
        <w:jc w:val="center"/>
        <w:outlineLvl w:val="0"/>
        <w:rPr>
          <w:rFonts w:ascii="Times New Roman" w:hAnsi="Times New Roman" w:eastAsia="黑体"/>
          <w:snapToGrid w:val="0"/>
          <w:color w:val="auto"/>
          <w:sz w:val="30"/>
          <w:szCs w:val="30"/>
        </w:rPr>
      </w:pPr>
      <w:r>
        <w:rPr>
          <w:rFonts w:ascii="Times New Roman" w:hAnsi="Times New Roman" w:eastAsia="黑体"/>
          <w:snapToGrid w:val="0"/>
          <w:color w:val="auto"/>
          <w:sz w:val="30"/>
          <w:szCs w:val="30"/>
        </w:rPr>
        <w:br w:type="page"/>
      </w:r>
      <w:r>
        <w:rPr>
          <w:rFonts w:ascii="Times New Roman" w:hAnsi="Times New Roman" w:eastAsia="黑体"/>
          <w:snapToGrid w:val="0"/>
          <w:color w:val="auto"/>
          <w:sz w:val="30"/>
          <w:szCs w:val="30"/>
        </w:rPr>
        <w:t>五、</w:t>
      </w:r>
      <w:bookmarkStart w:id="3" w:name="_Hlk54167917"/>
      <w:r>
        <w:rPr>
          <w:rFonts w:ascii="Times New Roman" w:hAnsi="Times New Roman" w:eastAsia="黑体"/>
          <w:snapToGrid w:val="0"/>
          <w:color w:val="auto"/>
          <w:sz w:val="30"/>
          <w:szCs w:val="30"/>
        </w:rPr>
        <w:t>环境保护措施监督检查清单</w:t>
      </w:r>
      <w:bookmarkEnd w:id="3"/>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55"/>
        <w:gridCol w:w="1700"/>
        <w:gridCol w:w="1419"/>
        <w:gridCol w:w="1559"/>
        <w:gridCol w:w="2869"/>
      </w:tblGrid>
      <w:tr w14:paraId="3A0EE5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5" w:type="dxa"/>
            <w:tcBorders>
              <w:tl2br w:val="single" w:color="auto" w:sz="4" w:space="0"/>
            </w:tcBorders>
          </w:tcPr>
          <w:p w14:paraId="439C142F">
            <w:pPr>
              <w:adjustRightInd w:val="0"/>
              <w:snapToGrid w:val="0"/>
              <w:spacing w:line="300" w:lineRule="exact"/>
              <w:jc w:val="right"/>
              <w:rPr>
                <w:b/>
                <w:bCs/>
                <w:color w:val="auto"/>
              </w:rPr>
            </w:pPr>
            <w:r>
              <w:rPr>
                <w:b/>
                <w:bCs/>
                <w:color w:val="auto"/>
              </w:rPr>
              <w:t>内容</w:t>
            </w:r>
          </w:p>
          <w:p w14:paraId="1C0D0217">
            <w:pPr>
              <w:adjustRightInd w:val="0"/>
              <w:snapToGrid w:val="0"/>
              <w:spacing w:line="300" w:lineRule="exact"/>
              <w:rPr>
                <w:b/>
                <w:bCs/>
                <w:color w:val="auto"/>
              </w:rPr>
            </w:pPr>
            <w:r>
              <w:rPr>
                <w:b/>
                <w:bCs/>
                <w:color w:val="auto"/>
              </w:rPr>
              <w:t>要素</w:t>
            </w:r>
          </w:p>
        </w:tc>
        <w:tc>
          <w:tcPr>
            <w:tcW w:w="1700" w:type="dxa"/>
            <w:vAlign w:val="center"/>
          </w:tcPr>
          <w:p w14:paraId="1B1E77D4">
            <w:pPr>
              <w:adjustRightInd w:val="0"/>
              <w:snapToGrid w:val="0"/>
              <w:spacing w:line="300" w:lineRule="exact"/>
              <w:jc w:val="center"/>
              <w:rPr>
                <w:b/>
                <w:bCs/>
                <w:color w:val="auto"/>
              </w:rPr>
            </w:pPr>
            <w:r>
              <w:rPr>
                <w:b/>
                <w:bCs/>
                <w:color w:val="auto"/>
              </w:rPr>
              <w:t>排放口（编号、</w:t>
            </w:r>
          </w:p>
          <w:p w14:paraId="6173261A">
            <w:pPr>
              <w:adjustRightInd w:val="0"/>
              <w:snapToGrid w:val="0"/>
              <w:spacing w:line="300" w:lineRule="exact"/>
              <w:jc w:val="center"/>
              <w:rPr>
                <w:b/>
                <w:bCs/>
                <w:color w:val="auto"/>
              </w:rPr>
            </w:pPr>
            <w:r>
              <w:rPr>
                <w:b/>
                <w:bCs/>
                <w:color w:val="auto"/>
              </w:rPr>
              <w:t>名称）/污染源</w:t>
            </w:r>
          </w:p>
        </w:tc>
        <w:tc>
          <w:tcPr>
            <w:tcW w:w="1419" w:type="dxa"/>
            <w:vAlign w:val="center"/>
          </w:tcPr>
          <w:p w14:paraId="3E1BC2C6">
            <w:pPr>
              <w:adjustRightInd w:val="0"/>
              <w:snapToGrid w:val="0"/>
              <w:spacing w:line="300" w:lineRule="exact"/>
              <w:jc w:val="center"/>
              <w:rPr>
                <w:b/>
                <w:bCs/>
                <w:color w:val="auto"/>
              </w:rPr>
            </w:pPr>
            <w:r>
              <w:rPr>
                <w:b/>
                <w:bCs/>
                <w:color w:val="auto"/>
              </w:rPr>
              <w:t>污染物项目</w:t>
            </w:r>
          </w:p>
        </w:tc>
        <w:tc>
          <w:tcPr>
            <w:tcW w:w="1559" w:type="dxa"/>
            <w:vAlign w:val="center"/>
          </w:tcPr>
          <w:p w14:paraId="1ABEABB2">
            <w:pPr>
              <w:adjustRightInd w:val="0"/>
              <w:snapToGrid w:val="0"/>
              <w:spacing w:line="300" w:lineRule="exact"/>
              <w:jc w:val="center"/>
              <w:rPr>
                <w:b/>
                <w:bCs/>
                <w:color w:val="auto"/>
              </w:rPr>
            </w:pPr>
            <w:r>
              <w:rPr>
                <w:b/>
                <w:bCs/>
                <w:color w:val="auto"/>
              </w:rPr>
              <w:t>环境保护措施</w:t>
            </w:r>
          </w:p>
        </w:tc>
        <w:tc>
          <w:tcPr>
            <w:tcW w:w="2869" w:type="dxa"/>
            <w:vAlign w:val="center"/>
          </w:tcPr>
          <w:p w14:paraId="5A23AAE6">
            <w:pPr>
              <w:adjustRightInd w:val="0"/>
              <w:snapToGrid w:val="0"/>
              <w:spacing w:line="300" w:lineRule="exact"/>
              <w:jc w:val="center"/>
              <w:rPr>
                <w:b/>
                <w:bCs/>
                <w:color w:val="auto"/>
              </w:rPr>
            </w:pPr>
            <w:r>
              <w:rPr>
                <w:b/>
                <w:bCs/>
                <w:color w:val="auto"/>
              </w:rPr>
              <w:t>执行标准</w:t>
            </w:r>
          </w:p>
        </w:tc>
      </w:tr>
      <w:tr w14:paraId="11AD24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255" w:type="dxa"/>
            <w:vMerge w:val="restart"/>
            <w:vAlign w:val="center"/>
          </w:tcPr>
          <w:p w14:paraId="41ECBCFE">
            <w:pPr>
              <w:adjustRightInd w:val="0"/>
              <w:snapToGrid w:val="0"/>
              <w:spacing w:line="300" w:lineRule="exact"/>
              <w:jc w:val="center"/>
              <w:rPr>
                <w:color w:val="auto"/>
                <w:highlight w:val="none"/>
              </w:rPr>
            </w:pPr>
            <w:r>
              <w:rPr>
                <w:color w:val="auto"/>
                <w:highlight w:val="none"/>
              </w:rPr>
              <w:t>大气环境</w:t>
            </w:r>
          </w:p>
        </w:tc>
        <w:tc>
          <w:tcPr>
            <w:tcW w:w="1700" w:type="dxa"/>
            <w:vAlign w:val="center"/>
          </w:tcPr>
          <w:p w14:paraId="41B420B2">
            <w:pPr>
              <w:adjustRightInd w:val="0"/>
              <w:snapToGrid w:val="0"/>
              <w:spacing w:line="300" w:lineRule="exact"/>
              <w:jc w:val="center"/>
              <w:rPr>
                <w:rFonts w:hint="eastAsia" w:eastAsia="宋体"/>
                <w:color w:val="auto"/>
                <w:highlight w:val="none"/>
                <w:lang w:val="en-US" w:eastAsia="zh-CN"/>
              </w:rPr>
            </w:pPr>
            <w:r>
              <w:rPr>
                <w:rFonts w:hint="eastAsia"/>
                <w:color w:val="auto"/>
                <w:highlight w:val="none"/>
                <w:lang w:eastAsia="zh-CN"/>
              </w:rPr>
              <w:t>P1</w:t>
            </w:r>
          </w:p>
        </w:tc>
        <w:tc>
          <w:tcPr>
            <w:tcW w:w="1419" w:type="dxa"/>
            <w:vAlign w:val="center"/>
          </w:tcPr>
          <w:p w14:paraId="4285D300">
            <w:pPr>
              <w:adjustRightInd w:val="0"/>
              <w:snapToGrid w:val="0"/>
              <w:spacing w:line="300" w:lineRule="exact"/>
              <w:jc w:val="center"/>
              <w:rPr>
                <w:rFonts w:hint="default" w:eastAsia="宋体"/>
                <w:color w:val="auto"/>
                <w:highlight w:val="none"/>
                <w:lang w:val="en-US" w:eastAsia="zh-CN"/>
              </w:rPr>
            </w:pPr>
            <w:r>
              <w:rPr>
                <w:rFonts w:hint="eastAsia"/>
                <w:color w:val="auto"/>
                <w:highlight w:val="none"/>
                <w:lang w:val="en-US" w:eastAsia="zh-CN"/>
              </w:rPr>
              <w:t>氯化氢、VOCs</w:t>
            </w:r>
          </w:p>
        </w:tc>
        <w:tc>
          <w:tcPr>
            <w:tcW w:w="1559" w:type="dxa"/>
            <w:vAlign w:val="center"/>
          </w:tcPr>
          <w:p w14:paraId="5CA1DAA8">
            <w:pPr>
              <w:adjustRightInd w:val="0"/>
              <w:snapToGrid w:val="0"/>
              <w:spacing w:line="300" w:lineRule="exact"/>
              <w:jc w:val="center"/>
              <w:rPr>
                <w:color w:val="auto"/>
                <w:highlight w:val="none"/>
              </w:rPr>
            </w:pPr>
            <w:r>
              <w:rPr>
                <w:rFonts w:hint="eastAsia"/>
                <w:color w:val="auto"/>
                <w:highlight w:val="none"/>
                <w:lang w:val="en-US" w:eastAsia="zh-CN"/>
              </w:rPr>
              <w:t>水喷淋+酸雾吸收塔+除雾器+二级活性炭吸附装置</w:t>
            </w:r>
          </w:p>
        </w:tc>
        <w:tc>
          <w:tcPr>
            <w:tcW w:w="2869" w:type="dxa"/>
            <w:vAlign w:val="center"/>
          </w:tcPr>
          <w:p w14:paraId="5CE5CC39">
            <w:pPr>
              <w:adjustRightInd w:val="0"/>
              <w:snapToGrid w:val="0"/>
              <w:spacing w:line="300" w:lineRule="exact"/>
              <w:jc w:val="center"/>
              <w:rPr>
                <w:rFonts w:hint="eastAsia" w:eastAsia="宋体"/>
                <w:color w:val="auto"/>
                <w:highlight w:val="none"/>
                <w:lang w:eastAsia="zh-CN"/>
              </w:rPr>
            </w:pPr>
            <w:r>
              <w:rPr>
                <w:rFonts w:hint="eastAsia"/>
                <w:color w:val="auto"/>
                <w:highlight w:val="none"/>
              </w:rPr>
              <w:t>《无机化学工业污染物排放标准》（GB 31573-2015）表4标准限值</w:t>
            </w:r>
            <w:r>
              <w:rPr>
                <w:rFonts w:hint="eastAsia"/>
                <w:color w:val="auto"/>
                <w:highlight w:val="none"/>
                <w:lang w:eastAsia="zh-CN"/>
              </w:rPr>
              <w:t>、《挥发性有机物排放标准 第7部分：其他行业》（DB37/2801.7-2019）表1中“非重点行业”Ⅱ时段VOCs排放限值</w:t>
            </w:r>
          </w:p>
        </w:tc>
      </w:tr>
      <w:tr w14:paraId="4349EA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255" w:type="dxa"/>
            <w:vMerge w:val="continue"/>
            <w:vAlign w:val="center"/>
          </w:tcPr>
          <w:p w14:paraId="6B4C33E4">
            <w:pPr>
              <w:adjustRightInd w:val="0"/>
              <w:snapToGrid w:val="0"/>
              <w:spacing w:line="300" w:lineRule="exact"/>
              <w:jc w:val="center"/>
              <w:rPr>
                <w:color w:val="auto"/>
                <w:highlight w:val="none"/>
              </w:rPr>
            </w:pPr>
          </w:p>
        </w:tc>
        <w:tc>
          <w:tcPr>
            <w:tcW w:w="1700" w:type="dxa"/>
            <w:vMerge w:val="restart"/>
            <w:vAlign w:val="center"/>
          </w:tcPr>
          <w:p w14:paraId="7695A516">
            <w:pPr>
              <w:adjustRightInd w:val="0"/>
              <w:snapToGrid w:val="0"/>
              <w:spacing w:line="300" w:lineRule="exact"/>
              <w:jc w:val="center"/>
              <w:rPr>
                <w:rFonts w:hint="default" w:eastAsia="宋体"/>
                <w:color w:val="auto"/>
                <w:highlight w:val="none"/>
                <w:lang w:val="en-US" w:eastAsia="zh-CN"/>
              </w:rPr>
            </w:pPr>
            <w:r>
              <w:rPr>
                <w:rFonts w:hint="eastAsia"/>
                <w:color w:val="auto"/>
                <w:highlight w:val="none"/>
                <w:lang w:val="en-US" w:eastAsia="zh-CN"/>
              </w:rPr>
              <w:t>无组织</w:t>
            </w:r>
          </w:p>
        </w:tc>
        <w:tc>
          <w:tcPr>
            <w:tcW w:w="1419" w:type="dxa"/>
            <w:vAlign w:val="center"/>
          </w:tcPr>
          <w:p w14:paraId="57834ED2">
            <w:pPr>
              <w:adjustRightInd w:val="0"/>
              <w:snapToGrid w:val="0"/>
              <w:spacing w:line="300" w:lineRule="exact"/>
              <w:jc w:val="center"/>
              <w:rPr>
                <w:rFonts w:hint="eastAsia" w:eastAsia="宋体"/>
                <w:color w:val="auto"/>
                <w:highlight w:val="none"/>
                <w:lang w:eastAsia="zh-CN"/>
              </w:rPr>
            </w:pPr>
            <w:r>
              <w:rPr>
                <w:rFonts w:hint="eastAsia"/>
                <w:color w:val="auto"/>
                <w:highlight w:val="none"/>
                <w:lang w:val="en-US" w:eastAsia="zh-CN"/>
              </w:rPr>
              <w:t>氯化氢</w:t>
            </w:r>
          </w:p>
        </w:tc>
        <w:tc>
          <w:tcPr>
            <w:tcW w:w="1559" w:type="dxa"/>
            <w:vMerge w:val="restart"/>
            <w:vAlign w:val="center"/>
          </w:tcPr>
          <w:p w14:paraId="48247F0C">
            <w:pPr>
              <w:adjustRightInd w:val="0"/>
              <w:snapToGrid w:val="0"/>
              <w:spacing w:line="300" w:lineRule="exact"/>
              <w:jc w:val="center"/>
              <w:rPr>
                <w:color w:val="auto"/>
                <w:highlight w:val="none"/>
              </w:rPr>
            </w:pPr>
            <w:r>
              <w:rPr>
                <w:rFonts w:hint="eastAsia"/>
                <w:color w:val="auto"/>
                <w:highlight w:val="none"/>
              </w:rPr>
              <w:t>加强管理</w:t>
            </w:r>
          </w:p>
        </w:tc>
        <w:tc>
          <w:tcPr>
            <w:tcW w:w="2869" w:type="dxa"/>
            <w:vAlign w:val="center"/>
          </w:tcPr>
          <w:p w14:paraId="189C6DC8">
            <w:pPr>
              <w:adjustRightInd w:val="0"/>
              <w:snapToGrid w:val="0"/>
              <w:spacing w:line="300" w:lineRule="exact"/>
              <w:jc w:val="center"/>
              <w:rPr>
                <w:color w:val="auto"/>
                <w:highlight w:val="none"/>
              </w:rPr>
            </w:pPr>
            <w:r>
              <w:rPr>
                <w:rFonts w:hint="eastAsia"/>
                <w:color w:val="auto"/>
                <w:highlight w:val="none"/>
                <w:lang w:eastAsia="zh-CN"/>
              </w:rPr>
              <w:t>《无机化学工业污染物排放标准》（GB31573-2015）表5</w:t>
            </w:r>
            <w:r>
              <w:rPr>
                <w:rFonts w:hint="eastAsia"/>
                <w:color w:val="auto"/>
                <w:highlight w:val="none"/>
                <w:lang w:val="en-US" w:eastAsia="zh-CN"/>
              </w:rPr>
              <w:t>浓度限值</w:t>
            </w:r>
          </w:p>
        </w:tc>
      </w:tr>
      <w:tr w14:paraId="3D7962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restart"/>
            <w:vAlign w:val="center"/>
          </w:tcPr>
          <w:p w14:paraId="35F3B8B9">
            <w:pPr>
              <w:adjustRightInd w:val="0"/>
              <w:snapToGrid w:val="0"/>
              <w:spacing w:line="300" w:lineRule="exact"/>
              <w:jc w:val="center"/>
              <w:rPr>
                <w:color w:val="auto"/>
              </w:rPr>
            </w:pPr>
            <w:r>
              <w:rPr>
                <w:color w:val="auto"/>
              </w:rPr>
              <w:t>地表水环境</w:t>
            </w:r>
          </w:p>
        </w:tc>
        <w:tc>
          <w:tcPr>
            <w:tcW w:w="1700" w:type="dxa"/>
            <w:vMerge w:val="restart"/>
            <w:vAlign w:val="center"/>
          </w:tcPr>
          <w:p w14:paraId="3C20AB86">
            <w:pPr>
              <w:adjustRightInd w:val="0"/>
              <w:snapToGrid w:val="0"/>
              <w:jc w:val="center"/>
              <w:rPr>
                <w:color w:val="auto"/>
              </w:rPr>
            </w:pPr>
            <w:r>
              <w:rPr>
                <w:bCs/>
                <w:color w:val="auto"/>
              </w:rPr>
              <w:t>生活污水</w:t>
            </w:r>
          </w:p>
        </w:tc>
        <w:tc>
          <w:tcPr>
            <w:tcW w:w="1419" w:type="dxa"/>
            <w:vAlign w:val="center"/>
          </w:tcPr>
          <w:p w14:paraId="47594E55">
            <w:pPr>
              <w:adjustRightInd w:val="0"/>
              <w:snapToGrid w:val="0"/>
              <w:jc w:val="center"/>
              <w:rPr>
                <w:color w:val="auto"/>
              </w:rPr>
            </w:pPr>
            <w:r>
              <w:rPr>
                <w:color w:val="auto"/>
              </w:rPr>
              <w:t>COD</w:t>
            </w:r>
          </w:p>
        </w:tc>
        <w:tc>
          <w:tcPr>
            <w:tcW w:w="1559" w:type="dxa"/>
            <w:vMerge w:val="restart"/>
            <w:vAlign w:val="center"/>
          </w:tcPr>
          <w:p w14:paraId="6869655D">
            <w:pPr>
              <w:adjustRightInd w:val="0"/>
              <w:snapToGrid w:val="0"/>
              <w:spacing w:line="300" w:lineRule="exact"/>
              <w:jc w:val="center"/>
              <w:rPr>
                <w:color w:val="auto"/>
              </w:rPr>
            </w:pPr>
            <w:r>
              <w:rPr>
                <w:rFonts w:hint="eastAsia"/>
                <w:color w:val="auto"/>
              </w:rPr>
              <w:t>经化粪池暂存后由环卫部门定期清运</w:t>
            </w:r>
          </w:p>
        </w:tc>
        <w:tc>
          <w:tcPr>
            <w:tcW w:w="2869" w:type="dxa"/>
            <w:vMerge w:val="restart"/>
            <w:vAlign w:val="center"/>
          </w:tcPr>
          <w:p w14:paraId="2F535E89">
            <w:pPr>
              <w:adjustRightInd w:val="0"/>
              <w:snapToGrid w:val="0"/>
              <w:spacing w:line="300" w:lineRule="exact"/>
              <w:jc w:val="center"/>
              <w:rPr>
                <w:rFonts w:hint="eastAsia" w:eastAsia="宋体"/>
                <w:color w:val="auto"/>
                <w:lang w:val="en-US" w:eastAsia="zh-CN"/>
              </w:rPr>
            </w:pPr>
            <w:r>
              <w:rPr>
                <w:rFonts w:hint="eastAsia"/>
                <w:color w:val="auto"/>
                <w:lang w:val="en-US" w:eastAsia="zh-CN"/>
              </w:rPr>
              <w:t>/</w:t>
            </w:r>
          </w:p>
        </w:tc>
      </w:tr>
      <w:tr w14:paraId="6A4EAA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continue"/>
            <w:vAlign w:val="center"/>
          </w:tcPr>
          <w:p w14:paraId="1D32B7A7">
            <w:pPr>
              <w:adjustRightInd w:val="0"/>
              <w:snapToGrid w:val="0"/>
              <w:spacing w:line="300" w:lineRule="exact"/>
              <w:ind w:left="-103" w:leftChars="-49" w:right="-107" w:rightChars="-51"/>
              <w:jc w:val="center"/>
              <w:rPr>
                <w:color w:val="auto"/>
              </w:rPr>
            </w:pPr>
          </w:p>
        </w:tc>
        <w:tc>
          <w:tcPr>
            <w:tcW w:w="1700" w:type="dxa"/>
            <w:vMerge w:val="continue"/>
            <w:vAlign w:val="center"/>
          </w:tcPr>
          <w:p w14:paraId="7EF72251">
            <w:pPr>
              <w:adjustRightInd w:val="0"/>
              <w:snapToGrid w:val="0"/>
              <w:jc w:val="center"/>
              <w:rPr>
                <w:color w:val="auto"/>
              </w:rPr>
            </w:pPr>
          </w:p>
        </w:tc>
        <w:tc>
          <w:tcPr>
            <w:tcW w:w="1419" w:type="dxa"/>
            <w:vAlign w:val="center"/>
          </w:tcPr>
          <w:p w14:paraId="04CB62FC">
            <w:pPr>
              <w:adjustRightInd w:val="0"/>
              <w:snapToGrid w:val="0"/>
              <w:jc w:val="center"/>
              <w:rPr>
                <w:color w:val="auto"/>
              </w:rPr>
            </w:pPr>
            <w:r>
              <w:rPr>
                <w:color w:val="auto"/>
              </w:rPr>
              <w:t>BOD</w:t>
            </w:r>
            <w:r>
              <w:rPr>
                <w:color w:val="auto"/>
                <w:vertAlign w:val="subscript"/>
              </w:rPr>
              <w:t>5</w:t>
            </w:r>
          </w:p>
        </w:tc>
        <w:tc>
          <w:tcPr>
            <w:tcW w:w="1559" w:type="dxa"/>
            <w:vMerge w:val="continue"/>
            <w:vAlign w:val="center"/>
          </w:tcPr>
          <w:p w14:paraId="6F6C5D8D">
            <w:pPr>
              <w:adjustRightInd w:val="0"/>
              <w:snapToGrid w:val="0"/>
              <w:spacing w:line="300" w:lineRule="exact"/>
              <w:ind w:left="-103" w:leftChars="-49" w:right="-107" w:rightChars="-51"/>
              <w:jc w:val="center"/>
              <w:rPr>
                <w:color w:val="auto"/>
              </w:rPr>
            </w:pPr>
          </w:p>
        </w:tc>
        <w:tc>
          <w:tcPr>
            <w:tcW w:w="2869" w:type="dxa"/>
            <w:vMerge w:val="continue"/>
            <w:vAlign w:val="center"/>
          </w:tcPr>
          <w:p w14:paraId="100BBD4C">
            <w:pPr>
              <w:adjustRightInd w:val="0"/>
              <w:snapToGrid w:val="0"/>
              <w:spacing w:line="300" w:lineRule="exact"/>
              <w:ind w:left="-103" w:leftChars="-49" w:right="-107" w:rightChars="-51"/>
              <w:jc w:val="center"/>
              <w:rPr>
                <w:color w:val="auto"/>
              </w:rPr>
            </w:pPr>
          </w:p>
        </w:tc>
      </w:tr>
      <w:tr w14:paraId="5F431B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continue"/>
            <w:vAlign w:val="center"/>
          </w:tcPr>
          <w:p w14:paraId="0665F73B">
            <w:pPr>
              <w:adjustRightInd w:val="0"/>
              <w:snapToGrid w:val="0"/>
              <w:spacing w:line="300" w:lineRule="exact"/>
              <w:ind w:left="-103" w:leftChars="-49" w:right="-107" w:rightChars="-51"/>
              <w:jc w:val="center"/>
              <w:rPr>
                <w:color w:val="auto"/>
              </w:rPr>
            </w:pPr>
          </w:p>
        </w:tc>
        <w:tc>
          <w:tcPr>
            <w:tcW w:w="1700" w:type="dxa"/>
            <w:vMerge w:val="continue"/>
            <w:vAlign w:val="center"/>
          </w:tcPr>
          <w:p w14:paraId="37934C38">
            <w:pPr>
              <w:adjustRightInd w:val="0"/>
              <w:snapToGrid w:val="0"/>
              <w:jc w:val="center"/>
              <w:rPr>
                <w:color w:val="auto"/>
              </w:rPr>
            </w:pPr>
          </w:p>
        </w:tc>
        <w:tc>
          <w:tcPr>
            <w:tcW w:w="1419" w:type="dxa"/>
            <w:vAlign w:val="center"/>
          </w:tcPr>
          <w:p w14:paraId="30A4F6DE">
            <w:pPr>
              <w:adjustRightInd w:val="0"/>
              <w:snapToGrid w:val="0"/>
              <w:jc w:val="center"/>
              <w:rPr>
                <w:color w:val="auto"/>
              </w:rPr>
            </w:pPr>
            <w:r>
              <w:rPr>
                <w:color w:val="auto"/>
              </w:rPr>
              <w:t>SS</w:t>
            </w:r>
          </w:p>
        </w:tc>
        <w:tc>
          <w:tcPr>
            <w:tcW w:w="1559" w:type="dxa"/>
            <w:vMerge w:val="continue"/>
            <w:vAlign w:val="center"/>
          </w:tcPr>
          <w:p w14:paraId="43774126">
            <w:pPr>
              <w:adjustRightInd w:val="0"/>
              <w:snapToGrid w:val="0"/>
              <w:spacing w:line="300" w:lineRule="exact"/>
              <w:ind w:left="-103" w:leftChars="-49" w:right="-107" w:rightChars="-51"/>
              <w:jc w:val="center"/>
              <w:rPr>
                <w:color w:val="auto"/>
              </w:rPr>
            </w:pPr>
          </w:p>
        </w:tc>
        <w:tc>
          <w:tcPr>
            <w:tcW w:w="2869" w:type="dxa"/>
            <w:vMerge w:val="continue"/>
            <w:vAlign w:val="center"/>
          </w:tcPr>
          <w:p w14:paraId="0E8E9A1B">
            <w:pPr>
              <w:adjustRightInd w:val="0"/>
              <w:snapToGrid w:val="0"/>
              <w:spacing w:line="300" w:lineRule="exact"/>
              <w:ind w:left="-103" w:leftChars="-49" w:right="-107" w:rightChars="-51"/>
              <w:jc w:val="center"/>
              <w:rPr>
                <w:color w:val="auto"/>
              </w:rPr>
            </w:pPr>
          </w:p>
        </w:tc>
      </w:tr>
      <w:tr w14:paraId="057E50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continue"/>
            <w:vAlign w:val="center"/>
          </w:tcPr>
          <w:p w14:paraId="06EA2D0D">
            <w:pPr>
              <w:adjustRightInd w:val="0"/>
              <w:snapToGrid w:val="0"/>
              <w:spacing w:line="300" w:lineRule="exact"/>
              <w:ind w:left="-103" w:leftChars="-49" w:right="-107" w:rightChars="-51"/>
              <w:jc w:val="center"/>
              <w:rPr>
                <w:color w:val="auto"/>
              </w:rPr>
            </w:pPr>
          </w:p>
        </w:tc>
        <w:tc>
          <w:tcPr>
            <w:tcW w:w="1700" w:type="dxa"/>
            <w:vMerge w:val="continue"/>
            <w:vAlign w:val="center"/>
          </w:tcPr>
          <w:p w14:paraId="01EFD152">
            <w:pPr>
              <w:adjustRightInd w:val="0"/>
              <w:snapToGrid w:val="0"/>
              <w:jc w:val="center"/>
              <w:rPr>
                <w:color w:val="auto"/>
              </w:rPr>
            </w:pPr>
          </w:p>
        </w:tc>
        <w:tc>
          <w:tcPr>
            <w:tcW w:w="1419" w:type="dxa"/>
            <w:vAlign w:val="center"/>
          </w:tcPr>
          <w:p w14:paraId="034E3AA8">
            <w:pPr>
              <w:adjustRightInd w:val="0"/>
              <w:snapToGrid w:val="0"/>
              <w:jc w:val="center"/>
              <w:rPr>
                <w:color w:val="auto"/>
              </w:rPr>
            </w:pPr>
            <w:r>
              <w:rPr>
                <w:color w:val="auto"/>
              </w:rPr>
              <w:t>氨氮</w:t>
            </w:r>
          </w:p>
        </w:tc>
        <w:tc>
          <w:tcPr>
            <w:tcW w:w="1559" w:type="dxa"/>
            <w:vMerge w:val="continue"/>
            <w:vAlign w:val="center"/>
          </w:tcPr>
          <w:p w14:paraId="719C06FB">
            <w:pPr>
              <w:adjustRightInd w:val="0"/>
              <w:snapToGrid w:val="0"/>
              <w:spacing w:line="300" w:lineRule="exact"/>
              <w:ind w:left="-103" w:leftChars="-49" w:right="-107" w:rightChars="-51"/>
              <w:jc w:val="center"/>
              <w:rPr>
                <w:color w:val="auto"/>
              </w:rPr>
            </w:pPr>
          </w:p>
        </w:tc>
        <w:tc>
          <w:tcPr>
            <w:tcW w:w="2869" w:type="dxa"/>
            <w:vMerge w:val="continue"/>
            <w:vAlign w:val="center"/>
          </w:tcPr>
          <w:p w14:paraId="7B91B5A7">
            <w:pPr>
              <w:adjustRightInd w:val="0"/>
              <w:snapToGrid w:val="0"/>
              <w:spacing w:line="300" w:lineRule="exact"/>
              <w:ind w:left="-103" w:leftChars="-49" w:right="-107" w:rightChars="-51"/>
              <w:jc w:val="center"/>
              <w:rPr>
                <w:color w:val="auto"/>
              </w:rPr>
            </w:pPr>
          </w:p>
        </w:tc>
      </w:tr>
      <w:tr w14:paraId="08F971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continue"/>
            <w:vAlign w:val="center"/>
          </w:tcPr>
          <w:p w14:paraId="467C0831">
            <w:pPr>
              <w:adjustRightInd w:val="0"/>
              <w:snapToGrid w:val="0"/>
              <w:spacing w:line="300" w:lineRule="exact"/>
              <w:ind w:left="-103" w:leftChars="-49" w:right="-107" w:rightChars="-51"/>
              <w:jc w:val="center"/>
              <w:rPr>
                <w:color w:val="auto"/>
              </w:rPr>
            </w:pPr>
          </w:p>
        </w:tc>
        <w:tc>
          <w:tcPr>
            <w:tcW w:w="1700" w:type="dxa"/>
            <w:vMerge w:val="continue"/>
            <w:vAlign w:val="center"/>
          </w:tcPr>
          <w:p w14:paraId="45D7FD2A">
            <w:pPr>
              <w:adjustRightInd w:val="0"/>
              <w:snapToGrid w:val="0"/>
              <w:jc w:val="center"/>
              <w:rPr>
                <w:color w:val="auto"/>
              </w:rPr>
            </w:pPr>
          </w:p>
        </w:tc>
        <w:tc>
          <w:tcPr>
            <w:tcW w:w="1419" w:type="dxa"/>
            <w:shd w:val="clear" w:color="auto" w:fill="auto"/>
            <w:vAlign w:val="center"/>
          </w:tcPr>
          <w:p w14:paraId="31DE4BB2">
            <w:pPr>
              <w:adjustRightInd w:val="0"/>
              <w:snapToGrid w:val="0"/>
              <w:jc w:val="center"/>
              <w:rPr>
                <w:rFonts w:ascii="Times New Roman" w:hAnsi="Times New Roman" w:eastAsia="宋体" w:cs="Times New Roman"/>
                <w:color w:val="auto"/>
                <w:lang w:val="en-US" w:eastAsia="zh-CN"/>
              </w:rPr>
            </w:pPr>
            <w:r>
              <w:rPr>
                <w:rFonts w:ascii="Times New Roman" w:hAnsi="Times New Roman" w:eastAsia="宋体" w:cs="Times New Roman"/>
                <w:color w:val="auto"/>
              </w:rPr>
              <w:t>总磷</w:t>
            </w:r>
          </w:p>
        </w:tc>
        <w:tc>
          <w:tcPr>
            <w:tcW w:w="1559" w:type="dxa"/>
            <w:vMerge w:val="continue"/>
            <w:vAlign w:val="center"/>
          </w:tcPr>
          <w:p w14:paraId="3818E800">
            <w:pPr>
              <w:adjustRightInd w:val="0"/>
              <w:snapToGrid w:val="0"/>
              <w:spacing w:line="300" w:lineRule="exact"/>
              <w:ind w:left="-103" w:leftChars="-49" w:right="-107" w:rightChars="-51"/>
              <w:jc w:val="center"/>
              <w:rPr>
                <w:color w:val="auto"/>
              </w:rPr>
            </w:pPr>
          </w:p>
        </w:tc>
        <w:tc>
          <w:tcPr>
            <w:tcW w:w="2869" w:type="dxa"/>
            <w:vMerge w:val="continue"/>
            <w:vAlign w:val="center"/>
          </w:tcPr>
          <w:p w14:paraId="3CAC14D3">
            <w:pPr>
              <w:adjustRightInd w:val="0"/>
              <w:snapToGrid w:val="0"/>
              <w:spacing w:line="300" w:lineRule="exact"/>
              <w:ind w:left="-103" w:leftChars="-49" w:right="-107" w:rightChars="-51"/>
              <w:jc w:val="center"/>
              <w:rPr>
                <w:color w:val="auto"/>
              </w:rPr>
            </w:pPr>
          </w:p>
        </w:tc>
      </w:tr>
      <w:tr w14:paraId="124AB8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continue"/>
            <w:vAlign w:val="center"/>
          </w:tcPr>
          <w:p w14:paraId="2A51615C">
            <w:pPr>
              <w:adjustRightInd w:val="0"/>
              <w:snapToGrid w:val="0"/>
              <w:spacing w:line="300" w:lineRule="exact"/>
              <w:ind w:left="-103" w:leftChars="-49" w:right="-107" w:rightChars="-51"/>
              <w:jc w:val="center"/>
              <w:rPr>
                <w:color w:val="auto"/>
              </w:rPr>
            </w:pPr>
          </w:p>
        </w:tc>
        <w:tc>
          <w:tcPr>
            <w:tcW w:w="1700" w:type="dxa"/>
            <w:vMerge w:val="continue"/>
            <w:vAlign w:val="center"/>
          </w:tcPr>
          <w:p w14:paraId="34B174AA">
            <w:pPr>
              <w:adjustRightInd w:val="0"/>
              <w:snapToGrid w:val="0"/>
              <w:jc w:val="center"/>
              <w:rPr>
                <w:color w:val="auto"/>
              </w:rPr>
            </w:pPr>
          </w:p>
        </w:tc>
        <w:tc>
          <w:tcPr>
            <w:tcW w:w="1419" w:type="dxa"/>
            <w:shd w:val="clear" w:color="auto" w:fill="auto"/>
            <w:vAlign w:val="center"/>
          </w:tcPr>
          <w:p w14:paraId="54E76DE1">
            <w:pPr>
              <w:adjustRightInd w:val="0"/>
              <w:snapToGrid w:val="0"/>
              <w:jc w:val="center"/>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rPr>
              <w:t>动植物油</w:t>
            </w:r>
          </w:p>
        </w:tc>
        <w:tc>
          <w:tcPr>
            <w:tcW w:w="1559" w:type="dxa"/>
            <w:vMerge w:val="continue"/>
            <w:vAlign w:val="center"/>
          </w:tcPr>
          <w:p w14:paraId="07DA245F">
            <w:pPr>
              <w:adjustRightInd w:val="0"/>
              <w:snapToGrid w:val="0"/>
              <w:spacing w:line="300" w:lineRule="exact"/>
              <w:ind w:left="-103" w:leftChars="-49" w:right="-107" w:rightChars="-51"/>
              <w:jc w:val="center"/>
              <w:rPr>
                <w:color w:val="auto"/>
              </w:rPr>
            </w:pPr>
          </w:p>
        </w:tc>
        <w:tc>
          <w:tcPr>
            <w:tcW w:w="2869" w:type="dxa"/>
            <w:vMerge w:val="continue"/>
            <w:vAlign w:val="center"/>
          </w:tcPr>
          <w:p w14:paraId="4764A562">
            <w:pPr>
              <w:adjustRightInd w:val="0"/>
              <w:snapToGrid w:val="0"/>
              <w:spacing w:line="300" w:lineRule="exact"/>
              <w:ind w:left="-103" w:leftChars="-49" w:right="-107" w:rightChars="-51"/>
              <w:jc w:val="center"/>
              <w:rPr>
                <w:color w:val="auto"/>
              </w:rPr>
            </w:pPr>
          </w:p>
        </w:tc>
      </w:tr>
      <w:tr w14:paraId="7C544F8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continue"/>
            <w:vAlign w:val="center"/>
          </w:tcPr>
          <w:p w14:paraId="3BE01CB5">
            <w:pPr>
              <w:adjustRightInd w:val="0"/>
              <w:snapToGrid w:val="0"/>
              <w:spacing w:line="300" w:lineRule="exact"/>
              <w:ind w:left="-103" w:leftChars="-49" w:right="-107" w:rightChars="-51"/>
              <w:jc w:val="center"/>
              <w:rPr>
                <w:color w:val="auto"/>
              </w:rPr>
            </w:pPr>
          </w:p>
        </w:tc>
        <w:tc>
          <w:tcPr>
            <w:tcW w:w="1700" w:type="dxa"/>
            <w:vMerge w:val="restart"/>
            <w:vAlign w:val="center"/>
          </w:tcPr>
          <w:p w14:paraId="0B860119">
            <w:pPr>
              <w:adjustRightInd w:val="0"/>
              <w:snapToGrid w:val="0"/>
              <w:jc w:val="center"/>
              <w:rPr>
                <w:rFonts w:hint="eastAsia" w:eastAsia="宋体"/>
                <w:color w:val="auto"/>
                <w:lang w:val="en-US" w:eastAsia="zh-CN"/>
              </w:rPr>
            </w:pPr>
            <w:r>
              <w:rPr>
                <w:rFonts w:hint="eastAsia" w:eastAsia="宋体"/>
                <w:color w:val="auto"/>
                <w:lang w:val="en-US" w:eastAsia="zh-CN"/>
              </w:rPr>
              <w:t>离心废水</w:t>
            </w:r>
            <w:r>
              <w:rPr>
                <w:rFonts w:hint="eastAsia"/>
                <w:color w:val="auto"/>
                <w:lang w:val="en-US" w:eastAsia="zh-CN"/>
              </w:rPr>
              <w:t>、酸雾吸收废水</w:t>
            </w:r>
          </w:p>
        </w:tc>
        <w:tc>
          <w:tcPr>
            <w:tcW w:w="1419" w:type="dxa"/>
            <w:shd w:val="clear" w:color="auto" w:fill="auto"/>
            <w:vAlign w:val="center"/>
          </w:tcPr>
          <w:p w14:paraId="180C32B5">
            <w:pPr>
              <w:adjustRightInd w:val="0"/>
              <w:snapToGrid w:val="0"/>
              <w:spacing w:line="240" w:lineRule="auto"/>
              <w:contextualSpacing w:val="0"/>
              <w:jc w:val="center"/>
              <w:rPr>
                <w:rFonts w:ascii="Times New Roman" w:hAnsi="Times New Roman" w:eastAsia="宋体" w:cs="Times New Roman"/>
                <w:color w:val="auto"/>
                <w:kern w:val="2"/>
                <w:sz w:val="21"/>
                <w:szCs w:val="21"/>
                <w:lang w:val="en-US" w:eastAsia="zh-CN" w:bidi="ar-SA"/>
              </w:rPr>
            </w:pPr>
            <w:r>
              <w:rPr>
                <w:rFonts w:ascii="Times New Roman" w:hAnsi="Times New Roman" w:eastAsia="宋体" w:cs="Times New Roman"/>
                <w:color w:val="auto"/>
                <w:kern w:val="2"/>
                <w:sz w:val="21"/>
                <w:szCs w:val="21"/>
              </w:rPr>
              <w:t>全盐量</w:t>
            </w:r>
          </w:p>
        </w:tc>
        <w:tc>
          <w:tcPr>
            <w:tcW w:w="1559" w:type="dxa"/>
            <w:vMerge w:val="restart"/>
            <w:vAlign w:val="center"/>
          </w:tcPr>
          <w:p w14:paraId="69FCD435">
            <w:pPr>
              <w:adjustRightInd w:val="0"/>
              <w:snapToGrid w:val="0"/>
              <w:spacing w:line="240" w:lineRule="auto"/>
              <w:ind w:left="0" w:leftChars="0" w:right="0" w:rightChars="0"/>
              <w:jc w:val="center"/>
              <w:rPr>
                <w:rFonts w:ascii="Times New Roman" w:hAnsi="Times New Roman" w:eastAsia="宋体" w:cs="Times New Roman"/>
                <w:color w:val="auto"/>
              </w:rPr>
            </w:pPr>
            <w:r>
              <w:rPr>
                <w:rFonts w:hint="default" w:ascii="Times New Roman" w:hAnsi="Times New Roman" w:eastAsia="宋体" w:cs="Times New Roman"/>
                <w:color w:val="auto"/>
              </w:rPr>
              <w:t>经厂内污水处理站中和、多效蒸发器蒸发出来的蒸汽经冷凝后回用于预热分离用水和地面清扫用水</w:t>
            </w:r>
          </w:p>
        </w:tc>
        <w:tc>
          <w:tcPr>
            <w:tcW w:w="2869" w:type="dxa"/>
            <w:vMerge w:val="continue"/>
            <w:vAlign w:val="center"/>
          </w:tcPr>
          <w:p w14:paraId="48A8284E">
            <w:pPr>
              <w:adjustRightInd w:val="0"/>
              <w:snapToGrid w:val="0"/>
              <w:spacing w:line="300" w:lineRule="exact"/>
              <w:ind w:left="-103" w:leftChars="-49" w:right="-107" w:rightChars="-51"/>
              <w:jc w:val="center"/>
              <w:rPr>
                <w:color w:val="auto"/>
              </w:rPr>
            </w:pPr>
          </w:p>
        </w:tc>
      </w:tr>
      <w:tr w14:paraId="52605D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8" w:hRule="atLeast"/>
          <w:jc w:val="center"/>
        </w:trPr>
        <w:tc>
          <w:tcPr>
            <w:tcW w:w="1255" w:type="dxa"/>
            <w:vMerge w:val="continue"/>
            <w:vAlign w:val="center"/>
          </w:tcPr>
          <w:p w14:paraId="143EB12A">
            <w:pPr>
              <w:adjustRightInd w:val="0"/>
              <w:snapToGrid w:val="0"/>
              <w:spacing w:line="300" w:lineRule="exact"/>
              <w:ind w:left="-103" w:leftChars="-49" w:right="-107" w:rightChars="-51"/>
              <w:jc w:val="center"/>
              <w:rPr>
                <w:color w:val="auto"/>
              </w:rPr>
            </w:pPr>
          </w:p>
        </w:tc>
        <w:tc>
          <w:tcPr>
            <w:tcW w:w="1700" w:type="dxa"/>
            <w:vMerge w:val="continue"/>
            <w:vAlign w:val="center"/>
          </w:tcPr>
          <w:p w14:paraId="69A6084E">
            <w:pPr>
              <w:adjustRightInd w:val="0"/>
              <w:snapToGrid w:val="0"/>
              <w:jc w:val="center"/>
              <w:rPr>
                <w:color w:val="auto"/>
              </w:rPr>
            </w:pPr>
          </w:p>
        </w:tc>
        <w:tc>
          <w:tcPr>
            <w:tcW w:w="1419" w:type="dxa"/>
            <w:shd w:val="clear" w:color="auto" w:fill="auto"/>
            <w:vAlign w:val="center"/>
          </w:tcPr>
          <w:p w14:paraId="0AEA1D5F">
            <w:pPr>
              <w:adjustRightInd w:val="0"/>
              <w:snapToGrid w:val="0"/>
              <w:spacing w:line="240" w:lineRule="auto"/>
              <w:contextualSpacing w:val="0"/>
              <w:jc w:val="center"/>
              <w:rPr>
                <w:rFonts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rPr>
              <w:t>氯化物</w:t>
            </w:r>
          </w:p>
        </w:tc>
        <w:tc>
          <w:tcPr>
            <w:tcW w:w="1559" w:type="dxa"/>
            <w:vMerge w:val="continue"/>
            <w:vAlign w:val="center"/>
          </w:tcPr>
          <w:p w14:paraId="2189C882">
            <w:pPr>
              <w:adjustRightInd w:val="0"/>
              <w:snapToGrid w:val="0"/>
              <w:spacing w:line="240" w:lineRule="auto"/>
              <w:ind w:left="0" w:leftChars="0" w:right="0" w:rightChars="0"/>
              <w:jc w:val="center"/>
              <w:rPr>
                <w:rFonts w:ascii="Times New Roman" w:hAnsi="Times New Roman" w:eastAsia="宋体" w:cs="Times New Roman"/>
                <w:color w:val="auto"/>
              </w:rPr>
            </w:pPr>
          </w:p>
        </w:tc>
        <w:tc>
          <w:tcPr>
            <w:tcW w:w="2869" w:type="dxa"/>
            <w:vMerge w:val="continue"/>
            <w:vAlign w:val="center"/>
          </w:tcPr>
          <w:p w14:paraId="0D91A6D4">
            <w:pPr>
              <w:adjustRightInd w:val="0"/>
              <w:snapToGrid w:val="0"/>
              <w:spacing w:line="300" w:lineRule="exact"/>
              <w:ind w:left="-103" w:leftChars="-49" w:right="-107" w:rightChars="-51"/>
              <w:jc w:val="center"/>
              <w:rPr>
                <w:color w:val="auto"/>
              </w:rPr>
            </w:pPr>
          </w:p>
        </w:tc>
      </w:tr>
      <w:tr w14:paraId="44FFFB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5" w:type="dxa"/>
            <w:vAlign w:val="center"/>
          </w:tcPr>
          <w:p w14:paraId="65CAB5F9">
            <w:pPr>
              <w:adjustRightInd w:val="0"/>
              <w:snapToGrid w:val="0"/>
              <w:spacing w:line="300" w:lineRule="exact"/>
              <w:jc w:val="center"/>
              <w:rPr>
                <w:color w:val="auto"/>
              </w:rPr>
            </w:pPr>
            <w:r>
              <w:rPr>
                <w:color w:val="auto"/>
              </w:rPr>
              <w:t>声环境</w:t>
            </w:r>
          </w:p>
        </w:tc>
        <w:tc>
          <w:tcPr>
            <w:tcW w:w="1700" w:type="dxa"/>
            <w:vAlign w:val="center"/>
          </w:tcPr>
          <w:p w14:paraId="20B7CF33">
            <w:pPr>
              <w:adjustRightInd w:val="0"/>
              <w:snapToGrid w:val="0"/>
              <w:spacing w:line="300" w:lineRule="exact"/>
              <w:jc w:val="center"/>
              <w:rPr>
                <w:color w:val="auto"/>
              </w:rPr>
            </w:pPr>
            <w:r>
              <w:rPr>
                <w:color w:val="auto"/>
              </w:rPr>
              <w:t>产噪设备及车间</w:t>
            </w:r>
          </w:p>
        </w:tc>
        <w:tc>
          <w:tcPr>
            <w:tcW w:w="1419" w:type="dxa"/>
            <w:vAlign w:val="center"/>
          </w:tcPr>
          <w:p w14:paraId="4D4039B0">
            <w:pPr>
              <w:adjustRightInd w:val="0"/>
              <w:snapToGrid w:val="0"/>
              <w:spacing w:line="300" w:lineRule="exact"/>
              <w:jc w:val="center"/>
              <w:rPr>
                <w:color w:val="auto"/>
              </w:rPr>
            </w:pPr>
            <w:r>
              <w:rPr>
                <w:color w:val="auto"/>
              </w:rPr>
              <w:t>dB（A）</w:t>
            </w:r>
          </w:p>
        </w:tc>
        <w:tc>
          <w:tcPr>
            <w:tcW w:w="1559" w:type="dxa"/>
            <w:vAlign w:val="center"/>
          </w:tcPr>
          <w:p w14:paraId="3529A7BB">
            <w:pPr>
              <w:adjustRightInd w:val="0"/>
              <w:snapToGrid w:val="0"/>
              <w:spacing w:line="300" w:lineRule="exact"/>
              <w:jc w:val="center"/>
              <w:rPr>
                <w:color w:val="auto"/>
              </w:rPr>
            </w:pPr>
            <w:r>
              <w:rPr>
                <w:color w:val="auto"/>
              </w:rPr>
              <w:t>减震、隔声、室内布置</w:t>
            </w:r>
          </w:p>
        </w:tc>
        <w:tc>
          <w:tcPr>
            <w:tcW w:w="2869" w:type="dxa"/>
            <w:vAlign w:val="center"/>
          </w:tcPr>
          <w:p w14:paraId="6AD0C533">
            <w:pPr>
              <w:adjustRightInd w:val="0"/>
              <w:snapToGrid w:val="0"/>
              <w:spacing w:line="300" w:lineRule="exact"/>
              <w:jc w:val="center"/>
              <w:rPr>
                <w:color w:val="auto"/>
              </w:rPr>
            </w:pPr>
            <w:r>
              <w:rPr>
                <w:color w:val="auto"/>
              </w:rPr>
              <w:t>符合《工业企业厂界环境噪声排放标准》（GB12348-2008）2类标准</w:t>
            </w:r>
          </w:p>
        </w:tc>
      </w:tr>
      <w:tr w14:paraId="212663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5" w:type="dxa"/>
            <w:vAlign w:val="center"/>
          </w:tcPr>
          <w:p w14:paraId="67ABAB73">
            <w:pPr>
              <w:adjustRightInd w:val="0"/>
              <w:snapToGrid w:val="0"/>
              <w:spacing w:line="300" w:lineRule="exact"/>
              <w:jc w:val="center"/>
              <w:rPr>
                <w:color w:val="auto"/>
              </w:rPr>
            </w:pPr>
            <w:r>
              <w:rPr>
                <w:color w:val="auto"/>
              </w:rPr>
              <w:t>电磁辐射</w:t>
            </w:r>
          </w:p>
        </w:tc>
        <w:tc>
          <w:tcPr>
            <w:tcW w:w="1700" w:type="dxa"/>
            <w:vAlign w:val="center"/>
          </w:tcPr>
          <w:p w14:paraId="5CDDCFD1">
            <w:pPr>
              <w:adjustRightInd w:val="0"/>
              <w:snapToGrid w:val="0"/>
              <w:spacing w:line="300" w:lineRule="exact"/>
              <w:jc w:val="center"/>
              <w:rPr>
                <w:color w:val="auto"/>
              </w:rPr>
            </w:pPr>
            <w:r>
              <w:rPr>
                <w:color w:val="auto"/>
              </w:rPr>
              <w:t>—</w:t>
            </w:r>
          </w:p>
        </w:tc>
        <w:tc>
          <w:tcPr>
            <w:tcW w:w="1419" w:type="dxa"/>
          </w:tcPr>
          <w:p w14:paraId="59C09F2C">
            <w:pPr>
              <w:adjustRightInd w:val="0"/>
              <w:snapToGrid w:val="0"/>
              <w:spacing w:line="300" w:lineRule="exact"/>
              <w:jc w:val="center"/>
              <w:rPr>
                <w:color w:val="auto"/>
              </w:rPr>
            </w:pPr>
            <w:r>
              <w:rPr>
                <w:color w:val="auto"/>
              </w:rPr>
              <w:t>—</w:t>
            </w:r>
          </w:p>
        </w:tc>
        <w:tc>
          <w:tcPr>
            <w:tcW w:w="1559" w:type="dxa"/>
          </w:tcPr>
          <w:p w14:paraId="6E560CA6">
            <w:pPr>
              <w:adjustRightInd w:val="0"/>
              <w:snapToGrid w:val="0"/>
              <w:spacing w:line="300" w:lineRule="exact"/>
              <w:jc w:val="center"/>
              <w:rPr>
                <w:color w:val="auto"/>
              </w:rPr>
            </w:pPr>
            <w:r>
              <w:rPr>
                <w:color w:val="auto"/>
              </w:rPr>
              <w:t>—</w:t>
            </w:r>
          </w:p>
        </w:tc>
        <w:tc>
          <w:tcPr>
            <w:tcW w:w="2869" w:type="dxa"/>
          </w:tcPr>
          <w:p w14:paraId="6E7D37AC">
            <w:pPr>
              <w:adjustRightInd w:val="0"/>
              <w:snapToGrid w:val="0"/>
              <w:spacing w:line="300" w:lineRule="exact"/>
              <w:jc w:val="center"/>
              <w:rPr>
                <w:color w:val="auto"/>
              </w:rPr>
            </w:pPr>
            <w:r>
              <w:rPr>
                <w:color w:val="auto"/>
              </w:rPr>
              <w:t>—</w:t>
            </w:r>
          </w:p>
        </w:tc>
      </w:tr>
      <w:tr w14:paraId="681405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1255" w:type="dxa"/>
            <w:vAlign w:val="center"/>
          </w:tcPr>
          <w:p w14:paraId="47F09A1E">
            <w:pPr>
              <w:adjustRightInd w:val="0"/>
              <w:snapToGrid w:val="0"/>
              <w:spacing w:line="300" w:lineRule="exact"/>
              <w:jc w:val="center"/>
              <w:rPr>
                <w:color w:val="auto"/>
              </w:rPr>
            </w:pPr>
            <w:r>
              <w:rPr>
                <w:color w:val="auto"/>
              </w:rPr>
              <w:t>固体废物</w:t>
            </w:r>
          </w:p>
        </w:tc>
        <w:tc>
          <w:tcPr>
            <w:tcW w:w="7547" w:type="dxa"/>
            <w:gridSpan w:val="4"/>
            <w:vAlign w:val="center"/>
          </w:tcPr>
          <w:p w14:paraId="5596C234">
            <w:pPr>
              <w:autoSpaceDE w:val="0"/>
              <w:autoSpaceDN w:val="0"/>
              <w:adjustRightInd w:val="0"/>
              <w:spacing w:line="300" w:lineRule="exact"/>
              <w:ind w:firstLine="420" w:firstLineChars="200"/>
              <w:rPr>
                <w:color w:val="auto"/>
                <w:lang w:val="zh-CN"/>
              </w:rPr>
            </w:pPr>
            <w:r>
              <w:rPr>
                <w:color w:val="auto"/>
              </w:rPr>
              <w:t>固体废物管理台账，废弃物的运输登记，危险废物转移联单</w:t>
            </w:r>
          </w:p>
        </w:tc>
      </w:tr>
      <w:tr w14:paraId="764D17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255" w:type="dxa"/>
            <w:vAlign w:val="center"/>
          </w:tcPr>
          <w:p w14:paraId="1EA6F8EB">
            <w:pPr>
              <w:adjustRightInd w:val="0"/>
              <w:snapToGrid w:val="0"/>
              <w:spacing w:line="300" w:lineRule="exact"/>
              <w:ind w:left="-128" w:leftChars="-61" w:right="-107" w:rightChars="-51" w:firstLine="128" w:firstLineChars="61"/>
              <w:jc w:val="center"/>
              <w:rPr>
                <w:color w:val="auto"/>
              </w:rPr>
            </w:pPr>
            <w:r>
              <w:rPr>
                <w:color w:val="auto"/>
              </w:rPr>
              <w:t>土壤及地下水污染防治措施</w:t>
            </w:r>
          </w:p>
        </w:tc>
        <w:tc>
          <w:tcPr>
            <w:tcW w:w="7547" w:type="dxa"/>
            <w:gridSpan w:val="4"/>
            <w:vAlign w:val="center"/>
          </w:tcPr>
          <w:p w14:paraId="78DE0735">
            <w:pPr>
              <w:autoSpaceDE w:val="0"/>
              <w:autoSpaceDN w:val="0"/>
              <w:adjustRightInd w:val="0"/>
              <w:spacing w:line="300" w:lineRule="exact"/>
              <w:ind w:firstLine="420" w:firstLineChars="200"/>
              <w:jc w:val="center"/>
              <w:rPr>
                <w:color w:val="auto"/>
              </w:rPr>
            </w:pPr>
            <w:r>
              <w:rPr>
                <w:color w:val="auto"/>
              </w:rPr>
              <w:t>采取分区防渗措施，其中重点防渗区，设置不低于6.0m厚渗透系数为1.0</w:t>
            </w:r>
            <w:r>
              <w:rPr>
                <w:color w:val="auto"/>
                <w:sz w:val="18"/>
                <w:szCs w:val="18"/>
              </w:rPr>
              <w:t>×</w:t>
            </w:r>
            <w:r>
              <w:rPr>
                <w:color w:val="auto"/>
              </w:rPr>
              <w:t>10</w:t>
            </w:r>
            <w:r>
              <w:rPr>
                <w:color w:val="auto"/>
                <w:vertAlign w:val="superscript"/>
              </w:rPr>
              <w:t>-7</w:t>
            </w:r>
            <w:r>
              <w:rPr>
                <w:color w:val="auto"/>
              </w:rPr>
              <w:t>cm/s的黏土层的防渗性能；一般防渗区，设置不低于1.5m厚渗透系数为1.0</w:t>
            </w:r>
            <w:r>
              <w:rPr>
                <w:color w:val="auto"/>
                <w:sz w:val="18"/>
                <w:szCs w:val="18"/>
              </w:rPr>
              <w:t>×</w:t>
            </w:r>
            <w:r>
              <w:rPr>
                <w:color w:val="auto"/>
              </w:rPr>
              <w:t>10</w:t>
            </w:r>
            <w:r>
              <w:rPr>
                <w:color w:val="auto"/>
                <w:vertAlign w:val="superscript"/>
              </w:rPr>
              <w:t>-7</w:t>
            </w:r>
            <w:r>
              <w:rPr>
                <w:color w:val="auto"/>
              </w:rPr>
              <w:t>cm/s的黏土层的防渗性能；其他区域采取硬化等简单防渗。</w:t>
            </w:r>
          </w:p>
        </w:tc>
      </w:tr>
      <w:tr w14:paraId="58D007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55" w:type="dxa"/>
            <w:vAlign w:val="center"/>
          </w:tcPr>
          <w:p w14:paraId="6FBE382E">
            <w:pPr>
              <w:adjustRightInd w:val="0"/>
              <w:snapToGrid w:val="0"/>
              <w:spacing w:line="300" w:lineRule="exact"/>
              <w:ind w:left="-128" w:leftChars="-61" w:right="-107" w:rightChars="-51" w:firstLine="128" w:firstLineChars="61"/>
              <w:jc w:val="center"/>
              <w:rPr>
                <w:color w:val="auto"/>
              </w:rPr>
            </w:pPr>
            <w:r>
              <w:rPr>
                <w:color w:val="auto"/>
              </w:rPr>
              <w:t>生态保护措施</w:t>
            </w:r>
          </w:p>
        </w:tc>
        <w:tc>
          <w:tcPr>
            <w:tcW w:w="7547" w:type="dxa"/>
            <w:gridSpan w:val="4"/>
            <w:vAlign w:val="center"/>
          </w:tcPr>
          <w:p w14:paraId="692FC708">
            <w:pPr>
              <w:adjustRightInd w:val="0"/>
              <w:snapToGrid w:val="0"/>
              <w:spacing w:line="300" w:lineRule="exact"/>
              <w:jc w:val="center"/>
              <w:rPr>
                <w:color w:val="auto"/>
              </w:rPr>
            </w:pPr>
            <w:r>
              <w:rPr>
                <w:color w:val="auto"/>
              </w:rPr>
              <w:t>加强绿化</w:t>
            </w:r>
          </w:p>
        </w:tc>
      </w:tr>
      <w:tr w14:paraId="2FCCDC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255" w:type="dxa"/>
            <w:vAlign w:val="center"/>
          </w:tcPr>
          <w:p w14:paraId="19C5CA10">
            <w:pPr>
              <w:adjustRightInd w:val="0"/>
              <w:snapToGrid w:val="0"/>
              <w:spacing w:line="300" w:lineRule="exact"/>
              <w:jc w:val="center"/>
              <w:rPr>
                <w:color w:val="auto"/>
                <w:spacing w:val="-8"/>
              </w:rPr>
            </w:pPr>
            <w:r>
              <w:rPr>
                <w:color w:val="auto"/>
                <w:spacing w:val="-8"/>
              </w:rPr>
              <w:t>环境风险</w:t>
            </w:r>
          </w:p>
          <w:p w14:paraId="6C4A42C6">
            <w:pPr>
              <w:adjustRightInd w:val="0"/>
              <w:snapToGrid w:val="0"/>
              <w:spacing w:line="300" w:lineRule="exact"/>
              <w:jc w:val="center"/>
              <w:rPr>
                <w:color w:val="auto"/>
                <w:spacing w:val="-8"/>
              </w:rPr>
            </w:pPr>
            <w:r>
              <w:rPr>
                <w:color w:val="auto"/>
                <w:spacing w:val="-8"/>
              </w:rPr>
              <w:t>防范措施</w:t>
            </w:r>
          </w:p>
        </w:tc>
        <w:tc>
          <w:tcPr>
            <w:tcW w:w="7547" w:type="dxa"/>
            <w:gridSpan w:val="4"/>
            <w:vAlign w:val="center"/>
          </w:tcPr>
          <w:p w14:paraId="1A998925">
            <w:pPr>
              <w:spacing w:line="300" w:lineRule="exact"/>
              <w:ind w:firstLine="420" w:firstLineChars="200"/>
              <w:rPr>
                <w:rFonts w:hint="eastAsia"/>
                <w:bCs/>
                <w:color w:val="auto"/>
                <w:lang w:eastAsia="zh-CN"/>
              </w:rPr>
            </w:pPr>
            <w:r>
              <w:rPr>
                <w:rFonts w:hint="eastAsia"/>
                <w:bCs/>
                <w:color w:val="auto"/>
                <w:lang w:eastAsia="zh-CN"/>
              </w:rPr>
              <w:t>1）火灾事故防范措施</w:t>
            </w:r>
          </w:p>
          <w:p w14:paraId="253155D9">
            <w:pPr>
              <w:spacing w:line="300" w:lineRule="exact"/>
              <w:ind w:firstLine="420" w:firstLineChars="200"/>
              <w:rPr>
                <w:rFonts w:hint="eastAsia"/>
                <w:bCs/>
                <w:color w:val="auto"/>
                <w:lang w:eastAsia="zh-CN"/>
              </w:rPr>
            </w:pPr>
            <w:r>
              <w:rPr>
                <w:rFonts w:hint="eastAsia"/>
                <w:bCs/>
                <w:color w:val="auto"/>
                <w:lang w:eastAsia="zh-CN"/>
              </w:rPr>
              <w:t>严格按照有关建筑防火规范和《爆炸危险环境电力装置设计规范》进行设计；加大宣传教育力度，增强工作人员的整体消防安全意识。参加社会消防安全知识培训，提高广大职工的消防安全意识，使其掌握防火、灭火、逃生的基础知识；制定安全生产管理制度，严禁厂区吸烟和使用明火。电线必须穿管敷设，禁止临时随意拉接。车间内须使用排气风扇，加强通风；禁止无关人员进入车间，车间内严禁堆放杂物。制定和落实消防器材检查、维护保养制度，及时更换、维修消防栓、灭火器、水带等，使其始终处于完好状态。</w:t>
            </w:r>
          </w:p>
          <w:p w14:paraId="44D34B6F">
            <w:pPr>
              <w:spacing w:line="300" w:lineRule="exact"/>
              <w:ind w:firstLine="420" w:firstLineChars="200"/>
              <w:rPr>
                <w:rFonts w:hint="eastAsia"/>
                <w:bCs/>
                <w:color w:val="auto"/>
                <w:lang w:eastAsia="zh-CN"/>
              </w:rPr>
            </w:pPr>
            <w:r>
              <w:rPr>
                <w:rFonts w:hint="eastAsia"/>
                <w:bCs/>
                <w:color w:val="auto"/>
                <w:lang w:eastAsia="zh-CN"/>
              </w:rPr>
              <w:t>2）大气环境风险防范措施</w:t>
            </w:r>
          </w:p>
          <w:p w14:paraId="56375B47">
            <w:pPr>
              <w:spacing w:line="300" w:lineRule="exact"/>
              <w:ind w:firstLine="420" w:firstLineChars="200"/>
              <w:rPr>
                <w:rFonts w:hint="eastAsia"/>
                <w:bCs/>
                <w:color w:val="auto"/>
                <w:lang w:eastAsia="zh-CN"/>
              </w:rPr>
            </w:pPr>
            <w:r>
              <w:rPr>
                <w:rFonts w:hint="eastAsia"/>
                <w:bCs/>
                <w:color w:val="auto"/>
                <w:lang w:eastAsia="zh-CN"/>
              </w:rPr>
              <w:t>①在车间内设置有气体泄漏报警器，报警信号传输到值班室。</w:t>
            </w:r>
          </w:p>
          <w:p w14:paraId="309BA9BA">
            <w:pPr>
              <w:spacing w:line="300" w:lineRule="exact"/>
              <w:ind w:firstLine="420" w:firstLineChars="200"/>
              <w:rPr>
                <w:rFonts w:hint="eastAsia"/>
                <w:bCs/>
                <w:color w:val="auto"/>
                <w:lang w:eastAsia="zh-CN"/>
              </w:rPr>
            </w:pPr>
            <w:r>
              <w:rPr>
                <w:rFonts w:hint="eastAsia"/>
                <w:bCs/>
                <w:color w:val="auto"/>
                <w:lang w:eastAsia="zh-CN"/>
              </w:rPr>
              <w:t>②车间外配套风向仪，用于观测准确风向，当发生气体泄漏事故时，组织人员向事故发生源上风向疏散，以减少对人群的伤害。</w:t>
            </w:r>
          </w:p>
          <w:p w14:paraId="4C1F73F2">
            <w:pPr>
              <w:spacing w:line="300" w:lineRule="exact"/>
              <w:ind w:firstLine="420" w:firstLineChars="200"/>
              <w:rPr>
                <w:rFonts w:hint="eastAsia"/>
                <w:bCs/>
                <w:color w:val="auto"/>
                <w:lang w:eastAsia="zh-CN"/>
              </w:rPr>
            </w:pPr>
            <w:r>
              <w:rPr>
                <w:rFonts w:hint="eastAsia"/>
                <w:bCs/>
                <w:color w:val="auto"/>
                <w:lang w:eastAsia="zh-CN"/>
              </w:rPr>
              <w:t>③对设备、法兰等的密封性经常进行检查，防止气体泄漏现象的发生。</w:t>
            </w:r>
          </w:p>
          <w:p w14:paraId="79F9F085">
            <w:pPr>
              <w:spacing w:line="300" w:lineRule="exact"/>
              <w:ind w:firstLine="420" w:firstLineChars="200"/>
              <w:rPr>
                <w:rFonts w:hint="eastAsia"/>
                <w:bCs/>
                <w:color w:val="auto"/>
                <w:lang w:eastAsia="zh-CN"/>
              </w:rPr>
            </w:pPr>
            <w:r>
              <w:rPr>
                <w:rFonts w:hint="eastAsia"/>
                <w:bCs/>
                <w:color w:val="auto"/>
                <w:lang w:eastAsia="zh-CN"/>
              </w:rPr>
              <w:t>④制定规范的操作规程，并严格管理，生产人员应持证上岗。</w:t>
            </w:r>
          </w:p>
          <w:p w14:paraId="342FDE1F">
            <w:pPr>
              <w:spacing w:line="300" w:lineRule="exact"/>
              <w:ind w:firstLine="420" w:firstLineChars="200"/>
              <w:rPr>
                <w:rFonts w:hint="eastAsia"/>
                <w:bCs/>
                <w:color w:val="auto"/>
                <w:lang w:eastAsia="zh-CN"/>
              </w:rPr>
            </w:pPr>
            <w:r>
              <w:rPr>
                <w:rFonts w:hint="eastAsia"/>
                <w:bCs/>
                <w:color w:val="auto"/>
                <w:lang w:eastAsia="zh-CN"/>
              </w:rPr>
              <w:t>3）水环境风险防范措施</w:t>
            </w:r>
          </w:p>
          <w:p w14:paraId="128593B9">
            <w:pPr>
              <w:spacing w:line="300" w:lineRule="exact"/>
              <w:ind w:firstLine="420" w:firstLineChars="200"/>
              <w:rPr>
                <w:bCs/>
                <w:color w:val="auto"/>
              </w:rPr>
            </w:pPr>
            <w:r>
              <w:rPr>
                <w:rFonts w:hint="eastAsia"/>
                <w:bCs/>
                <w:color w:val="auto"/>
                <w:lang w:eastAsia="zh-CN"/>
              </w:rPr>
              <w:t>项目危废暂存间严格落实《危险废物贮存污染控制标准》（GB18597-2023）要求，需设置有事故水池等泄漏液收集系统，且进行防渗处理，确保事故时泄漏物质不会通过渗透和地表径流污染地下水和地表水。</w:t>
            </w:r>
          </w:p>
        </w:tc>
      </w:tr>
      <w:tr w14:paraId="17B66E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3" w:hRule="atLeast"/>
          <w:jc w:val="center"/>
        </w:trPr>
        <w:tc>
          <w:tcPr>
            <w:tcW w:w="1255" w:type="dxa"/>
            <w:vAlign w:val="center"/>
          </w:tcPr>
          <w:p w14:paraId="362E5BC4">
            <w:pPr>
              <w:adjustRightInd w:val="0"/>
              <w:snapToGrid w:val="0"/>
              <w:spacing w:line="300" w:lineRule="exact"/>
              <w:jc w:val="center"/>
              <w:rPr>
                <w:color w:val="auto"/>
                <w:spacing w:val="-8"/>
              </w:rPr>
            </w:pPr>
            <w:r>
              <w:rPr>
                <w:color w:val="auto"/>
                <w:spacing w:val="-8"/>
              </w:rPr>
              <w:t>其他环境</w:t>
            </w:r>
          </w:p>
          <w:p w14:paraId="60E09F55">
            <w:pPr>
              <w:adjustRightInd w:val="0"/>
              <w:snapToGrid w:val="0"/>
              <w:spacing w:line="300" w:lineRule="exact"/>
              <w:jc w:val="center"/>
              <w:rPr>
                <w:color w:val="auto"/>
                <w:spacing w:val="-8"/>
              </w:rPr>
            </w:pPr>
            <w:r>
              <w:rPr>
                <w:color w:val="auto"/>
                <w:spacing w:val="-8"/>
              </w:rPr>
              <w:t>管理要求</w:t>
            </w:r>
          </w:p>
        </w:tc>
        <w:tc>
          <w:tcPr>
            <w:tcW w:w="7547" w:type="dxa"/>
            <w:gridSpan w:val="4"/>
            <w:vAlign w:val="center"/>
          </w:tcPr>
          <w:p w14:paraId="2991F773">
            <w:pPr>
              <w:adjustRightInd w:val="0"/>
              <w:snapToGrid w:val="0"/>
              <w:spacing w:line="300" w:lineRule="exact"/>
              <w:ind w:firstLine="420" w:firstLineChars="200"/>
              <w:rPr>
                <w:color w:val="auto"/>
              </w:rPr>
            </w:pPr>
            <w:r>
              <w:rPr>
                <w:color w:val="auto"/>
              </w:rPr>
              <w:t>①严格按照国家有关建设项目环保管理规定，各类污染物的排放应执行本次环评规定的标准。</w:t>
            </w:r>
          </w:p>
          <w:p w14:paraId="52977E2E">
            <w:pPr>
              <w:adjustRightInd w:val="0"/>
              <w:snapToGrid w:val="0"/>
              <w:spacing w:line="300" w:lineRule="exact"/>
              <w:ind w:firstLine="420" w:firstLineChars="200"/>
              <w:rPr>
                <w:color w:val="auto"/>
              </w:rPr>
            </w:pPr>
            <w:r>
              <w:rPr>
                <w:color w:val="auto"/>
              </w:rPr>
              <w:t>②确保所用原辅材料为符合环保要求的产品。</w:t>
            </w:r>
          </w:p>
          <w:p w14:paraId="3F50A453">
            <w:pPr>
              <w:adjustRightInd w:val="0"/>
              <w:snapToGrid w:val="0"/>
              <w:spacing w:line="300" w:lineRule="exact"/>
              <w:ind w:firstLine="420" w:firstLineChars="200"/>
              <w:rPr>
                <w:color w:val="auto"/>
              </w:rPr>
            </w:pPr>
            <w:r>
              <w:rPr>
                <w:color w:val="auto"/>
              </w:rPr>
              <w:t>③对涉及风险物质设施定期检查，确定其可以长期稳定运行。</w:t>
            </w:r>
          </w:p>
          <w:p w14:paraId="03E4CC69">
            <w:pPr>
              <w:adjustRightInd w:val="0"/>
              <w:snapToGrid w:val="0"/>
              <w:spacing w:line="300" w:lineRule="exact"/>
              <w:ind w:firstLine="420" w:firstLineChars="200"/>
              <w:rPr>
                <w:color w:val="auto"/>
              </w:rPr>
            </w:pPr>
            <w:r>
              <w:rPr>
                <w:color w:val="auto"/>
              </w:rPr>
              <w:t>④加强职工宣传教育，制定环保管理制度并严格执行。</w:t>
            </w:r>
          </w:p>
          <w:p w14:paraId="6536093C">
            <w:pPr>
              <w:adjustRightInd w:val="0"/>
              <w:snapToGrid w:val="0"/>
              <w:spacing w:line="300" w:lineRule="exact"/>
              <w:ind w:firstLine="420" w:firstLineChars="200"/>
              <w:rPr>
                <w:color w:val="auto"/>
              </w:rPr>
            </w:pPr>
            <w:r>
              <w:rPr>
                <w:color w:val="auto"/>
              </w:rPr>
              <w:t>⑤严格按照环评要求进行例行监测。</w:t>
            </w:r>
          </w:p>
          <w:p w14:paraId="0A0C7D0F">
            <w:pPr>
              <w:adjustRightInd w:val="0"/>
              <w:snapToGrid w:val="0"/>
              <w:spacing w:line="240" w:lineRule="exact"/>
              <w:ind w:firstLine="420" w:firstLineChars="200"/>
              <w:rPr>
                <w:color w:val="auto"/>
              </w:rPr>
            </w:pPr>
            <w:r>
              <w:rPr>
                <w:color w:val="auto"/>
              </w:rPr>
              <w:t>⑥</w:t>
            </w:r>
            <w:r>
              <w:rPr>
                <w:rFonts w:hint="eastAsia"/>
                <w:color w:val="auto"/>
              </w:rPr>
              <w:t>根据《固定污染源排污许可分类管理名录（2019年版）》（环办环评函[2020]9号，2020年01月06日），本项目属于二十一、化学原料和化学制品制造业 26-45基础化学原料制造 261-单纯混合或者分装的无机盐制造 2613，因此需进行简化管理</w:t>
            </w:r>
            <w:r>
              <w:rPr>
                <w:color w:val="auto"/>
              </w:rPr>
              <w:t>。</w:t>
            </w:r>
          </w:p>
          <w:p w14:paraId="62C88265">
            <w:pPr>
              <w:adjustRightInd w:val="0"/>
              <w:snapToGrid w:val="0"/>
              <w:spacing w:line="300" w:lineRule="exact"/>
              <w:ind w:firstLine="420" w:firstLineChars="200"/>
              <w:rPr>
                <w:color w:val="auto"/>
              </w:rPr>
            </w:pPr>
            <w:r>
              <w:rPr>
                <w:color w:val="auto"/>
              </w:rPr>
              <w:t>⑦严格执行环保“三同时”制度，确保各项环保措施落实到位，企业运用后需自行开展环境保护竣工验收，验收时环保设施处理效果及相关管理参数不得低于环评中相关参数要求</w:t>
            </w:r>
            <w:r>
              <w:rPr>
                <w:rFonts w:hint="eastAsia"/>
                <w:color w:val="auto"/>
              </w:rPr>
              <w:t>。</w:t>
            </w:r>
          </w:p>
          <w:p w14:paraId="79B9910D">
            <w:pPr>
              <w:adjustRightInd w:val="0"/>
              <w:snapToGrid w:val="0"/>
              <w:spacing w:line="300" w:lineRule="exact"/>
              <w:ind w:firstLine="420" w:firstLineChars="200"/>
              <w:rPr>
                <w:color w:val="auto"/>
              </w:rPr>
            </w:pPr>
            <w:r>
              <w:rPr>
                <w:rFonts w:hint="eastAsia" w:ascii="宋体" w:hAnsi="宋体" w:cs="宋体"/>
                <w:color w:val="auto"/>
              </w:rPr>
              <w:t>⑧</w:t>
            </w:r>
            <w:r>
              <w:rPr>
                <w:color w:val="auto"/>
              </w:rPr>
              <w:t>根据</w:t>
            </w:r>
            <w:r>
              <w:rPr>
                <w:rFonts w:hint="eastAsia"/>
                <w:color w:val="auto"/>
                <w:lang w:eastAsia="zh-CN"/>
              </w:rPr>
              <w:t>《</w:t>
            </w:r>
            <w:r>
              <w:rPr>
                <w:rFonts w:hint="eastAsia"/>
                <w:color w:val="auto"/>
              </w:rPr>
              <w:t>排污单位自行监测技术指南 总则</w:t>
            </w:r>
            <w:r>
              <w:rPr>
                <w:rFonts w:hint="eastAsia"/>
                <w:color w:val="auto"/>
                <w:lang w:eastAsia="zh-CN"/>
              </w:rPr>
              <w:t>》（</w:t>
            </w:r>
            <w:r>
              <w:rPr>
                <w:rFonts w:hint="eastAsia"/>
                <w:color w:val="auto"/>
              </w:rPr>
              <w:t>HJ 819-2017</w:t>
            </w:r>
            <w:r>
              <w:rPr>
                <w:rFonts w:hint="eastAsia"/>
                <w:color w:val="auto"/>
                <w:lang w:eastAsia="zh-CN"/>
              </w:rPr>
              <w:t>）、《排污单位自行监测技术指南 无机化学工业》（HJ 1138—2020）</w:t>
            </w:r>
            <w:r>
              <w:rPr>
                <w:color w:val="auto"/>
              </w:rPr>
              <w:t>的要求，针对拟建项目所排污染物情况，设置监测计划，按照《固定污染源排气中颗粒物测定与气态污染物采样方法》（GBT 16157-1996）的要求规范采样平台和采样点设置。</w:t>
            </w:r>
          </w:p>
        </w:tc>
      </w:tr>
    </w:tbl>
    <w:p w14:paraId="277DC61E">
      <w:pPr>
        <w:pStyle w:val="77"/>
        <w:spacing w:line="420" w:lineRule="exact"/>
        <w:jc w:val="center"/>
        <w:outlineLvl w:val="0"/>
        <w:rPr>
          <w:rFonts w:ascii="Times New Roman" w:hAnsi="Times New Roman" w:eastAsia="黑体"/>
          <w:snapToGrid w:val="0"/>
          <w:color w:val="auto"/>
          <w:sz w:val="30"/>
          <w:szCs w:val="30"/>
        </w:rPr>
      </w:pPr>
      <w:r>
        <w:rPr>
          <w:rFonts w:ascii="Times New Roman" w:hAnsi="Times New Roman"/>
          <w:snapToGrid w:val="0"/>
          <w:color w:val="auto"/>
        </w:rPr>
        <w:br w:type="page"/>
      </w:r>
      <w:r>
        <w:rPr>
          <w:rFonts w:ascii="Times New Roman" w:hAnsi="Times New Roman" w:eastAsia="黑体"/>
          <w:snapToGrid w:val="0"/>
          <w:color w:val="auto"/>
          <w:sz w:val="30"/>
          <w:szCs w:val="30"/>
        </w:rPr>
        <w:t>六、结论</w:t>
      </w:r>
    </w:p>
    <w:tbl>
      <w:tblPr>
        <w:tblStyle w:val="8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7AC48B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14:paraId="6A7FC583">
            <w:pPr>
              <w:adjustRightInd w:val="0"/>
              <w:snapToGrid w:val="0"/>
              <w:spacing w:line="420" w:lineRule="exact"/>
              <w:ind w:firstLine="420" w:firstLineChars="200"/>
              <w:rPr>
                <w:color w:val="auto"/>
              </w:rPr>
            </w:pPr>
            <w:r>
              <w:rPr>
                <w:color w:val="auto"/>
              </w:rPr>
              <w:t>本项目符合国家产业政策的要求。项目区内的污染物可达标排放；在认真落实各项污染防治措施下，对周围环境影响较小，从环保角度上讲，本项目的建设运营是可行的。</w:t>
            </w:r>
          </w:p>
        </w:tc>
      </w:tr>
    </w:tbl>
    <w:p w14:paraId="3BA5401F">
      <w:pPr>
        <w:spacing w:line="420" w:lineRule="exact"/>
        <w:rPr>
          <w:color w:val="auto"/>
        </w:rPr>
        <w:sectPr>
          <w:pgSz w:w="11906" w:h="16838"/>
          <w:pgMar w:top="1701" w:right="1531" w:bottom="1701" w:left="1531" w:header="851" w:footer="1304" w:gutter="0"/>
          <w:cols w:space="720" w:num="1"/>
          <w:docGrid w:linePitch="312" w:charSpace="0"/>
        </w:sectPr>
      </w:pPr>
    </w:p>
    <w:p w14:paraId="484FD396">
      <w:pPr>
        <w:pStyle w:val="77"/>
        <w:adjustRightInd w:val="0"/>
        <w:snapToGrid w:val="0"/>
        <w:spacing w:before="0" w:beforeAutospacing="0" w:after="0" w:afterAutospacing="0" w:line="420" w:lineRule="exact"/>
        <w:outlineLvl w:val="0"/>
        <w:rPr>
          <w:rFonts w:ascii="Times New Roman" w:hAnsi="Times New Roman" w:eastAsia="黑体"/>
          <w:snapToGrid w:val="0"/>
          <w:color w:val="auto"/>
          <w:sz w:val="32"/>
          <w:szCs w:val="32"/>
          <w:highlight w:val="none"/>
        </w:rPr>
      </w:pPr>
      <w:r>
        <w:rPr>
          <w:rFonts w:ascii="Times New Roman" w:hAnsi="Times New Roman" w:eastAsia="黑体"/>
          <w:snapToGrid w:val="0"/>
          <w:color w:val="auto"/>
          <w:sz w:val="32"/>
          <w:szCs w:val="32"/>
          <w:highlight w:val="none"/>
        </w:rPr>
        <w:t>附表</w:t>
      </w:r>
    </w:p>
    <w:p w14:paraId="06B0235B">
      <w:pPr>
        <w:pStyle w:val="77"/>
        <w:adjustRightInd w:val="0"/>
        <w:snapToGrid w:val="0"/>
        <w:spacing w:before="0" w:beforeAutospacing="0" w:after="0" w:afterAutospacing="0" w:line="420" w:lineRule="exact"/>
        <w:jc w:val="center"/>
        <w:outlineLvl w:val="0"/>
        <w:rPr>
          <w:rFonts w:ascii="Times New Roman" w:hAnsi="Times New Roman" w:eastAsia="方正小标宋_GBK"/>
          <w:snapToGrid w:val="0"/>
          <w:color w:val="auto"/>
          <w:sz w:val="38"/>
          <w:szCs w:val="38"/>
          <w:highlight w:val="none"/>
        </w:rPr>
      </w:pPr>
      <w:r>
        <w:rPr>
          <w:rFonts w:ascii="Times New Roman" w:hAnsi="Times New Roman" w:eastAsia="方正小标宋_GBK"/>
          <w:snapToGrid w:val="0"/>
          <w:color w:val="auto"/>
          <w:sz w:val="38"/>
          <w:szCs w:val="38"/>
          <w:highlight w:val="none"/>
        </w:rPr>
        <w:t>建设项目污染物排放量汇总表</w:t>
      </w:r>
      <w:r>
        <w:rPr>
          <w:rFonts w:hint="eastAsia" w:ascii="方正小标宋_GBK" w:hAnsi="黑体" w:eastAsia="方正小标宋_GBK"/>
          <w:snapToGrid w:val="0"/>
          <w:color w:val="auto"/>
          <w:sz w:val="38"/>
          <w:szCs w:val="38"/>
          <w:highlight w:val="none"/>
        </w:rPr>
        <w:t>（单位：t/a）</w:t>
      </w:r>
    </w:p>
    <w:tbl>
      <w:tblPr>
        <w:tblStyle w:val="83"/>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418"/>
        <w:gridCol w:w="1701"/>
        <w:gridCol w:w="1427"/>
      </w:tblGrid>
      <w:tr w14:paraId="4274CD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14:paraId="0C3E36DE">
            <w:pPr>
              <w:pStyle w:val="200"/>
              <w:spacing w:beforeLines="0" w:afterLines="0" w:line="420" w:lineRule="exact"/>
              <w:jc w:val="righ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项目</w:t>
            </w:r>
          </w:p>
          <w:p w14:paraId="057BA47D">
            <w:pPr>
              <w:pStyle w:val="200"/>
              <w:spacing w:beforeLines="0" w:afterLines="0" w:line="420" w:lineRule="exact"/>
              <w:jc w:val="lef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分类</w:t>
            </w:r>
          </w:p>
        </w:tc>
        <w:tc>
          <w:tcPr>
            <w:tcW w:w="1417" w:type="dxa"/>
            <w:tcMar>
              <w:left w:w="28" w:type="dxa"/>
              <w:right w:w="28" w:type="dxa"/>
            </w:tcMar>
            <w:vAlign w:val="center"/>
          </w:tcPr>
          <w:p w14:paraId="535991B1">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污染物名称</w:t>
            </w:r>
          </w:p>
        </w:tc>
        <w:tc>
          <w:tcPr>
            <w:tcW w:w="1701" w:type="dxa"/>
            <w:tcMar>
              <w:left w:w="28" w:type="dxa"/>
              <w:right w:w="28" w:type="dxa"/>
            </w:tcMar>
            <w:vAlign w:val="center"/>
          </w:tcPr>
          <w:p w14:paraId="381EB4BB">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现有工程</w:t>
            </w:r>
          </w:p>
          <w:p w14:paraId="1F6EF1F4">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排放量（固体废物产生量）</w:t>
            </w:r>
            <w:r>
              <w:rPr>
                <w:rFonts w:ascii="Times New Roman" w:eastAsia="黑体"/>
                <w:snapToGrid w:val="0"/>
                <w:color w:val="auto"/>
                <w:spacing w:val="-6"/>
                <w:kern w:val="21"/>
                <w:szCs w:val="21"/>
                <w:highlight w:val="none"/>
              </w:rPr>
              <w:fldChar w:fldCharType="begin"/>
            </w:r>
            <w:r>
              <w:rPr>
                <w:rFonts w:ascii="Times New Roman" w:eastAsia="黑体"/>
                <w:snapToGrid w:val="0"/>
                <w:color w:val="auto"/>
                <w:spacing w:val="-6"/>
                <w:kern w:val="21"/>
                <w:szCs w:val="21"/>
                <w:highlight w:val="none"/>
              </w:rPr>
              <w:instrText xml:space="preserve"> = 1 \* GB3 \* MERGEFORMAT </w:instrText>
            </w:r>
            <w:r>
              <w:rPr>
                <w:rFonts w:ascii="Times New Roman" w:eastAsia="黑体"/>
                <w:snapToGrid w:val="0"/>
                <w:color w:val="auto"/>
                <w:spacing w:val="-6"/>
                <w:kern w:val="21"/>
                <w:szCs w:val="21"/>
                <w:highlight w:val="none"/>
              </w:rPr>
              <w:fldChar w:fldCharType="separate"/>
            </w:r>
            <w:r>
              <w:rPr>
                <w:rFonts w:ascii="Times New Roman" w:eastAsia="黑体"/>
                <w:color w:val="auto"/>
                <w:kern w:val="2"/>
                <w:szCs w:val="21"/>
                <w:highlight w:val="none"/>
              </w:rPr>
              <w:t>①</w:t>
            </w:r>
            <w:r>
              <w:rPr>
                <w:rFonts w:ascii="Times New Roman" w:eastAsia="黑体"/>
                <w:snapToGrid w:val="0"/>
                <w:color w:val="auto"/>
                <w:spacing w:val="-6"/>
                <w:kern w:val="21"/>
                <w:szCs w:val="21"/>
                <w:highlight w:val="none"/>
              </w:rPr>
              <w:fldChar w:fldCharType="end"/>
            </w:r>
          </w:p>
        </w:tc>
        <w:tc>
          <w:tcPr>
            <w:tcW w:w="1276" w:type="dxa"/>
            <w:tcMar>
              <w:left w:w="28" w:type="dxa"/>
              <w:right w:w="28" w:type="dxa"/>
            </w:tcMar>
            <w:vAlign w:val="center"/>
          </w:tcPr>
          <w:p w14:paraId="303A0E5F">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现有工程</w:t>
            </w:r>
          </w:p>
          <w:p w14:paraId="2FC4F568">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许可排放量</w:t>
            </w:r>
          </w:p>
          <w:p w14:paraId="0067AA62">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fldChar w:fldCharType="begin"/>
            </w:r>
            <w:r>
              <w:rPr>
                <w:rFonts w:ascii="Times New Roman" w:eastAsia="黑体"/>
                <w:snapToGrid w:val="0"/>
                <w:color w:val="auto"/>
                <w:spacing w:val="-6"/>
                <w:kern w:val="21"/>
                <w:szCs w:val="21"/>
                <w:highlight w:val="none"/>
              </w:rPr>
              <w:instrText xml:space="preserve"> = 2 \* GB3 \* MERGEFORMAT </w:instrText>
            </w:r>
            <w:r>
              <w:rPr>
                <w:rFonts w:ascii="Times New Roman" w:eastAsia="黑体"/>
                <w:snapToGrid w:val="0"/>
                <w:color w:val="auto"/>
                <w:spacing w:val="-6"/>
                <w:kern w:val="21"/>
                <w:szCs w:val="21"/>
                <w:highlight w:val="none"/>
              </w:rPr>
              <w:fldChar w:fldCharType="separate"/>
            </w:r>
            <w:r>
              <w:rPr>
                <w:rFonts w:ascii="Times New Roman" w:eastAsia="黑体"/>
                <w:snapToGrid w:val="0"/>
                <w:color w:val="auto"/>
                <w:spacing w:val="-6"/>
                <w:kern w:val="21"/>
                <w:szCs w:val="21"/>
                <w:highlight w:val="none"/>
              </w:rPr>
              <w:t>②</w:t>
            </w:r>
            <w:r>
              <w:rPr>
                <w:rFonts w:ascii="Times New Roman" w:eastAsia="黑体"/>
                <w:snapToGrid w:val="0"/>
                <w:color w:val="auto"/>
                <w:spacing w:val="-6"/>
                <w:kern w:val="21"/>
                <w:szCs w:val="21"/>
                <w:highlight w:val="none"/>
              </w:rPr>
              <w:fldChar w:fldCharType="end"/>
            </w:r>
          </w:p>
        </w:tc>
        <w:tc>
          <w:tcPr>
            <w:tcW w:w="1701" w:type="dxa"/>
            <w:tcMar>
              <w:left w:w="28" w:type="dxa"/>
              <w:right w:w="28" w:type="dxa"/>
            </w:tcMar>
            <w:vAlign w:val="center"/>
          </w:tcPr>
          <w:p w14:paraId="5DF82AE6">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在建工程</w:t>
            </w:r>
          </w:p>
          <w:p w14:paraId="63098B14">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排放量（固体废物产生量）</w:t>
            </w:r>
            <w:r>
              <w:rPr>
                <w:rFonts w:ascii="Times New Roman" w:eastAsia="黑体"/>
                <w:snapToGrid w:val="0"/>
                <w:color w:val="auto"/>
                <w:spacing w:val="-6"/>
                <w:kern w:val="21"/>
                <w:szCs w:val="21"/>
                <w:highlight w:val="none"/>
              </w:rPr>
              <w:fldChar w:fldCharType="begin"/>
            </w:r>
            <w:r>
              <w:rPr>
                <w:rFonts w:ascii="Times New Roman" w:eastAsia="黑体"/>
                <w:snapToGrid w:val="0"/>
                <w:color w:val="auto"/>
                <w:spacing w:val="-6"/>
                <w:kern w:val="21"/>
                <w:szCs w:val="21"/>
                <w:highlight w:val="none"/>
              </w:rPr>
              <w:instrText xml:space="preserve"> = 3 \* GB3 \* MERGEFORMAT </w:instrText>
            </w:r>
            <w:r>
              <w:rPr>
                <w:rFonts w:ascii="Times New Roman" w:eastAsia="黑体"/>
                <w:snapToGrid w:val="0"/>
                <w:color w:val="auto"/>
                <w:spacing w:val="-6"/>
                <w:kern w:val="21"/>
                <w:szCs w:val="21"/>
                <w:highlight w:val="none"/>
              </w:rPr>
              <w:fldChar w:fldCharType="separate"/>
            </w:r>
            <w:r>
              <w:rPr>
                <w:rFonts w:ascii="Times New Roman" w:eastAsia="黑体"/>
                <w:color w:val="auto"/>
                <w:kern w:val="2"/>
                <w:szCs w:val="21"/>
                <w:highlight w:val="none"/>
              </w:rPr>
              <w:t>③</w:t>
            </w:r>
            <w:r>
              <w:rPr>
                <w:rFonts w:ascii="Times New Roman" w:eastAsia="黑体"/>
                <w:snapToGrid w:val="0"/>
                <w:color w:val="auto"/>
                <w:spacing w:val="-6"/>
                <w:kern w:val="21"/>
                <w:szCs w:val="21"/>
                <w:highlight w:val="none"/>
              </w:rPr>
              <w:fldChar w:fldCharType="end"/>
            </w:r>
          </w:p>
        </w:tc>
        <w:tc>
          <w:tcPr>
            <w:tcW w:w="1559" w:type="dxa"/>
            <w:tcMar>
              <w:left w:w="28" w:type="dxa"/>
              <w:right w:w="28" w:type="dxa"/>
            </w:tcMar>
            <w:vAlign w:val="center"/>
          </w:tcPr>
          <w:p w14:paraId="184743D5">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本项目</w:t>
            </w:r>
          </w:p>
          <w:p w14:paraId="7F8CFF50">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排放量（固体废物产生量）</w:t>
            </w:r>
            <w:r>
              <w:rPr>
                <w:rFonts w:ascii="Times New Roman" w:eastAsia="黑体"/>
                <w:snapToGrid w:val="0"/>
                <w:color w:val="auto"/>
                <w:spacing w:val="-6"/>
                <w:kern w:val="21"/>
                <w:szCs w:val="21"/>
                <w:highlight w:val="none"/>
              </w:rPr>
              <w:fldChar w:fldCharType="begin"/>
            </w:r>
            <w:r>
              <w:rPr>
                <w:rFonts w:ascii="Times New Roman" w:eastAsia="黑体"/>
                <w:snapToGrid w:val="0"/>
                <w:color w:val="auto"/>
                <w:spacing w:val="-6"/>
                <w:kern w:val="21"/>
                <w:szCs w:val="21"/>
                <w:highlight w:val="none"/>
              </w:rPr>
              <w:instrText xml:space="preserve"> = 4 \* GB3 \* MERGEFORMAT </w:instrText>
            </w:r>
            <w:r>
              <w:rPr>
                <w:rFonts w:ascii="Times New Roman" w:eastAsia="黑体"/>
                <w:snapToGrid w:val="0"/>
                <w:color w:val="auto"/>
                <w:spacing w:val="-6"/>
                <w:kern w:val="21"/>
                <w:szCs w:val="21"/>
                <w:highlight w:val="none"/>
              </w:rPr>
              <w:fldChar w:fldCharType="separate"/>
            </w:r>
            <w:r>
              <w:rPr>
                <w:rFonts w:ascii="Times New Roman" w:eastAsia="黑体"/>
                <w:color w:val="auto"/>
                <w:kern w:val="2"/>
                <w:szCs w:val="21"/>
                <w:highlight w:val="none"/>
              </w:rPr>
              <w:t>④</w:t>
            </w:r>
            <w:r>
              <w:rPr>
                <w:rFonts w:ascii="Times New Roman" w:eastAsia="黑体"/>
                <w:snapToGrid w:val="0"/>
                <w:color w:val="auto"/>
                <w:spacing w:val="-6"/>
                <w:kern w:val="21"/>
                <w:szCs w:val="21"/>
                <w:highlight w:val="none"/>
              </w:rPr>
              <w:fldChar w:fldCharType="end"/>
            </w:r>
          </w:p>
        </w:tc>
        <w:tc>
          <w:tcPr>
            <w:tcW w:w="1418" w:type="dxa"/>
            <w:tcMar>
              <w:left w:w="28" w:type="dxa"/>
              <w:right w:w="28" w:type="dxa"/>
            </w:tcMar>
            <w:vAlign w:val="center"/>
          </w:tcPr>
          <w:p w14:paraId="1E5C322F">
            <w:pPr>
              <w:pStyle w:val="200"/>
              <w:spacing w:beforeLines="0" w:afterLines="0" w:line="420" w:lineRule="exact"/>
              <w:rPr>
                <w:rFonts w:ascii="Times New Roman" w:eastAsia="黑体"/>
                <w:snapToGrid w:val="0"/>
                <w:color w:val="auto"/>
                <w:spacing w:val="-16"/>
                <w:kern w:val="21"/>
                <w:szCs w:val="21"/>
                <w:highlight w:val="none"/>
              </w:rPr>
            </w:pPr>
            <w:r>
              <w:rPr>
                <w:rFonts w:ascii="Times New Roman" w:eastAsia="黑体"/>
                <w:snapToGrid w:val="0"/>
                <w:color w:val="auto"/>
                <w:spacing w:val="-16"/>
                <w:kern w:val="21"/>
                <w:szCs w:val="21"/>
                <w:highlight w:val="none"/>
              </w:rPr>
              <w:t>以新带老削减量</w:t>
            </w:r>
          </w:p>
          <w:p w14:paraId="734FCAC7">
            <w:pPr>
              <w:pStyle w:val="200"/>
              <w:spacing w:beforeLines="0" w:afterLines="0" w:line="420" w:lineRule="exact"/>
              <w:rPr>
                <w:rFonts w:ascii="Times New Roman" w:eastAsia="黑体"/>
                <w:snapToGrid w:val="0"/>
                <w:color w:val="auto"/>
                <w:spacing w:val="-16"/>
                <w:kern w:val="21"/>
                <w:szCs w:val="21"/>
                <w:highlight w:val="none"/>
              </w:rPr>
            </w:pPr>
            <w:r>
              <w:rPr>
                <w:rFonts w:ascii="Times New Roman" w:eastAsia="黑体"/>
                <w:snapToGrid w:val="0"/>
                <w:color w:val="auto"/>
                <w:spacing w:val="-16"/>
                <w:kern w:val="21"/>
                <w:szCs w:val="21"/>
                <w:highlight w:val="none"/>
              </w:rPr>
              <w:t>（新建项目不填）</w:t>
            </w:r>
            <w:r>
              <w:rPr>
                <w:rFonts w:ascii="Times New Roman" w:eastAsia="黑体"/>
                <w:snapToGrid w:val="0"/>
                <w:color w:val="auto"/>
                <w:spacing w:val="-16"/>
                <w:kern w:val="21"/>
                <w:szCs w:val="21"/>
                <w:highlight w:val="none"/>
              </w:rPr>
              <w:fldChar w:fldCharType="begin"/>
            </w:r>
            <w:r>
              <w:rPr>
                <w:rFonts w:ascii="Times New Roman" w:eastAsia="黑体"/>
                <w:snapToGrid w:val="0"/>
                <w:color w:val="auto"/>
                <w:spacing w:val="-16"/>
                <w:kern w:val="21"/>
                <w:szCs w:val="21"/>
                <w:highlight w:val="none"/>
              </w:rPr>
              <w:instrText xml:space="preserve"> = 5 \* GB3 \* MERGEFORMAT </w:instrText>
            </w:r>
            <w:r>
              <w:rPr>
                <w:rFonts w:ascii="Times New Roman" w:eastAsia="黑体"/>
                <w:snapToGrid w:val="0"/>
                <w:color w:val="auto"/>
                <w:spacing w:val="-16"/>
                <w:kern w:val="21"/>
                <w:szCs w:val="21"/>
                <w:highlight w:val="none"/>
              </w:rPr>
              <w:fldChar w:fldCharType="separate"/>
            </w:r>
            <w:r>
              <w:rPr>
                <w:rFonts w:ascii="Times New Roman" w:eastAsia="黑体"/>
                <w:color w:val="auto"/>
                <w:kern w:val="2"/>
                <w:szCs w:val="21"/>
                <w:highlight w:val="none"/>
              </w:rPr>
              <w:t>⑤</w:t>
            </w:r>
            <w:r>
              <w:rPr>
                <w:rFonts w:ascii="Times New Roman" w:eastAsia="黑体"/>
                <w:snapToGrid w:val="0"/>
                <w:color w:val="auto"/>
                <w:spacing w:val="-16"/>
                <w:kern w:val="21"/>
                <w:szCs w:val="21"/>
                <w:highlight w:val="none"/>
              </w:rPr>
              <w:fldChar w:fldCharType="end"/>
            </w:r>
          </w:p>
        </w:tc>
        <w:tc>
          <w:tcPr>
            <w:tcW w:w="1701" w:type="dxa"/>
            <w:tcMar>
              <w:left w:w="28" w:type="dxa"/>
              <w:right w:w="28" w:type="dxa"/>
            </w:tcMar>
            <w:vAlign w:val="center"/>
          </w:tcPr>
          <w:p w14:paraId="41C28EFB">
            <w:pPr>
              <w:pStyle w:val="200"/>
              <w:spacing w:beforeLines="0" w:afterLines="0" w:line="420" w:lineRule="exact"/>
              <w:rPr>
                <w:rFonts w:ascii="Times New Roman" w:eastAsia="黑体"/>
                <w:snapToGrid w:val="0"/>
                <w:color w:val="auto"/>
                <w:spacing w:val="-16"/>
                <w:kern w:val="21"/>
                <w:szCs w:val="21"/>
                <w:highlight w:val="none"/>
              </w:rPr>
            </w:pPr>
            <w:r>
              <w:rPr>
                <w:rFonts w:ascii="Times New Roman" w:eastAsia="黑体"/>
                <w:snapToGrid w:val="0"/>
                <w:color w:val="auto"/>
                <w:spacing w:val="-16"/>
                <w:kern w:val="21"/>
                <w:szCs w:val="21"/>
                <w:highlight w:val="none"/>
              </w:rPr>
              <w:t>本项目建成后</w:t>
            </w:r>
          </w:p>
          <w:p w14:paraId="430F7D90">
            <w:pPr>
              <w:pStyle w:val="200"/>
              <w:spacing w:beforeLines="0" w:afterLines="0" w:line="420" w:lineRule="exact"/>
              <w:rPr>
                <w:rFonts w:ascii="Times New Roman" w:eastAsia="黑体"/>
                <w:snapToGrid w:val="0"/>
                <w:color w:val="auto"/>
                <w:spacing w:val="-16"/>
                <w:kern w:val="21"/>
                <w:szCs w:val="21"/>
                <w:highlight w:val="none"/>
              </w:rPr>
            </w:pPr>
            <w:r>
              <w:rPr>
                <w:rFonts w:ascii="Times New Roman" w:eastAsia="黑体"/>
                <w:snapToGrid w:val="0"/>
                <w:color w:val="auto"/>
                <w:spacing w:val="-16"/>
                <w:kern w:val="21"/>
                <w:szCs w:val="21"/>
                <w:highlight w:val="none"/>
              </w:rPr>
              <w:t>全厂排放量（固体废物产生量）</w:t>
            </w:r>
            <w:r>
              <w:rPr>
                <w:rFonts w:ascii="Times New Roman" w:eastAsia="黑体"/>
                <w:snapToGrid w:val="0"/>
                <w:color w:val="auto"/>
                <w:spacing w:val="-16"/>
                <w:kern w:val="21"/>
                <w:szCs w:val="21"/>
                <w:highlight w:val="none"/>
              </w:rPr>
              <w:fldChar w:fldCharType="begin"/>
            </w:r>
            <w:r>
              <w:rPr>
                <w:rFonts w:ascii="Times New Roman" w:eastAsia="黑体"/>
                <w:snapToGrid w:val="0"/>
                <w:color w:val="auto"/>
                <w:spacing w:val="-16"/>
                <w:kern w:val="21"/>
                <w:szCs w:val="21"/>
                <w:highlight w:val="none"/>
              </w:rPr>
              <w:instrText xml:space="preserve"> = 6 \* GB3 \* MERGEFORMAT </w:instrText>
            </w:r>
            <w:r>
              <w:rPr>
                <w:rFonts w:ascii="Times New Roman" w:eastAsia="黑体"/>
                <w:snapToGrid w:val="0"/>
                <w:color w:val="auto"/>
                <w:spacing w:val="-16"/>
                <w:kern w:val="21"/>
                <w:szCs w:val="21"/>
                <w:highlight w:val="none"/>
              </w:rPr>
              <w:fldChar w:fldCharType="separate"/>
            </w:r>
            <w:r>
              <w:rPr>
                <w:rFonts w:ascii="Times New Roman" w:eastAsia="黑体"/>
                <w:color w:val="auto"/>
                <w:kern w:val="2"/>
                <w:szCs w:val="21"/>
                <w:highlight w:val="none"/>
              </w:rPr>
              <w:t>⑥</w:t>
            </w:r>
            <w:r>
              <w:rPr>
                <w:rFonts w:ascii="Times New Roman" w:eastAsia="黑体"/>
                <w:snapToGrid w:val="0"/>
                <w:color w:val="auto"/>
                <w:spacing w:val="-16"/>
                <w:kern w:val="21"/>
                <w:szCs w:val="21"/>
                <w:highlight w:val="none"/>
              </w:rPr>
              <w:fldChar w:fldCharType="end"/>
            </w:r>
          </w:p>
        </w:tc>
        <w:tc>
          <w:tcPr>
            <w:tcW w:w="1427" w:type="dxa"/>
            <w:tcMar>
              <w:left w:w="28" w:type="dxa"/>
              <w:right w:w="28" w:type="dxa"/>
            </w:tcMar>
            <w:vAlign w:val="center"/>
          </w:tcPr>
          <w:p w14:paraId="5054D519">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t>变化量</w:t>
            </w:r>
          </w:p>
          <w:p w14:paraId="7D3E24B2">
            <w:pPr>
              <w:pStyle w:val="200"/>
              <w:spacing w:beforeLines="0" w:afterLines="0" w:line="420" w:lineRule="exact"/>
              <w:rPr>
                <w:rFonts w:ascii="Times New Roman" w:eastAsia="黑体"/>
                <w:snapToGrid w:val="0"/>
                <w:color w:val="auto"/>
                <w:spacing w:val="-6"/>
                <w:kern w:val="21"/>
                <w:szCs w:val="21"/>
                <w:highlight w:val="none"/>
              </w:rPr>
            </w:pPr>
            <w:r>
              <w:rPr>
                <w:rFonts w:ascii="Times New Roman" w:eastAsia="黑体"/>
                <w:snapToGrid w:val="0"/>
                <w:color w:val="auto"/>
                <w:spacing w:val="-6"/>
                <w:kern w:val="21"/>
                <w:szCs w:val="21"/>
                <w:highlight w:val="none"/>
              </w:rPr>
              <w:fldChar w:fldCharType="begin"/>
            </w:r>
            <w:r>
              <w:rPr>
                <w:rFonts w:ascii="Times New Roman" w:eastAsia="黑体"/>
                <w:snapToGrid w:val="0"/>
                <w:color w:val="auto"/>
                <w:spacing w:val="-6"/>
                <w:kern w:val="21"/>
                <w:szCs w:val="21"/>
                <w:highlight w:val="none"/>
              </w:rPr>
              <w:instrText xml:space="preserve"> = 7 \* GB3 \* MERGEFORMAT </w:instrText>
            </w:r>
            <w:r>
              <w:rPr>
                <w:rFonts w:ascii="Times New Roman" w:eastAsia="黑体"/>
                <w:snapToGrid w:val="0"/>
                <w:color w:val="auto"/>
                <w:spacing w:val="-6"/>
                <w:kern w:val="21"/>
                <w:szCs w:val="21"/>
                <w:highlight w:val="none"/>
              </w:rPr>
              <w:fldChar w:fldCharType="separate"/>
            </w:r>
            <w:r>
              <w:rPr>
                <w:rFonts w:ascii="Times New Roman" w:eastAsia="黑体"/>
                <w:color w:val="auto"/>
                <w:kern w:val="2"/>
                <w:szCs w:val="21"/>
                <w:highlight w:val="none"/>
              </w:rPr>
              <w:t>⑦</w:t>
            </w:r>
            <w:r>
              <w:rPr>
                <w:rFonts w:ascii="Times New Roman" w:eastAsia="黑体"/>
                <w:snapToGrid w:val="0"/>
                <w:color w:val="auto"/>
                <w:spacing w:val="-6"/>
                <w:kern w:val="21"/>
                <w:szCs w:val="21"/>
                <w:highlight w:val="none"/>
              </w:rPr>
              <w:fldChar w:fldCharType="end"/>
            </w:r>
          </w:p>
        </w:tc>
      </w:tr>
      <w:tr w14:paraId="6CFC83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36BFF5CB">
            <w:pPr>
              <w:pStyle w:val="200"/>
              <w:spacing w:beforeLines="0" w:afterLines="0" w:line="420" w:lineRule="exact"/>
              <w:rPr>
                <w:rFonts w:ascii="Times New Roman"/>
                <w:snapToGrid w:val="0"/>
                <w:color w:val="auto"/>
                <w:kern w:val="21"/>
                <w:szCs w:val="21"/>
                <w:highlight w:val="none"/>
              </w:rPr>
            </w:pPr>
            <w:r>
              <w:rPr>
                <w:rFonts w:ascii="Times New Roman"/>
                <w:snapToGrid w:val="0"/>
                <w:color w:val="auto"/>
                <w:kern w:val="21"/>
                <w:szCs w:val="21"/>
                <w:highlight w:val="none"/>
              </w:rPr>
              <w:t>废气</w:t>
            </w:r>
          </w:p>
        </w:tc>
        <w:tc>
          <w:tcPr>
            <w:tcW w:w="1417" w:type="dxa"/>
            <w:vAlign w:val="center"/>
          </w:tcPr>
          <w:p w14:paraId="1D68E036">
            <w:pPr>
              <w:pStyle w:val="200"/>
              <w:spacing w:beforeLines="0" w:afterLines="0" w:line="420" w:lineRule="exact"/>
              <w:rPr>
                <w:rFonts w:hint="default"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氯化氢</w:t>
            </w:r>
          </w:p>
        </w:tc>
        <w:tc>
          <w:tcPr>
            <w:tcW w:w="1701" w:type="dxa"/>
            <w:vAlign w:val="center"/>
          </w:tcPr>
          <w:p w14:paraId="312C33AA">
            <w:pPr>
              <w:pStyle w:val="200"/>
              <w:spacing w:beforeLines="0" w:afterLines="0" w:line="420" w:lineRule="exact"/>
              <w:rPr>
                <w:rFonts w:hint="eastAsia"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276" w:type="dxa"/>
            <w:vAlign w:val="center"/>
          </w:tcPr>
          <w:p w14:paraId="693C7B68">
            <w:pPr>
              <w:pStyle w:val="200"/>
              <w:spacing w:beforeLines="0" w:afterLines="0" w:line="420" w:lineRule="exact"/>
              <w:rPr>
                <w:rFonts w:hint="eastAsia"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vAlign w:val="center"/>
          </w:tcPr>
          <w:p w14:paraId="5709F8AC">
            <w:pPr>
              <w:pStyle w:val="200"/>
              <w:spacing w:beforeLines="0" w:afterLines="0" w:line="420" w:lineRule="exact"/>
              <w:rPr>
                <w:rFonts w:hint="eastAsia"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559" w:type="dxa"/>
            <w:vAlign w:val="center"/>
          </w:tcPr>
          <w:p w14:paraId="498CBA96">
            <w:pPr>
              <w:pStyle w:val="200"/>
              <w:spacing w:beforeLines="0" w:afterLines="0" w:line="420" w:lineRule="exact"/>
              <w:rPr>
                <w:rFonts w:hint="default"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1.438</w:t>
            </w:r>
          </w:p>
        </w:tc>
        <w:tc>
          <w:tcPr>
            <w:tcW w:w="1418" w:type="dxa"/>
            <w:vAlign w:val="center"/>
          </w:tcPr>
          <w:p w14:paraId="44EA9396">
            <w:pPr>
              <w:pStyle w:val="200"/>
              <w:spacing w:beforeLines="0" w:afterLines="0" w:line="420" w:lineRule="exact"/>
              <w:rPr>
                <w:rFonts w:hint="eastAsia"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shd w:val="clear" w:color="auto" w:fill="auto"/>
            <w:vAlign w:val="center"/>
          </w:tcPr>
          <w:p w14:paraId="3B2D1714">
            <w:pPr>
              <w:pStyle w:val="200"/>
              <w:spacing w:beforeLines="0" w:afterLines="0" w:line="420" w:lineRule="exact"/>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snapToGrid w:val="0"/>
                <w:color w:val="auto"/>
                <w:kern w:val="21"/>
                <w:sz w:val="21"/>
                <w:szCs w:val="21"/>
                <w:highlight w:val="none"/>
                <w:lang w:val="en-US" w:eastAsia="zh-CN"/>
              </w:rPr>
              <w:t>1.438</w:t>
            </w:r>
          </w:p>
        </w:tc>
        <w:tc>
          <w:tcPr>
            <w:tcW w:w="1427" w:type="dxa"/>
            <w:shd w:val="clear" w:color="auto" w:fill="auto"/>
            <w:vAlign w:val="center"/>
          </w:tcPr>
          <w:p w14:paraId="6894B245">
            <w:pPr>
              <w:pStyle w:val="200"/>
              <w:spacing w:beforeLines="0" w:afterLines="0" w:line="420" w:lineRule="exact"/>
              <w:rPr>
                <w:rFonts w:hint="default" w:ascii="Times New Roman" w:hAnsi="Times New Roman" w:eastAsia="宋体" w:cs="Times New Roman"/>
                <w:snapToGrid w:val="0"/>
                <w:color w:val="auto"/>
                <w:kern w:val="21"/>
                <w:sz w:val="21"/>
                <w:szCs w:val="21"/>
                <w:highlight w:val="none"/>
                <w:lang w:val="en-US" w:eastAsia="zh-CN" w:bidi="ar-SA"/>
              </w:rPr>
            </w:pPr>
            <w:r>
              <w:rPr>
                <w:rFonts w:hint="eastAsia" w:ascii="Times New Roman"/>
                <w:snapToGrid w:val="0"/>
                <w:color w:val="auto"/>
                <w:kern w:val="21"/>
                <w:sz w:val="21"/>
                <w:szCs w:val="21"/>
                <w:highlight w:val="none"/>
                <w:lang w:val="en-US" w:eastAsia="zh-CN"/>
              </w:rPr>
              <w:t>1.438</w:t>
            </w:r>
          </w:p>
        </w:tc>
      </w:tr>
      <w:tr w14:paraId="126306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BD9AB45">
            <w:pPr>
              <w:pStyle w:val="200"/>
              <w:spacing w:beforeLines="0" w:afterLines="0" w:line="420" w:lineRule="exact"/>
              <w:rPr>
                <w:rFonts w:ascii="Times New Roman"/>
                <w:snapToGrid w:val="0"/>
                <w:color w:val="auto"/>
                <w:kern w:val="21"/>
                <w:szCs w:val="21"/>
                <w:highlight w:val="none"/>
              </w:rPr>
            </w:pPr>
          </w:p>
        </w:tc>
        <w:tc>
          <w:tcPr>
            <w:tcW w:w="1417" w:type="dxa"/>
            <w:vAlign w:val="center"/>
          </w:tcPr>
          <w:p w14:paraId="478D90D1">
            <w:pPr>
              <w:pStyle w:val="200"/>
              <w:spacing w:beforeLines="0" w:afterLines="0" w:line="420" w:lineRule="exact"/>
              <w:rPr>
                <w:rFonts w:hint="default"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VOCs</w:t>
            </w:r>
          </w:p>
        </w:tc>
        <w:tc>
          <w:tcPr>
            <w:tcW w:w="1701" w:type="dxa"/>
            <w:vAlign w:val="center"/>
          </w:tcPr>
          <w:p w14:paraId="7DD467DF">
            <w:pPr>
              <w:spacing w:line="420" w:lineRule="exact"/>
              <w:jc w:val="center"/>
              <w:rPr>
                <w:rFonts w:hint="eastAsia"/>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276" w:type="dxa"/>
            <w:vAlign w:val="center"/>
          </w:tcPr>
          <w:p w14:paraId="545A229D">
            <w:pPr>
              <w:spacing w:line="420" w:lineRule="exact"/>
              <w:jc w:val="center"/>
              <w:rPr>
                <w:rFonts w:hint="eastAsia"/>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vAlign w:val="center"/>
          </w:tcPr>
          <w:p w14:paraId="68BDF5AD">
            <w:pPr>
              <w:spacing w:line="420" w:lineRule="exact"/>
              <w:jc w:val="center"/>
              <w:rPr>
                <w:rFonts w:hint="eastAsia"/>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559" w:type="dxa"/>
            <w:vAlign w:val="center"/>
          </w:tcPr>
          <w:p w14:paraId="3D0F5D2B">
            <w:pPr>
              <w:spacing w:line="420" w:lineRule="exact"/>
              <w:jc w:val="center"/>
              <w:rPr>
                <w:rFonts w:hint="default" w:eastAsia="宋体"/>
                <w:snapToGrid w:val="0"/>
                <w:color w:val="auto"/>
                <w:kern w:val="21"/>
                <w:sz w:val="21"/>
                <w:szCs w:val="21"/>
                <w:highlight w:val="none"/>
                <w:lang w:val="en-US" w:eastAsia="zh-CN"/>
              </w:rPr>
            </w:pPr>
            <w:r>
              <w:rPr>
                <w:rFonts w:hint="default" w:eastAsia="宋体"/>
                <w:snapToGrid w:val="0"/>
                <w:color w:val="auto"/>
                <w:kern w:val="21"/>
                <w:sz w:val="21"/>
                <w:szCs w:val="21"/>
                <w:highlight w:val="none"/>
                <w:lang w:val="en-US" w:eastAsia="zh-CN"/>
              </w:rPr>
              <w:t>0.117</w:t>
            </w:r>
          </w:p>
        </w:tc>
        <w:tc>
          <w:tcPr>
            <w:tcW w:w="1418" w:type="dxa"/>
            <w:vAlign w:val="center"/>
          </w:tcPr>
          <w:p w14:paraId="62862D93">
            <w:pPr>
              <w:spacing w:line="420" w:lineRule="exact"/>
              <w:jc w:val="center"/>
              <w:rPr>
                <w:rFonts w:hint="eastAsia"/>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shd w:val="clear" w:color="auto" w:fill="auto"/>
            <w:vAlign w:val="center"/>
          </w:tcPr>
          <w:p w14:paraId="43614662">
            <w:pPr>
              <w:spacing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default" w:eastAsia="宋体"/>
                <w:snapToGrid w:val="0"/>
                <w:color w:val="auto"/>
                <w:kern w:val="21"/>
                <w:sz w:val="21"/>
                <w:szCs w:val="21"/>
                <w:highlight w:val="none"/>
                <w:lang w:val="en-US" w:eastAsia="zh-CN"/>
              </w:rPr>
              <w:t>0.117</w:t>
            </w:r>
          </w:p>
        </w:tc>
        <w:tc>
          <w:tcPr>
            <w:tcW w:w="1427" w:type="dxa"/>
            <w:shd w:val="clear" w:color="auto" w:fill="auto"/>
            <w:vAlign w:val="center"/>
          </w:tcPr>
          <w:p w14:paraId="5B12E4C7">
            <w:pPr>
              <w:spacing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default" w:eastAsia="宋体"/>
                <w:snapToGrid w:val="0"/>
                <w:color w:val="auto"/>
                <w:kern w:val="21"/>
                <w:sz w:val="21"/>
                <w:szCs w:val="21"/>
                <w:highlight w:val="none"/>
                <w:lang w:val="en-US" w:eastAsia="zh-CN"/>
              </w:rPr>
              <w:t>0.117</w:t>
            </w:r>
          </w:p>
        </w:tc>
      </w:tr>
      <w:tr w14:paraId="2308D8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60DA6A9C">
            <w:pPr>
              <w:pStyle w:val="200"/>
              <w:spacing w:beforeLines="0" w:afterLines="0" w:line="420" w:lineRule="exact"/>
              <w:rPr>
                <w:rFonts w:ascii="Times New Roman"/>
                <w:snapToGrid w:val="0"/>
                <w:color w:val="auto"/>
                <w:kern w:val="21"/>
                <w:szCs w:val="21"/>
                <w:highlight w:val="none"/>
              </w:rPr>
            </w:pPr>
            <w:r>
              <w:rPr>
                <w:rFonts w:ascii="Times New Roman"/>
                <w:snapToGrid w:val="0"/>
                <w:color w:val="auto"/>
                <w:kern w:val="21"/>
                <w:szCs w:val="21"/>
                <w:highlight w:val="none"/>
              </w:rPr>
              <w:t>废水</w:t>
            </w:r>
          </w:p>
        </w:tc>
        <w:tc>
          <w:tcPr>
            <w:tcW w:w="1417" w:type="dxa"/>
            <w:vAlign w:val="center"/>
          </w:tcPr>
          <w:p w14:paraId="51D0BACF">
            <w:pPr>
              <w:pStyle w:val="200"/>
              <w:spacing w:beforeLines="0" w:afterLines="0" w:line="420" w:lineRule="exact"/>
              <w:rPr>
                <w:rFonts w:ascii="Times New Roman"/>
                <w:snapToGrid w:val="0"/>
                <w:color w:val="auto"/>
                <w:kern w:val="21"/>
                <w:sz w:val="21"/>
                <w:szCs w:val="21"/>
                <w:highlight w:val="none"/>
              </w:rPr>
            </w:pPr>
            <w:r>
              <w:rPr>
                <w:rFonts w:ascii="Times New Roman"/>
                <w:snapToGrid w:val="0"/>
                <w:color w:val="auto"/>
                <w:kern w:val="21"/>
                <w:sz w:val="21"/>
                <w:szCs w:val="21"/>
                <w:highlight w:val="none"/>
              </w:rPr>
              <w:t>COD</w:t>
            </w:r>
          </w:p>
        </w:tc>
        <w:tc>
          <w:tcPr>
            <w:tcW w:w="1701" w:type="dxa"/>
            <w:vAlign w:val="center"/>
          </w:tcPr>
          <w:p w14:paraId="5FFC0185">
            <w:pPr>
              <w:spacing w:line="420" w:lineRule="exact"/>
              <w:jc w:val="center"/>
              <w:rPr>
                <w:rFonts w:hint="eastAsia"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w:t>
            </w:r>
          </w:p>
        </w:tc>
        <w:tc>
          <w:tcPr>
            <w:tcW w:w="1276" w:type="dxa"/>
            <w:vAlign w:val="center"/>
          </w:tcPr>
          <w:p w14:paraId="62072C05">
            <w:pPr>
              <w:spacing w:line="420" w:lineRule="exact"/>
              <w:jc w:val="center"/>
              <w:rPr>
                <w:rFonts w:hint="eastAsia"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w:t>
            </w:r>
          </w:p>
        </w:tc>
        <w:tc>
          <w:tcPr>
            <w:tcW w:w="1701" w:type="dxa"/>
            <w:vAlign w:val="center"/>
          </w:tcPr>
          <w:p w14:paraId="4D589A94">
            <w:pPr>
              <w:spacing w:line="420" w:lineRule="exact"/>
              <w:jc w:val="center"/>
              <w:rPr>
                <w:rFonts w:hint="eastAsia"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w:t>
            </w:r>
          </w:p>
        </w:tc>
        <w:tc>
          <w:tcPr>
            <w:tcW w:w="1559" w:type="dxa"/>
            <w:vAlign w:val="center"/>
          </w:tcPr>
          <w:p w14:paraId="275C53B9">
            <w:pPr>
              <w:spacing w:line="420" w:lineRule="exact"/>
              <w:jc w:val="center"/>
              <w:rPr>
                <w:snapToGrid w:val="0"/>
                <w:color w:val="auto"/>
                <w:kern w:val="21"/>
                <w:sz w:val="21"/>
                <w:szCs w:val="21"/>
                <w:highlight w:val="none"/>
              </w:rPr>
            </w:pPr>
            <w:r>
              <w:rPr>
                <w:rFonts w:hint="eastAsia" w:ascii="Times New Roman" w:hAnsi="Times New Roman" w:eastAsia="宋体" w:cs="Times New Roman"/>
                <w:snapToGrid w:val="0"/>
                <w:color w:val="auto"/>
                <w:kern w:val="21"/>
                <w:sz w:val="21"/>
                <w:szCs w:val="21"/>
                <w:highlight w:val="none"/>
                <w:lang w:val="en-US" w:eastAsia="zh-CN"/>
              </w:rPr>
              <w:t>/</w:t>
            </w:r>
          </w:p>
        </w:tc>
        <w:tc>
          <w:tcPr>
            <w:tcW w:w="1418" w:type="dxa"/>
            <w:vAlign w:val="center"/>
          </w:tcPr>
          <w:p w14:paraId="72DBA60D">
            <w:pPr>
              <w:spacing w:line="420" w:lineRule="exact"/>
              <w:jc w:val="center"/>
              <w:rPr>
                <w:rFonts w:hint="eastAsia"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w:t>
            </w:r>
          </w:p>
        </w:tc>
        <w:tc>
          <w:tcPr>
            <w:tcW w:w="1701" w:type="dxa"/>
            <w:shd w:val="clear" w:color="auto" w:fill="auto"/>
            <w:vAlign w:val="center"/>
          </w:tcPr>
          <w:p w14:paraId="237F5BAF">
            <w:pPr>
              <w:spacing w:line="420" w:lineRule="exact"/>
              <w:jc w:val="center"/>
              <w:rPr>
                <w:rFonts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427" w:type="dxa"/>
            <w:shd w:val="clear" w:color="auto" w:fill="auto"/>
            <w:vAlign w:val="center"/>
          </w:tcPr>
          <w:p w14:paraId="22857E30">
            <w:pPr>
              <w:spacing w:line="420" w:lineRule="exact"/>
              <w:jc w:val="center"/>
              <w:rPr>
                <w:rFonts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r>
      <w:tr w14:paraId="5F6E51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48F0304">
            <w:pPr>
              <w:pStyle w:val="200"/>
              <w:spacing w:beforeLines="0" w:afterLines="0" w:line="420" w:lineRule="exact"/>
              <w:rPr>
                <w:rFonts w:ascii="Times New Roman"/>
                <w:snapToGrid w:val="0"/>
                <w:color w:val="auto"/>
                <w:kern w:val="21"/>
                <w:szCs w:val="21"/>
                <w:highlight w:val="none"/>
              </w:rPr>
            </w:pPr>
          </w:p>
        </w:tc>
        <w:tc>
          <w:tcPr>
            <w:tcW w:w="1417" w:type="dxa"/>
            <w:vAlign w:val="center"/>
          </w:tcPr>
          <w:p w14:paraId="086D6B1B">
            <w:pPr>
              <w:pStyle w:val="200"/>
              <w:spacing w:beforeLines="0" w:afterLines="0" w:line="420" w:lineRule="exact"/>
              <w:rPr>
                <w:rFonts w:ascii="Times New Roman"/>
                <w:snapToGrid w:val="0"/>
                <w:color w:val="auto"/>
                <w:kern w:val="21"/>
                <w:sz w:val="21"/>
                <w:szCs w:val="21"/>
                <w:highlight w:val="none"/>
              </w:rPr>
            </w:pPr>
            <w:r>
              <w:rPr>
                <w:rFonts w:ascii="Times New Roman"/>
                <w:snapToGrid w:val="0"/>
                <w:color w:val="auto"/>
                <w:kern w:val="21"/>
                <w:sz w:val="21"/>
                <w:szCs w:val="21"/>
                <w:highlight w:val="none"/>
              </w:rPr>
              <w:t>氨氮</w:t>
            </w:r>
          </w:p>
        </w:tc>
        <w:tc>
          <w:tcPr>
            <w:tcW w:w="1701" w:type="dxa"/>
            <w:vAlign w:val="center"/>
          </w:tcPr>
          <w:p w14:paraId="3F13457D">
            <w:pPr>
              <w:spacing w:line="420" w:lineRule="exact"/>
              <w:jc w:val="center"/>
              <w:rPr>
                <w:rFonts w:hint="eastAsia"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w:t>
            </w:r>
          </w:p>
        </w:tc>
        <w:tc>
          <w:tcPr>
            <w:tcW w:w="1276" w:type="dxa"/>
            <w:vAlign w:val="center"/>
          </w:tcPr>
          <w:p w14:paraId="585FF4D9">
            <w:pPr>
              <w:spacing w:line="420" w:lineRule="exact"/>
              <w:jc w:val="center"/>
              <w:rPr>
                <w:rFonts w:hint="eastAsia"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w:t>
            </w:r>
          </w:p>
        </w:tc>
        <w:tc>
          <w:tcPr>
            <w:tcW w:w="1701" w:type="dxa"/>
            <w:vAlign w:val="center"/>
          </w:tcPr>
          <w:p w14:paraId="240E830B">
            <w:pPr>
              <w:spacing w:line="420" w:lineRule="exact"/>
              <w:jc w:val="center"/>
              <w:rPr>
                <w:rFonts w:hint="eastAsia"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w:t>
            </w:r>
          </w:p>
        </w:tc>
        <w:tc>
          <w:tcPr>
            <w:tcW w:w="1559" w:type="dxa"/>
            <w:vAlign w:val="center"/>
          </w:tcPr>
          <w:p w14:paraId="6D636365">
            <w:pPr>
              <w:spacing w:line="420" w:lineRule="exact"/>
              <w:jc w:val="center"/>
              <w:rPr>
                <w:snapToGrid w:val="0"/>
                <w:color w:val="auto"/>
                <w:kern w:val="21"/>
                <w:sz w:val="21"/>
                <w:szCs w:val="21"/>
                <w:highlight w:val="none"/>
              </w:rPr>
            </w:pPr>
            <w:r>
              <w:rPr>
                <w:rFonts w:hint="eastAsia" w:ascii="Times New Roman" w:hAnsi="Times New Roman" w:eastAsia="宋体" w:cs="Times New Roman"/>
                <w:snapToGrid w:val="0"/>
                <w:color w:val="auto"/>
                <w:kern w:val="21"/>
                <w:sz w:val="21"/>
                <w:szCs w:val="21"/>
                <w:highlight w:val="none"/>
                <w:lang w:val="en-US" w:eastAsia="zh-CN"/>
              </w:rPr>
              <w:t>/</w:t>
            </w:r>
          </w:p>
        </w:tc>
        <w:tc>
          <w:tcPr>
            <w:tcW w:w="1418" w:type="dxa"/>
            <w:vAlign w:val="center"/>
          </w:tcPr>
          <w:p w14:paraId="5BDD0EED">
            <w:pPr>
              <w:spacing w:line="420" w:lineRule="exact"/>
              <w:jc w:val="center"/>
              <w:rPr>
                <w:rFonts w:hint="eastAsia" w:eastAsia="宋体"/>
                <w:snapToGrid w:val="0"/>
                <w:color w:val="auto"/>
                <w:kern w:val="21"/>
                <w:sz w:val="21"/>
                <w:szCs w:val="21"/>
                <w:highlight w:val="none"/>
                <w:lang w:val="en-US" w:eastAsia="zh-CN"/>
              </w:rPr>
            </w:pPr>
            <w:r>
              <w:rPr>
                <w:rFonts w:hint="eastAsia"/>
                <w:snapToGrid w:val="0"/>
                <w:color w:val="auto"/>
                <w:kern w:val="21"/>
                <w:sz w:val="21"/>
                <w:szCs w:val="21"/>
                <w:highlight w:val="none"/>
                <w:lang w:val="en-US" w:eastAsia="zh-CN"/>
              </w:rPr>
              <w:t>/</w:t>
            </w:r>
          </w:p>
        </w:tc>
        <w:tc>
          <w:tcPr>
            <w:tcW w:w="1701" w:type="dxa"/>
            <w:shd w:val="clear" w:color="auto" w:fill="auto"/>
            <w:vAlign w:val="center"/>
          </w:tcPr>
          <w:p w14:paraId="39A42831">
            <w:pPr>
              <w:spacing w:line="420" w:lineRule="exact"/>
              <w:jc w:val="center"/>
              <w:rPr>
                <w:rFonts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427" w:type="dxa"/>
            <w:shd w:val="clear" w:color="auto" w:fill="auto"/>
            <w:vAlign w:val="center"/>
          </w:tcPr>
          <w:p w14:paraId="0533A39A">
            <w:pPr>
              <w:spacing w:line="420" w:lineRule="exact"/>
              <w:jc w:val="center"/>
              <w:rPr>
                <w:rFonts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r>
      <w:tr w14:paraId="6D4019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82" w:hRule="atLeast"/>
        </w:trPr>
        <w:tc>
          <w:tcPr>
            <w:tcW w:w="1588" w:type="dxa"/>
            <w:vMerge w:val="restart"/>
            <w:vAlign w:val="center"/>
          </w:tcPr>
          <w:p w14:paraId="3D6C0F0B">
            <w:pPr>
              <w:pStyle w:val="200"/>
              <w:spacing w:beforeLines="0" w:afterLines="0" w:line="240" w:lineRule="auto"/>
              <w:rPr>
                <w:rFonts w:ascii="Times New Roman"/>
                <w:snapToGrid w:val="0"/>
                <w:color w:val="auto"/>
                <w:kern w:val="21"/>
                <w:szCs w:val="21"/>
                <w:highlight w:val="none"/>
              </w:rPr>
            </w:pPr>
            <w:r>
              <w:rPr>
                <w:rFonts w:ascii="Times New Roman"/>
                <w:snapToGrid w:val="0"/>
                <w:color w:val="auto"/>
                <w:kern w:val="21"/>
                <w:szCs w:val="21"/>
                <w:highlight w:val="none"/>
              </w:rPr>
              <w:t>一般工业</w:t>
            </w:r>
          </w:p>
          <w:p w14:paraId="3A894165">
            <w:pPr>
              <w:pStyle w:val="200"/>
              <w:spacing w:beforeLines="0" w:afterLines="0" w:line="240" w:lineRule="auto"/>
              <w:rPr>
                <w:rFonts w:ascii="Times New Roman"/>
                <w:snapToGrid w:val="0"/>
                <w:color w:val="auto"/>
                <w:kern w:val="21"/>
                <w:szCs w:val="21"/>
                <w:highlight w:val="none"/>
              </w:rPr>
            </w:pPr>
            <w:r>
              <w:rPr>
                <w:rFonts w:ascii="Times New Roman"/>
                <w:snapToGrid w:val="0"/>
                <w:color w:val="auto"/>
                <w:kern w:val="21"/>
                <w:szCs w:val="21"/>
                <w:highlight w:val="none"/>
              </w:rPr>
              <w:t>固体废物</w:t>
            </w:r>
          </w:p>
        </w:tc>
        <w:tc>
          <w:tcPr>
            <w:tcW w:w="1417" w:type="dxa"/>
            <w:shd w:val="clear" w:color="auto" w:fill="auto"/>
            <w:vAlign w:val="center"/>
          </w:tcPr>
          <w:p w14:paraId="6DE1008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bCs/>
                <w:color w:val="auto"/>
                <w:szCs w:val="21"/>
                <w:highlight w:val="none"/>
                <w:lang w:val="en-US" w:eastAsia="zh-CN"/>
              </w:rPr>
              <w:t>废包装袋</w:t>
            </w:r>
          </w:p>
        </w:tc>
        <w:tc>
          <w:tcPr>
            <w:tcW w:w="1701" w:type="dxa"/>
            <w:vAlign w:val="center"/>
          </w:tcPr>
          <w:p w14:paraId="5DCC219F">
            <w:pPr>
              <w:pStyle w:val="200"/>
              <w:spacing w:beforeLines="0" w:afterLines="0" w:line="420" w:lineRule="exact"/>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3901723B">
            <w:pPr>
              <w:pStyle w:val="200"/>
              <w:spacing w:beforeLines="0" w:afterLines="0" w:line="420" w:lineRule="exact"/>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18BD484C">
            <w:pPr>
              <w:pStyle w:val="200"/>
              <w:spacing w:beforeLines="0" w:afterLines="0" w:line="420" w:lineRule="exact"/>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59" w:type="dxa"/>
            <w:shd w:val="clear" w:color="auto" w:fill="auto"/>
            <w:vAlign w:val="center"/>
          </w:tcPr>
          <w:p w14:paraId="48C4B79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0.756</w:t>
            </w:r>
          </w:p>
        </w:tc>
        <w:tc>
          <w:tcPr>
            <w:tcW w:w="1418" w:type="dxa"/>
            <w:vAlign w:val="center"/>
          </w:tcPr>
          <w:p w14:paraId="1C33DDB6">
            <w:pPr>
              <w:pStyle w:val="200"/>
              <w:spacing w:beforeLines="0" w:afterLines="0" w:line="420" w:lineRule="exact"/>
              <w:rPr>
                <w:rFonts w:hint="default" w:ascii="Times New Roman" w:eastAsia="宋体"/>
                <w:snapToGrid w:val="0"/>
                <w:color w:val="auto"/>
                <w:kern w:val="21"/>
                <w:sz w:val="21"/>
                <w:szCs w:val="21"/>
                <w:highlight w:val="none"/>
                <w:lang w:val="en-US" w:eastAsia="zh-CN"/>
              </w:rPr>
            </w:pPr>
            <w:r>
              <w:rPr>
                <w:rFonts w:hint="eastAsia" w:ascii="Times New Roman"/>
                <w:snapToGrid w:val="0"/>
                <w:color w:val="auto"/>
                <w:kern w:val="21"/>
                <w:sz w:val="21"/>
                <w:szCs w:val="21"/>
                <w:highlight w:val="none"/>
                <w:lang w:val="en-US" w:eastAsia="zh-CN"/>
              </w:rPr>
              <w:t>/</w:t>
            </w:r>
          </w:p>
        </w:tc>
        <w:tc>
          <w:tcPr>
            <w:tcW w:w="1701" w:type="dxa"/>
            <w:shd w:val="clear" w:color="auto" w:fill="auto"/>
            <w:vAlign w:val="center"/>
          </w:tcPr>
          <w:p w14:paraId="5C360E9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0.756</w:t>
            </w:r>
          </w:p>
        </w:tc>
        <w:tc>
          <w:tcPr>
            <w:tcW w:w="1427" w:type="dxa"/>
            <w:shd w:val="clear" w:color="auto" w:fill="auto"/>
            <w:vAlign w:val="center"/>
          </w:tcPr>
          <w:p w14:paraId="2981541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0.756</w:t>
            </w:r>
          </w:p>
        </w:tc>
      </w:tr>
      <w:tr w14:paraId="3EE842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CBD4C95">
            <w:pPr>
              <w:pStyle w:val="200"/>
              <w:spacing w:beforeLines="0" w:afterLines="0" w:line="420" w:lineRule="exact"/>
              <w:rPr>
                <w:rFonts w:hint="eastAsia" w:ascii="Times New Roman"/>
                <w:snapToGrid w:val="0"/>
                <w:color w:val="auto"/>
                <w:kern w:val="21"/>
                <w:szCs w:val="21"/>
                <w:highlight w:val="none"/>
                <w:lang w:eastAsia="zh-CN"/>
              </w:rPr>
            </w:pPr>
          </w:p>
        </w:tc>
        <w:tc>
          <w:tcPr>
            <w:tcW w:w="1417" w:type="dxa"/>
            <w:shd w:val="clear" w:color="auto" w:fill="auto"/>
            <w:vAlign w:val="center"/>
          </w:tcPr>
          <w:p w14:paraId="3489705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压滤和过滤杂质</w:t>
            </w:r>
          </w:p>
        </w:tc>
        <w:tc>
          <w:tcPr>
            <w:tcW w:w="1701" w:type="dxa"/>
            <w:vAlign w:val="center"/>
          </w:tcPr>
          <w:p w14:paraId="264587E6">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35636E79">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505A0EAF">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59" w:type="dxa"/>
            <w:shd w:val="clear" w:color="auto" w:fill="auto"/>
            <w:vAlign w:val="center"/>
          </w:tcPr>
          <w:p w14:paraId="2AAE519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2.6</w:t>
            </w:r>
          </w:p>
        </w:tc>
        <w:tc>
          <w:tcPr>
            <w:tcW w:w="1418" w:type="dxa"/>
            <w:vAlign w:val="center"/>
          </w:tcPr>
          <w:p w14:paraId="74F0AEED">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shd w:val="clear" w:color="auto" w:fill="auto"/>
            <w:vAlign w:val="center"/>
          </w:tcPr>
          <w:p w14:paraId="4A3A1E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2.6</w:t>
            </w:r>
          </w:p>
        </w:tc>
        <w:tc>
          <w:tcPr>
            <w:tcW w:w="1427" w:type="dxa"/>
            <w:shd w:val="clear" w:color="auto" w:fill="auto"/>
            <w:vAlign w:val="center"/>
          </w:tcPr>
          <w:p w14:paraId="3991D5E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2.6</w:t>
            </w:r>
          </w:p>
        </w:tc>
      </w:tr>
      <w:tr w14:paraId="78177D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14:paraId="11C4268B">
            <w:pPr>
              <w:pStyle w:val="200"/>
              <w:spacing w:beforeLines="0" w:afterLines="0" w:line="420" w:lineRule="exact"/>
              <w:rPr>
                <w:rFonts w:hint="default" w:ascii="Times New Roman"/>
                <w:snapToGrid w:val="0"/>
                <w:color w:val="auto"/>
                <w:kern w:val="21"/>
                <w:szCs w:val="21"/>
                <w:highlight w:val="none"/>
                <w:lang w:val="en-US" w:eastAsia="zh-CN"/>
              </w:rPr>
            </w:pPr>
            <w:r>
              <w:rPr>
                <w:rFonts w:hint="eastAsia" w:ascii="Times New Roman"/>
                <w:snapToGrid w:val="0"/>
                <w:color w:val="auto"/>
                <w:kern w:val="21"/>
                <w:szCs w:val="21"/>
                <w:highlight w:val="none"/>
                <w:lang w:val="en-US" w:eastAsia="zh-CN"/>
              </w:rPr>
              <w:t>--</w:t>
            </w:r>
          </w:p>
        </w:tc>
        <w:tc>
          <w:tcPr>
            <w:tcW w:w="1417" w:type="dxa"/>
            <w:shd w:val="clear" w:color="auto" w:fill="auto"/>
            <w:vAlign w:val="center"/>
          </w:tcPr>
          <w:p w14:paraId="520FAA0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bCs/>
                <w:color w:val="auto"/>
                <w:highlight w:val="none"/>
                <w:lang w:val="en-US" w:eastAsia="zh-CN"/>
              </w:rPr>
            </w:pPr>
            <w:r>
              <w:rPr>
                <w:rFonts w:hint="eastAsia" w:cs="Times New Roman"/>
                <w:bCs/>
                <w:color w:val="auto"/>
                <w:highlight w:val="none"/>
                <w:lang w:val="en-US" w:eastAsia="zh-CN"/>
              </w:rPr>
              <w:t>废盐</w:t>
            </w:r>
          </w:p>
        </w:tc>
        <w:tc>
          <w:tcPr>
            <w:tcW w:w="1701" w:type="dxa"/>
            <w:vAlign w:val="center"/>
          </w:tcPr>
          <w:p w14:paraId="177E27BE">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4BDECFAA">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758FC41F">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59" w:type="dxa"/>
            <w:shd w:val="clear" w:color="auto" w:fill="auto"/>
            <w:vAlign w:val="center"/>
          </w:tcPr>
          <w:p w14:paraId="246BFC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295.828</w:t>
            </w:r>
          </w:p>
        </w:tc>
        <w:tc>
          <w:tcPr>
            <w:tcW w:w="1418" w:type="dxa"/>
            <w:shd w:val="clear" w:color="auto" w:fill="auto"/>
            <w:vAlign w:val="center"/>
          </w:tcPr>
          <w:p w14:paraId="3AE90B05">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shd w:val="clear" w:color="auto" w:fill="auto"/>
            <w:vAlign w:val="center"/>
          </w:tcPr>
          <w:p w14:paraId="25E6CE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295.828</w:t>
            </w:r>
          </w:p>
        </w:tc>
        <w:tc>
          <w:tcPr>
            <w:tcW w:w="1427" w:type="dxa"/>
            <w:shd w:val="clear" w:color="auto" w:fill="auto"/>
            <w:vAlign w:val="center"/>
          </w:tcPr>
          <w:p w14:paraId="338EFFC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295.828</w:t>
            </w:r>
          </w:p>
        </w:tc>
      </w:tr>
      <w:tr w14:paraId="794EF4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371FE76E">
            <w:pPr>
              <w:pStyle w:val="200"/>
              <w:spacing w:beforeLines="0" w:afterLines="0" w:line="420" w:lineRule="exact"/>
              <w:rPr>
                <w:rFonts w:hint="eastAsia" w:ascii="Times New Roman" w:eastAsia="宋体"/>
                <w:snapToGrid w:val="0"/>
                <w:color w:val="auto"/>
                <w:kern w:val="21"/>
                <w:szCs w:val="21"/>
                <w:highlight w:val="none"/>
                <w:lang w:eastAsia="zh-CN"/>
              </w:rPr>
            </w:pPr>
            <w:r>
              <w:rPr>
                <w:rFonts w:hint="eastAsia" w:ascii="Times New Roman"/>
                <w:snapToGrid w:val="0"/>
                <w:color w:val="auto"/>
                <w:kern w:val="21"/>
                <w:szCs w:val="21"/>
                <w:highlight w:val="none"/>
                <w:lang w:eastAsia="zh-CN"/>
              </w:rPr>
              <w:t>危险废物</w:t>
            </w:r>
          </w:p>
        </w:tc>
        <w:tc>
          <w:tcPr>
            <w:tcW w:w="1417" w:type="dxa"/>
            <w:shd w:val="clear" w:color="auto" w:fill="auto"/>
            <w:vAlign w:val="center"/>
          </w:tcPr>
          <w:p w14:paraId="08730F3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bCs/>
                <w:color w:val="auto"/>
                <w:highlight w:val="none"/>
                <w:lang w:val="en-US" w:eastAsia="zh-CN"/>
              </w:rPr>
              <w:t>废活性炭</w:t>
            </w:r>
          </w:p>
        </w:tc>
        <w:tc>
          <w:tcPr>
            <w:tcW w:w="1701" w:type="dxa"/>
            <w:vAlign w:val="center"/>
          </w:tcPr>
          <w:p w14:paraId="440E9197">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4995E2EF">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1166EEB2">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59" w:type="dxa"/>
            <w:shd w:val="clear" w:color="auto" w:fill="auto"/>
            <w:vAlign w:val="center"/>
          </w:tcPr>
          <w:p w14:paraId="272D698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2.273</w:t>
            </w:r>
          </w:p>
        </w:tc>
        <w:tc>
          <w:tcPr>
            <w:tcW w:w="1418" w:type="dxa"/>
            <w:vAlign w:val="center"/>
          </w:tcPr>
          <w:p w14:paraId="700DFC9B">
            <w:pPr>
              <w:spacing w:beforeLines="0" w:afterLines="0" w:line="420" w:lineRule="exact"/>
              <w:jc w:val="center"/>
              <w:rPr>
                <w:rFonts w:hint="eastAsia" w:ascii="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shd w:val="clear" w:color="auto" w:fill="auto"/>
            <w:vAlign w:val="center"/>
          </w:tcPr>
          <w:p w14:paraId="7D74F3D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2.273</w:t>
            </w:r>
          </w:p>
        </w:tc>
        <w:tc>
          <w:tcPr>
            <w:tcW w:w="1427" w:type="dxa"/>
            <w:shd w:val="clear" w:color="auto" w:fill="auto"/>
            <w:vAlign w:val="center"/>
          </w:tcPr>
          <w:p w14:paraId="7AC1D08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2.273</w:t>
            </w:r>
          </w:p>
        </w:tc>
      </w:tr>
      <w:tr w14:paraId="57B901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291776C0">
            <w:pPr>
              <w:pStyle w:val="200"/>
              <w:spacing w:beforeLines="0" w:afterLines="0" w:line="420" w:lineRule="exact"/>
              <w:rPr>
                <w:rFonts w:hint="eastAsia" w:ascii="Times New Roman" w:eastAsia="宋体"/>
                <w:snapToGrid w:val="0"/>
                <w:color w:val="auto"/>
                <w:kern w:val="21"/>
                <w:szCs w:val="21"/>
                <w:highlight w:val="none"/>
                <w:lang w:eastAsia="zh-CN"/>
              </w:rPr>
            </w:pPr>
          </w:p>
        </w:tc>
        <w:tc>
          <w:tcPr>
            <w:tcW w:w="1417" w:type="dxa"/>
            <w:shd w:val="clear" w:color="auto" w:fill="auto"/>
            <w:vAlign w:val="center"/>
          </w:tcPr>
          <w:p w14:paraId="14658E0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bCs/>
                <w:color w:val="auto"/>
                <w:highlight w:val="none"/>
                <w:lang w:val="en-US" w:eastAsia="zh-CN"/>
              </w:rPr>
              <w:t>废机油</w:t>
            </w:r>
          </w:p>
        </w:tc>
        <w:tc>
          <w:tcPr>
            <w:tcW w:w="1701" w:type="dxa"/>
            <w:vAlign w:val="center"/>
          </w:tcPr>
          <w:p w14:paraId="1232B86D">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025D7123">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700F4979">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59" w:type="dxa"/>
            <w:shd w:val="clear" w:color="auto" w:fill="auto"/>
            <w:vAlign w:val="center"/>
          </w:tcPr>
          <w:p w14:paraId="58536C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0.2</w:t>
            </w:r>
          </w:p>
        </w:tc>
        <w:tc>
          <w:tcPr>
            <w:tcW w:w="1418" w:type="dxa"/>
            <w:shd w:val="clear" w:color="auto" w:fill="auto"/>
            <w:vAlign w:val="center"/>
          </w:tcPr>
          <w:p w14:paraId="22EBA78E">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shd w:val="clear" w:color="auto" w:fill="auto"/>
            <w:vAlign w:val="center"/>
          </w:tcPr>
          <w:p w14:paraId="2786F6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0.2</w:t>
            </w:r>
          </w:p>
        </w:tc>
        <w:tc>
          <w:tcPr>
            <w:tcW w:w="1427" w:type="dxa"/>
            <w:shd w:val="clear" w:color="auto" w:fill="auto"/>
            <w:vAlign w:val="center"/>
          </w:tcPr>
          <w:p w14:paraId="1EDDA5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0.2</w:t>
            </w:r>
          </w:p>
        </w:tc>
      </w:tr>
      <w:tr w14:paraId="154641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8D0B9C1">
            <w:pPr>
              <w:pStyle w:val="200"/>
              <w:spacing w:beforeLines="0" w:afterLines="0" w:line="420" w:lineRule="exact"/>
              <w:rPr>
                <w:rFonts w:hint="eastAsia" w:ascii="Times New Roman" w:eastAsia="宋体"/>
                <w:snapToGrid w:val="0"/>
                <w:color w:val="auto"/>
                <w:kern w:val="21"/>
                <w:szCs w:val="21"/>
                <w:highlight w:val="none"/>
                <w:lang w:eastAsia="zh-CN"/>
              </w:rPr>
            </w:pPr>
          </w:p>
        </w:tc>
        <w:tc>
          <w:tcPr>
            <w:tcW w:w="1417" w:type="dxa"/>
            <w:shd w:val="clear" w:color="auto" w:fill="auto"/>
            <w:vAlign w:val="center"/>
          </w:tcPr>
          <w:p w14:paraId="0BA72AC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bCs/>
                <w:color w:val="auto"/>
                <w:highlight w:val="none"/>
                <w:lang w:val="en-US" w:eastAsia="zh-CN"/>
              </w:rPr>
              <w:t>废机油桶</w:t>
            </w:r>
          </w:p>
        </w:tc>
        <w:tc>
          <w:tcPr>
            <w:tcW w:w="1701" w:type="dxa"/>
            <w:vAlign w:val="center"/>
          </w:tcPr>
          <w:p w14:paraId="1DF1ACC8">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2D3B36C4">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61800837">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59" w:type="dxa"/>
            <w:shd w:val="clear" w:color="auto" w:fill="auto"/>
            <w:vAlign w:val="center"/>
          </w:tcPr>
          <w:p w14:paraId="65E4D1C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0.144</w:t>
            </w:r>
          </w:p>
        </w:tc>
        <w:tc>
          <w:tcPr>
            <w:tcW w:w="1418" w:type="dxa"/>
            <w:vAlign w:val="center"/>
          </w:tcPr>
          <w:p w14:paraId="01CDAF10">
            <w:pPr>
              <w:spacing w:beforeLines="0" w:afterLines="0" w:line="420" w:lineRule="exact"/>
              <w:jc w:val="center"/>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shd w:val="clear" w:color="auto" w:fill="auto"/>
            <w:vAlign w:val="center"/>
          </w:tcPr>
          <w:p w14:paraId="474DDDC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0.144</w:t>
            </w:r>
          </w:p>
        </w:tc>
        <w:tc>
          <w:tcPr>
            <w:tcW w:w="1427" w:type="dxa"/>
            <w:shd w:val="clear" w:color="auto" w:fill="auto"/>
            <w:vAlign w:val="center"/>
          </w:tcPr>
          <w:p w14:paraId="17D9759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0.144</w:t>
            </w:r>
          </w:p>
        </w:tc>
      </w:tr>
      <w:tr w14:paraId="0FD6000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14:paraId="433AEFD9">
            <w:pPr>
              <w:pStyle w:val="200"/>
              <w:spacing w:beforeLines="0" w:afterLines="0" w:line="420" w:lineRule="exact"/>
              <w:rPr>
                <w:rFonts w:hint="eastAsia" w:ascii="Times New Roman" w:eastAsia="宋体"/>
                <w:snapToGrid w:val="0"/>
                <w:color w:val="auto"/>
                <w:kern w:val="21"/>
                <w:szCs w:val="21"/>
                <w:highlight w:val="none"/>
                <w:lang w:eastAsia="zh-CN"/>
              </w:rPr>
            </w:pPr>
            <w:r>
              <w:rPr>
                <w:rFonts w:hint="eastAsia" w:ascii="Times New Roman"/>
                <w:snapToGrid w:val="0"/>
                <w:color w:val="auto"/>
                <w:kern w:val="21"/>
                <w:szCs w:val="21"/>
                <w:highlight w:val="none"/>
                <w:lang w:eastAsia="zh-CN"/>
              </w:rPr>
              <w:t>生活固废</w:t>
            </w:r>
          </w:p>
        </w:tc>
        <w:tc>
          <w:tcPr>
            <w:tcW w:w="1417" w:type="dxa"/>
            <w:vAlign w:val="center"/>
          </w:tcPr>
          <w:p w14:paraId="3E29D9AC">
            <w:pPr>
              <w:pStyle w:val="200"/>
              <w:spacing w:beforeLines="0" w:afterLines="0" w:line="420" w:lineRule="exact"/>
              <w:rPr>
                <w:rFonts w:hint="eastAsia" w:ascii="Times New Roman" w:hAnsi="Times New Roman" w:eastAsia="宋体" w:cs="Times New Roman"/>
                <w:snapToGrid w:val="0"/>
                <w:color w:val="auto"/>
                <w:kern w:val="21"/>
                <w:sz w:val="21"/>
                <w:szCs w:val="21"/>
                <w:highlight w:val="none"/>
                <w:lang w:eastAsia="zh-CN"/>
              </w:rPr>
            </w:pPr>
            <w:r>
              <w:rPr>
                <w:rFonts w:hint="eastAsia" w:ascii="Times New Roman" w:hAnsi="Times New Roman" w:eastAsia="宋体" w:cs="Times New Roman"/>
                <w:snapToGrid w:val="0"/>
                <w:color w:val="auto"/>
                <w:kern w:val="21"/>
                <w:sz w:val="21"/>
                <w:szCs w:val="21"/>
                <w:highlight w:val="none"/>
                <w:lang w:eastAsia="zh-CN"/>
              </w:rPr>
              <w:t>生活垃圾</w:t>
            </w:r>
          </w:p>
        </w:tc>
        <w:tc>
          <w:tcPr>
            <w:tcW w:w="1701" w:type="dxa"/>
            <w:vAlign w:val="center"/>
          </w:tcPr>
          <w:p w14:paraId="17522057">
            <w:pPr>
              <w:pStyle w:val="200"/>
              <w:spacing w:beforeLines="0" w:afterLines="0" w:line="420" w:lineRule="exact"/>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3F03EA09">
            <w:pPr>
              <w:pStyle w:val="200"/>
              <w:spacing w:beforeLines="0" w:afterLines="0" w:line="420" w:lineRule="exact"/>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0E607FE6">
            <w:pPr>
              <w:pStyle w:val="200"/>
              <w:spacing w:beforeLines="0" w:afterLines="0" w:line="420" w:lineRule="exact"/>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559" w:type="dxa"/>
            <w:shd w:val="clear" w:color="auto" w:fill="auto"/>
            <w:vAlign w:val="center"/>
          </w:tcPr>
          <w:p w14:paraId="6ADA4882">
            <w:pPr>
              <w:pStyle w:val="200"/>
              <w:spacing w:beforeLines="0" w:afterLines="0" w:line="420" w:lineRule="exact"/>
              <w:rPr>
                <w:rFonts w:hint="default"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3</w:t>
            </w:r>
          </w:p>
        </w:tc>
        <w:tc>
          <w:tcPr>
            <w:tcW w:w="1418" w:type="dxa"/>
            <w:vAlign w:val="center"/>
          </w:tcPr>
          <w:p w14:paraId="46A4D362">
            <w:pPr>
              <w:spacing w:beforeLines="0" w:afterLines="0" w:line="420" w:lineRule="exact"/>
              <w:jc w:val="center"/>
              <w:rPr>
                <w:rFonts w:hint="eastAsia" w:ascii="Times New Roman" w:eastAsia="宋体"/>
                <w:snapToGrid w:val="0"/>
                <w:color w:val="auto"/>
                <w:kern w:val="21"/>
                <w:sz w:val="21"/>
                <w:szCs w:val="21"/>
                <w:highlight w:val="none"/>
                <w:lang w:val="en-US" w:eastAsia="zh-CN"/>
              </w:rPr>
            </w:pPr>
            <w:r>
              <w:rPr>
                <w:rFonts w:hint="eastAsia" w:ascii="Times New Roman" w:hAnsi="Times New Roman" w:eastAsia="宋体" w:cs="Times New Roman"/>
                <w:snapToGrid w:val="0"/>
                <w:color w:val="auto"/>
                <w:kern w:val="21"/>
                <w:sz w:val="21"/>
                <w:szCs w:val="21"/>
                <w:highlight w:val="none"/>
                <w:lang w:val="en-US" w:eastAsia="zh-CN"/>
              </w:rPr>
              <w:t>/</w:t>
            </w:r>
          </w:p>
        </w:tc>
        <w:tc>
          <w:tcPr>
            <w:tcW w:w="1701" w:type="dxa"/>
            <w:shd w:val="clear" w:color="auto" w:fill="auto"/>
            <w:vAlign w:val="center"/>
          </w:tcPr>
          <w:p w14:paraId="76D13E06">
            <w:pPr>
              <w:pStyle w:val="200"/>
              <w:spacing w:beforeLines="0" w:afterLines="0" w:line="420" w:lineRule="exact"/>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3</w:t>
            </w:r>
          </w:p>
        </w:tc>
        <w:tc>
          <w:tcPr>
            <w:tcW w:w="1427" w:type="dxa"/>
            <w:shd w:val="clear" w:color="auto" w:fill="auto"/>
            <w:vAlign w:val="center"/>
          </w:tcPr>
          <w:p w14:paraId="0C6DF73A">
            <w:pPr>
              <w:pStyle w:val="200"/>
              <w:spacing w:beforeLines="0" w:afterLines="0" w:line="420" w:lineRule="exact"/>
              <w:rPr>
                <w:rFonts w:hint="eastAsia" w:ascii="Times New Roman" w:hAnsi="Times New Roman" w:eastAsia="宋体" w:cs="Times New Roman"/>
                <w:snapToGrid w:val="0"/>
                <w:color w:val="auto"/>
                <w:kern w:val="21"/>
                <w:sz w:val="21"/>
                <w:szCs w:val="21"/>
                <w:highlight w:val="none"/>
                <w:lang w:val="en-US" w:eastAsia="zh-CN" w:bidi="ar-SA"/>
              </w:rPr>
            </w:pPr>
            <w:r>
              <w:rPr>
                <w:rFonts w:hint="eastAsia" w:ascii="Times New Roman" w:cs="Times New Roman"/>
                <w:snapToGrid w:val="0"/>
                <w:color w:val="auto"/>
                <w:kern w:val="21"/>
                <w:sz w:val="21"/>
                <w:szCs w:val="21"/>
                <w:highlight w:val="none"/>
                <w:lang w:val="en-US" w:eastAsia="zh-CN"/>
              </w:rPr>
              <w:t>3</w:t>
            </w:r>
          </w:p>
        </w:tc>
      </w:tr>
    </w:tbl>
    <w:p w14:paraId="5E912079">
      <w:pPr>
        <w:pStyle w:val="200"/>
        <w:spacing w:before="192" w:beforeLines="80" w:after="24" w:line="420" w:lineRule="exact"/>
        <w:jc w:val="left"/>
        <w:rPr>
          <w:rFonts w:ascii="Times New Roman"/>
          <w:snapToGrid w:val="0"/>
          <w:color w:val="auto"/>
          <w:spacing w:val="-6"/>
          <w:kern w:val="21"/>
          <w:szCs w:val="21"/>
          <w:highlight w:val="none"/>
        </w:rPr>
      </w:pPr>
      <w:r>
        <w:rPr>
          <w:rFonts w:ascii="Times New Roman"/>
          <w:snapToGrid w:val="0"/>
          <w:color w:val="auto"/>
          <w:kern w:val="21"/>
          <w:szCs w:val="21"/>
          <w:highlight w:val="none"/>
        </w:rPr>
        <w:t>注：</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6 \* GB3 \* MERGEFORMAT </w:instrText>
      </w:r>
      <w:r>
        <w:rPr>
          <w:rFonts w:ascii="Times New Roman"/>
          <w:snapToGrid w:val="0"/>
          <w:color w:val="auto"/>
          <w:spacing w:val="-16"/>
          <w:kern w:val="21"/>
          <w:szCs w:val="21"/>
          <w:highlight w:val="none"/>
        </w:rPr>
        <w:fldChar w:fldCharType="separate"/>
      </w:r>
      <w:r>
        <w:rPr>
          <w:rFonts w:ascii="Times New Roman"/>
          <w:color w:val="auto"/>
          <w:szCs w:val="21"/>
          <w:highlight w:val="none"/>
        </w:rPr>
        <w:t>⑥</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1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①</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3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③</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4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④</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5 \* GB3 \* MERGEFORMAT </w:instrText>
      </w:r>
      <w:r>
        <w:rPr>
          <w:rFonts w:ascii="Times New Roman"/>
          <w:snapToGrid w:val="0"/>
          <w:color w:val="auto"/>
          <w:spacing w:val="-16"/>
          <w:kern w:val="21"/>
          <w:szCs w:val="21"/>
          <w:highlight w:val="none"/>
        </w:rPr>
        <w:fldChar w:fldCharType="separate"/>
      </w:r>
      <w:r>
        <w:rPr>
          <w:rFonts w:ascii="Times New Roman"/>
          <w:color w:val="auto"/>
          <w:szCs w:val="21"/>
          <w:highlight w:val="none"/>
        </w:rPr>
        <w:t>⑤</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7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⑦</w:t>
      </w:r>
      <w:r>
        <w:rPr>
          <w:rFonts w:ascii="Times New Roman"/>
          <w:snapToGrid w:val="0"/>
          <w:color w:val="auto"/>
          <w:spacing w:val="-6"/>
          <w:kern w:val="21"/>
          <w:szCs w:val="21"/>
          <w:highlight w:val="none"/>
        </w:rPr>
        <w:fldChar w:fldCharType="end"/>
      </w:r>
      <w:r>
        <w:rPr>
          <w:rFonts w:ascii="Times New Roman"/>
          <w:snapToGrid w:val="0"/>
          <w:color w:val="auto"/>
          <w:spacing w:val="-6"/>
          <w:kern w:val="21"/>
          <w:szCs w:val="21"/>
          <w:highlight w:val="none"/>
        </w:rPr>
        <w:t>=</w:t>
      </w:r>
      <w:r>
        <w:rPr>
          <w:rFonts w:ascii="Times New Roman"/>
          <w:snapToGrid w:val="0"/>
          <w:color w:val="auto"/>
          <w:spacing w:val="-16"/>
          <w:kern w:val="21"/>
          <w:szCs w:val="21"/>
          <w:highlight w:val="none"/>
        </w:rPr>
        <w:fldChar w:fldCharType="begin"/>
      </w:r>
      <w:r>
        <w:rPr>
          <w:rFonts w:ascii="Times New Roman"/>
          <w:snapToGrid w:val="0"/>
          <w:color w:val="auto"/>
          <w:spacing w:val="-16"/>
          <w:kern w:val="21"/>
          <w:szCs w:val="21"/>
          <w:highlight w:val="none"/>
        </w:rPr>
        <w:instrText xml:space="preserve"> = 6 \* GB3 \* MERGEFORMAT </w:instrText>
      </w:r>
      <w:r>
        <w:rPr>
          <w:rFonts w:ascii="Times New Roman"/>
          <w:snapToGrid w:val="0"/>
          <w:color w:val="auto"/>
          <w:spacing w:val="-16"/>
          <w:kern w:val="21"/>
          <w:szCs w:val="21"/>
          <w:highlight w:val="none"/>
        </w:rPr>
        <w:fldChar w:fldCharType="separate"/>
      </w:r>
      <w:r>
        <w:rPr>
          <w:rFonts w:ascii="Times New Roman"/>
          <w:color w:val="auto"/>
          <w:szCs w:val="21"/>
          <w:highlight w:val="none"/>
        </w:rPr>
        <w:t>⑥</w:t>
      </w:r>
      <w:r>
        <w:rPr>
          <w:rFonts w:ascii="Times New Roman"/>
          <w:snapToGrid w:val="0"/>
          <w:color w:val="auto"/>
          <w:spacing w:val="-16"/>
          <w:kern w:val="21"/>
          <w:szCs w:val="21"/>
          <w:highlight w:val="none"/>
        </w:rPr>
        <w:fldChar w:fldCharType="end"/>
      </w:r>
      <w:r>
        <w:rPr>
          <w:rFonts w:ascii="Times New Roman"/>
          <w:snapToGrid w:val="0"/>
          <w:color w:val="auto"/>
          <w:spacing w:val="-16"/>
          <w:kern w:val="21"/>
          <w:szCs w:val="21"/>
          <w:highlight w:val="none"/>
        </w:rPr>
        <w:t>-</w:t>
      </w:r>
      <w:r>
        <w:rPr>
          <w:rFonts w:ascii="Times New Roman"/>
          <w:snapToGrid w:val="0"/>
          <w:color w:val="auto"/>
          <w:spacing w:val="-6"/>
          <w:kern w:val="21"/>
          <w:szCs w:val="21"/>
          <w:highlight w:val="none"/>
        </w:rPr>
        <w:fldChar w:fldCharType="begin"/>
      </w:r>
      <w:r>
        <w:rPr>
          <w:rFonts w:ascii="Times New Roman"/>
          <w:snapToGrid w:val="0"/>
          <w:color w:val="auto"/>
          <w:spacing w:val="-6"/>
          <w:kern w:val="21"/>
          <w:szCs w:val="21"/>
          <w:highlight w:val="none"/>
        </w:rPr>
        <w:instrText xml:space="preserve"> = 1 \* GB3 \* MERGEFORMAT </w:instrText>
      </w:r>
      <w:r>
        <w:rPr>
          <w:rFonts w:ascii="Times New Roman"/>
          <w:snapToGrid w:val="0"/>
          <w:color w:val="auto"/>
          <w:spacing w:val="-6"/>
          <w:kern w:val="21"/>
          <w:szCs w:val="21"/>
          <w:highlight w:val="none"/>
        </w:rPr>
        <w:fldChar w:fldCharType="separate"/>
      </w:r>
      <w:r>
        <w:rPr>
          <w:rFonts w:ascii="Times New Roman"/>
          <w:color w:val="auto"/>
          <w:szCs w:val="21"/>
          <w:highlight w:val="none"/>
        </w:rPr>
        <w:t>①</w:t>
      </w:r>
      <w:r>
        <w:rPr>
          <w:rFonts w:ascii="Times New Roman"/>
          <w:snapToGrid w:val="0"/>
          <w:color w:val="auto"/>
          <w:spacing w:val="-6"/>
          <w:kern w:val="21"/>
          <w:szCs w:val="21"/>
          <w:highlight w:val="none"/>
        </w:rPr>
        <w:fldChar w:fldCharType="end"/>
      </w:r>
    </w:p>
    <w:p w14:paraId="1D87490B">
      <w:pPr>
        <w:rPr>
          <w:rFonts w:ascii="Times New Roman"/>
          <w:snapToGrid w:val="0"/>
          <w:color w:val="auto"/>
          <w:spacing w:val="-6"/>
          <w:kern w:val="21"/>
          <w:szCs w:val="21"/>
          <w:highlight w:val="none"/>
        </w:rPr>
      </w:pPr>
    </w:p>
    <w:p w14:paraId="4D9E5D85">
      <w:pPr>
        <w:pStyle w:val="82"/>
        <w:rPr>
          <w:rFonts w:ascii="Times New Roman"/>
          <w:snapToGrid w:val="0"/>
          <w:color w:val="auto"/>
          <w:spacing w:val="-6"/>
          <w:kern w:val="21"/>
          <w:szCs w:val="21"/>
          <w:highlight w:val="none"/>
        </w:rPr>
      </w:pPr>
    </w:p>
    <w:p w14:paraId="38AF3A7F">
      <w:pPr>
        <w:pStyle w:val="82"/>
        <w:ind w:left="0" w:leftChars="0" w:firstLine="0" w:firstLineChars="0"/>
        <w:rPr>
          <w:rFonts w:ascii="Times New Roman"/>
          <w:snapToGrid w:val="0"/>
          <w:color w:val="auto"/>
          <w:spacing w:val="-6"/>
          <w:kern w:val="21"/>
          <w:szCs w:val="21"/>
          <w:highlight w:val="none"/>
        </w:rPr>
        <w:sectPr>
          <w:footerReference r:id="rId6" w:type="default"/>
          <w:pgSz w:w="16838" w:h="11906" w:orient="landscape"/>
          <w:pgMar w:top="1531" w:right="1701" w:bottom="1531" w:left="1701" w:header="851" w:footer="1191" w:gutter="0"/>
          <w:cols w:space="720" w:num="1"/>
          <w:docGrid w:linePitch="312" w:charSpace="0"/>
        </w:sectPr>
      </w:pPr>
    </w:p>
    <w:p w14:paraId="4378D888">
      <w:pPr>
        <w:keepNext w:val="0"/>
        <w:keepLines w:val="0"/>
        <w:widowControl w:val="0"/>
        <w:suppressLineNumbers w:val="0"/>
        <w:spacing w:before="0" w:beforeAutospacing="0" w:after="0" w:afterAutospacing="0"/>
        <w:ind w:left="0" w:right="560"/>
        <w:jc w:val="right"/>
        <w:rPr>
          <w:rFonts w:hint="eastAsia" w:ascii="Times New Roman" w:hAnsi="Times New Roman" w:eastAsia="宋体" w:cs="宋体"/>
          <w:color w:val="auto"/>
          <w:kern w:val="2"/>
          <w:sz w:val="28"/>
          <w:szCs w:val="28"/>
          <w:highlight w:val="none"/>
          <w:lang w:val="en-US" w:eastAsia="zh-CN" w:bidi="ar"/>
        </w:rPr>
        <w:sectPr>
          <w:pgSz w:w="11906" w:h="16838"/>
          <w:pgMar w:top="1440" w:right="1800" w:bottom="1440" w:left="1800" w:header="851" w:footer="992" w:gutter="0"/>
          <w:cols w:space="720" w:num="1"/>
          <w:docGrid w:type="lines" w:linePitch="312" w:charSpace="0"/>
        </w:sectPr>
      </w:pPr>
      <w:r>
        <w:rPr>
          <w:rFonts w:hint="eastAsia" w:ascii="宋体" w:hAnsi="宋体"/>
          <w:b/>
          <w:color w:val="auto"/>
          <w:sz w:val="32"/>
          <w:szCs w:val="21"/>
          <w:lang w:val="en-US" w:eastAsia="zh-CN"/>
        </w:rPr>
        <w:drawing>
          <wp:inline distT="0" distB="0" distL="114300" distR="114300">
            <wp:extent cx="5262880" cy="7348855"/>
            <wp:effectExtent l="0" t="0" r="13970" b="4445"/>
            <wp:docPr id="5" name="图片 6" descr="75b052eea31fe7c97a95be067d07c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descr="75b052eea31fe7c97a95be067d07ce40"/>
                    <pic:cNvPicPr>
                      <a:picLocks noChangeAspect="1"/>
                    </pic:cNvPicPr>
                  </pic:nvPicPr>
                  <pic:blipFill>
                    <a:blip r:embed="rId24"/>
                    <a:stretch>
                      <a:fillRect/>
                    </a:stretch>
                  </pic:blipFill>
                  <pic:spPr>
                    <a:xfrm>
                      <a:off x="0" y="0"/>
                      <a:ext cx="5262880" cy="7348855"/>
                    </a:xfrm>
                    <a:prstGeom prst="rect">
                      <a:avLst/>
                    </a:prstGeom>
                    <a:noFill/>
                    <a:ln>
                      <a:noFill/>
                    </a:ln>
                  </pic:spPr>
                </pic:pic>
              </a:graphicData>
            </a:graphic>
          </wp:inline>
        </w:drawing>
      </w:r>
      <w:r>
        <w:rPr>
          <w:rFonts w:hint="eastAsia" w:ascii="宋体" w:hAnsi="宋体"/>
          <w:b/>
          <w:color w:val="auto"/>
          <w:sz w:val="32"/>
          <w:szCs w:val="21"/>
          <w:lang w:val="en-US" w:eastAsia="zh-CN"/>
        </w:rPr>
        <w:drawing>
          <wp:inline distT="0" distB="0" distL="114300" distR="114300">
            <wp:extent cx="5266690" cy="7106285"/>
            <wp:effectExtent l="0" t="0" r="10160" b="18415"/>
            <wp:docPr id="3" name="图片 7" descr="790ae72f97c3249d8eb07152f050f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descr="790ae72f97c3249d8eb07152f050f08a"/>
                    <pic:cNvPicPr>
                      <a:picLocks noChangeAspect="1"/>
                    </pic:cNvPicPr>
                  </pic:nvPicPr>
                  <pic:blipFill>
                    <a:blip r:embed="rId25"/>
                    <a:stretch>
                      <a:fillRect/>
                    </a:stretch>
                  </pic:blipFill>
                  <pic:spPr>
                    <a:xfrm>
                      <a:off x="0" y="0"/>
                      <a:ext cx="5266690" cy="7106285"/>
                    </a:xfrm>
                    <a:prstGeom prst="rect">
                      <a:avLst/>
                    </a:prstGeom>
                    <a:noFill/>
                    <a:ln>
                      <a:noFill/>
                    </a:ln>
                  </pic:spPr>
                </pic:pic>
              </a:graphicData>
            </a:graphic>
          </wp:inline>
        </w:drawing>
      </w:r>
    </w:p>
    <w:p w14:paraId="1ABE54A6">
      <w:pPr>
        <w:pStyle w:val="77"/>
        <w:keepNext w:val="0"/>
        <w:keepLines w:val="0"/>
        <w:widowControl/>
        <w:suppressLineNumbers w:val="0"/>
        <w:shd w:val="clear" w:color="auto" w:fill="auto"/>
        <w:spacing w:line="360" w:lineRule="auto"/>
        <w:jc w:val="both"/>
        <w:rPr>
          <w:rFonts w:hint="eastAsia" w:ascii="宋体" w:hAnsi="宋体"/>
          <w:b/>
          <w:color w:val="auto"/>
          <w:sz w:val="32"/>
          <w:szCs w:val="21"/>
          <w:lang w:val="en-US" w:eastAsia="zh-CN"/>
        </w:rPr>
      </w:pPr>
      <w:r>
        <w:rPr>
          <w:rFonts w:hint="eastAsia" w:ascii="宋体" w:hAnsi="宋体"/>
          <w:b/>
          <w:color w:val="auto"/>
          <w:sz w:val="32"/>
          <w:szCs w:val="21"/>
          <w:lang w:val="en-US" w:eastAsia="zh-CN"/>
        </w:rPr>
        <w:t>附件3：营业执照</w:t>
      </w:r>
    </w:p>
    <w:p w14:paraId="5CABA55B">
      <w:pPr>
        <w:pStyle w:val="77"/>
        <w:keepNext w:val="0"/>
        <w:keepLines w:val="0"/>
        <w:widowControl/>
        <w:suppressLineNumbers w:val="0"/>
        <w:shd w:val="clear" w:color="auto" w:fill="auto"/>
        <w:spacing w:line="360" w:lineRule="auto"/>
        <w:jc w:val="both"/>
        <w:rPr>
          <w:rFonts w:hint="eastAsia" w:ascii="宋体" w:hAnsi="宋体"/>
          <w:b/>
          <w:color w:val="FF0000"/>
          <w:sz w:val="32"/>
          <w:szCs w:val="21"/>
          <w:lang w:val="en-US" w:eastAsia="zh-CN"/>
        </w:rPr>
      </w:pPr>
      <w:r>
        <w:rPr>
          <w:rFonts w:hint="eastAsia" w:ascii="宋体" w:hAnsi="宋体"/>
          <w:b/>
          <w:color w:val="FF0000"/>
          <w:sz w:val="32"/>
          <w:szCs w:val="21"/>
          <w:lang w:val="en-US" w:eastAsia="zh-CN"/>
        </w:rPr>
        <w:drawing>
          <wp:inline distT="0" distB="0" distL="114300" distR="114300">
            <wp:extent cx="5449570" cy="7531100"/>
            <wp:effectExtent l="0" t="0" r="17780" b="12700"/>
            <wp:docPr id="13" name="图片 8" descr="f9a65dcdd0c49dd5afaef26a4b9550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descr="f9a65dcdd0c49dd5afaef26a4b9550ac"/>
                    <pic:cNvPicPr>
                      <a:picLocks noChangeAspect="1"/>
                    </pic:cNvPicPr>
                  </pic:nvPicPr>
                  <pic:blipFill>
                    <a:blip r:embed="rId26"/>
                    <a:srcRect l="3474"/>
                    <a:stretch>
                      <a:fillRect/>
                    </a:stretch>
                  </pic:blipFill>
                  <pic:spPr>
                    <a:xfrm rot="10800000">
                      <a:off x="0" y="0"/>
                      <a:ext cx="5449570" cy="7531100"/>
                    </a:xfrm>
                    <a:prstGeom prst="rect">
                      <a:avLst/>
                    </a:prstGeom>
                    <a:noFill/>
                    <a:ln>
                      <a:noFill/>
                    </a:ln>
                  </pic:spPr>
                </pic:pic>
              </a:graphicData>
            </a:graphic>
          </wp:inline>
        </w:drawing>
      </w:r>
    </w:p>
    <w:p w14:paraId="08836B42">
      <w:pPr>
        <w:pStyle w:val="77"/>
        <w:keepNext w:val="0"/>
        <w:keepLines w:val="0"/>
        <w:widowControl/>
        <w:suppressLineNumbers w:val="0"/>
        <w:shd w:val="clear" w:color="auto" w:fill="auto"/>
        <w:spacing w:line="360" w:lineRule="auto"/>
        <w:jc w:val="both"/>
        <w:rPr>
          <w:rFonts w:hint="eastAsia" w:ascii="宋体" w:hAnsi="宋体"/>
          <w:b/>
          <w:color w:val="auto"/>
          <w:sz w:val="32"/>
          <w:szCs w:val="21"/>
          <w:lang w:val="en-US" w:eastAsia="zh-CN"/>
        </w:rPr>
      </w:pPr>
      <w:r>
        <w:rPr>
          <w:rFonts w:hint="eastAsia" w:ascii="宋体" w:hAnsi="宋体"/>
          <w:b/>
          <w:color w:val="auto"/>
          <w:sz w:val="32"/>
          <w:szCs w:val="21"/>
          <w:lang w:val="en-US" w:eastAsia="zh-CN"/>
        </w:rPr>
        <w:t>附件4：立项证明</w:t>
      </w:r>
    </w:p>
    <w:p w14:paraId="6EBFD5E1">
      <w:pPr>
        <w:pStyle w:val="77"/>
        <w:keepNext w:val="0"/>
        <w:keepLines w:val="0"/>
        <w:widowControl/>
        <w:suppressLineNumbers w:val="0"/>
        <w:shd w:val="clear" w:color="auto" w:fill="auto"/>
        <w:spacing w:line="360" w:lineRule="auto"/>
        <w:jc w:val="both"/>
        <w:rPr>
          <w:rFonts w:hint="eastAsia" w:ascii="宋体" w:hAnsi="宋体"/>
          <w:b/>
          <w:color w:val="FF0000"/>
          <w:sz w:val="32"/>
          <w:szCs w:val="21"/>
          <w:lang w:val="en-US" w:eastAsia="zh-CN"/>
        </w:rPr>
      </w:pPr>
      <w:r>
        <w:rPr>
          <w:rFonts w:hint="eastAsia" w:ascii="宋体" w:hAnsi="宋体"/>
          <w:b/>
          <w:color w:val="FF0000"/>
          <w:sz w:val="32"/>
          <w:szCs w:val="21"/>
          <w:lang w:val="en-US" w:eastAsia="zh-CN"/>
        </w:rPr>
        <w:drawing>
          <wp:inline distT="0" distB="0" distL="114300" distR="114300">
            <wp:extent cx="5259070" cy="7443470"/>
            <wp:effectExtent l="0" t="0" r="17780" b="5080"/>
            <wp:docPr id="14" name="图片 9" descr="项目备案证明_2604-370302-89-01-972775_2026-04-07_16_56_53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descr="项目备案证明_2604-370302-89-01-972775_2026-04-07_16_56_53_01"/>
                    <pic:cNvPicPr>
                      <a:picLocks noChangeAspect="1"/>
                    </pic:cNvPicPr>
                  </pic:nvPicPr>
                  <pic:blipFill>
                    <a:blip r:embed="rId27"/>
                    <a:stretch>
                      <a:fillRect/>
                    </a:stretch>
                  </pic:blipFill>
                  <pic:spPr>
                    <a:xfrm>
                      <a:off x="0" y="0"/>
                      <a:ext cx="5259070" cy="7443470"/>
                    </a:xfrm>
                    <a:prstGeom prst="rect">
                      <a:avLst/>
                    </a:prstGeom>
                    <a:noFill/>
                    <a:ln>
                      <a:noFill/>
                    </a:ln>
                  </pic:spPr>
                </pic:pic>
              </a:graphicData>
            </a:graphic>
          </wp:inline>
        </w:drawing>
      </w:r>
    </w:p>
    <w:p w14:paraId="7BCC6C8F">
      <w:pPr>
        <w:pStyle w:val="77"/>
        <w:keepNext w:val="0"/>
        <w:keepLines w:val="0"/>
        <w:widowControl/>
        <w:suppressLineNumbers w:val="0"/>
        <w:shd w:val="clear" w:color="auto" w:fill="auto"/>
        <w:spacing w:line="360" w:lineRule="auto"/>
        <w:jc w:val="both"/>
        <w:rPr>
          <w:rFonts w:hint="eastAsia" w:ascii="宋体" w:hAnsi="宋体"/>
          <w:b/>
          <w:color w:val="auto"/>
          <w:sz w:val="32"/>
          <w:szCs w:val="21"/>
          <w:lang w:val="en-US" w:eastAsia="zh-CN"/>
        </w:rPr>
      </w:pPr>
      <w:r>
        <w:rPr>
          <w:rFonts w:hint="eastAsia" w:ascii="宋体" w:hAnsi="宋体"/>
          <w:b/>
          <w:color w:val="auto"/>
          <w:sz w:val="32"/>
          <w:szCs w:val="21"/>
          <w:lang w:val="en-US" w:eastAsia="zh-CN"/>
        </w:rPr>
        <w:t>附件5：土地合同</w:t>
      </w:r>
    </w:p>
    <w:p w14:paraId="312F3B5A">
      <w:pPr>
        <w:pStyle w:val="77"/>
        <w:keepNext w:val="0"/>
        <w:keepLines w:val="0"/>
        <w:widowControl/>
        <w:suppressLineNumbers w:val="0"/>
        <w:shd w:val="clear" w:color="auto" w:fill="auto"/>
        <w:spacing w:line="360" w:lineRule="auto"/>
        <w:jc w:val="both"/>
      </w:pPr>
      <w:r>
        <w:drawing>
          <wp:inline distT="0" distB="0" distL="114300" distR="114300">
            <wp:extent cx="5260340" cy="7663180"/>
            <wp:effectExtent l="0" t="0" r="16510" b="13970"/>
            <wp:docPr id="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0"/>
                    <pic:cNvPicPr>
                      <a:picLocks noChangeAspect="1"/>
                    </pic:cNvPicPr>
                  </pic:nvPicPr>
                  <pic:blipFill>
                    <a:blip r:embed="rId28"/>
                    <a:stretch>
                      <a:fillRect/>
                    </a:stretch>
                  </pic:blipFill>
                  <pic:spPr>
                    <a:xfrm>
                      <a:off x="0" y="0"/>
                      <a:ext cx="5260340" cy="7663180"/>
                    </a:xfrm>
                    <a:prstGeom prst="rect">
                      <a:avLst/>
                    </a:prstGeom>
                    <a:noFill/>
                    <a:ln>
                      <a:noFill/>
                    </a:ln>
                  </pic:spPr>
                </pic:pic>
              </a:graphicData>
            </a:graphic>
          </wp:inline>
        </w:drawing>
      </w:r>
    </w:p>
    <w:p w14:paraId="1413D0EB">
      <w:pPr>
        <w:pStyle w:val="77"/>
        <w:keepNext w:val="0"/>
        <w:keepLines w:val="0"/>
        <w:widowControl/>
        <w:suppressLineNumbers w:val="0"/>
        <w:shd w:val="clear" w:color="auto" w:fill="auto"/>
        <w:spacing w:line="360" w:lineRule="auto"/>
        <w:jc w:val="both"/>
      </w:pPr>
      <w:r>
        <w:drawing>
          <wp:inline distT="0" distB="0" distL="114300" distR="114300">
            <wp:extent cx="5273675" cy="7657465"/>
            <wp:effectExtent l="0" t="0" r="3175" b="635"/>
            <wp:docPr id="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1"/>
                    <pic:cNvPicPr>
                      <a:picLocks noChangeAspect="1"/>
                    </pic:cNvPicPr>
                  </pic:nvPicPr>
                  <pic:blipFill>
                    <a:blip r:embed="rId29"/>
                    <a:stretch>
                      <a:fillRect/>
                    </a:stretch>
                  </pic:blipFill>
                  <pic:spPr>
                    <a:xfrm>
                      <a:off x="0" y="0"/>
                      <a:ext cx="5273675" cy="7657465"/>
                    </a:xfrm>
                    <a:prstGeom prst="rect">
                      <a:avLst/>
                    </a:prstGeom>
                    <a:noFill/>
                    <a:ln>
                      <a:noFill/>
                    </a:ln>
                  </pic:spPr>
                </pic:pic>
              </a:graphicData>
            </a:graphic>
          </wp:inline>
        </w:drawing>
      </w:r>
      <w:r>
        <w:drawing>
          <wp:inline distT="0" distB="0" distL="114300" distR="114300">
            <wp:extent cx="5261610" cy="7629525"/>
            <wp:effectExtent l="0" t="0" r="15240" b="9525"/>
            <wp:docPr id="1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2"/>
                    <pic:cNvPicPr>
                      <a:picLocks noChangeAspect="1"/>
                    </pic:cNvPicPr>
                  </pic:nvPicPr>
                  <pic:blipFill>
                    <a:blip r:embed="rId30"/>
                    <a:stretch>
                      <a:fillRect/>
                    </a:stretch>
                  </pic:blipFill>
                  <pic:spPr>
                    <a:xfrm>
                      <a:off x="0" y="0"/>
                      <a:ext cx="5261610" cy="7629525"/>
                    </a:xfrm>
                    <a:prstGeom prst="rect">
                      <a:avLst/>
                    </a:prstGeom>
                    <a:noFill/>
                    <a:ln>
                      <a:noFill/>
                    </a:ln>
                  </pic:spPr>
                </pic:pic>
              </a:graphicData>
            </a:graphic>
          </wp:inline>
        </w:drawing>
      </w:r>
    </w:p>
    <w:p w14:paraId="09166513">
      <w:pPr>
        <w:pStyle w:val="77"/>
        <w:keepNext w:val="0"/>
        <w:keepLines w:val="0"/>
        <w:widowControl/>
        <w:suppressLineNumbers w:val="0"/>
        <w:shd w:val="clear" w:color="auto" w:fill="auto"/>
        <w:spacing w:line="360" w:lineRule="auto"/>
        <w:jc w:val="both"/>
      </w:pPr>
    </w:p>
    <w:p w14:paraId="35DDBB03">
      <w:pPr>
        <w:pStyle w:val="77"/>
        <w:keepNext w:val="0"/>
        <w:keepLines w:val="0"/>
        <w:widowControl/>
        <w:suppressLineNumbers w:val="0"/>
        <w:shd w:val="clear" w:color="auto" w:fill="auto"/>
        <w:spacing w:line="360" w:lineRule="auto"/>
        <w:jc w:val="both"/>
        <w:rPr>
          <w:rFonts w:hint="eastAsia" w:ascii="宋体" w:hAnsi="宋体"/>
          <w:b/>
          <w:color w:val="auto"/>
          <w:sz w:val="32"/>
          <w:szCs w:val="21"/>
          <w:lang w:val="en-US" w:eastAsia="zh-CN"/>
        </w:rPr>
      </w:pPr>
      <w:r>
        <w:rPr>
          <w:rFonts w:hint="eastAsia" w:ascii="宋体" w:hAnsi="宋体"/>
          <w:b/>
          <w:color w:val="auto"/>
          <w:sz w:val="32"/>
          <w:szCs w:val="21"/>
          <w:lang w:val="en-US" w:eastAsia="zh-CN"/>
        </w:rPr>
        <w:t>附件6：氧氯化锆原料成分报告</w:t>
      </w:r>
    </w:p>
    <w:p w14:paraId="3299005C">
      <w:pPr>
        <w:pStyle w:val="77"/>
        <w:keepNext w:val="0"/>
        <w:keepLines w:val="0"/>
        <w:widowControl/>
        <w:suppressLineNumbers w:val="0"/>
        <w:shd w:val="clear" w:color="auto" w:fill="auto"/>
        <w:spacing w:line="360" w:lineRule="auto"/>
        <w:jc w:val="both"/>
        <w:rPr>
          <w:rFonts w:hint="default" w:ascii="宋体" w:hAnsi="宋体"/>
          <w:b/>
          <w:color w:val="FF0000"/>
          <w:sz w:val="32"/>
          <w:szCs w:val="21"/>
          <w:lang w:val="en-US" w:eastAsia="zh-CN"/>
        </w:rPr>
      </w:pPr>
      <w:r>
        <w:rPr>
          <w:rFonts w:hint="default" w:ascii="宋体" w:hAnsi="宋体"/>
          <w:b/>
          <w:color w:val="FF0000"/>
          <w:sz w:val="32"/>
          <w:szCs w:val="21"/>
          <w:lang w:val="en-US" w:eastAsia="zh-CN"/>
        </w:rPr>
        <w:drawing>
          <wp:inline distT="0" distB="0" distL="114300" distR="114300">
            <wp:extent cx="5264150" cy="2962910"/>
            <wp:effectExtent l="0" t="0" r="12700" b="8890"/>
            <wp:docPr id="11" name="图片 13" descr="5ad75e1ffd1cada1318f593df75ef3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3" descr="5ad75e1ffd1cada1318f593df75ef3ec"/>
                    <pic:cNvPicPr>
                      <a:picLocks noChangeAspect="1"/>
                    </pic:cNvPicPr>
                  </pic:nvPicPr>
                  <pic:blipFill>
                    <a:blip r:embed="rId31"/>
                    <a:stretch>
                      <a:fillRect/>
                    </a:stretch>
                  </pic:blipFill>
                  <pic:spPr>
                    <a:xfrm rot="10800000">
                      <a:off x="0" y="0"/>
                      <a:ext cx="5264150" cy="2962910"/>
                    </a:xfrm>
                    <a:prstGeom prst="rect">
                      <a:avLst/>
                    </a:prstGeom>
                    <a:noFill/>
                    <a:ln>
                      <a:noFill/>
                    </a:ln>
                  </pic:spPr>
                </pic:pic>
              </a:graphicData>
            </a:graphic>
          </wp:inline>
        </w:drawing>
      </w:r>
    </w:p>
    <w:p w14:paraId="34E7B654">
      <w:pPr>
        <w:pStyle w:val="77"/>
        <w:keepNext w:val="0"/>
        <w:keepLines w:val="0"/>
        <w:widowControl/>
        <w:suppressLineNumbers w:val="0"/>
        <w:shd w:val="clear" w:color="auto" w:fill="auto"/>
        <w:spacing w:line="360" w:lineRule="auto"/>
        <w:jc w:val="both"/>
        <w:rPr>
          <w:rFonts w:hint="default" w:ascii="宋体" w:hAnsi="宋体"/>
          <w:b/>
          <w:color w:val="FF0000"/>
          <w:sz w:val="32"/>
          <w:szCs w:val="21"/>
          <w:lang w:val="en-US" w:eastAsia="zh-CN"/>
        </w:rPr>
      </w:pPr>
    </w:p>
    <w:p w14:paraId="2FD067C7">
      <w:pPr>
        <w:pStyle w:val="77"/>
        <w:keepNext w:val="0"/>
        <w:keepLines w:val="0"/>
        <w:widowControl/>
        <w:suppressLineNumbers w:val="0"/>
        <w:shd w:val="clear" w:color="auto" w:fill="auto"/>
        <w:spacing w:line="360" w:lineRule="auto"/>
        <w:jc w:val="both"/>
        <w:rPr>
          <w:rFonts w:hint="default" w:ascii="宋体" w:hAnsi="宋体"/>
          <w:b/>
          <w:color w:val="FF0000"/>
          <w:sz w:val="32"/>
          <w:szCs w:val="21"/>
          <w:lang w:val="en-US" w:eastAsia="zh-CN"/>
        </w:rPr>
      </w:pPr>
    </w:p>
    <w:p w14:paraId="48B65746">
      <w:pPr>
        <w:pStyle w:val="77"/>
        <w:keepNext w:val="0"/>
        <w:keepLines w:val="0"/>
        <w:widowControl/>
        <w:suppressLineNumbers w:val="0"/>
        <w:shd w:val="clear" w:color="auto" w:fill="auto"/>
        <w:spacing w:line="360" w:lineRule="auto"/>
        <w:jc w:val="both"/>
        <w:rPr>
          <w:rFonts w:hint="default" w:ascii="宋体" w:hAnsi="宋体"/>
          <w:b/>
          <w:color w:val="FF0000"/>
          <w:sz w:val="32"/>
          <w:szCs w:val="21"/>
          <w:lang w:val="en-US" w:eastAsia="zh-CN"/>
        </w:rPr>
      </w:pPr>
    </w:p>
    <w:p w14:paraId="6A2BC732">
      <w:pPr>
        <w:pStyle w:val="77"/>
        <w:keepNext w:val="0"/>
        <w:keepLines w:val="0"/>
        <w:widowControl/>
        <w:suppressLineNumbers w:val="0"/>
        <w:shd w:val="clear" w:color="auto" w:fill="auto"/>
        <w:spacing w:line="360" w:lineRule="auto"/>
        <w:jc w:val="both"/>
        <w:rPr>
          <w:rFonts w:hint="default" w:ascii="宋体" w:hAnsi="宋体"/>
          <w:b/>
          <w:color w:val="FF0000"/>
          <w:sz w:val="32"/>
          <w:szCs w:val="21"/>
          <w:lang w:val="en-US" w:eastAsia="zh-CN"/>
        </w:rPr>
      </w:pPr>
    </w:p>
    <w:p w14:paraId="791C7822">
      <w:pPr>
        <w:pStyle w:val="77"/>
        <w:keepNext w:val="0"/>
        <w:keepLines w:val="0"/>
        <w:widowControl/>
        <w:suppressLineNumbers w:val="0"/>
        <w:shd w:val="clear" w:color="auto" w:fill="auto"/>
        <w:spacing w:line="360" w:lineRule="auto"/>
        <w:jc w:val="both"/>
        <w:rPr>
          <w:rFonts w:hint="default" w:ascii="宋体" w:hAnsi="宋体"/>
          <w:b/>
          <w:color w:val="FF0000"/>
          <w:sz w:val="32"/>
          <w:szCs w:val="21"/>
          <w:lang w:val="en-US" w:eastAsia="zh-CN"/>
        </w:rPr>
      </w:pPr>
    </w:p>
    <w:p w14:paraId="649E21A5">
      <w:pPr>
        <w:pStyle w:val="77"/>
        <w:keepNext w:val="0"/>
        <w:keepLines w:val="0"/>
        <w:widowControl/>
        <w:suppressLineNumbers w:val="0"/>
        <w:shd w:val="clear" w:color="auto" w:fill="auto"/>
        <w:spacing w:line="360" w:lineRule="auto"/>
        <w:jc w:val="both"/>
        <w:rPr>
          <w:rFonts w:hint="default" w:ascii="宋体" w:hAnsi="宋体"/>
          <w:b/>
          <w:color w:val="FF0000"/>
          <w:sz w:val="32"/>
          <w:szCs w:val="21"/>
          <w:lang w:val="en-US" w:eastAsia="zh-CN"/>
        </w:rPr>
      </w:pPr>
    </w:p>
    <w:p w14:paraId="79CFE1A3">
      <w:pPr>
        <w:pStyle w:val="77"/>
        <w:keepNext w:val="0"/>
        <w:keepLines w:val="0"/>
        <w:widowControl/>
        <w:suppressLineNumbers w:val="0"/>
        <w:shd w:val="clear" w:color="auto" w:fill="auto"/>
        <w:spacing w:line="360" w:lineRule="auto"/>
        <w:jc w:val="both"/>
        <w:rPr>
          <w:rFonts w:hint="default" w:ascii="宋体" w:hAnsi="宋体"/>
          <w:b/>
          <w:color w:val="FF0000"/>
          <w:sz w:val="32"/>
          <w:szCs w:val="21"/>
          <w:lang w:val="en-US" w:eastAsia="zh-CN"/>
        </w:rPr>
      </w:pPr>
    </w:p>
    <w:p w14:paraId="6C8042CA">
      <w:pPr>
        <w:pStyle w:val="77"/>
        <w:keepNext w:val="0"/>
        <w:keepLines w:val="0"/>
        <w:widowControl/>
        <w:suppressLineNumbers w:val="0"/>
        <w:shd w:val="clear" w:color="auto" w:fill="auto"/>
        <w:spacing w:line="360" w:lineRule="auto"/>
        <w:jc w:val="both"/>
        <w:rPr>
          <w:rFonts w:hint="default" w:ascii="宋体" w:hAnsi="宋体"/>
          <w:b/>
          <w:color w:val="FF0000"/>
          <w:sz w:val="32"/>
          <w:szCs w:val="21"/>
          <w:lang w:val="en-US" w:eastAsia="zh-CN"/>
        </w:rPr>
      </w:pPr>
    </w:p>
    <w:p w14:paraId="3327FAAD">
      <w:pPr>
        <w:pStyle w:val="77"/>
        <w:keepNext w:val="0"/>
        <w:keepLines w:val="0"/>
        <w:widowControl/>
        <w:suppressLineNumbers w:val="0"/>
        <w:shd w:val="clear" w:color="auto" w:fill="auto"/>
        <w:spacing w:line="360" w:lineRule="auto"/>
        <w:jc w:val="both"/>
        <w:rPr>
          <w:rFonts w:hint="default" w:ascii="宋体" w:hAnsi="宋体"/>
          <w:b/>
          <w:color w:val="FF0000"/>
          <w:sz w:val="32"/>
          <w:szCs w:val="21"/>
          <w:lang w:val="en-US" w:eastAsia="zh-CN"/>
        </w:rPr>
        <w:sectPr>
          <w:pgSz w:w="11906" w:h="16838"/>
          <w:pgMar w:top="1701" w:right="1531" w:bottom="1701" w:left="1531" w:header="851" w:footer="1191" w:gutter="0"/>
          <w:cols w:space="0" w:num="1"/>
          <w:rtlGutter w:val="0"/>
          <w:docGrid w:linePitch="312" w:charSpace="0"/>
        </w:sectPr>
      </w:pPr>
    </w:p>
    <w:p w14:paraId="3A4EB16C">
      <w:pPr>
        <w:jc w:val="center"/>
      </w:pPr>
      <w:r>
        <mc:AlternateContent>
          <mc:Choice Requires="wps">
            <w:drawing>
              <wp:anchor distT="0" distB="0" distL="114300" distR="114300" simplePos="0" relativeHeight="251660288" behindDoc="0" locked="0" layoutInCell="1" allowOverlap="1">
                <wp:simplePos x="0" y="0"/>
                <wp:positionH relativeFrom="column">
                  <wp:posOffset>2898775</wp:posOffset>
                </wp:positionH>
                <wp:positionV relativeFrom="paragraph">
                  <wp:posOffset>1784985</wp:posOffset>
                </wp:positionV>
                <wp:extent cx="1684020" cy="759460"/>
                <wp:effectExtent l="5080" t="4445" r="120650" b="1045845"/>
                <wp:wrapNone/>
                <wp:docPr id="21" name="矩形标注 21"/>
                <wp:cNvGraphicFramePr/>
                <a:graphic xmlns:a="http://schemas.openxmlformats.org/drawingml/2006/main">
                  <a:graphicData uri="http://schemas.microsoft.com/office/word/2010/wordprocessingShape">
                    <wps:wsp>
                      <wps:cNvSpPr/>
                      <wps:spPr>
                        <a:xfrm>
                          <a:off x="0" y="0"/>
                          <a:ext cx="1684020" cy="759460"/>
                        </a:xfrm>
                        <a:prstGeom prst="wedgeRectCallout">
                          <a:avLst>
                            <a:gd name="adj1" fmla="val 55657"/>
                            <a:gd name="adj2" fmla="val 182106"/>
                          </a:avLst>
                        </a:prstGeom>
                        <a:solidFill>
                          <a:srgbClr val="FFFFFF"/>
                        </a:solidFill>
                        <a:ln w="9525" cap="flat" cmpd="sng">
                          <a:solidFill>
                            <a:srgbClr val="000000"/>
                          </a:solidFill>
                          <a:prstDash val="solid"/>
                          <a:miter/>
                          <a:headEnd type="none" w="med" len="med"/>
                          <a:tailEnd type="none" w="med" len="med"/>
                        </a:ln>
                      </wps:spPr>
                      <wps:txbx>
                        <w:txbxContent>
                          <w:p w14:paraId="0ACB570C">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t>项目所在地</w:t>
                            </w:r>
                          </w:p>
                          <w:p w14:paraId="27F5BADA">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cs="Times New Roman"/>
                                <w:color w:val="auto"/>
                                <w:szCs w:val="21"/>
                                <w:highlight w:val="none"/>
                                <w:u w:val="none"/>
                                <w:lang w:eastAsia="zh-CN"/>
                              </w:rPr>
                            </w:pPr>
                            <w:r>
                              <w:rPr>
                                <w:rFonts w:hint="default" w:ascii="Times New Roman" w:hAnsi="Times New Roman" w:cs="Times New Roman"/>
                                <w:color w:val="auto"/>
                                <w:szCs w:val="21"/>
                                <w:highlight w:val="none"/>
                                <w:u w:val="none"/>
                                <w:lang w:eastAsia="zh-CN"/>
                              </w:rPr>
                              <w:t>北纬</w:t>
                            </w:r>
                            <w:r>
                              <w:rPr>
                                <w:rFonts w:hint="default" w:ascii="Times New Roman" w:hAnsi="Times New Roman" w:cs="Times New Roman"/>
                                <w:color w:val="auto"/>
                                <w:szCs w:val="21"/>
                                <w:highlight w:val="none"/>
                                <w:u w:val="none"/>
                              </w:rPr>
                              <w:t>36</w:t>
                            </w:r>
                            <w:r>
                              <w:rPr>
                                <w:rFonts w:hint="default" w:ascii="Times New Roman" w:hAnsi="Times New Roman" w:cs="Times New Roman"/>
                                <w:color w:val="auto"/>
                                <w:szCs w:val="21"/>
                                <w:highlight w:val="none"/>
                                <w:u w:val="none"/>
                                <w:lang w:val="en-US" w:eastAsia="zh-CN"/>
                              </w:rPr>
                              <w:t>°3</w:t>
                            </w:r>
                            <w:r>
                              <w:rPr>
                                <w:rFonts w:hint="eastAsia" w:ascii="Times New Roman" w:hAnsi="Times New Roman" w:cs="Times New Roman"/>
                                <w:color w:val="auto"/>
                                <w:szCs w:val="21"/>
                                <w:highlight w:val="none"/>
                                <w:u w:val="none"/>
                                <w:lang w:val="en-US" w:eastAsia="zh-CN"/>
                              </w:rPr>
                              <w:t>6</w:t>
                            </w:r>
                            <w:r>
                              <w:rPr>
                                <w:rFonts w:hint="default" w:ascii="Times New Roman" w:hAnsi="Times New Roman" w:cs="Times New Roman"/>
                                <w:color w:val="auto"/>
                                <w:szCs w:val="21"/>
                                <w:highlight w:val="none"/>
                                <w:u w:val="none"/>
                                <w:lang w:eastAsia="zh-CN"/>
                              </w:rPr>
                              <w:t>′</w:t>
                            </w:r>
                            <w:r>
                              <w:rPr>
                                <w:rFonts w:hint="eastAsia" w:ascii="Times New Roman" w:hAnsi="Times New Roman" w:cs="Times New Roman"/>
                                <w:color w:val="auto"/>
                                <w:szCs w:val="21"/>
                                <w:highlight w:val="none"/>
                                <w:u w:val="none"/>
                                <w:lang w:val="en-US" w:eastAsia="zh-CN"/>
                              </w:rPr>
                              <w:t>13.101</w:t>
                            </w:r>
                            <w:r>
                              <w:rPr>
                                <w:rFonts w:hint="default" w:ascii="Times New Roman" w:hAnsi="Times New Roman" w:cs="Times New Roman"/>
                                <w:color w:val="auto"/>
                                <w:szCs w:val="21"/>
                                <w:highlight w:val="none"/>
                                <w:u w:val="none"/>
                                <w:lang w:eastAsia="zh-CN"/>
                              </w:rPr>
                              <w:t>″</w:t>
                            </w:r>
                          </w:p>
                          <w:p w14:paraId="1BC9EA21">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sz w:val="28"/>
                                <w:szCs w:val="28"/>
                                <w:u w:val="none"/>
                              </w:rPr>
                            </w:pPr>
                            <w:r>
                              <w:rPr>
                                <w:rFonts w:hint="default" w:ascii="Times New Roman" w:hAnsi="Times New Roman" w:cs="Times New Roman"/>
                                <w:color w:val="auto"/>
                                <w:szCs w:val="21"/>
                                <w:highlight w:val="none"/>
                                <w:u w:val="none"/>
                                <w:lang w:eastAsia="zh-CN"/>
                              </w:rPr>
                              <w:t>东经</w:t>
                            </w:r>
                            <w:r>
                              <w:rPr>
                                <w:rFonts w:hint="default" w:ascii="Times New Roman" w:hAnsi="Times New Roman" w:cs="Times New Roman"/>
                                <w:color w:val="auto"/>
                                <w:szCs w:val="21"/>
                                <w:highlight w:val="none"/>
                                <w:u w:val="none"/>
                              </w:rPr>
                              <w:t>117</w:t>
                            </w:r>
                            <w:r>
                              <w:rPr>
                                <w:rFonts w:hint="default" w:ascii="Times New Roman" w:hAnsi="Times New Roman" w:cs="Times New Roman"/>
                                <w:color w:val="auto"/>
                                <w:szCs w:val="21"/>
                                <w:highlight w:val="none"/>
                                <w:u w:val="none"/>
                                <w:lang w:val="en-US" w:eastAsia="zh-CN"/>
                              </w:rPr>
                              <w:t>°</w:t>
                            </w:r>
                            <w:r>
                              <w:rPr>
                                <w:rFonts w:hint="default" w:ascii="Times New Roman" w:hAnsi="Times New Roman" w:cs="Times New Roman"/>
                                <w:color w:val="auto"/>
                                <w:szCs w:val="21"/>
                                <w:highlight w:val="none"/>
                                <w:u w:val="none"/>
                              </w:rPr>
                              <w:t>5</w:t>
                            </w:r>
                            <w:r>
                              <w:rPr>
                                <w:rFonts w:hint="eastAsia" w:ascii="Times New Roman" w:hAnsi="Times New Roman" w:cs="Times New Roman"/>
                                <w:color w:val="auto"/>
                                <w:szCs w:val="21"/>
                                <w:highlight w:val="none"/>
                                <w:u w:val="none"/>
                                <w:lang w:val="en-US" w:eastAsia="zh-CN"/>
                              </w:rPr>
                              <w:t>8</w:t>
                            </w:r>
                            <w:r>
                              <w:rPr>
                                <w:rFonts w:hint="default" w:ascii="Times New Roman" w:hAnsi="Times New Roman" w:cs="Times New Roman"/>
                                <w:color w:val="auto"/>
                                <w:szCs w:val="21"/>
                                <w:highlight w:val="none"/>
                                <w:u w:val="none"/>
                                <w:lang w:eastAsia="zh-CN"/>
                              </w:rPr>
                              <w:t>′</w:t>
                            </w:r>
                            <w:r>
                              <w:rPr>
                                <w:rFonts w:hint="eastAsia" w:ascii="Times New Roman" w:hAnsi="Times New Roman" w:cs="Times New Roman"/>
                                <w:color w:val="auto"/>
                                <w:szCs w:val="21"/>
                                <w:highlight w:val="none"/>
                                <w:u w:val="none"/>
                                <w:lang w:val="en-US" w:eastAsia="zh-CN"/>
                              </w:rPr>
                              <w:t>33.480</w:t>
                            </w:r>
                            <w:r>
                              <w:rPr>
                                <w:rFonts w:hint="default" w:ascii="Times New Roman" w:hAnsi="Times New Roman" w:cs="Times New Roman"/>
                                <w:color w:val="auto"/>
                                <w:szCs w:val="21"/>
                                <w:highlight w:val="none"/>
                                <w:u w:val="none"/>
                                <w:lang w:eastAsia="zh-CN"/>
                              </w:rPr>
                              <w:t>″</w:t>
                            </w:r>
                          </w:p>
                          <w:p w14:paraId="2E8DD298">
                            <w:pPr>
                              <w:rPr>
                                <w:rFonts w:hint="eastAsia"/>
                                <w:sz w:val="28"/>
                                <w:szCs w:val="28"/>
                              </w:rPr>
                            </w:pPr>
                          </w:p>
                        </w:txbxContent>
                      </wps:txbx>
                      <wps:bodyPr lIns="91440" tIns="0" rIns="91440" bIns="0" upright="1"/>
                    </wps:wsp>
                  </a:graphicData>
                </a:graphic>
              </wp:anchor>
            </w:drawing>
          </mc:Choice>
          <mc:Fallback>
            <w:pict>
              <v:shape id="_x0000_s1026" o:spid="_x0000_s1026" o:spt="61" type="#_x0000_t61" style="position:absolute;left:0pt;margin-left:228.25pt;margin-top:140.55pt;height:59.8pt;width:132.6pt;z-index:251660288;mso-width-relative:page;mso-height-relative:page;" fillcolor="#FFFFFF" filled="t" stroked="t" coordsize="21600,21600" o:gfxdata="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PI+QzZAAAACwEAAA8AAAAA&#10;AAAAAQAgAAAAIgAAAGRycy9kb3ducmV2LnhtbFBLAQIUABQAAAAIAIdO4kACFK6tTAIAALsEAAAO&#10;AAAAAAAAAAEAIAAAACgBAABkcnMvZTJvRG9jLnhtbFBLBQYAAAAABgAGAFkBAADmBQAAAAA=&#10;" adj="22822,50135">
                <v:fill on="t" focussize="0,0"/>
                <v:stroke color="#000000" joinstyle="miter"/>
                <v:imagedata o:title=""/>
                <o:lock v:ext="edit" aspectratio="f"/>
                <v:textbox inset="2.54mm,0mm,2.54mm,0mm">
                  <w:txbxContent>
                    <w:p w14:paraId="0ACB570C">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cs="Times New Roman"/>
                          <w:sz w:val="28"/>
                          <w:szCs w:val="28"/>
                        </w:rPr>
                      </w:pPr>
                      <w:r>
                        <w:rPr>
                          <w:rFonts w:hint="default" w:ascii="Times New Roman" w:hAnsi="Times New Roman" w:cs="Times New Roman"/>
                          <w:sz w:val="28"/>
                          <w:szCs w:val="28"/>
                        </w:rPr>
                        <w:t>项目所在地</w:t>
                      </w:r>
                    </w:p>
                    <w:p w14:paraId="27F5BADA">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cs="Times New Roman"/>
                          <w:color w:val="auto"/>
                          <w:szCs w:val="21"/>
                          <w:highlight w:val="none"/>
                          <w:u w:val="none"/>
                          <w:lang w:eastAsia="zh-CN"/>
                        </w:rPr>
                      </w:pPr>
                      <w:r>
                        <w:rPr>
                          <w:rFonts w:hint="default" w:ascii="Times New Roman" w:hAnsi="Times New Roman" w:cs="Times New Roman"/>
                          <w:color w:val="auto"/>
                          <w:szCs w:val="21"/>
                          <w:highlight w:val="none"/>
                          <w:u w:val="none"/>
                          <w:lang w:eastAsia="zh-CN"/>
                        </w:rPr>
                        <w:t>北纬</w:t>
                      </w:r>
                      <w:r>
                        <w:rPr>
                          <w:rFonts w:hint="default" w:ascii="Times New Roman" w:hAnsi="Times New Roman" w:cs="Times New Roman"/>
                          <w:color w:val="auto"/>
                          <w:szCs w:val="21"/>
                          <w:highlight w:val="none"/>
                          <w:u w:val="none"/>
                        </w:rPr>
                        <w:t>36</w:t>
                      </w:r>
                      <w:r>
                        <w:rPr>
                          <w:rFonts w:hint="default" w:ascii="Times New Roman" w:hAnsi="Times New Roman" w:cs="Times New Roman"/>
                          <w:color w:val="auto"/>
                          <w:szCs w:val="21"/>
                          <w:highlight w:val="none"/>
                          <w:u w:val="none"/>
                          <w:lang w:val="en-US" w:eastAsia="zh-CN"/>
                        </w:rPr>
                        <w:t>°3</w:t>
                      </w:r>
                      <w:r>
                        <w:rPr>
                          <w:rFonts w:hint="eastAsia" w:ascii="Times New Roman" w:hAnsi="Times New Roman" w:cs="Times New Roman"/>
                          <w:color w:val="auto"/>
                          <w:szCs w:val="21"/>
                          <w:highlight w:val="none"/>
                          <w:u w:val="none"/>
                          <w:lang w:val="en-US" w:eastAsia="zh-CN"/>
                        </w:rPr>
                        <w:t>6</w:t>
                      </w:r>
                      <w:r>
                        <w:rPr>
                          <w:rFonts w:hint="default" w:ascii="Times New Roman" w:hAnsi="Times New Roman" w:cs="Times New Roman"/>
                          <w:color w:val="auto"/>
                          <w:szCs w:val="21"/>
                          <w:highlight w:val="none"/>
                          <w:u w:val="none"/>
                          <w:lang w:eastAsia="zh-CN"/>
                        </w:rPr>
                        <w:t>′</w:t>
                      </w:r>
                      <w:r>
                        <w:rPr>
                          <w:rFonts w:hint="eastAsia" w:ascii="Times New Roman" w:hAnsi="Times New Roman" w:cs="Times New Roman"/>
                          <w:color w:val="auto"/>
                          <w:szCs w:val="21"/>
                          <w:highlight w:val="none"/>
                          <w:u w:val="none"/>
                          <w:lang w:val="en-US" w:eastAsia="zh-CN"/>
                        </w:rPr>
                        <w:t>13.101</w:t>
                      </w:r>
                      <w:r>
                        <w:rPr>
                          <w:rFonts w:hint="default" w:ascii="Times New Roman" w:hAnsi="Times New Roman" w:cs="Times New Roman"/>
                          <w:color w:val="auto"/>
                          <w:szCs w:val="21"/>
                          <w:highlight w:val="none"/>
                          <w:u w:val="none"/>
                          <w:lang w:eastAsia="zh-CN"/>
                        </w:rPr>
                        <w:t>″</w:t>
                      </w:r>
                    </w:p>
                    <w:p w14:paraId="1BC9EA21">
                      <w:pPr>
                        <w:keepNext w:val="0"/>
                        <w:keepLines w:val="0"/>
                        <w:pageBreakBefore w:val="0"/>
                        <w:widowControl/>
                        <w:kinsoku/>
                        <w:wordWrap/>
                        <w:overflowPunct/>
                        <w:topLinePunct w:val="0"/>
                        <w:autoSpaceDE/>
                        <w:autoSpaceDN/>
                        <w:bidi w:val="0"/>
                        <w:adjustRightInd w:val="0"/>
                        <w:snapToGrid w:val="0"/>
                        <w:spacing w:after="0"/>
                        <w:jc w:val="center"/>
                        <w:textAlignment w:val="auto"/>
                        <w:rPr>
                          <w:rFonts w:hint="default" w:ascii="Times New Roman" w:hAnsi="Times New Roman" w:eastAsia="宋体" w:cs="Times New Roman"/>
                          <w:sz w:val="28"/>
                          <w:szCs w:val="28"/>
                          <w:u w:val="none"/>
                        </w:rPr>
                      </w:pPr>
                      <w:r>
                        <w:rPr>
                          <w:rFonts w:hint="default" w:ascii="Times New Roman" w:hAnsi="Times New Roman" w:cs="Times New Roman"/>
                          <w:color w:val="auto"/>
                          <w:szCs w:val="21"/>
                          <w:highlight w:val="none"/>
                          <w:u w:val="none"/>
                          <w:lang w:eastAsia="zh-CN"/>
                        </w:rPr>
                        <w:t>东经</w:t>
                      </w:r>
                      <w:r>
                        <w:rPr>
                          <w:rFonts w:hint="default" w:ascii="Times New Roman" w:hAnsi="Times New Roman" w:cs="Times New Roman"/>
                          <w:color w:val="auto"/>
                          <w:szCs w:val="21"/>
                          <w:highlight w:val="none"/>
                          <w:u w:val="none"/>
                        </w:rPr>
                        <w:t>117</w:t>
                      </w:r>
                      <w:r>
                        <w:rPr>
                          <w:rFonts w:hint="default" w:ascii="Times New Roman" w:hAnsi="Times New Roman" w:cs="Times New Roman"/>
                          <w:color w:val="auto"/>
                          <w:szCs w:val="21"/>
                          <w:highlight w:val="none"/>
                          <w:u w:val="none"/>
                          <w:lang w:val="en-US" w:eastAsia="zh-CN"/>
                        </w:rPr>
                        <w:t>°</w:t>
                      </w:r>
                      <w:r>
                        <w:rPr>
                          <w:rFonts w:hint="default" w:ascii="Times New Roman" w:hAnsi="Times New Roman" w:cs="Times New Roman"/>
                          <w:color w:val="auto"/>
                          <w:szCs w:val="21"/>
                          <w:highlight w:val="none"/>
                          <w:u w:val="none"/>
                        </w:rPr>
                        <w:t>5</w:t>
                      </w:r>
                      <w:r>
                        <w:rPr>
                          <w:rFonts w:hint="eastAsia" w:ascii="Times New Roman" w:hAnsi="Times New Roman" w:cs="Times New Roman"/>
                          <w:color w:val="auto"/>
                          <w:szCs w:val="21"/>
                          <w:highlight w:val="none"/>
                          <w:u w:val="none"/>
                          <w:lang w:val="en-US" w:eastAsia="zh-CN"/>
                        </w:rPr>
                        <w:t>8</w:t>
                      </w:r>
                      <w:r>
                        <w:rPr>
                          <w:rFonts w:hint="default" w:ascii="Times New Roman" w:hAnsi="Times New Roman" w:cs="Times New Roman"/>
                          <w:color w:val="auto"/>
                          <w:szCs w:val="21"/>
                          <w:highlight w:val="none"/>
                          <w:u w:val="none"/>
                          <w:lang w:eastAsia="zh-CN"/>
                        </w:rPr>
                        <w:t>′</w:t>
                      </w:r>
                      <w:r>
                        <w:rPr>
                          <w:rFonts w:hint="eastAsia" w:ascii="Times New Roman" w:hAnsi="Times New Roman" w:cs="Times New Roman"/>
                          <w:color w:val="auto"/>
                          <w:szCs w:val="21"/>
                          <w:highlight w:val="none"/>
                          <w:u w:val="none"/>
                          <w:lang w:val="en-US" w:eastAsia="zh-CN"/>
                        </w:rPr>
                        <w:t>33.480</w:t>
                      </w:r>
                      <w:r>
                        <w:rPr>
                          <w:rFonts w:hint="default" w:ascii="Times New Roman" w:hAnsi="Times New Roman" w:cs="Times New Roman"/>
                          <w:color w:val="auto"/>
                          <w:szCs w:val="21"/>
                          <w:highlight w:val="none"/>
                          <w:u w:val="none"/>
                          <w:lang w:eastAsia="zh-CN"/>
                        </w:rPr>
                        <w:t>″</w:t>
                      </w:r>
                    </w:p>
                    <w:p w14:paraId="2E8DD298">
                      <w:pPr>
                        <w:rPr>
                          <w:rFonts w:hint="eastAsia"/>
                          <w:sz w:val="28"/>
                          <w:szCs w:val="28"/>
                        </w:rPr>
                      </w:pP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4678680</wp:posOffset>
                </wp:positionH>
                <wp:positionV relativeFrom="paragraph">
                  <wp:posOffset>3532505</wp:posOffset>
                </wp:positionV>
                <wp:extent cx="189865" cy="175895"/>
                <wp:effectExtent l="5715" t="4445" r="13970" b="10160"/>
                <wp:wrapNone/>
                <wp:docPr id="20" name="任意多边形 20"/>
                <wp:cNvGraphicFramePr/>
                <a:graphic xmlns:a="http://schemas.openxmlformats.org/drawingml/2006/main">
                  <a:graphicData uri="http://schemas.microsoft.com/office/word/2010/wordprocessingShape">
                    <wps:wsp>
                      <wps:cNvSpPr/>
                      <wps:spPr>
                        <a:xfrm rot="-240000">
                          <a:off x="0" y="0"/>
                          <a:ext cx="189865" cy="175895"/>
                        </a:xfrm>
                        <a:custGeom>
                          <a:avLst/>
                          <a:gdLst/>
                          <a:ahLst/>
                          <a:cxnLst/>
                          <a:pathLst>
                            <a:path w="597" h="554">
                              <a:moveTo>
                                <a:pt x="298" y="0"/>
                              </a:moveTo>
                              <a:lnTo>
                                <a:pt x="368" y="212"/>
                              </a:lnTo>
                              <a:lnTo>
                                <a:pt x="597" y="211"/>
                              </a:lnTo>
                              <a:lnTo>
                                <a:pt x="412" y="341"/>
                              </a:lnTo>
                              <a:lnTo>
                                <a:pt x="482" y="554"/>
                              </a:lnTo>
                              <a:lnTo>
                                <a:pt x="298" y="423"/>
                              </a:lnTo>
                              <a:lnTo>
                                <a:pt x="113" y="554"/>
                              </a:lnTo>
                              <a:lnTo>
                                <a:pt x="184" y="341"/>
                              </a:lnTo>
                              <a:lnTo>
                                <a:pt x="0" y="211"/>
                              </a:lnTo>
                              <a:lnTo>
                                <a:pt x="228" y="212"/>
                              </a:lnTo>
                              <a:lnTo>
                                <a:pt x="298" y="0"/>
                              </a:lnTo>
                              <a:close/>
                            </a:path>
                          </a:pathLst>
                        </a:custGeom>
                        <a:solidFill>
                          <a:srgbClr val="FF0000"/>
                        </a:solidFill>
                        <a:ln w="1905" cap="flat" cmpd="sng">
                          <a:solidFill>
                            <a:srgbClr val="1F1A17"/>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68.4pt;margin-top:278.15pt;height:13.85pt;width:14.95pt;rotation:-262144f;z-index:251661312;mso-width-relative:page;mso-height-relative:page;" fillcolor="#FF0000" filled="t" stroked="t" coordsize="597,554" o:gfxdata="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bZEe4dkAAAALAQAADwAAAAAAAAABACAAAAAiAAAAZHJzL2Rvd25yZXYueG1sUEsB&#10;AhQAFAAAAAgAh07iQFhLXaafAgAANwYAAA4AAAAAAAAAAQAgAAAAKAEAAGRycy9lMm9Eb2MueG1s&#10;UEsFBgAAAAAGAAYAWQEAADkGAAAAAA==&#10;" path="m298,0l368,212,597,211,412,341,482,554,298,423,113,554,184,341,0,211,228,212,298,0xe">
                <v:fill on="t" focussize="0,0"/>
                <v:stroke weight="0.15pt" color="#1F1A17" joinstyle="round"/>
                <v:imagedata o:title=""/>
                <o:lock v:ext="edit" aspectratio="f"/>
              </v:shape>
            </w:pict>
          </mc:Fallback>
        </mc:AlternateContent>
      </w:r>
      <w:r>
        <w:drawing>
          <wp:anchor distT="0" distB="0" distL="114300" distR="114300" simplePos="0" relativeHeight="251663360" behindDoc="0" locked="0" layoutInCell="1" allowOverlap="1">
            <wp:simplePos x="0" y="0"/>
            <wp:positionH relativeFrom="column">
              <wp:posOffset>7594600</wp:posOffset>
            </wp:positionH>
            <wp:positionV relativeFrom="paragraph">
              <wp:posOffset>30480</wp:posOffset>
            </wp:positionV>
            <wp:extent cx="932180" cy="789940"/>
            <wp:effectExtent l="0" t="0" r="1270" b="10160"/>
            <wp:wrapNone/>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32"/>
                    <a:stretch>
                      <a:fillRect/>
                    </a:stretch>
                  </pic:blipFill>
                  <pic:spPr>
                    <a:xfrm>
                      <a:off x="0" y="0"/>
                      <a:ext cx="932180" cy="789940"/>
                    </a:xfrm>
                    <a:prstGeom prst="rect">
                      <a:avLst/>
                    </a:prstGeom>
                    <a:noFill/>
                    <a:ln>
                      <a:noFill/>
                    </a:ln>
                  </pic:spPr>
                </pic:pic>
              </a:graphicData>
            </a:graphic>
          </wp:anchor>
        </w:drawing>
      </w:r>
      <w:r>
        <mc:AlternateContent>
          <mc:Choice Requires="wps">
            <w:drawing>
              <wp:anchor distT="0" distB="0" distL="114300" distR="114300" simplePos="0" relativeHeight="251659264" behindDoc="0" locked="0" layoutInCell="1" allowOverlap="1">
                <wp:simplePos x="0" y="0"/>
                <wp:positionH relativeFrom="column">
                  <wp:posOffset>1424940</wp:posOffset>
                </wp:positionH>
                <wp:positionV relativeFrom="paragraph">
                  <wp:posOffset>5496560</wp:posOffset>
                </wp:positionV>
                <wp:extent cx="6172200" cy="396240"/>
                <wp:effectExtent l="0" t="0" r="0" b="0"/>
                <wp:wrapNone/>
                <wp:docPr id="17" name="矩形 17"/>
                <wp:cNvGraphicFramePr/>
                <a:graphic xmlns:a="http://schemas.openxmlformats.org/drawingml/2006/main">
                  <a:graphicData uri="http://schemas.microsoft.com/office/word/2010/wordprocessingShape">
                    <wps:wsp>
                      <wps:cNvSpPr/>
                      <wps:spPr>
                        <a:xfrm>
                          <a:off x="0" y="0"/>
                          <a:ext cx="6172200" cy="396240"/>
                        </a:xfrm>
                        <a:prstGeom prst="rect">
                          <a:avLst/>
                        </a:prstGeom>
                        <a:solidFill>
                          <a:srgbClr val="FFFFFF">
                            <a:alpha val="0"/>
                          </a:srgbClr>
                        </a:solidFill>
                        <a:ln>
                          <a:noFill/>
                        </a:ln>
                      </wps:spPr>
                      <wps:txbx>
                        <w:txbxContent>
                          <w:p w14:paraId="32E0BBC1">
                            <w:pPr>
                              <w:jc w:val="center"/>
                              <w:rPr>
                                <w:rFonts w:hint="eastAsia"/>
                                <w:b/>
                                <w:sz w:val="30"/>
                                <w:szCs w:val="30"/>
                              </w:rPr>
                            </w:pPr>
                            <w:r>
                              <w:rPr>
                                <w:rFonts w:hint="eastAsia"/>
                                <w:b/>
                                <w:sz w:val="30"/>
                                <w:szCs w:val="30"/>
                              </w:rPr>
                              <w:t xml:space="preserve">附图1 项目地理位置图    </w:t>
                            </w:r>
                          </w:p>
                        </w:txbxContent>
                      </wps:txbx>
                      <wps:bodyPr upright="1"/>
                    </wps:wsp>
                  </a:graphicData>
                </a:graphic>
              </wp:anchor>
            </w:drawing>
          </mc:Choice>
          <mc:Fallback>
            <w:pict>
              <v:rect id="_x0000_s1026" o:spid="_x0000_s1026" o:spt="1" style="position:absolute;left:0pt;margin-left:112.2pt;margin-top:432.8pt;height:31.2pt;width:486pt;z-index:251659264;mso-width-relative:page;mso-height-relative:page;" fillcolor="#FFFFFF" filled="t" stroked="f" coordsize="21600,21600" o:gfxdata="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PJ2JRNoAAAAMAQAADwAAAAAAAAABACAAAAAiAAAAZHJzL2Rvd25y&#10;ZXYueG1sUEsBAhQAFAAAAAgAh07iQInA+0XDAQAAiQMAAA4AAAAAAAAAAQAgAAAAKQEAAGRycy9l&#10;Mm9Eb2MueG1sUEsFBgAAAAAGAAYAWQEAAF4FAAAAAA==&#10;">
                <v:fill on="t" opacity="0f" focussize="0,0"/>
                <v:stroke on="f"/>
                <v:imagedata o:title=""/>
                <o:lock v:ext="edit" aspectratio="f"/>
                <v:textbox>
                  <w:txbxContent>
                    <w:p w14:paraId="32E0BBC1">
                      <w:pPr>
                        <w:jc w:val="center"/>
                        <w:rPr>
                          <w:rFonts w:hint="eastAsia"/>
                          <w:b/>
                          <w:sz w:val="30"/>
                          <w:szCs w:val="30"/>
                        </w:rPr>
                      </w:pPr>
                      <w:r>
                        <w:rPr>
                          <w:rFonts w:hint="eastAsia"/>
                          <w:b/>
                          <w:sz w:val="30"/>
                          <w:szCs w:val="30"/>
                        </w:rPr>
                        <w:t xml:space="preserve">附图1 项目地理位置图    </w:t>
                      </w:r>
                    </w:p>
                  </w:txbxContent>
                </v:textbox>
              </v:rect>
            </w:pict>
          </mc:Fallback>
        </mc:AlternateContent>
      </w:r>
      <w:r>
        <w:drawing>
          <wp:inline distT="0" distB="0" distL="114300" distR="114300">
            <wp:extent cx="8252460" cy="5542915"/>
            <wp:effectExtent l="0" t="0" r="15240" b="635"/>
            <wp:docPr id="18" name="图片 14" descr="未标题-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4" descr="未标题-2"/>
                    <pic:cNvPicPr>
                      <a:picLocks noChangeAspect="1"/>
                    </pic:cNvPicPr>
                  </pic:nvPicPr>
                  <pic:blipFill>
                    <a:blip r:embed="rId33"/>
                    <a:srcRect l="5441" t="37445" r="6993" b="23450"/>
                    <a:stretch>
                      <a:fillRect/>
                    </a:stretch>
                  </pic:blipFill>
                  <pic:spPr>
                    <a:xfrm>
                      <a:off x="0" y="0"/>
                      <a:ext cx="8252460" cy="5542915"/>
                    </a:xfrm>
                    <a:prstGeom prst="rect">
                      <a:avLst/>
                    </a:prstGeom>
                    <a:noFill/>
                    <a:ln>
                      <a:noFill/>
                    </a:ln>
                  </pic:spPr>
                </pic:pic>
              </a:graphicData>
            </a:graphic>
          </wp:inline>
        </w:drawing>
      </w:r>
      <w:r>
        <w:drawing>
          <wp:anchor distT="0" distB="0" distL="114300" distR="114300" simplePos="0" relativeHeight="251662336" behindDoc="0" locked="0" layoutInCell="1" allowOverlap="1">
            <wp:simplePos x="0" y="0"/>
            <wp:positionH relativeFrom="column">
              <wp:posOffset>247015</wp:posOffset>
            </wp:positionH>
            <wp:positionV relativeFrom="paragraph">
              <wp:posOffset>5247640</wp:posOffset>
            </wp:positionV>
            <wp:extent cx="2733675" cy="304800"/>
            <wp:effectExtent l="0" t="0" r="0" b="0"/>
            <wp:wrapNone/>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34"/>
                    <a:stretch>
                      <a:fillRect/>
                    </a:stretch>
                  </pic:blipFill>
                  <pic:spPr>
                    <a:xfrm>
                      <a:off x="0" y="0"/>
                      <a:ext cx="2733675" cy="304800"/>
                    </a:xfrm>
                    <a:prstGeom prst="rect">
                      <a:avLst/>
                    </a:prstGeom>
                    <a:noFill/>
                    <a:ln>
                      <a:noFill/>
                    </a:ln>
                  </pic:spPr>
                </pic:pic>
              </a:graphicData>
            </a:graphic>
          </wp:anchor>
        </w:drawing>
      </w:r>
    </w:p>
    <w:p w14:paraId="03482DB1">
      <w:pPr>
        <w:pStyle w:val="77"/>
        <w:keepNext w:val="0"/>
        <w:keepLines w:val="0"/>
        <w:widowControl/>
        <w:suppressLineNumbers w:val="0"/>
        <w:shd w:val="clear" w:color="auto" w:fill="auto"/>
        <w:spacing w:line="360" w:lineRule="auto"/>
        <w:jc w:val="both"/>
        <w:rPr>
          <w:rFonts w:hint="default" w:ascii="宋体" w:hAnsi="宋体"/>
          <w:b/>
          <w:color w:val="FF0000"/>
          <w:sz w:val="32"/>
          <w:szCs w:val="21"/>
          <w:lang w:val="en-US" w:eastAsia="zh-CN"/>
        </w:rPr>
      </w:pPr>
      <w:r>
        <mc:AlternateContent>
          <mc:Choice Requires="wps">
            <w:drawing>
              <wp:anchor distT="0" distB="0" distL="114300" distR="114300" simplePos="0" relativeHeight="251664384" behindDoc="0" locked="0" layoutInCell="1" allowOverlap="1">
                <wp:simplePos x="0" y="0"/>
                <wp:positionH relativeFrom="column">
                  <wp:posOffset>2416175</wp:posOffset>
                </wp:positionH>
                <wp:positionV relativeFrom="paragraph">
                  <wp:posOffset>4982845</wp:posOffset>
                </wp:positionV>
                <wp:extent cx="3366770" cy="457200"/>
                <wp:effectExtent l="0" t="0" r="0" b="0"/>
                <wp:wrapNone/>
                <wp:docPr id="60" name="矩形 60"/>
                <wp:cNvGraphicFramePr/>
                <a:graphic xmlns:a="http://schemas.openxmlformats.org/drawingml/2006/main">
                  <a:graphicData uri="http://schemas.microsoft.com/office/word/2010/wordprocessingShape">
                    <wps:wsp>
                      <wps:cNvSpPr/>
                      <wps:spPr>
                        <a:xfrm>
                          <a:off x="0" y="0"/>
                          <a:ext cx="3190240" cy="457200"/>
                        </a:xfrm>
                        <a:prstGeom prst="rect">
                          <a:avLst/>
                        </a:prstGeom>
                        <a:noFill/>
                        <a:ln w="12700" cap="flat" cmpd="sng" algn="ctr">
                          <a:noFill/>
                          <a:prstDash val="solid"/>
                          <a:miter lim="800000"/>
                        </a:ln>
                        <a:effectLst/>
                      </wps:spPr>
                      <wps:txbx>
                        <w:txbxContent>
                          <w:p w14:paraId="080AC05F">
                            <w:pPr>
                              <w:jc w:val="center"/>
                              <w:rPr>
                                <w:b/>
                                <w:sz w:val="28"/>
                                <w:szCs w:val="28"/>
                              </w:rPr>
                            </w:pPr>
                            <w:r>
                              <w:rPr>
                                <w:rFonts w:hint="eastAsia"/>
                                <w:b/>
                                <w:sz w:val="28"/>
                                <w:szCs w:val="28"/>
                              </w:rPr>
                              <w:t>附图2</w:t>
                            </w:r>
                            <w:r>
                              <w:rPr>
                                <w:rFonts w:hint="eastAsia"/>
                                <w:b/>
                                <w:sz w:val="28"/>
                                <w:szCs w:val="28"/>
                                <w:lang w:eastAsia="zh-CN"/>
                              </w:rPr>
                              <w:t>（</w:t>
                            </w:r>
                            <w:r>
                              <w:rPr>
                                <w:rFonts w:hint="eastAsia"/>
                                <w:b/>
                                <w:sz w:val="28"/>
                                <w:szCs w:val="28"/>
                                <w:lang w:val="en-US" w:eastAsia="zh-CN"/>
                              </w:rPr>
                              <w:t>1</w:t>
                            </w:r>
                            <w:r>
                              <w:rPr>
                                <w:rFonts w:hint="eastAsia"/>
                                <w:b/>
                                <w:sz w:val="28"/>
                                <w:szCs w:val="28"/>
                                <w:lang w:eastAsia="zh-CN"/>
                              </w:rPr>
                              <w:t>）</w:t>
                            </w:r>
                            <w:r>
                              <w:rPr>
                                <w:rFonts w:hint="eastAsia"/>
                                <w:b/>
                                <w:sz w:val="28"/>
                                <w:szCs w:val="28"/>
                              </w:rPr>
                              <w:t xml:space="preserve"> 项目周边关系</w:t>
                            </w:r>
                            <w:r>
                              <w:rPr>
                                <w:b/>
                                <w:sz w:val="28"/>
                                <w:szCs w:val="28"/>
                              </w:rPr>
                              <w:t>图</w:t>
                            </w:r>
                          </w:p>
                          <w:p w14:paraId="28C10FB6">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0.25pt;margin-top:392.35pt;height:36pt;width:265.1pt;z-index:251664384;v-text-anchor:middle;mso-width-relative:page;mso-height-relative:page;" filled="f" stroked="f" coordsize="21600,21600" o:gfxdata="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hLb7GdkAAAALAQAADwAAAAAAAAABACAAAAAiAAAAZHJzL2Rvd25yZXYueG1sUEsBAhQA&#10;FAAAAAgAh07iQAq3V91jAgAAvQQAAA4AAAAAAAAAAQAgAAAAKAEAAGRycy9lMm9Eb2MueG1sUEsF&#10;BgAAAAAGAAYAWQEAAP0FAAAAAA==&#10;">
                <v:fill on="f" focussize="0,0"/>
                <v:stroke on="f" weight="1pt" miterlimit="8" joinstyle="miter"/>
                <v:imagedata o:title=""/>
                <o:lock v:ext="edit" aspectratio="f"/>
                <v:textbox>
                  <w:txbxContent>
                    <w:p w14:paraId="080AC05F">
                      <w:pPr>
                        <w:jc w:val="center"/>
                        <w:rPr>
                          <w:b/>
                          <w:sz w:val="28"/>
                          <w:szCs w:val="28"/>
                        </w:rPr>
                      </w:pPr>
                      <w:r>
                        <w:rPr>
                          <w:rFonts w:hint="eastAsia"/>
                          <w:b/>
                          <w:sz w:val="28"/>
                          <w:szCs w:val="28"/>
                        </w:rPr>
                        <w:t>附图2</w:t>
                      </w:r>
                      <w:r>
                        <w:rPr>
                          <w:rFonts w:hint="eastAsia"/>
                          <w:b/>
                          <w:sz w:val="28"/>
                          <w:szCs w:val="28"/>
                          <w:lang w:eastAsia="zh-CN"/>
                        </w:rPr>
                        <w:t>（</w:t>
                      </w:r>
                      <w:r>
                        <w:rPr>
                          <w:rFonts w:hint="eastAsia"/>
                          <w:b/>
                          <w:sz w:val="28"/>
                          <w:szCs w:val="28"/>
                          <w:lang w:val="en-US" w:eastAsia="zh-CN"/>
                        </w:rPr>
                        <w:t>1</w:t>
                      </w:r>
                      <w:r>
                        <w:rPr>
                          <w:rFonts w:hint="eastAsia"/>
                          <w:b/>
                          <w:sz w:val="28"/>
                          <w:szCs w:val="28"/>
                          <w:lang w:eastAsia="zh-CN"/>
                        </w:rPr>
                        <w:t>）</w:t>
                      </w:r>
                      <w:r>
                        <w:rPr>
                          <w:rFonts w:hint="eastAsia"/>
                          <w:b/>
                          <w:sz w:val="28"/>
                          <w:szCs w:val="28"/>
                        </w:rPr>
                        <w:t xml:space="preserve"> 项目周边关系</w:t>
                      </w:r>
                      <w:r>
                        <w:rPr>
                          <w:b/>
                          <w:sz w:val="28"/>
                          <w:szCs w:val="28"/>
                        </w:rPr>
                        <w:t>图</w:t>
                      </w:r>
                    </w:p>
                    <w:p w14:paraId="28C10FB6">
                      <w:pPr>
                        <w:jc w:val="center"/>
                      </w:pPr>
                    </w:p>
                  </w:txbxContent>
                </v:textbox>
              </v:rect>
            </w:pict>
          </mc:Fallback>
        </mc:AlternateContent>
      </w:r>
      <w:r>
        <w:drawing>
          <wp:inline distT="0" distB="0" distL="114300" distR="114300">
            <wp:extent cx="7915275" cy="4895850"/>
            <wp:effectExtent l="0" t="0" r="9525" b="0"/>
            <wp:docPr id="5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7"/>
                    <pic:cNvPicPr>
                      <a:picLocks noChangeAspect="1"/>
                    </pic:cNvPicPr>
                  </pic:nvPicPr>
                  <pic:blipFill>
                    <a:blip r:embed="rId35"/>
                    <a:stretch>
                      <a:fillRect/>
                    </a:stretch>
                  </pic:blipFill>
                  <pic:spPr>
                    <a:xfrm>
                      <a:off x="0" y="0"/>
                      <a:ext cx="7915275" cy="4895850"/>
                    </a:xfrm>
                    <a:prstGeom prst="rect">
                      <a:avLst/>
                    </a:prstGeom>
                    <a:noFill/>
                    <a:ln>
                      <a:noFill/>
                    </a:ln>
                  </pic:spPr>
                </pic:pic>
              </a:graphicData>
            </a:graphic>
          </wp:inline>
        </w:drawing>
      </w:r>
    </w:p>
    <w:p w14:paraId="01AA4923">
      <w:pPr>
        <w:pStyle w:val="77"/>
        <w:keepNext w:val="0"/>
        <w:keepLines w:val="0"/>
        <w:widowControl/>
        <w:suppressLineNumbers w:val="0"/>
        <w:shd w:val="clear" w:color="auto" w:fill="auto"/>
        <w:spacing w:line="360" w:lineRule="auto"/>
        <w:jc w:val="both"/>
        <w:rPr>
          <w:rFonts w:hint="default" w:ascii="宋体" w:hAnsi="宋体"/>
          <w:b/>
          <w:color w:val="FF0000"/>
          <w:sz w:val="32"/>
          <w:szCs w:val="21"/>
          <w:lang w:val="en-US" w:eastAsia="zh-CN"/>
        </w:rPr>
      </w:pPr>
    </w:p>
    <w:p w14:paraId="5CE0B93C">
      <w:pPr>
        <w:pStyle w:val="77"/>
        <w:keepNext w:val="0"/>
        <w:keepLines w:val="0"/>
        <w:widowControl/>
        <w:suppressLineNumbers w:val="0"/>
        <w:shd w:val="clear" w:color="auto" w:fill="auto"/>
        <w:spacing w:line="360" w:lineRule="auto"/>
        <w:jc w:val="center"/>
        <w:rPr>
          <w:rFonts w:hint="default" w:ascii="宋体" w:hAnsi="宋体"/>
          <w:b/>
          <w:color w:val="FF0000"/>
          <w:sz w:val="32"/>
          <w:szCs w:val="21"/>
          <w:lang w:val="en-US" w:eastAsia="zh-CN"/>
        </w:rPr>
      </w:pPr>
      <w:r>
        <mc:AlternateContent>
          <mc:Choice Requires="wps">
            <w:drawing>
              <wp:anchor distT="0" distB="0" distL="114300" distR="114300" simplePos="0" relativeHeight="251665408" behindDoc="0" locked="0" layoutInCell="1" allowOverlap="1">
                <wp:simplePos x="0" y="0"/>
                <wp:positionH relativeFrom="column">
                  <wp:posOffset>2959100</wp:posOffset>
                </wp:positionH>
                <wp:positionV relativeFrom="paragraph">
                  <wp:posOffset>5049520</wp:posOffset>
                </wp:positionV>
                <wp:extent cx="3366770" cy="457200"/>
                <wp:effectExtent l="0" t="0" r="0" b="0"/>
                <wp:wrapNone/>
                <wp:docPr id="62" name="矩形 62"/>
                <wp:cNvGraphicFramePr/>
                <a:graphic xmlns:a="http://schemas.openxmlformats.org/drawingml/2006/main">
                  <a:graphicData uri="http://schemas.microsoft.com/office/word/2010/wordprocessingShape">
                    <wps:wsp>
                      <wps:cNvSpPr/>
                      <wps:spPr>
                        <a:xfrm>
                          <a:off x="0" y="0"/>
                          <a:ext cx="3190240" cy="457200"/>
                        </a:xfrm>
                        <a:prstGeom prst="rect">
                          <a:avLst/>
                        </a:prstGeom>
                        <a:noFill/>
                        <a:ln w="12700" cap="flat" cmpd="sng" algn="ctr">
                          <a:noFill/>
                          <a:prstDash val="solid"/>
                          <a:miter lim="800000"/>
                        </a:ln>
                        <a:effectLst/>
                      </wps:spPr>
                      <wps:txbx>
                        <w:txbxContent>
                          <w:p w14:paraId="31332C95">
                            <w:pPr>
                              <w:jc w:val="center"/>
                              <w:rPr>
                                <w:b/>
                                <w:sz w:val="28"/>
                                <w:szCs w:val="28"/>
                              </w:rPr>
                            </w:pPr>
                            <w:r>
                              <w:rPr>
                                <w:rFonts w:hint="eastAsia"/>
                                <w:b/>
                                <w:sz w:val="28"/>
                                <w:szCs w:val="28"/>
                              </w:rPr>
                              <w:t>附图2</w:t>
                            </w:r>
                            <w:r>
                              <w:rPr>
                                <w:rFonts w:hint="eastAsia"/>
                                <w:b/>
                                <w:sz w:val="28"/>
                                <w:szCs w:val="28"/>
                                <w:lang w:eastAsia="zh-CN"/>
                              </w:rPr>
                              <w:t>（</w:t>
                            </w:r>
                            <w:r>
                              <w:rPr>
                                <w:rFonts w:hint="eastAsia"/>
                                <w:b/>
                                <w:sz w:val="28"/>
                                <w:szCs w:val="28"/>
                                <w:lang w:val="en-US" w:eastAsia="zh-CN"/>
                              </w:rPr>
                              <w:t>2</w:t>
                            </w:r>
                            <w:r>
                              <w:rPr>
                                <w:rFonts w:hint="eastAsia"/>
                                <w:b/>
                                <w:sz w:val="28"/>
                                <w:szCs w:val="28"/>
                                <w:lang w:eastAsia="zh-CN"/>
                              </w:rPr>
                              <w:t>）</w:t>
                            </w:r>
                            <w:r>
                              <w:rPr>
                                <w:rFonts w:hint="eastAsia"/>
                                <w:b/>
                                <w:sz w:val="28"/>
                                <w:szCs w:val="28"/>
                              </w:rPr>
                              <w:t xml:space="preserve"> 项目</w:t>
                            </w:r>
                            <w:r>
                              <w:rPr>
                                <w:rFonts w:hint="eastAsia"/>
                                <w:b/>
                                <w:sz w:val="28"/>
                                <w:szCs w:val="28"/>
                                <w:lang w:eastAsia="zh-CN"/>
                              </w:rPr>
                              <w:t>敏感目标分布</w:t>
                            </w:r>
                            <w:r>
                              <w:rPr>
                                <w:b/>
                                <w:sz w:val="28"/>
                                <w:szCs w:val="28"/>
                              </w:rPr>
                              <w:t>图</w:t>
                            </w:r>
                          </w:p>
                          <w:p w14:paraId="54FBD938">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3pt;margin-top:397.6pt;height:36pt;width:265.1pt;z-index:251665408;v-text-anchor:middle;mso-width-relative:page;mso-height-relative:page;" filled="f" stroked="f" coordsize="21600,21600" o:gfxdata="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CS9xbs2gAAAAsBAAAPAAAAAAAAAAEAIAAAACIAAABkcnMvZG93bnJldi54bWxQSwEC&#10;FAAUAAAACACHTuJA9eH83mQCAAC9BAAADgAAAAAAAAABACAAAAApAQAAZHJzL2Uyb0RvYy54bWxQ&#10;SwUGAAAAAAYABgBZAQAA/wUAAAAA&#10;">
                <v:fill on="f" focussize="0,0"/>
                <v:stroke on="f" weight="1pt" miterlimit="8" joinstyle="miter"/>
                <v:imagedata o:title=""/>
                <o:lock v:ext="edit" aspectratio="f"/>
                <v:textbox>
                  <w:txbxContent>
                    <w:p w14:paraId="31332C95">
                      <w:pPr>
                        <w:jc w:val="center"/>
                        <w:rPr>
                          <w:b/>
                          <w:sz w:val="28"/>
                          <w:szCs w:val="28"/>
                        </w:rPr>
                      </w:pPr>
                      <w:r>
                        <w:rPr>
                          <w:rFonts w:hint="eastAsia"/>
                          <w:b/>
                          <w:sz w:val="28"/>
                          <w:szCs w:val="28"/>
                        </w:rPr>
                        <w:t>附图2</w:t>
                      </w:r>
                      <w:r>
                        <w:rPr>
                          <w:rFonts w:hint="eastAsia"/>
                          <w:b/>
                          <w:sz w:val="28"/>
                          <w:szCs w:val="28"/>
                          <w:lang w:eastAsia="zh-CN"/>
                        </w:rPr>
                        <w:t>（</w:t>
                      </w:r>
                      <w:r>
                        <w:rPr>
                          <w:rFonts w:hint="eastAsia"/>
                          <w:b/>
                          <w:sz w:val="28"/>
                          <w:szCs w:val="28"/>
                          <w:lang w:val="en-US" w:eastAsia="zh-CN"/>
                        </w:rPr>
                        <w:t>2</w:t>
                      </w:r>
                      <w:r>
                        <w:rPr>
                          <w:rFonts w:hint="eastAsia"/>
                          <w:b/>
                          <w:sz w:val="28"/>
                          <w:szCs w:val="28"/>
                          <w:lang w:eastAsia="zh-CN"/>
                        </w:rPr>
                        <w:t>）</w:t>
                      </w:r>
                      <w:r>
                        <w:rPr>
                          <w:rFonts w:hint="eastAsia"/>
                          <w:b/>
                          <w:sz w:val="28"/>
                          <w:szCs w:val="28"/>
                        </w:rPr>
                        <w:t xml:space="preserve"> 项目</w:t>
                      </w:r>
                      <w:r>
                        <w:rPr>
                          <w:rFonts w:hint="eastAsia"/>
                          <w:b/>
                          <w:sz w:val="28"/>
                          <w:szCs w:val="28"/>
                          <w:lang w:eastAsia="zh-CN"/>
                        </w:rPr>
                        <w:t>敏感目标分布</w:t>
                      </w:r>
                      <w:r>
                        <w:rPr>
                          <w:b/>
                          <w:sz w:val="28"/>
                          <w:szCs w:val="28"/>
                        </w:rPr>
                        <w:t>图</w:t>
                      </w:r>
                    </w:p>
                    <w:p w14:paraId="54FBD938">
                      <w:pPr>
                        <w:jc w:val="center"/>
                      </w:pPr>
                    </w:p>
                  </w:txbxContent>
                </v:textbox>
              </v:rect>
            </w:pict>
          </mc:Fallback>
        </mc:AlternateContent>
      </w:r>
      <w:r>
        <w:drawing>
          <wp:inline distT="0" distB="0" distL="114300" distR="114300">
            <wp:extent cx="7867650" cy="4905375"/>
            <wp:effectExtent l="0" t="0" r="0" b="9525"/>
            <wp:docPr id="6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8"/>
                    <pic:cNvPicPr>
                      <a:picLocks noChangeAspect="1"/>
                    </pic:cNvPicPr>
                  </pic:nvPicPr>
                  <pic:blipFill>
                    <a:blip r:embed="rId36"/>
                    <a:stretch>
                      <a:fillRect/>
                    </a:stretch>
                  </pic:blipFill>
                  <pic:spPr>
                    <a:xfrm>
                      <a:off x="0" y="0"/>
                      <a:ext cx="7867650" cy="4905375"/>
                    </a:xfrm>
                    <a:prstGeom prst="rect">
                      <a:avLst/>
                    </a:prstGeom>
                    <a:noFill/>
                    <a:ln>
                      <a:noFill/>
                    </a:ln>
                  </pic:spPr>
                </pic:pic>
              </a:graphicData>
            </a:graphic>
          </wp:inline>
        </w:drawing>
      </w:r>
    </w:p>
    <w:p w14:paraId="6D95DDD6">
      <w:pPr>
        <w:pStyle w:val="77"/>
        <w:keepNext w:val="0"/>
        <w:keepLines w:val="0"/>
        <w:widowControl/>
        <w:suppressLineNumbers w:val="0"/>
        <w:shd w:val="clear" w:color="auto" w:fill="auto"/>
        <w:spacing w:line="360" w:lineRule="auto"/>
        <w:jc w:val="both"/>
        <w:rPr>
          <w:rFonts w:hint="default" w:ascii="宋体" w:hAnsi="宋体"/>
          <w:b/>
          <w:color w:val="FF0000"/>
          <w:sz w:val="32"/>
          <w:szCs w:val="21"/>
          <w:lang w:val="en-US" w:eastAsia="zh-CN"/>
        </w:rPr>
      </w:pPr>
    </w:p>
    <w:p w14:paraId="6CD87E65">
      <w:pPr>
        <w:pStyle w:val="82"/>
        <w:ind w:left="0" w:leftChars="0" w:firstLine="0" w:firstLineChars="0"/>
        <w:rPr>
          <w:rFonts w:ascii="Times New Roman"/>
          <w:snapToGrid w:val="0"/>
          <w:color w:val="auto"/>
          <w:spacing w:val="-6"/>
          <w:kern w:val="21"/>
          <w:szCs w:val="21"/>
          <w:highlight w:val="none"/>
        </w:rPr>
        <w:sectPr>
          <w:pgSz w:w="16838" w:h="11906" w:orient="landscape"/>
          <w:pgMar w:top="1531" w:right="1701" w:bottom="1531" w:left="1701" w:header="851" w:footer="1191" w:gutter="0"/>
          <w:cols w:space="0" w:num="1"/>
          <w:rtlGutter w:val="0"/>
          <w:docGrid w:linePitch="312" w:charSpace="0"/>
        </w:sectPr>
      </w:pPr>
    </w:p>
    <w:p w14:paraId="68A88BF8">
      <w:r>
        <w:drawing>
          <wp:anchor distT="0" distB="0" distL="114300" distR="114300" simplePos="0" relativeHeight="251670528" behindDoc="0" locked="0" layoutInCell="1" allowOverlap="1">
            <wp:simplePos x="0" y="0"/>
            <wp:positionH relativeFrom="column">
              <wp:posOffset>4324350</wp:posOffset>
            </wp:positionH>
            <wp:positionV relativeFrom="paragraph">
              <wp:posOffset>60960</wp:posOffset>
            </wp:positionV>
            <wp:extent cx="932180" cy="789940"/>
            <wp:effectExtent l="0" t="0" r="1270" b="10160"/>
            <wp:wrapNone/>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32"/>
                    <a:stretch>
                      <a:fillRect/>
                    </a:stretch>
                  </pic:blipFill>
                  <pic:spPr>
                    <a:xfrm>
                      <a:off x="0" y="0"/>
                      <a:ext cx="932180" cy="789940"/>
                    </a:xfrm>
                    <a:prstGeom prst="rect">
                      <a:avLst/>
                    </a:prstGeom>
                    <a:noFill/>
                    <a:ln>
                      <a:noFill/>
                    </a:ln>
                  </pic:spPr>
                </pic:pic>
              </a:graphicData>
            </a:graphic>
          </wp:anchor>
        </w:drawing>
      </w:r>
      <w:r>
        <w:rPr>
          <w:sz w:val="21"/>
        </w:rPr>
        <mc:AlternateContent>
          <mc:Choice Requires="wps">
            <w:drawing>
              <wp:anchor distT="0" distB="0" distL="114300" distR="114300" simplePos="0" relativeHeight="251668480" behindDoc="0" locked="0" layoutInCell="1" allowOverlap="1">
                <wp:simplePos x="0" y="0"/>
                <wp:positionH relativeFrom="column">
                  <wp:posOffset>-208915</wp:posOffset>
                </wp:positionH>
                <wp:positionV relativeFrom="paragraph">
                  <wp:posOffset>13970</wp:posOffset>
                </wp:positionV>
                <wp:extent cx="5503545" cy="7837170"/>
                <wp:effectExtent l="4445" t="4445" r="16510" b="6985"/>
                <wp:wrapNone/>
                <wp:docPr id="72" name="矩形 72"/>
                <wp:cNvGraphicFramePr/>
                <a:graphic xmlns:a="http://schemas.openxmlformats.org/drawingml/2006/main">
                  <a:graphicData uri="http://schemas.microsoft.com/office/word/2010/wordprocessingShape">
                    <wps:wsp>
                      <wps:cNvSpPr/>
                      <wps:spPr>
                        <a:xfrm>
                          <a:off x="0" y="0"/>
                          <a:ext cx="5503545" cy="7837170"/>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16.45pt;margin-top:1.1pt;height:617.1pt;width:433.35pt;z-index:251668480;mso-width-relative:page;mso-height-relative:page;" filled="f" stroked="t" coordsize="21600,21600" o:gfxdata="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HxLDpPYAAAACgEAAA8AAAAAAAAAAQAgAAAAIgAAAGRycy9kb3ducmV2Lnht&#10;bFBLAQIUABQAAAAIAIdO4kCGiOn9+QEAAPgDAAAOAAAAAAAAAAEAIAAAACcBAABkcnMvZTJvRG9j&#10;LnhtbFBLBQYAAAAABgAGAFkBAACSBQAAAAA=&#10;">
                <v:fill on="f" focussize="0,0"/>
                <v:stroke color="#000000" joinstyle="miter"/>
                <v:imagedata o:title=""/>
                <o:lock v:ext="edit" aspectratio="f"/>
              </v:rect>
            </w:pict>
          </mc:Fallback>
        </mc:AlternateContent>
      </w:r>
      <w:r>
        <w:rPr>
          <w:rFonts w:hint="eastAsia"/>
          <w:lang w:val="en-US" w:eastAsia="zh-CN"/>
        </w:rPr>
        <w:t xml:space="preserve">                  </w:t>
      </w:r>
      <w:r>
        <w:rPr>
          <w:rFonts w:hint="eastAsia"/>
          <w:lang w:val="en-US" w:eastAsia="zh-CN"/>
        </w:rPr>
        <w:object>
          <v:shape id="_x0000_i1030" o:spt="75" type="#_x0000_t75" style="height:413.75pt;width:413.7pt;" o:ole="t" filled="f" o:preferrelative="t" stroked="f" coordsize="21600,21600">
            <v:path/>
            <v:fill on="f" focussize="0,0"/>
            <v:stroke on="f"/>
            <v:imagedata r:id="rId38" o:title=""/>
            <o:lock v:ext="edit" aspectratio="f"/>
            <w10:wrap type="none"/>
            <w10:anchorlock/>
          </v:shape>
          <o:OLEObject Type="Embed" ProgID="Visio.Drawing.15" ShapeID="_x0000_i1030" DrawAspect="Content" ObjectID="_1468075730" r:id="rId37">
            <o:LockedField>false</o:LockedField>
          </o:OLEObject>
        </w:object>
      </w:r>
      <w:r>
        <w:rPr>
          <w:rFonts w:hint="eastAsia"/>
          <w:lang w:val="en-US" w:eastAsia="zh-CN"/>
        </w:rPr>
        <w:t xml:space="preserve">  </w:t>
      </w:r>
    </w:p>
    <w:p w14:paraId="76443421">
      <w:r>
        <w:rPr>
          <w:sz w:val="21"/>
        </w:rPr>
        <mc:AlternateContent>
          <mc:Choice Requires="wps">
            <w:drawing>
              <wp:anchor distT="0" distB="0" distL="114300" distR="114300" simplePos="0" relativeHeight="251667456" behindDoc="0" locked="0" layoutInCell="1" allowOverlap="1">
                <wp:simplePos x="0" y="0"/>
                <wp:positionH relativeFrom="column">
                  <wp:posOffset>2089785</wp:posOffset>
                </wp:positionH>
                <wp:positionV relativeFrom="paragraph">
                  <wp:posOffset>1741170</wp:posOffset>
                </wp:positionV>
                <wp:extent cx="773430" cy="299085"/>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773430" cy="299085"/>
                        </a:xfrm>
                        <a:prstGeom prst="rect">
                          <a:avLst/>
                        </a:prstGeom>
                        <a:noFill/>
                        <a:ln>
                          <a:noFill/>
                        </a:ln>
                      </wps:spPr>
                      <wps:txbx>
                        <w:txbxContent>
                          <w:p w14:paraId="4EBBE589">
                            <w:pPr>
                              <w:rPr>
                                <w:rFonts w:hint="eastAsia" w:eastAsia="宋体"/>
                                <w:lang w:eastAsia="zh-CN"/>
                              </w:rPr>
                            </w:pPr>
                            <w:r>
                              <w:rPr>
                                <w:rFonts w:hint="eastAsia"/>
                                <w:lang w:eastAsia="zh-CN"/>
                              </w:rPr>
                              <w:t>比例尺</w:t>
                            </w:r>
                          </w:p>
                        </w:txbxContent>
                      </wps:txbx>
                      <wps:bodyPr upright="1"/>
                    </wps:wsp>
                  </a:graphicData>
                </a:graphic>
              </wp:anchor>
            </w:drawing>
          </mc:Choice>
          <mc:Fallback>
            <w:pict>
              <v:shape id="_x0000_s1026" o:spid="_x0000_s1026" o:spt="202" type="#_x0000_t202" style="position:absolute;left:0pt;margin-left:164.55pt;margin-top:137.1pt;height:23.55pt;width:60.9pt;z-index:251667456;mso-width-relative:page;mso-height-relative:page;" filled="f" stroked="f" coordsize="21600,21600" o:gfxdata="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SL47OtgA&#10;AAALAQAADwAAAAAAAAABACAAAAAiAAAAZHJzL2Rvd25yZXYueG1sUEsBAhQAFAAAAAgAh07iQJ3r&#10;HtitAQAATwMAAA4AAAAAAAAAAQAgAAAAJwEAAGRycy9lMm9Eb2MueG1sUEsFBgAAAAAGAAYAWQEA&#10;AEYFAAAAAA==&#10;">
                <v:fill on="f" focussize="0,0"/>
                <v:stroke on="f"/>
                <v:imagedata o:title=""/>
                <o:lock v:ext="edit" aspectratio="f"/>
                <v:textbox>
                  <w:txbxContent>
                    <w:p w14:paraId="4EBBE589">
                      <w:pPr>
                        <w:rPr>
                          <w:rFonts w:hint="eastAsia" w:eastAsia="宋体"/>
                          <w:lang w:eastAsia="zh-CN"/>
                        </w:rPr>
                      </w:pPr>
                      <w:r>
                        <w:rPr>
                          <w:rFonts w:hint="eastAsia"/>
                          <w:lang w:eastAsia="zh-CN"/>
                        </w:rPr>
                        <w:t>比例尺</w:t>
                      </w:r>
                    </w:p>
                  </w:txbxContent>
                </v:textbox>
              </v:shape>
            </w:pict>
          </mc:Fallback>
        </mc:AlternateContent>
      </w:r>
      <w:r>
        <w:rPr>
          <w:sz w:val="21"/>
        </w:rPr>
        <mc:AlternateContent>
          <mc:Choice Requires="wpg">
            <w:drawing>
              <wp:anchor distT="0" distB="0" distL="114300" distR="114300" simplePos="0" relativeHeight="251669504" behindDoc="0" locked="0" layoutInCell="1" allowOverlap="1">
                <wp:simplePos x="0" y="0"/>
                <wp:positionH relativeFrom="column">
                  <wp:posOffset>2857500</wp:posOffset>
                </wp:positionH>
                <wp:positionV relativeFrom="paragraph">
                  <wp:posOffset>1521460</wp:posOffset>
                </wp:positionV>
                <wp:extent cx="2108835" cy="481330"/>
                <wp:effectExtent l="0" t="0" r="0" b="13335"/>
                <wp:wrapNone/>
                <wp:docPr id="63" name="组合 63"/>
                <wp:cNvGraphicFramePr/>
                <a:graphic xmlns:a="http://schemas.openxmlformats.org/drawingml/2006/main">
                  <a:graphicData uri="http://schemas.microsoft.com/office/word/2010/wordprocessingGroup">
                    <wpg:wgp>
                      <wpg:cNvGrpSpPr/>
                      <wpg:grpSpPr>
                        <a:xfrm>
                          <a:off x="1448435" y="1445895"/>
                          <a:ext cx="2108835" cy="481330"/>
                          <a:chOff x="5756" y="2560"/>
                          <a:chExt cx="3021" cy="758"/>
                        </a:xfrm>
                        <a:effectLst/>
                      </wpg:grpSpPr>
                      <wps:wsp>
                        <wps:cNvPr id="64" name="矩形 1"/>
                        <wps:cNvSpPr/>
                        <wps:spPr>
                          <a:xfrm>
                            <a:off x="5912" y="3056"/>
                            <a:ext cx="1116" cy="262"/>
                          </a:xfrm>
                          <a:prstGeom prst="rect">
                            <a:avLst/>
                          </a:prstGeom>
                          <a:no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65" name="矩形 2"/>
                        <wps:cNvSpPr/>
                        <wps:spPr>
                          <a:xfrm>
                            <a:off x="7033" y="3052"/>
                            <a:ext cx="1116" cy="262"/>
                          </a:xfrm>
                          <a:prstGeom prst="rect">
                            <a:avLst/>
                          </a:prstGeom>
                          <a:solidFill>
                            <a:srgbClr val="000000"/>
                          </a:solid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66" name="文本框 3"/>
                        <wps:cNvSpPr txBox="1"/>
                        <wps:spPr>
                          <a:xfrm>
                            <a:off x="5756" y="2579"/>
                            <a:ext cx="592" cy="450"/>
                          </a:xfrm>
                          <a:prstGeom prst="rect">
                            <a:avLst/>
                          </a:prstGeom>
                          <a:noFill/>
                          <a:ln w="6350">
                            <a:noFill/>
                          </a:ln>
                          <a:effectLst/>
                        </wps:spPr>
                        <wps:txbx>
                          <w:txbxContent>
                            <w:p w14:paraId="2F87283A">
                              <w:pPr>
                                <w:rPr>
                                  <w:rFonts w:hint="default" w:ascii="Times New Roman" w:hAnsi="Times New Roman" w:eastAsia="宋体" w:cs="Times New Roman"/>
                                  <w:lang w:val="en-US" w:eastAsia="zh-CN"/>
                                </w:rPr>
                              </w:pPr>
                              <w:r>
                                <w:rPr>
                                  <w:rFonts w:hint="default" w:ascii="Times New Roman" w:hAnsi="Times New Roman" w:cs="Times New Roman"/>
                                  <w:lang w:val="en-US" w:eastAsia="zh-CN"/>
                                </w:rPr>
                                <w:t>0</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7" name="文本框 5"/>
                        <wps:cNvSpPr txBox="1"/>
                        <wps:spPr>
                          <a:xfrm>
                            <a:off x="6739" y="2564"/>
                            <a:ext cx="928" cy="450"/>
                          </a:xfrm>
                          <a:prstGeom prst="rect">
                            <a:avLst/>
                          </a:prstGeom>
                          <a:noFill/>
                          <a:ln w="6350">
                            <a:noFill/>
                          </a:ln>
                          <a:effectLst/>
                        </wps:spPr>
                        <wps:txbx>
                          <w:txbxContent>
                            <w:p w14:paraId="79325A8E">
                              <w:pPr>
                                <w:rPr>
                                  <w:rFonts w:hint="default" w:ascii="Times New Roman" w:hAnsi="Times New Roman" w:eastAsia="宋体" w:cs="Times New Roman"/>
                                  <w:lang w:val="en-US" w:eastAsia="zh-CN"/>
                                </w:rPr>
                              </w:pPr>
                              <w:r>
                                <w:rPr>
                                  <w:rFonts w:hint="eastAsia" w:ascii="Times New Roman" w:hAnsi="Times New Roman" w:cs="Times New Roman"/>
                                  <w:lang w:val="en-US" w:eastAsia="zh-CN"/>
                                </w:rPr>
                                <w:t>25m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8" name="文本框 6"/>
                        <wps:cNvSpPr txBox="1"/>
                        <wps:spPr>
                          <a:xfrm>
                            <a:off x="7871" y="2560"/>
                            <a:ext cx="906" cy="450"/>
                          </a:xfrm>
                          <a:prstGeom prst="rect">
                            <a:avLst/>
                          </a:prstGeom>
                          <a:noFill/>
                          <a:ln w="6350">
                            <a:noFill/>
                          </a:ln>
                          <a:effectLst/>
                        </wps:spPr>
                        <wps:txbx>
                          <w:txbxContent>
                            <w:p w14:paraId="681B2F7E">
                              <w:pPr>
                                <w:rPr>
                                  <w:rFonts w:hint="default" w:ascii="Times New Roman" w:hAnsi="Times New Roman" w:eastAsia="宋体" w:cs="Times New Roman"/>
                                  <w:lang w:val="en-US" w:eastAsia="zh-CN"/>
                                </w:rPr>
                              </w:pPr>
                              <w:r>
                                <w:rPr>
                                  <w:rFonts w:hint="eastAsia" w:ascii="Times New Roman" w:hAnsi="Times New Roman" w:cs="Times New Roman"/>
                                  <w:lang w:val="en-US" w:eastAsia="zh-CN"/>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25pt;margin-top:119.8pt;height:37.9pt;width:166.05pt;z-index:251669504;mso-width-relative:page;mso-height-relative:page;" coordorigin="5756,2560" coordsize="3021,758" o:gfxdata="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&#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">
                <o:lock v:ext="edit" aspectratio="f"/>
                <v:rect id="矩形 1" o:spid="_x0000_s1026" o:spt="1" style="position:absolute;left:5912;top:3056;height:262;width:1116;v-text-anchor:middle;" filled="f" stroked="t" coordsize="21600,21600" o:gfxdata="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Ct1EL4A&#10;AADbAAAADwAAAAAAAAABACAAAAAiAAAAZHJzL2Rvd25yZXYueG1sUEsBAhQAFAAAAAgAh07iQDMv&#10;BZ47AAAAOQAAABAAAAAAAAAAAQAgAAAADQEAAGRycy9zaGFwZXhtbC54bWxQSwUGAAAAAAYABgBb&#10;AQAAtwMAAAAA&#10;">
                  <v:fill on="f" focussize="0,0"/>
                  <v:stroke weight="2pt" color="#000000" joinstyle="round"/>
                  <v:imagedata o:title=""/>
                  <o:lock v:ext="edit" aspectratio="f"/>
                </v:rect>
                <v:rect id="矩形 2" o:spid="_x0000_s1026" o:spt="1" style="position:absolute;left:7033;top:3052;height:262;width:1116;v-text-anchor:middle;" fillcolor="#000000" filled="t" stroked="t" coordsize="21600,21600" o:gfxdata="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8KtB28AAAA&#10;2wAAAA8AAAAAAAAAAQAgAAAAIgAAAGRycy9kb3ducmV2LnhtbFBLAQIUABQAAAAIAIdO4kAzLwWe&#10;OwAAADkAAAAQAAAAAAAAAAEAIAAAAAsBAABkcnMvc2hhcGV4bWwueG1sUEsFBgAAAAAGAAYAWwEA&#10;ALUDAAAAAA==&#10;">
                  <v:fill on="t" focussize="0,0"/>
                  <v:stroke weight="2pt" color="#000000" joinstyle="round"/>
                  <v:imagedata o:title=""/>
                  <o:lock v:ext="edit" aspectratio="f"/>
                </v:rect>
                <v:shape id="文本框 3" o:spid="_x0000_s1026" o:spt="202" type="#_x0000_t202" style="position:absolute;left:5756;top:2579;height:450;width:592;" filled="f" stroked="f" coordsize="21600,21600" o:gfxdata="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hwcSvQAA&#10;ANsAAAAPAAAAAAAAAAEAIAAAACIAAABkcnMvZG93bnJldi54bWxQSwECFAAUAAAACACHTuJAMy8F&#10;njsAAAA5AAAAEAAAAAAAAAABACAAAAAMAQAAZHJzL3NoYXBleG1sLnhtbFBLBQYAAAAABgAGAFsB&#10;AAC2AwAAAAA=&#10;">
                  <v:fill on="f" focussize="0,0"/>
                  <v:stroke on="f" weight="0.5pt"/>
                  <v:imagedata o:title=""/>
                  <o:lock v:ext="edit" aspectratio="f"/>
                  <v:textbox>
                    <w:txbxContent>
                      <w:p w14:paraId="2F87283A">
                        <w:pPr>
                          <w:rPr>
                            <w:rFonts w:hint="default" w:ascii="Times New Roman" w:hAnsi="Times New Roman" w:eastAsia="宋体" w:cs="Times New Roman"/>
                            <w:lang w:val="en-US" w:eastAsia="zh-CN"/>
                          </w:rPr>
                        </w:pPr>
                        <w:r>
                          <w:rPr>
                            <w:rFonts w:hint="default" w:ascii="Times New Roman" w:hAnsi="Times New Roman" w:cs="Times New Roman"/>
                            <w:lang w:val="en-US" w:eastAsia="zh-CN"/>
                          </w:rPr>
                          <w:t>0</w:t>
                        </w:r>
                      </w:p>
                    </w:txbxContent>
                  </v:textbox>
                </v:shape>
                <v:shape id="文本框 5" o:spid="_x0000_s1026" o:spt="202" type="#_x0000_t202" style="position:absolute;left:6739;top:2564;height:450;width:928;" filled="f" stroked="f" coordsize="21600,21600" o:gfxdata="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zLoom/&#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79325A8E">
                        <w:pPr>
                          <w:rPr>
                            <w:rFonts w:hint="default" w:ascii="Times New Roman" w:hAnsi="Times New Roman" w:eastAsia="宋体" w:cs="Times New Roman"/>
                            <w:lang w:val="en-US" w:eastAsia="zh-CN"/>
                          </w:rPr>
                        </w:pPr>
                        <w:r>
                          <w:rPr>
                            <w:rFonts w:hint="eastAsia" w:ascii="Times New Roman" w:hAnsi="Times New Roman" w:cs="Times New Roman"/>
                            <w:lang w:val="en-US" w:eastAsia="zh-CN"/>
                          </w:rPr>
                          <w:t>25m</w:t>
                        </w:r>
                      </w:p>
                    </w:txbxContent>
                  </v:textbox>
                </v:shape>
                <v:shape id="文本框 6" o:spid="_x0000_s1026" o:spt="202" type="#_x0000_t202" style="position:absolute;left:7871;top:2560;height:450;width:906;" filled="f" stroked="f" coordsize="21600,21600" o:gfxdata="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bVQ2+7gAAADbAAAA&#10;DwAAAAAAAAABACAAAAAiAAAAZHJzL2Rvd25yZXYueG1sUEsBAhQAFAAAAAgAh07iQDMvBZ47AAAA&#10;OQAAABAAAAAAAAAAAQAgAAAABwEAAGRycy9zaGFwZXhtbC54bWxQSwUGAAAAAAYABgBbAQAAsQMA&#10;AAAA&#10;">
                  <v:fill on="f" focussize="0,0"/>
                  <v:stroke on="f" weight="0.5pt"/>
                  <v:imagedata o:title=""/>
                  <o:lock v:ext="edit" aspectratio="f"/>
                  <v:textbox>
                    <w:txbxContent>
                      <w:p w14:paraId="681B2F7E">
                        <w:pPr>
                          <w:rPr>
                            <w:rFonts w:hint="default" w:ascii="Times New Roman" w:hAnsi="Times New Roman" w:eastAsia="宋体" w:cs="Times New Roman"/>
                            <w:lang w:val="en-US" w:eastAsia="zh-CN"/>
                          </w:rPr>
                        </w:pPr>
                        <w:r>
                          <w:rPr>
                            <w:rFonts w:hint="eastAsia" w:ascii="Times New Roman" w:hAnsi="Times New Roman" w:cs="Times New Roman"/>
                            <w:lang w:val="en-US" w:eastAsia="zh-CN"/>
                          </w:rPr>
                          <w:t>50m</w:t>
                        </w:r>
                      </w:p>
                    </w:txbxContent>
                  </v:textbox>
                </v:shape>
              </v:group>
            </w:pict>
          </mc:Fallback>
        </mc:AlternateContent>
      </w:r>
      <w:r>
        <w:rPr>
          <w:sz w:val="21"/>
        </w:rPr>
        <mc:AlternateContent>
          <mc:Choice Requires="wps">
            <w:drawing>
              <wp:anchor distT="0" distB="0" distL="114300" distR="114300" simplePos="0" relativeHeight="251666432" behindDoc="0" locked="0" layoutInCell="1" allowOverlap="1">
                <wp:simplePos x="0" y="0"/>
                <wp:positionH relativeFrom="column">
                  <wp:posOffset>-191135</wp:posOffset>
                </wp:positionH>
                <wp:positionV relativeFrom="paragraph">
                  <wp:posOffset>2489835</wp:posOffset>
                </wp:positionV>
                <wp:extent cx="5168900" cy="400050"/>
                <wp:effectExtent l="0" t="0" r="0" b="0"/>
                <wp:wrapNone/>
                <wp:docPr id="71" name="矩形 71"/>
                <wp:cNvGraphicFramePr/>
                <a:graphic xmlns:a="http://schemas.openxmlformats.org/drawingml/2006/main">
                  <a:graphicData uri="http://schemas.microsoft.com/office/word/2010/wordprocessingShape">
                    <wps:wsp>
                      <wps:cNvSpPr/>
                      <wps:spPr>
                        <a:xfrm>
                          <a:off x="0" y="0"/>
                          <a:ext cx="5168900" cy="400050"/>
                        </a:xfrm>
                        <a:prstGeom prst="rect">
                          <a:avLst/>
                        </a:prstGeom>
                        <a:noFill/>
                        <a:ln>
                          <a:noFill/>
                        </a:ln>
                      </wps:spPr>
                      <wps:txbx>
                        <w:txbxContent>
                          <w:p w14:paraId="6257C2A6">
                            <w:pPr>
                              <w:jc w:val="center"/>
                              <w:rPr>
                                <w:rFonts w:hint="eastAsia" w:eastAsia="宋体"/>
                                <w:b/>
                                <w:bCs/>
                                <w:sz w:val="32"/>
                                <w:szCs w:val="32"/>
                                <w:lang w:val="en-US" w:eastAsia="zh-CN"/>
                              </w:rPr>
                            </w:pPr>
                            <w:r>
                              <w:rPr>
                                <w:rFonts w:hint="eastAsia"/>
                                <w:b/>
                                <w:bCs/>
                                <w:sz w:val="32"/>
                                <w:szCs w:val="32"/>
                                <w:lang w:val="en-US" w:eastAsia="zh-CN"/>
                              </w:rPr>
                              <w:t>附图3 项目平面布置图</w:t>
                            </w:r>
                          </w:p>
                        </w:txbxContent>
                      </wps:txbx>
                      <wps:bodyPr upright="1"/>
                    </wps:wsp>
                  </a:graphicData>
                </a:graphic>
              </wp:anchor>
            </w:drawing>
          </mc:Choice>
          <mc:Fallback>
            <w:pict>
              <v:rect id="_x0000_s1026" o:spid="_x0000_s1026" o:spt="1" style="position:absolute;left:0pt;margin-left:-15.05pt;margin-top:196.05pt;height:31.5pt;width:407pt;z-index:251666432;mso-width-relative:page;mso-height-relative:page;" filled="f" stroked="f" coordsize="21600,21600" o:gfxdata="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Mp8N6/dAAAACwEA&#10;AA8AAAAAAAAAAQAgAAAAIgAAAGRycy9kb3ducmV2LnhtbFBLAQIUABQAAAAIAIdO4kAT9I+0owEA&#10;AEMDAAAOAAAAAAAAAAEAIAAAACwBAABkcnMvZTJvRG9jLnhtbFBLBQYAAAAABgAGAFkBAABBBQAA&#10;AAA=&#10;">
                <v:fill on="f" focussize="0,0"/>
                <v:stroke on="f"/>
                <v:imagedata o:title=""/>
                <o:lock v:ext="edit" aspectratio="f"/>
                <v:textbox>
                  <w:txbxContent>
                    <w:p w14:paraId="6257C2A6">
                      <w:pPr>
                        <w:jc w:val="center"/>
                        <w:rPr>
                          <w:rFonts w:hint="eastAsia" w:eastAsia="宋体"/>
                          <w:b/>
                          <w:bCs/>
                          <w:sz w:val="32"/>
                          <w:szCs w:val="32"/>
                          <w:lang w:val="en-US" w:eastAsia="zh-CN"/>
                        </w:rPr>
                      </w:pPr>
                      <w:r>
                        <w:rPr>
                          <w:rFonts w:hint="eastAsia"/>
                          <w:b/>
                          <w:bCs/>
                          <w:sz w:val="32"/>
                          <w:szCs w:val="32"/>
                          <w:lang w:val="en-US" w:eastAsia="zh-CN"/>
                        </w:rPr>
                        <w:t>附图3 项目平面布置图</w:t>
                      </w:r>
                    </w:p>
                  </w:txbxContent>
                </v:textbox>
              </v:rect>
            </w:pict>
          </mc:Fallback>
        </mc:AlternateContent>
      </w:r>
    </w:p>
    <w:p w14:paraId="4750BF0D">
      <w:pPr>
        <w:pStyle w:val="82"/>
        <w:ind w:left="0" w:leftChars="0" w:firstLine="0" w:firstLineChars="0"/>
        <w:rPr>
          <w:rFonts w:ascii="Times New Roman"/>
          <w:snapToGrid w:val="0"/>
          <w:color w:val="auto"/>
          <w:spacing w:val="-6"/>
          <w:kern w:val="21"/>
          <w:szCs w:val="21"/>
          <w:highlight w:val="none"/>
        </w:rPr>
      </w:pPr>
    </w:p>
    <w:p w14:paraId="003271BE">
      <w:pPr>
        <w:rPr>
          <w:color w:val="auto"/>
        </w:rPr>
      </w:pPr>
    </w:p>
    <w:p w14:paraId="6362BDDA">
      <w:pPr>
        <w:rPr>
          <w:color w:val="auto"/>
        </w:rPr>
      </w:pPr>
    </w:p>
    <w:p w14:paraId="6E48DF95">
      <w:pPr>
        <w:rPr>
          <w:color w:val="auto"/>
        </w:rPr>
      </w:pPr>
    </w:p>
    <w:p w14:paraId="2F58C16B">
      <w:pPr>
        <w:rPr>
          <w:color w:val="auto"/>
        </w:rPr>
      </w:pPr>
    </w:p>
    <w:p w14:paraId="3EFFFB59">
      <w:pPr>
        <w:rPr>
          <w:color w:val="auto"/>
        </w:rPr>
      </w:pPr>
    </w:p>
    <w:p w14:paraId="00548A6E">
      <w:pPr>
        <w:rPr>
          <w:color w:val="auto"/>
        </w:rPr>
      </w:pPr>
    </w:p>
    <w:p w14:paraId="211202D0">
      <w:pPr>
        <w:rPr>
          <w:color w:val="auto"/>
        </w:rPr>
      </w:pPr>
    </w:p>
    <w:p w14:paraId="6CDAE61D">
      <w:pPr>
        <w:rPr>
          <w:color w:val="auto"/>
        </w:rPr>
      </w:pPr>
    </w:p>
    <w:p w14:paraId="41ED9513">
      <w:pPr>
        <w:rPr>
          <w:color w:val="auto"/>
        </w:rPr>
      </w:pPr>
    </w:p>
    <w:p w14:paraId="3F74B057">
      <w:pPr>
        <w:rPr>
          <w:color w:val="auto"/>
        </w:rPr>
      </w:pPr>
    </w:p>
    <w:p w14:paraId="0FED6D89">
      <w:pPr>
        <w:rPr>
          <w:color w:val="auto"/>
        </w:rPr>
      </w:pPr>
    </w:p>
    <w:p w14:paraId="75C9FE75">
      <w:pPr>
        <w:rPr>
          <w:color w:val="auto"/>
        </w:rPr>
      </w:pPr>
    </w:p>
    <w:p w14:paraId="5FD344C6">
      <w:pPr>
        <w:rPr>
          <w:color w:val="auto"/>
        </w:rPr>
      </w:pPr>
    </w:p>
    <w:p w14:paraId="57FD373E">
      <w:pPr>
        <w:rPr>
          <w:color w:val="auto"/>
        </w:rPr>
      </w:pPr>
    </w:p>
    <w:p w14:paraId="72AD852F">
      <w:pPr>
        <w:rPr>
          <w:color w:val="auto"/>
        </w:rPr>
      </w:pPr>
    </w:p>
    <w:p w14:paraId="185D602E">
      <w:pPr>
        <w:rPr>
          <w:color w:val="auto"/>
        </w:rPr>
      </w:pPr>
    </w:p>
    <w:p w14:paraId="7B92BB48">
      <w:pPr>
        <w:rPr>
          <w:color w:val="auto"/>
        </w:rPr>
      </w:pPr>
    </w:p>
    <w:p w14:paraId="4761B67E">
      <w:pPr>
        <w:rPr>
          <w:rFonts w:hint="eastAsia" w:eastAsiaTheme="minorEastAsia"/>
          <w:lang w:eastAsia="zh-CN"/>
        </w:rPr>
      </w:pPr>
      <w:r>
        <w:rPr>
          <w:sz w:val="21"/>
        </w:rPr>
        <mc:AlternateContent>
          <mc:Choice Requires="wps">
            <w:drawing>
              <wp:anchor distT="0" distB="0" distL="114300" distR="114300" simplePos="0" relativeHeight="251672576" behindDoc="0" locked="0" layoutInCell="1" allowOverlap="1">
                <wp:simplePos x="0" y="0"/>
                <wp:positionH relativeFrom="column">
                  <wp:posOffset>1739265</wp:posOffset>
                </wp:positionH>
                <wp:positionV relativeFrom="paragraph">
                  <wp:posOffset>766445</wp:posOffset>
                </wp:positionV>
                <wp:extent cx="944880" cy="437515"/>
                <wp:effectExtent l="12700" t="12700" r="204470" b="711835"/>
                <wp:wrapNone/>
                <wp:docPr id="73" name="矩形标注 73"/>
                <wp:cNvGraphicFramePr/>
                <a:graphic xmlns:a="http://schemas.openxmlformats.org/drawingml/2006/main">
                  <a:graphicData uri="http://schemas.microsoft.com/office/word/2010/wordprocessingShape">
                    <wps:wsp>
                      <wps:cNvSpPr/>
                      <wps:spPr>
                        <a:xfrm>
                          <a:off x="4798060" y="3144520"/>
                          <a:ext cx="944880" cy="437515"/>
                        </a:xfrm>
                        <a:prstGeom prst="wedgeRectCallout">
                          <a:avLst>
                            <a:gd name="adj1" fmla="val 69345"/>
                            <a:gd name="adj2" fmla="val 20673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79E7F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Theme="minor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36.95pt;margin-top:60.35pt;height:34.45pt;width:74.4pt;z-index:251672576;v-text-anchor:middle;mso-width-relative:page;mso-height-relative:page;" filled="f" stroked="t" coordsize="21600,21600" o:gfxdata="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U1Yrr2AAAAAsBAAAPAAAAAAAAAAEAIAAAACIAAABkcnMvZG93bnJl&#10;di54bWxQSwECFAAUAAAACACHTuJAIHm+g6gCAAAwBQAADgAAAAAAAAABACAAAAAnAQAAZHJzL2Uy&#10;b0RvYy54bWxQSwUGAAAAAAYABgBZAQAAQQYAAAAA&#10;" adj="25779,55454">
                <v:fill on="f" focussize="0,0"/>
                <v:stroke weight="2pt" color="#000000 [3213]" joinstyle="round"/>
                <v:imagedata o:title=""/>
                <o:lock v:ext="edit" aspectratio="f"/>
                <v:textbox>
                  <w:txbxContent>
                    <w:p w14:paraId="2779E7FE">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Theme="minorEastAsia"/>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项目所在地</w:t>
                      </w:r>
                    </w:p>
                  </w:txbxContent>
                </v:textbox>
              </v:shape>
            </w:pict>
          </mc:Fallback>
        </mc:AlternateContent>
      </w:r>
      <w:r>
        <w:rPr>
          <w:sz w:val="21"/>
        </w:rPr>
        <mc:AlternateContent>
          <mc:Choice Requires="wps">
            <w:drawing>
              <wp:anchor distT="0" distB="0" distL="114300" distR="114300" simplePos="0" relativeHeight="251671552" behindDoc="0" locked="0" layoutInCell="1" allowOverlap="1">
                <wp:simplePos x="0" y="0"/>
                <wp:positionH relativeFrom="column">
                  <wp:posOffset>2873375</wp:posOffset>
                </wp:positionH>
                <wp:positionV relativeFrom="paragraph">
                  <wp:posOffset>1878965</wp:posOffset>
                </wp:positionV>
                <wp:extent cx="75565" cy="75565"/>
                <wp:effectExtent l="12700" t="12700" r="26035" b="26035"/>
                <wp:wrapNone/>
                <wp:docPr id="74" name="五角星 74"/>
                <wp:cNvGraphicFramePr/>
                <a:graphic xmlns:a="http://schemas.openxmlformats.org/drawingml/2006/main">
                  <a:graphicData uri="http://schemas.microsoft.com/office/word/2010/wordprocessingShape">
                    <wps:wsp>
                      <wps:cNvSpPr/>
                      <wps:spPr>
                        <a:xfrm>
                          <a:off x="4451350" y="3159760"/>
                          <a:ext cx="75565" cy="75565"/>
                        </a:xfrm>
                        <a:prstGeom prst="star5">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26.25pt;margin-top:147.95pt;height:5.95pt;width:5.95pt;z-index:251671552;v-text-anchor:middle;mso-width-relative:page;mso-height-relative:page;" fillcolor="#FF0000" filled="t" stroked="t" coordsize="75565,75565" o:gfxdata="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4ye1idwAAAALAQAADwAAAAAAAAABACAAAAAiAAAA&#10;ZHJzL2Rvd25yZXYueG1sUEsBAhQAFAAAAAgAh07iQB+KFm91AgAA7AQAAA4AAAAAAAAAAQAgAAAA&#10;KwEAAGRycy9lMm9Eb2MueG1sUEsFBgAAAAAGAAYAWQEAABIGAAAAAA==&#10;" path="m0,28863l28863,28863,37782,0,46701,28863,75564,28863,52213,46701,61133,75564,37782,57726,14431,75564,23351,46701xe">
                <v:path o:connectlocs="37782,0;0,28863;14431,75564;61133,75564;75564,28863" o:connectangles="247,164,82,82,0"/>
                <v:fill on="t" focussize="0,0"/>
                <v:stroke weight="2pt" color="#000000 [3213]" joinstyle="round"/>
                <v:imagedata o:title=""/>
                <o:lock v:ext="edit" aspectratio="f"/>
              </v:shape>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810260</wp:posOffset>
                </wp:positionH>
                <wp:positionV relativeFrom="paragraph">
                  <wp:posOffset>7983220</wp:posOffset>
                </wp:positionV>
                <wp:extent cx="3657600" cy="457200"/>
                <wp:effectExtent l="0" t="0" r="0" b="0"/>
                <wp:wrapNone/>
                <wp:docPr id="75" name="文本框 75"/>
                <wp:cNvGraphicFramePr/>
                <a:graphic xmlns:a="http://schemas.openxmlformats.org/drawingml/2006/main">
                  <a:graphicData uri="http://schemas.microsoft.com/office/word/2010/wordprocessingShape">
                    <wps:wsp>
                      <wps:cNvSpPr txBox="1">
                        <a:spLocks noChangeArrowheads="1"/>
                      </wps:cNvSpPr>
                      <wps:spPr bwMode="auto">
                        <a:xfrm>
                          <a:off x="0" y="0"/>
                          <a:ext cx="3657600" cy="457200"/>
                        </a:xfrm>
                        <a:prstGeom prst="rect">
                          <a:avLst/>
                        </a:prstGeom>
                        <a:solidFill>
                          <a:srgbClr val="FFFFFF"/>
                        </a:solidFill>
                        <a:ln>
                          <a:noFill/>
                        </a:ln>
                        <a:effectLst/>
                      </wps:spPr>
                      <wps:txbx>
                        <w:txbxContent>
                          <w:p w14:paraId="19F36B15">
                            <w:pPr>
                              <w:rPr>
                                <w:rFonts w:ascii="Times New Roman" w:hAnsi="Times New Roman" w:cs="Times New Roman" w:eastAsiaTheme="minorEastAsia"/>
                                <w:b/>
                                <w:bCs w:val="0"/>
                                <w:sz w:val="30"/>
                                <w:szCs w:val="30"/>
                              </w:rPr>
                            </w:pPr>
                            <w:r>
                              <w:rPr>
                                <w:rFonts w:ascii="Times New Roman" w:cs="Times New Roman" w:hAnsiTheme="minorEastAsia" w:eastAsiaTheme="minorEastAsia"/>
                                <w:b/>
                                <w:bCs w:val="0"/>
                                <w:sz w:val="30"/>
                                <w:szCs w:val="30"/>
                              </w:rPr>
                              <w:t>附图</w:t>
                            </w:r>
                            <w:r>
                              <w:rPr>
                                <w:rFonts w:hint="eastAsia" w:ascii="Times New Roman" w:cs="Times New Roman" w:hAnsiTheme="minorEastAsia"/>
                                <w:b/>
                                <w:bCs w:val="0"/>
                                <w:sz w:val="30"/>
                                <w:szCs w:val="30"/>
                                <w:lang w:val="en-US" w:eastAsia="zh-CN"/>
                              </w:rPr>
                              <w:t>4</w:t>
                            </w:r>
                            <w:r>
                              <w:rPr>
                                <w:rFonts w:hint="eastAsia" w:ascii="Times New Roman" w:cs="Times New Roman" w:hAnsiTheme="minorEastAsia" w:eastAsiaTheme="minorEastAsia"/>
                                <w:b/>
                                <w:bCs w:val="0"/>
                                <w:sz w:val="30"/>
                                <w:szCs w:val="30"/>
                              </w:rPr>
                              <w:t xml:space="preserve"> </w:t>
                            </w:r>
                            <w:r>
                              <w:rPr>
                                <w:rFonts w:ascii="Times New Roman" w:hAnsi="Times New Roman" w:cs="Times New Roman" w:eastAsiaTheme="minorEastAsia"/>
                                <w:b/>
                                <w:bCs w:val="0"/>
                                <w:sz w:val="30"/>
                                <w:szCs w:val="30"/>
                              </w:rPr>
                              <w:t xml:space="preserve">  </w:t>
                            </w:r>
                            <w:r>
                              <w:rPr>
                                <w:rFonts w:hint="eastAsia" w:ascii="Times New Roman" w:cs="Times New Roman" w:hAnsiTheme="minorEastAsia"/>
                                <w:b/>
                                <w:bCs w:val="0"/>
                                <w:sz w:val="30"/>
                                <w:szCs w:val="30"/>
                                <w:lang w:eastAsia="zh-CN"/>
                              </w:rPr>
                              <w:t>项目与工业聚集区位置关系</w:t>
                            </w:r>
                            <w:r>
                              <w:rPr>
                                <w:rFonts w:ascii="Times New Roman" w:cs="Times New Roman" w:hAnsiTheme="minorEastAsia" w:eastAsiaTheme="minorEastAsia"/>
                                <w:b/>
                                <w:bCs w:val="0"/>
                                <w:sz w:val="30"/>
                                <w:szCs w:val="30"/>
                              </w:rPr>
                              <w:t>图</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63.8pt;margin-top:628.6pt;height:36pt;width:288pt;z-index:251673600;mso-width-relative:page;mso-height-relative:page;" fillcolor="#FFFFFF" filled="t" stroked="f" coordsize="21600,21600" o:gfxdata="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33EMQ2QAAAA0BAAAPAAAAAAAAAAEAIAAAACIAAABkcnMvZG93bnJldi54bWxQ&#10;SwECFAAUAAAACACHTuJAEqdIvS8CAABOBAAADgAAAAAAAAABACAAAAAoAQAAZHJzL2Uyb0RvYy54&#10;bWxQSwUGAAAAAAYABgBZAQAAyQUAAAAA&#10;">
                <v:fill on="t" focussize="0,0"/>
                <v:stroke on="f"/>
                <v:imagedata o:title=""/>
                <o:lock v:ext="edit" aspectratio="f"/>
                <v:textbox>
                  <w:txbxContent>
                    <w:p w14:paraId="19F36B15">
                      <w:pPr>
                        <w:rPr>
                          <w:rFonts w:ascii="Times New Roman" w:hAnsi="Times New Roman" w:cs="Times New Roman" w:eastAsiaTheme="minorEastAsia"/>
                          <w:b/>
                          <w:bCs w:val="0"/>
                          <w:sz w:val="30"/>
                          <w:szCs w:val="30"/>
                        </w:rPr>
                      </w:pPr>
                      <w:r>
                        <w:rPr>
                          <w:rFonts w:ascii="Times New Roman" w:cs="Times New Roman" w:hAnsiTheme="minorEastAsia" w:eastAsiaTheme="minorEastAsia"/>
                          <w:b/>
                          <w:bCs w:val="0"/>
                          <w:sz w:val="30"/>
                          <w:szCs w:val="30"/>
                        </w:rPr>
                        <w:t>附图</w:t>
                      </w:r>
                      <w:r>
                        <w:rPr>
                          <w:rFonts w:hint="eastAsia" w:ascii="Times New Roman" w:cs="Times New Roman" w:hAnsiTheme="minorEastAsia"/>
                          <w:b/>
                          <w:bCs w:val="0"/>
                          <w:sz w:val="30"/>
                          <w:szCs w:val="30"/>
                          <w:lang w:val="en-US" w:eastAsia="zh-CN"/>
                        </w:rPr>
                        <w:t>4</w:t>
                      </w:r>
                      <w:r>
                        <w:rPr>
                          <w:rFonts w:hint="eastAsia" w:ascii="Times New Roman" w:cs="Times New Roman" w:hAnsiTheme="minorEastAsia" w:eastAsiaTheme="minorEastAsia"/>
                          <w:b/>
                          <w:bCs w:val="0"/>
                          <w:sz w:val="30"/>
                          <w:szCs w:val="30"/>
                        </w:rPr>
                        <w:t xml:space="preserve"> </w:t>
                      </w:r>
                      <w:r>
                        <w:rPr>
                          <w:rFonts w:ascii="Times New Roman" w:hAnsi="Times New Roman" w:cs="Times New Roman" w:eastAsiaTheme="minorEastAsia"/>
                          <w:b/>
                          <w:bCs w:val="0"/>
                          <w:sz w:val="30"/>
                          <w:szCs w:val="30"/>
                        </w:rPr>
                        <w:t xml:space="preserve">  </w:t>
                      </w:r>
                      <w:r>
                        <w:rPr>
                          <w:rFonts w:hint="eastAsia" w:ascii="Times New Roman" w:cs="Times New Roman" w:hAnsiTheme="minorEastAsia"/>
                          <w:b/>
                          <w:bCs w:val="0"/>
                          <w:sz w:val="30"/>
                          <w:szCs w:val="30"/>
                          <w:lang w:eastAsia="zh-CN"/>
                        </w:rPr>
                        <w:t>项目与工业聚集区位置关系</w:t>
                      </w:r>
                      <w:r>
                        <w:rPr>
                          <w:rFonts w:ascii="Times New Roman" w:cs="Times New Roman" w:hAnsiTheme="minorEastAsia" w:eastAsiaTheme="minorEastAsia"/>
                          <w:b/>
                          <w:bCs w:val="0"/>
                          <w:sz w:val="30"/>
                          <w:szCs w:val="30"/>
                        </w:rPr>
                        <w:t>图</w:t>
                      </w:r>
                    </w:p>
                  </w:txbxContent>
                </v:textbox>
              </v:shape>
            </w:pict>
          </mc:Fallback>
        </mc:AlternateContent>
      </w:r>
      <w:r>
        <w:rPr>
          <w:rFonts w:hint="eastAsia" w:eastAsiaTheme="minorEastAsia"/>
          <w:lang w:eastAsia="zh-CN"/>
        </w:rPr>
        <w:drawing>
          <wp:inline distT="0" distB="0" distL="114300" distR="114300">
            <wp:extent cx="5489575" cy="7570470"/>
            <wp:effectExtent l="0" t="0" r="15875" b="11430"/>
            <wp:docPr id="76" name="图片 76" descr="615a948fa81bebc4f4db4e7534a98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615a948fa81bebc4f4db4e7534a98a5"/>
                    <pic:cNvPicPr>
                      <a:picLocks noChangeAspect="1"/>
                    </pic:cNvPicPr>
                  </pic:nvPicPr>
                  <pic:blipFill>
                    <a:blip r:embed="rId39"/>
                    <a:srcRect r="4034" b="4373"/>
                    <a:stretch>
                      <a:fillRect/>
                    </a:stretch>
                  </pic:blipFill>
                  <pic:spPr>
                    <a:xfrm>
                      <a:off x="0" y="0"/>
                      <a:ext cx="5489575" cy="7570470"/>
                    </a:xfrm>
                    <a:prstGeom prst="rect">
                      <a:avLst/>
                    </a:prstGeom>
                  </pic:spPr>
                </pic:pic>
              </a:graphicData>
            </a:graphic>
          </wp:inline>
        </w:drawing>
      </w:r>
    </w:p>
    <w:p w14:paraId="68B9D494">
      <w:pPr>
        <w:pStyle w:val="82"/>
        <w:rPr>
          <w:rFonts w:hint="eastAsia" w:eastAsiaTheme="minorEastAsia"/>
          <w:lang w:eastAsia="zh-CN"/>
        </w:rPr>
      </w:pPr>
    </w:p>
    <w:p w14:paraId="06882774">
      <w:pPr>
        <w:pStyle w:val="82"/>
        <w:rPr>
          <w:rFonts w:hint="eastAsia" w:eastAsiaTheme="minorEastAsia"/>
          <w:lang w:eastAsia="zh-CN"/>
        </w:rPr>
      </w:pPr>
    </w:p>
    <w:p w14:paraId="5D961D77">
      <w:pPr>
        <w:pStyle w:val="82"/>
        <w:rPr>
          <w:rFonts w:hint="eastAsia" w:eastAsiaTheme="minorEastAsia"/>
          <w:lang w:eastAsia="zh-CN"/>
        </w:rPr>
      </w:pPr>
    </w:p>
    <w:p w14:paraId="687CEC73">
      <w:pPr>
        <w:pStyle w:val="82"/>
        <w:rPr>
          <w:rFonts w:hint="eastAsia" w:eastAsiaTheme="minorEastAsia"/>
          <w:lang w:eastAsia="zh-CN"/>
        </w:rPr>
      </w:pPr>
    </w:p>
    <w:p w14:paraId="01EE39CE">
      <w:r>
        <mc:AlternateContent>
          <mc:Choice Requires="wps">
            <w:drawing>
              <wp:anchor distT="0" distB="0" distL="114300" distR="114300" simplePos="0" relativeHeight="251674624" behindDoc="0" locked="0" layoutInCell="1" allowOverlap="1">
                <wp:simplePos x="0" y="0"/>
                <wp:positionH relativeFrom="column">
                  <wp:posOffset>906145</wp:posOffset>
                </wp:positionH>
                <wp:positionV relativeFrom="paragraph">
                  <wp:posOffset>8656320</wp:posOffset>
                </wp:positionV>
                <wp:extent cx="4533265" cy="483235"/>
                <wp:effectExtent l="0" t="0" r="0" b="0"/>
                <wp:wrapNone/>
                <wp:docPr id="79" name="矩形 79"/>
                <wp:cNvGraphicFramePr/>
                <a:graphic xmlns:a="http://schemas.openxmlformats.org/drawingml/2006/main">
                  <a:graphicData uri="http://schemas.microsoft.com/office/word/2010/wordprocessingShape">
                    <wps:wsp>
                      <wps:cNvSpPr/>
                      <wps:spPr>
                        <a:xfrm>
                          <a:off x="3060065" y="6396990"/>
                          <a:ext cx="4533265" cy="4832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FA755F">
                            <w:pPr>
                              <w:jc w:val="center"/>
                              <w:rPr>
                                <w:rFonts w:hint="default" w:eastAsiaTheme="minorEastAsia"/>
                                <w:b/>
                                <w:color w:val="000000" w:themeColor="text1"/>
                                <w:sz w:val="32"/>
                                <w:szCs w:val="32"/>
                                <w:lang w:val="en-US" w:eastAsia="zh-CN"/>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b/>
                                <w:color w:val="000000" w:themeColor="text1"/>
                                <w:sz w:val="32"/>
                                <w:szCs w:val="32"/>
                                <w:lang w:val="en-US" w:eastAsia="zh-CN"/>
                                <w14:shadow w14:blurRad="38100" w14:dist="19050" w14:dir="2700000" w14:sx="100000" w14:sy="100000" w14:kx="0" w14:ky="0" w14:algn="tl">
                                  <w14:schemeClr w14:val="dk1">
                                    <w14:alpha w14:val="60000"/>
                                  </w14:schemeClr>
                                </w14:shadow>
                                <w14:textFill>
                                  <w14:solidFill>
                                    <w14:schemeClr w14:val="tx1"/>
                                  </w14:solidFill>
                                </w14:textFill>
                              </w:rPr>
                              <w:t>附图5淄博市环境管控单元图（动态更新版）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1.35pt;margin-top:681.6pt;height:38.05pt;width:356.95pt;z-index:251674624;v-text-anchor:middle;mso-width-relative:page;mso-height-relative:page;" filled="f" stroked="f" coordsize="21600,21600" o:gfxdata="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FbQgZ2wAAAA0BAAAPAAAAAAAAAAEAIAAAACIAAABkcnMvZG93bnJldi54bWxQSwECFAAU&#10;AAAACACHTuJAJi6semACAACkBAAADgAAAAAAAAABACAAAAAqAQAAZHJzL2Uyb0RvYy54bWxQSwUG&#10;AAAAAAYABgBZAQAA/AUAAAAA&#10;">
                <v:fill on="f" focussize="0,0"/>
                <v:stroke on="f" weight="2pt"/>
                <v:imagedata o:title=""/>
                <o:lock v:ext="edit" aspectratio="f"/>
                <v:textbox>
                  <w:txbxContent>
                    <w:p w14:paraId="45FA755F">
                      <w:pPr>
                        <w:jc w:val="center"/>
                        <w:rPr>
                          <w:rFonts w:hint="default" w:eastAsiaTheme="minorEastAsia"/>
                          <w:b/>
                          <w:color w:val="000000" w:themeColor="text1"/>
                          <w:sz w:val="32"/>
                          <w:szCs w:val="32"/>
                          <w:lang w:val="en-US" w:eastAsia="zh-CN"/>
                          <w14:shadow w14:blurRad="38100" w14:dist="19050" w14:dir="2700000" w14:sx="100000" w14:sy="100000" w14:kx="0" w14:ky="0" w14:algn="tl">
                            <w14:schemeClr w14:val="dk1">
                              <w14:alpha w14:val="60000"/>
                            </w14:schemeClr>
                          </w14:shadow>
                          <w14:textFill>
                            <w14:solidFill>
                              <w14:schemeClr w14:val="tx1"/>
                            </w14:solidFill>
                          </w14:textFill>
                        </w:rPr>
                      </w:pPr>
                      <w:r>
                        <w:rPr>
                          <w:rFonts w:hint="eastAsia"/>
                          <w:b/>
                          <w:color w:val="000000" w:themeColor="text1"/>
                          <w:sz w:val="32"/>
                          <w:szCs w:val="32"/>
                          <w:lang w:val="en-US" w:eastAsia="zh-CN"/>
                          <w14:shadow w14:blurRad="38100" w14:dist="19050" w14:dir="2700000" w14:sx="100000" w14:sy="100000" w14:kx="0" w14:ky="0" w14:algn="tl">
                            <w14:schemeClr w14:val="dk1">
                              <w14:alpha w14:val="60000"/>
                            </w14:schemeClr>
                          </w14:shadow>
                          <w14:textFill>
                            <w14:solidFill>
                              <w14:schemeClr w14:val="tx1"/>
                            </w14:solidFill>
                          </w14:textFill>
                        </w:rPr>
                        <w:t>附图5淄博市环境管控单元图（动态更新版）</w:t>
                      </w:r>
                    </w:p>
                  </w:txbxContent>
                </v:textbox>
              </v:rect>
            </w:pict>
          </mc:Fallback>
        </mc:AlternateContent>
      </w:r>
      <w:r>
        <w:rPr>
          <w:sz w:val="21"/>
        </w:rPr>
        <mc:AlternateContent>
          <mc:Choice Requires="wps">
            <w:drawing>
              <wp:anchor distT="0" distB="0" distL="114300" distR="114300" simplePos="0" relativeHeight="251675648" behindDoc="0" locked="0" layoutInCell="1" allowOverlap="1">
                <wp:simplePos x="0" y="0"/>
                <wp:positionH relativeFrom="column">
                  <wp:posOffset>2865120</wp:posOffset>
                </wp:positionH>
                <wp:positionV relativeFrom="paragraph">
                  <wp:posOffset>4372610</wp:posOffset>
                </wp:positionV>
                <wp:extent cx="75565" cy="75565"/>
                <wp:effectExtent l="12700" t="12700" r="26035" b="26035"/>
                <wp:wrapNone/>
                <wp:docPr id="78" name="五角星 78"/>
                <wp:cNvGraphicFramePr/>
                <a:graphic xmlns:a="http://schemas.openxmlformats.org/drawingml/2006/main">
                  <a:graphicData uri="http://schemas.microsoft.com/office/word/2010/wordprocessingShape">
                    <wps:wsp>
                      <wps:cNvSpPr/>
                      <wps:spPr>
                        <a:xfrm>
                          <a:off x="3373755" y="4117975"/>
                          <a:ext cx="75565" cy="75565"/>
                        </a:xfrm>
                        <a:prstGeom prst="star5">
                          <a:avLst/>
                        </a:prstGeom>
                        <a:solidFill>
                          <a:srgbClr val="FFFF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25.6pt;margin-top:344.3pt;height:5.95pt;width:5.95pt;z-index:251675648;v-text-anchor:middle;mso-width-relative:page;mso-height-relative:page;" fillcolor="#FFFF00" filled="t" stroked="t" coordsize="75565,75565" o:gfxdata="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j5UrL2wAAAAsBAAAPAAAAAAAAAAEAIAAAACIAAABk&#10;cnMvZG93bnJldi54bWxQSwECFAAUAAAACACHTuJAModDtnUCAADsBAAADgAAAAAAAAABACAAAAAq&#10;AQAAZHJzL2Uyb0RvYy54bWxQSwUGAAAAAAYABgBZAQAAEQYAAAAA&#10;" path="m0,28863l28863,28863,37782,0,46701,28863,75564,28863,52213,46701,61133,75564,37782,57726,14431,75564,23351,46701xe">
                <v:path o:connectlocs="37782,0;0,28863;14431,75564;61133,75564;75564,28863" o:connectangles="247,164,82,82,0"/>
                <v:fill on="t" focussize="0,0"/>
                <v:stroke weight="2pt" color="#FF0000 [2404]" joinstyle="round"/>
                <v:imagedata o:title=""/>
                <o:lock v:ext="edit" aspectratio="f"/>
              </v:shape>
            </w:pict>
          </mc:Fallback>
        </mc:AlternateContent>
      </w:r>
      <w:r>
        <mc:AlternateContent>
          <mc:Choice Requires="wps">
            <w:drawing>
              <wp:anchor distT="0" distB="0" distL="114300" distR="114300" simplePos="0" relativeHeight="251676672" behindDoc="0" locked="0" layoutInCell="1" allowOverlap="1">
                <wp:simplePos x="0" y="0"/>
                <wp:positionH relativeFrom="column">
                  <wp:posOffset>1525270</wp:posOffset>
                </wp:positionH>
                <wp:positionV relativeFrom="paragraph">
                  <wp:posOffset>4024630</wp:posOffset>
                </wp:positionV>
                <wp:extent cx="899795" cy="279400"/>
                <wp:effectExtent l="5080" t="4445" r="466725" b="135255"/>
                <wp:wrapNone/>
                <wp:docPr id="77" name="矩形标注 77"/>
                <wp:cNvGraphicFramePr/>
                <a:graphic xmlns:a="http://schemas.openxmlformats.org/drawingml/2006/main">
                  <a:graphicData uri="http://schemas.microsoft.com/office/word/2010/wordprocessingShape">
                    <wps:wsp>
                      <wps:cNvSpPr/>
                      <wps:spPr>
                        <a:xfrm>
                          <a:off x="0" y="0"/>
                          <a:ext cx="899795" cy="279400"/>
                        </a:xfrm>
                        <a:prstGeom prst="wedgeRectCallout">
                          <a:avLst>
                            <a:gd name="adj1" fmla="val 97918"/>
                            <a:gd name="adj2" fmla="val 89545"/>
                          </a:avLst>
                        </a:prstGeom>
                        <a:noFill/>
                        <a:ln w="9525" cap="flat" cmpd="sng">
                          <a:solidFill>
                            <a:schemeClr val="tx1"/>
                          </a:solidFill>
                          <a:prstDash val="solid"/>
                          <a:miter/>
                          <a:headEnd type="none" w="med" len="med"/>
                          <a:tailEnd type="none" w="med" len="med"/>
                        </a:ln>
                      </wps:spPr>
                      <wps:txbx>
                        <w:txbxContent>
                          <w:p w14:paraId="782F446B">
                            <w:pPr>
                              <w:rPr>
                                <w:rFonts w:hint="eastAsia" w:ascii="Calibri" w:hAnsi="Calibri" w:eastAsia="宋体" w:cs="Times New Roman"/>
                                <w:b/>
                              </w:rPr>
                            </w:pPr>
                            <w:bookmarkStart w:id="4" w:name="_Hlk32829342"/>
                            <w:bookmarkStart w:id="5" w:name="_Hlk32829341"/>
                            <w:r>
                              <w:rPr>
                                <w:rFonts w:hint="eastAsia" w:ascii="Calibri" w:hAnsi="Calibri" w:eastAsia="宋体" w:cs="Times New Roman"/>
                                <w:b/>
                              </w:rPr>
                              <w:t>项目所在地</w:t>
                            </w:r>
                            <w:bookmarkEnd w:id="4"/>
                            <w:bookmarkEnd w:id="5"/>
                          </w:p>
                        </w:txbxContent>
                      </wps:txbx>
                      <wps:bodyPr upright="1"/>
                    </wps:wsp>
                  </a:graphicData>
                </a:graphic>
              </wp:anchor>
            </w:drawing>
          </mc:Choice>
          <mc:Fallback>
            <w:pict>
              <v:shape id="_x0000_s1026" o:spid="_x0000_s1026" o:spt="61" type="#_x0000_t61" style="position:absolute;left:0pt;margin-left:120.1pt;margin-top:316.9pt;height:22pt;width:70.85pt;z-index:251676672;mso-width-relative:page;mso-height-relative:page;" filled="f" stroked="t" coordsize="21600,21600" o:gfxdata="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HLQu9toAAAALAQAADwAAAAAAAAABACAAAAAiAAAAZHJzL2Rvd25yZXYu&#10;eG1sUEsBAhQAFAAAAAgAh07iQBWQQk0yAgAAZAQAAA4AAAAAAAAAAQAgAAAAKQEAAGRycy9lMm9E&#10;b2MueG1sUEsFBgAAAAAGAAYAWQEAAM0FAAAAAA==&#10;" adj="31950,30142">
                <v:fill on="f" focussize="0,0"/>
                <v:stroke color="#000000 [3213]" joinstyle="miter"/>
                <v:imagedata o:title=""/>
                <o:lock v:ext="edit" aspectratio="f"/>
                <v:textbox>
                  <w:txbxContent>
                    <w:p w14:paraId="782F446B">
                      <w:pPr>
                        <w:rPr>
                          <w:rFonts w:hint="eastAsia" w:ascii="Calibri" w:hAnsi="Calibri" w:eastAsia="宋体" w:cs="Times New Roman"/>
                          <w:b/>
                        </w:rPr>
                      </w:pPr>
                      <w:bookmarkStart w:id="4" w:name="_Hlk32829342"/>
                      <w:bookmarkStart w:id="5" w:name="_Hlk32829341"/>
                      <w:r>
                        <w:rPr>
                          <w:rFonts w:hint="eastAsia" w:ascii="Calibri" w:hAnsi="Calibri" w:eastAsia="宋体" w:cs="Times New Roman"/>
                          <w:b/>
                        </w:rPr>
                        <w:t>项目所在地</w:t>
                      </w:r>
                      <w:bookmarkEnd w:id="4"/>
                      <w:bookmarkEnd w:id="5"/>
                    </w:p>
                  </w:txbxContent>
                </v:textbox>
              </v:shape>
            </w:pict>
          </mc:Fallback>
        </mc:AlternateContent>
      </w:r>
      <w:r>
        <w:drawing>
          <wp:inline distT="0" distB="0" distL="0" distR="0">
            <wp:extent cx="5904865" cy="8618855"/>
            <wp:effectExtent l="0" t="0" r="635" b="10795"/>
            <wp:docPr id="421893999"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893999" name="图片 1" descr="地图&#10;&#10;描述已自动生成"/>
                    <pic:cNvPicPr>
                      <a:picLocks noChangeAspect="1"/>
                    </pic:cNvPicPr>
                  </pic:nvPicPr>
                  <pic:blipFill>
                    <a:blip r:embed="rId40"/>
                    <a:stretch>
                      <a:fillRect/>
                    </a:stretch>
                  </pic:blipFill>
                  <pic:spPr>
                    <a:xfrm>
                      <a:off x="0" y="0"/>
                      <a:ext cx="5904865" cy="8618855"/>
                    </a:xfrm>
                    <a:prstGeom prst="rect">
                      <a:avLst/>
                    </a:prstGeom>
                  </pic:spPr>
                </pic:pic>
              </a:graphicData>
            </a:graphic>
          </wp:inline>
        </w:drawing>
      </w:r>
    </w:p>
    <w:p w14:paraId="122D1121">
      <w:pPr>
        <w:rPr>
          <w:rFonts w:hint="default" w:ascii="Times New Roman" w:hAnsi="Times New Roman" w:eastAsia="宋体" w:cs="Times New Roman"/>
          <w:b/>
          <w:bCs/>
          <w:sz w:val="24"/>
          <w:szCs w:val="24"/>
          <w:lang w:val="en-US" w:eastAsia="zh-CN"/>
        </w:rPr>
      </w:pPr>
      <w:r>
        <mc:AlternateContent>
          <mc:Choice Requires="wps">
            <w:drawing>
              <wp:anchor distT="0" distB="0" distL="114300" distR="114300" simplePos="0" relativeHeight="251681792" behindDoc="0" locked="0" layoutInCell="1" allowOverlap="1">
                <wp:simplePos x="0" y="0"/>
                <wp:positionH relativeFrom="column">
                  <wp:posOffset>4167505</wp:posOffset>
                </wp:positionH>
                <wp:positionV relativeFrom="paragraph">
                  <wp:posOffset>3528060</wp:posOffset>
                </wp:positionV>
                <wp:extent cx="724535" cy="266065"/>
                <wp:effectExtent l="12700" t="12700" r="24765" b="292735"/>
                <wp:wrapNone/>
                <wp:docPr id="80" name="矩形标注 80"/>
                <wp:cNvGraphicFramePr/>
                <a:graphic xmlns:a="http://schemas.openxmlformats.org/drawingml/2006/main">
                  <a:graphicData uri="http://schemas.microsoft.com/office/word/2010/wordprocessingShape">
                    <wps:wsp>
                      <wps:cNvSpPr/>
                      <wps:spPr>
                        <a:xfrm>
                          <a:off x="0" y="0"/>
                          <a:ext cx="724535" cy="266065"/>
                        </a:xfrm>
                        <a:prstGeom prst="wedgeRectCallout">
                          <a:avLst>
                            <a:gd name="adj1" fmla="val -43689"/>
                            <a:gd name="adj2" fmla="val 152863"/>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EFB236">
                            <w:pPr>
                              <w:jc w:val="center"/>
                              <w:rPr>
                                <w:rFonts w:hint="eastAsia" w:eastAsiaTheme="minorEastAsia"/>
                                <w:color w:val="FF0000"/>
                                <w:lang w:val="en-US" w:eastAsia="zh-CN"/>
                              </w:rPr>
                            </w:pPr>
                            <w:r>
                              <w:rPr>
                                <w:rFonts w:hint="eastAsia"/>
                                <w:color w:val="FF0000"/>
                                <w:lang w:val="en-US"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28.15pt;margin-top:277.8pt;height:20.95pt;width:57.05pt;z-index:251681792;v-text-anchor:middle;mso-width-relative:page;mso-height-relative:page;" filled="f" stroked="t" coordsize="21600,21600" o:gfxdata="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NLXU+HYAAAACwEAAA8AAAAAAAAAAQAgAAAAIgAAAGRycy9kb3ducmV2LnhtbFBLAQIU&#10;ABQAAAAIAIdO4kAc4R1engIAACUFAAAOAAAAAAAAAAEAIAAAACcBAABkcnMvZTJvRG9jLnhtbFBL&#10;BQYAAAAABgAGAFkBAAA3BgAAAAA=&#10;" adj="1363,43818">
                <v:fill on="f" focussize="0,0"/>
                <v:stroke weight="2pt" color="#FF0000 [3204]" joinstyle="round"/>
                <v:imagedata o:title=""/>
                <o:lock v:ext="edit" aspectratio="f"/>
                <v:textbox>
                  <w:txbxContent>
                    <w:p w14:paraId="3BEFB236">
                      <w:pPr>
                        <w:jc w:val="center"/>
                        <w:rPr>
                          <w:rFonts w:hint="eastAsia" w:eastAsiaTheme="minorEastAsia"/>
                          <w:color w:val="FF0000"/>
                          <w:lang w:val="en-US" w:eastAsia="zh-CN"/>
                        </w:rPr>
                      </w:pPr>
                      <w:r>
                        <w:rPr>
                          <w:rFonts w:hint="eastAsia"/>
                          <w:color w:val="FF0000"/>
                          <w:lang w:val="en-US" w:eastAsia="zh-CN"/>
                        </w:rPr>
                        <w:t>项目地</w:t>
                      </w:r>
                    </w:p>
                  </w:txbxContent>
                </v:textbox>
              </v:shape>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4116705</wp:posOffset>
                </wp:positionH>
                <wp:positionV relativeFrom="paragraph">
                  <wp:posOffset>4094480</wp:posOffset>
                </wp:positionV>
                <wp:extent cx="76200" cy="76200"/>
                <wp:effectExtent l="12700" t="12700" r="25400" b="25400"/>
                <wp:wrapNone/>
                <wp:docPr id="81" name="椭圆 81"/>
                <wp:cNvGraphicFramePr/>
                <a:graphic xmlns:a="http://schemas.openxmlformats.org/drawingml/2006/main">
                  <a:graphicData uri="http://schemas.microsoft.com/office/word/2010/wordprocessingShape">
                    <wps:wsp>
                      <wps:cNvSpPr/>
                      <wps:spPr>
                        <a:xfrm>
                          <a:off x="0" y="0"/>
                          <a:ext cx="76200" cy="7620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24.15pt;margin-top:322.4pt;height:6pt;width:6pt;z-index:251680768;v-text-anchor:middle;mso-width-relative:page;mso-height-relative:page;" fillcolor="#FF0000" filled="t" stroked="t" coordsize="21600,21600" o:gfxdata="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m1RM&#10;ydYAAAALAQAADwAAAAAAAAABACAAAAAiAAAAZHJzL2Rvd25yZXYueG1sUEsBAhQAFAAAAAgAh07i&#10;QI7MLJhdAgAA3wQAAA4AAAAAAAAAAQAgAAAAJQEAAGRycy9lMm9Eb2MueG1sUEsFBgAAAAAGAAYA&#10;WQEAAPQFAAAAAA==&#10;">
                <v:fill on="t" focussize="0,0"/>
                <v:stroke weight="2pt" color="#FF0000 [2404]" joinstyle="round"/>
                <v:imagedata o:title=""/>
                <o:lock v:ext="edit" aspectratio="f"/>
              </v:shape>
            </w:pict>
          </mc:Fallback>
        </mc:AlternateContent>
      </w:r>
      <w:r>
        <mc:AlternateContent>
          <mc:Choice Requires="wps">
            <w:drawing>
              <wp:anchor distT="0" distB="0" distL="114300" distR="114300" simplePos="0" relativeHeight="251678720" behindDoc="0" locked="0" layoutInCell="1" allowOverlap="1">
                <wp:simplePos x="0" y="0"/>
                <wp:positionH relativeFrom="column">
                  <wp:posOffset>1577975</wp:posOffset>
                </wp:positionH>
                <wp:positionV relativeFrom="paragraph">
                  <wp:posOffset>2626360</wp:posOffset>
                </wp:positionV>
                <wp:extent cx="724535" cy="266065"/>
                <wp:effectExtent l="12700" t="12700" r="81915" b="1016635"/>
                <wp:wrapNone/>
                <wp:docPr id="82" name="矩形标注 82"/>
                <wp:cNvGraphicFramePr/>
                <a:graphic xmlns:a="http://schemas.openxmlformats.org/drawingml/2006/main">
                  <a:graphicData uri="http://schemas.microsoft.com/office/word/2010/wordprocessingShape">
                    <wps:wsp>
                      <wps:cNvSpPr/>
                      <wps:spPr>
                        <a:xfrm>
                          <a:off x="0" y="0"/>
                          <a:ext cx="724535" cy="266065"/>
                        </a:xfrm>
                        <a:prstGeom prst="wedgeRectCallout">
                          <a:avLst>
                            <a:gd name="adj1" fmla="val 58764"/>
                            <a:gd name="adj2" fmla="val 422792"/>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BB3536">
                            <w:pPr>
                              <w:jc w:val="center"/>
                              <w:rPr>
                                <w:rFonts w:hint="eastAsia" w:eastAsiaTheme="minorEastAsia"/>
                                <w:color w:val="FF0000"/>
                                <w:lang w:val="en-US" w:eastAsia="zh-CN"/>
                              </w:rPr>
                            </w:pPr>
                            <w:r>
                              <w:rPr>
                                <w:rFonts w:hint="eastAsia"/>
                                <w:color w:val="FF0000"/>
                                <w:lang w:val="en-US" w:eastAsia="zh-CN"/>
                              </w:rPr>
                              <w:t>项目地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4.25pt;margin-top:206.8pt;height:20.95pt;width:57.05pt;z-index:251678720;v-text-anchor:middle;mso-width-relative:page;mso-height-relative:page;" filled="f" stroked="t" coordsize="21600,21600" o:gfxdata="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DCepwtkAAAALAQAADwAAAAAAAAABACAAAAAiAAAAZHJzL2Rvd25yZXYueG1sUEsB&#10;AhQAFAAAAAgAh07iQMjsPkCfAgAAJAUAAA4AAAAAAAAAAQAgAAAAKAEAAGRycy9lMm9Eb2MueG1s&#10;UEsFBgAAAAAGAAYAWQEAADkGAAAAAA==&#10;" adj="23493,102123">
                <v:fill on="f" focussize="0,0"/>
                <v:stroke weight="2pt" color="#FF0000 [3204]" joinstyle="round"/>
                <v:imagedata o:title=""/>
                <o:lock v:ext="edit" aspectratio="f"/>
                <v:textbox>
                  <w:txbxContent>
                    <w:p w14:paraId="08BB3536">
                      <w:pPr>
                        <w:jc w:val="center"/>
                        <w:rPr>
                          <w:rFonts w:hint="eastAsia" w:eastAsiaTheme="minorEastAsia"/>
                          <w:color w:val="FF0000"/>
                          <w:lang w:val="en-US" w:eastAsia="zh-CN"/>
                        </w:rPr>
                      </w:pPr>
                      <w:r>
                        <w:rPr>
                          <w:rFonts w:hint="eastAsia"/>
                          <w:color w:val="FF0000"/>
                          <w:lang w:val="en-US" w:eastAsia="zh-CN"/>
                        </w:rPr>
                        <w:t>项目地</w:t>
                      </w:r>
                    </w:p>
                  </w:txbxContent>
                </v:textbox>
              </v:shape>
            </w:pict>
          </mc:Fallback>
        </mc:AlternateContent>
      </w:r>
      <w:r>
        <w:rPr>
          <w:sz w:val="21"/>
        </w:rPr>
        <mc:AlternateContent>
          <mc:Choice Requires="wps">
            <w:drawing>
              <wp:anchor distT="0" distB="0" distL="114300" distR="114300" simplePos="0" relativeHeight="251677696" behindDoc="0" locked="0" layoutInCell="1" allowOverlap="1">
                <wp:simplePos x="0" y="0"/>
                <wp:positionH relativeFrom="column">
                  <wp:posOffset>2359660</wp:posOffset>
                </wp:positionH>
                <wp:positionV relativeFrom="paragraph">
                  <wp:posOffset>3876675</wp:posOffset>
                </wp:positionV>
                <wp:extent cx="76200" cy="76200"/>
                <wp:effectExtent l="12700" t="12700" r="25400" b="25400"/>
                <wp:wrapNone/>
                <wp:docPr id="83" name="椭圆 83"/>
                <wp:cNvGraphicFramePr/>
                <a:graphic xmlns:a="http://schemas.openxmlformats.org/drawingml/2006/main">
                  <a:graphicData uri="http://schemas.microsoft.com/office/word/2010/wordprocessingShape">
                    <wps:wsp>
                      <wps:cNvSpPr/>
                      <wps:spPr>
                        <a:xfrm>
                          <a:off x="2831465" y="4003675"/>
                          <a:ext cx="76200" cy="7620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85.8pt;margin-top:305.25pt;height:6pt;width:6pt;z-index:251677696;v-text-anchor:middle;mso-width-relative:page;mso-height-relative:page;" fillcolor="#FF0000" filled="t" stroked="t" coordsize="21600,21600" o:gfxdata="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dOWWb9cAAAALAQAADwAAAAAAAAABACAAAAAiAAAAZHJzL2Rvd25yZXYueG1s&#10;UEsBAhQAFAAAAAgAh07iQFHD9+VrAgAA6wQAAA4AAAAAAAAAAQAgAAAAJgEAAGRycy9lMm9Eb2Mu&#10;eG1sUEsFBgAAAAAGAAYAWQEAAAMGAAAAAA==&#10;">
                <v:fill on="t" focussize="0,0"/>
                <v:stroke weight="2pt" color="#FF0000 [2404]" joinstyle="round"/>
                <v:imagedata o:title=""/>
                <o:lock v:ext="edit" aspectratio="f"/>
              </v:shape>
            </w:pict>
          </mc:Fallback>
        </mc:AlternateContent>
      </w:r>
      <w:r>
        <w:drawing>
          <wp:anchor distT="0" distB="0" distL="114300" distR="114300" simplePos="0" relativeHeight="251679744" behindDoc="0" locked="0" layoutInCell="1" allowOverlap="1">
            <wp:simplePos x="0" y="0"/>
            <wp:positionH relativeFrom="column">
              <wp:posOffset>3564890</wp:posOffset>
            </wp:positionH>
            <wp:positionV relativeFrom="paragraph">
              <wp:posOffset>3697605</wp:posOffset>
            </wp:positionV>
            <wp:extent cx="1543050" cy="1305560"/>
            <wp:effectExtent l="9525" t="9525" r="9525" b="18415"/>
            <wp:wrapNone/>
            <wp:docPr id="84" name="图片 84" descr="C:/Users/admin/Desktop/ScreenShot_2026-05-11_134808_640.pngScreenShot_2026-05-11_134808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Users/admin/Desktop/ScreenShot_2026-05-11_134808_640.pngScreenShot_2026-05-11_134808_640"/>
                    <pic:cNvPicPr>
                      <a:picLocks noChangeAspect="1"/>
                    </pic:cNvPicPr>
                  </pic:nvPicPr>
                  <pic:blipFill>
                    <a:blip r:embed="rId41"/>
                    <a:srcRect l="1192" r="1192"/>
                    <a:stretch>
                      <a:fillRect/>
                    </a:stretch>
                  </pic:blipFill>
                  <pic:spPr>
                    <a:xfrm>
                      <a:off x="0" y="0"/>
                      <a:ext cx="1543050" cy="1305560"/>
                    </a:xfrm>
                    <a:prstGeom prst="rect">
                      <a:avLst/>
                    </a:prstGeom>
                    <a:noFill/>
                    <a:ln>
                      <a:solidFill>
                        <a:schemeClr val="tx1"/>
                      </a:solidFill>
                    </a:ln>
                  </pic:spPr>
                </pic:pic>
              </a:graphicData>
            </a:graphic>
          </wp:anchor>
        </w:drawing>
      </w:r>
      <w:r>
        <w:rPr>
          <w:sz w:val="21"/>
        </w:rPr>
        <mc:AlternateContent>
          <mc:Choice Requires="wps">
            <w:drawing>
              <wp:anchor distT="0" distB="0" distL="114300" distR="114300" simplePos="0" relativeHeight="251682816" behindDoc="0" locked="0" layoutInCell="1" allowOverlap="1">
                <wp:simplePos x="0" y="0"/>
                <wp:positionH relativeFrom="column">
                  <wp:posOffset>2435860</wp:posOffset>
                </wp:positionH>
                <wp:positionV relativeFrom="paragraph">
                  <wp:posOffset>3696970</wp:posOffset>
                </wp:positionV>
                <wp:extent cx="1160145" cy="217805"/>
                <wp:effectExtent l="2540" t="37465" r="18415" b="30480"/>
                <wp:wrapNone/>
                <wp:docPr id="85" name="直接箭头连接符 85"/>
                <wp:cNvGraphicFramePr/>
                <a:graphic xmlns:a="http://schemas.openxmlformats.org/drawingml/2006/main">
                  <a:graphicData uri="http://schemas.microsoft.com/office/word/2010/wordprocessingShape">
                    <wps:wsp>
                      <wps:cNvCnPr>
                        <a:stCxn id="83" idx="6"/>
                      </wps:cNvCnPr>
                      <wps:spPr>
                        <a:xfrm flipV="1">
                          <a:off x="3569970" y="4679950"/>
                          <a:ext cx="1160145" cy="21780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91.8pt;margin-top:291.1pt;height:17.15pt;width:91.35pt;z-index:251682816;mso-width-relative:page;mso-height-relative:page;" filled="f" stroked="t" coordsize="21600,21600" o:gfxdata="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VwdJAtoAAAALAQAADwAAAAAAAAABACAAAAAiAAAAZHJzL2Rvd25yZXYueG1sUEsBAhQAFAAAAAgA&#10;h07iQIgK4mcjAgAADAQAAA4AAAAAAAAAAQAgAAAAKQEAAGRycy9lMm9Eb2MueG1sUEsFBgAAAAAG&#10;AAYAWQEAAL4FAAAAAA==&#10;">
                <v:fill on="f" focussize="0,0"/>
                <v:stroke weight="2pt" color="#000000 [3213]" joinstyle="round" endarrow="open"/>
                <v:imagedata o:title=""/>
                <o:lock v:ext="edit" aspectratio="f"/>
              </v:shape>
            </w:pict>
          </mc:Fallback>
        </mc:AlternateContent>
      </w:r>
      <w:r>
        <w:rPr>
          <w:rFonts w:hint="default" w:ascii="Times New Roman" w:hAnsi="Times New Roman" w:eastAsia="宋体" w:cs="Times New Roman"/>
          <w:b/>
          <w:bCs/>
          <w:sz w:val="24"/>
          <w:szCs w:val="24"/>
          <w:lang w:val="en-US" w:eastAsia="zh-CN"/>
        </w:rPr>
        <w:drawing>
          <wp:inline distT="0" distB="0" distL="114300" distR="114300">
            <wp:extent cx="5266055" cy="7458710"/>
            <wp:effectExtent l="0" t="0" r="10795" b="8890"/>
            <wp:docPr id="86" name="图片 86" descr="国土空间规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国土空间规划"/>
                    <pic:cNvPicPr>
                      <a:picLocks noChangeAspect="1"/>
                    </pic:cNvPicPr>
                  </pic:nvPicPr>
                  <pic:blipFill>
                    <a:blip r:embed="rId42"/>
                    <a:stretch>
                      <a:fillRect/>
                    </a:stretch>
                  </pic:blipFill>
                  <pic:spPr>
                    <a:xfrm>
                      <a:off x="0" y="0"/>
                      <a:ext cx="5266055" cy="7458710"/>
                    </a:xfrm>
                    <a:prstGeom prst="rect">
                      <a:avLst/>
                    </a:prstGeom>
                  </pic:spPr>
                </pic:pic>
              </a:graphicData>
            </a:graphic>
          </wp:inline>
        </w:drawing>
      </w:r>
    </w:p>
    <w:p w14:paraId="7C66A7A3">
      <w:pPr>
        <w:rPr>
          <w:rFonts w:hint="default" w:ascii="Times New Roman" w:hAnsi="Times New Roman" w:eastAsia="宋体" w:cs="Times New Roman"/>
          <w:b/>
          <w:bCs/>
          <w:sz w:val="24"/>
          <w:szCs w:val="24"/>
          <w:lang w:val="en-US" w:eastAsia="zh-CN"/>
        </w:rPr>
      </w:pPr>
    </w:p>
    <w:p w14:paraId="6EA41002">
      <w:pPr>
        <w:jc w:val="center"/>
        <w:rPr>
          <w:rFonts w:hint="default" w:ascii="Times New Roman" w:hAnsi="Times New Roman" w:cs="Times New Roman"/>
          <w:b/>
          <w:bCs/>
          <w:lang w:val="en-US" w:eastAsia="zh-CN"/>
        </w:rPr>
      </w:pPr>
      <w:r>
        <w:rPr>
          <w:sz w:val="21"/>
        </w:rPr>
        <mc:AlternateContent>
          <mc:Choice Requires="wps">
            <w:drawing>
              <wp:anchor distT="0" distB="0" distL="114300" distR="114300" simplePos="0" relativeHeight="251683840" behindDoc="0" locked="0" layoutInCell="1" allowOverlap="1">
                <wp:simplePos x="0" y="0"/>
                <wp:positionH relativeFrom="column">
                  <wp:posOffset>2435860</wp:posOffset>
                </wp:positionH>
                <wp:positionV relativeFrom="paragraph">
                  <wp:posOffset>3914775</wp:posOffset>
                </wp:positionV>
                <wp:extent cx="1125855" cy="1075055"/>
                <wp:effectExtent l="8890" t="8890" r="8255" b="1905"/>
                <wp:wrapNone/>
                <wp:docPr id="87" name="直接箭头连接符 87"/>
                <wp:cNvGraphicFramePr/>
                <a:graphic xmlns:a="http://schemas.openxmlformats.org/drawingml/2006/main">
                  <a:graphicData uri="http://schemas.microsoft.com/office/word/2010/wordprocessingShape">
                    <wps:wsp>
                      <wps:cNvCnPr>
                        <a:stCxn id="83" idx="6"/>
                      </wps:cNvCnPr>
                      <wps:spPr>
                        <a:xfrm>
                          <a:off x="0" y="0"/>
                          <a:ext cx="1125855" cy="107505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91.8pt;margin-top:308.25pt;height:84.65pt;width:88.65pt;z-index:251683840;mso-width-relative:page;mso-height-relative:page;" filled="f" stroked="t" coordsize="21600,21600" o:gfxdata="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Z1imetwAAAALAQAADwAA&#10;AAAAAAABACAAAAAiAAAAZHJzL2Rvd25yZXYueG1sUEsBAhQAFAAAAAgAh07iQMwZMuYSAgAA9wMA&#10;AA4AAAAAAAAAAQAgAAAAKwEAAGRycy9lMm9Eb2MueG1sUEsFBgAAAAAGAAYAWQEAAK8FAAAAAA==&#10;">
                <v:fill on="f" focussize="0,0"/>
                <v:stroke weight="2pt" color="#000000 [3213]" joinstyle="round" endarrow="open"/>
                <v:imagedata o:title=""/>
                <o:lock v:ext="edit" aspectratio="f"/>
              </v:shape>
            </w:pict>
          </mc:Fallback>
        </mc:AlternateContent>
      </w:r>
      <w:r>
        <w:rPr>
          <w:rFonts w:hint="default" w:ascii="Times New Roman" w:hAnsi="Times New Roman" w:cs="Times New Roman"/>
          <w:b/>
          <w:bCs/>
          <w:lang w:val="en-US" w:eastAsia="zh-CN"/>
        </w:rPr>
        <w:t>附图</w:t>
      </w:r>
      <w:r>
        <w:rPr>
          <w:rFonts w:hint="eastAsia" w:ascii="Times New Roman" w:hAnsi="Times New Roman" w:cs="Times New Roman"/>
          <w:b/>
          <w:bCs/>
          <w:lang w:val="en-US" w:eastAsia="zh-CN"/>
        </w:rPr>
        <w:t>6</w:t>
      </w:r>
      <w:r>
        <w:rPr>
          <w:rFonts w:hint="default" w:ascii="Times New Roman" w:hAnsi="Times New Roman" w:cs="Times New Roman"/>
          <w:b/>
          <w:bCs/>
          <w:lang w:val="en-US" w:eastAsia="zh-CN"/>
        </w:rPr>
        <w:t>淄博市国土空间总体规划(2021-2035年)</w:t>
      </w:r>
    </w:p>
    <w:p w14:paraId="39651B03">
      <w:pPr>
        <w:pStyle w:val="82"/>
        <w:rPr>
          <w:rFonts w:hint="default" w:ascii="Times New Roman" w:hAnsi="Times New Roman" w:cs="Times New Roman"/>
          <w:b/>
          <w:bCs/>
          <w:lang w:val="en-US" w:eastAsia="zh-CN"/>
        </w:rPr>
      </w:pPr>
    </w:p>
    <w:p w14:paraId="2CE04AFA">
      <w:pPr>
        <w:rPr>
          <w:rFonts w:hint="default"/>
          <w:lang w:val="en-US" w:eastAsia="zh-CN"/>
        </w:rPr>
      </w:pPr>
    </w:p>
    <w:p w14:paraId="114BBEB8">
      <w:pPr>
        <w:pStyle w:val="82"/>
        <w:ind w:left="0" w:leftChars="0" w:firstLine="0" w:firstLineChars="0"/>
        <w:rPr>
          <w:rFonts w:hint="eastAsia" w:eastAsiaTheme="minorEastAsia"/>
          <w:lang w:eastAsia="zh-CN"/>
        </w:rPr>
      </w:pPr>
    </w:p>
    <w:p w14:paraId="3D701D87">
      <w:pPr>
        <w:rPr>
          <w:rFonts w:hint="eastAsia"/>
          <w:lang w:val="en-US" w:eastAsia="zh-CN"/>
        </w:rPr>
      </w:pPr>
      <w:r>
        <w:rPr>
          <w:sz w:val="21"/>
        </w:rPr>
        <mc:AlternateContent>
          <mc:Choice Requires="wps">
            <w:drawing>
              <wp:anchor distT="0" distB="0" distL="114300" distR="114300" simplePos="0" relativeHeight="251684864" behindDoc="0" locked="0" layoutInCell="1" allowOverlap="1">
                <wp:simplePos x="0" y="0"/>
                <wp:positionH relativeFrom="column">
                  <wp:posOffset>2765425</wp:posOffset>
                </wp:positionH>
                <wp:positionV relativeFrom="paragraph">
                  <wp:posOffset>1570990</wp:posOffset>
                </wp:positionV>
                <wp:extent cx="76200" cy="76200"/>
                <wp:effectExtent l="12700" t="12700" r="25400" b="25400"/>
                <wp:wrapNone/>
                <wp:docPr id="89" name="五角星 89"/>
                <wp:cNvGraphicFramePr/>
                <a:graphic xmlns:a="http://schemas.openxmlformats.org/drawingml/2006/main">
                  <a:graphicData uri="http://schemas.microsoft.com/office/word/2010/wordprocessingShape">
                    <wps:wsp>
                      <wps:cNvSpPr/>
                      <wps:spPr>
                        <a:xfrm>
                          <a:off x="4451350" y="3159760"/>
                          <a:ext cx="76200" cy="76200"/>
                        </a:xfrm>
                        <a:prstGeom prst="star5">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17.75pt;margin-top:123.7pt;height:6pt;width:6pt;z-index:251684864;v-text-anchor:middle;mso-width-relative:page;mso-height-relative:page;" fillcolor="#FF0000" filled="t" stroked="t" coordsize="76200,76200" o:gfxdata="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tyoAw2wAAAAsBAAAPAAAAAAAAAAEAIAAAACIAAABk&#10;cnMvZG93bnJldi54bWxQSwECFAAUAAAACACHTuJA3724onUCAADsBAAADgAAAAAAAAABACAAAAAq&#10;AQAAZHJzL2Uyb0RvYy54bWxQSwUGAAAAAAYABgBZAQAAEQYAAAAA&#10;" path="m0,29105l29105,29105,38100,0,47094,29105,76199,29105,52652,47093,61647,76199,38100,58211,14552,76199,23547,47093xe">
                <v:path o:connectlocs="38100,0;0,29105;14552,76199;61647,76199;76199,29105" o:connectangles="247,164,82,82,0"/>
                <v:fill on="t" focussize="0,0"/>
                <v:stroke weight="2pt" color="#000000 [3213]" joinstyle="round"/>
                <v:imagedata o:title=""/>
                <o:lock v:ext="edit" aspectratio="f"/>
              </v:shape>
            </w:pict>
          </mc:Fallback>
        </mc:AlternateContent>
      </w:r>
      <w:r>
        <w:rPr>
          <w:sz w:val="21"/>
        </w:rPr>
        <mc:AlternateContent>
          <mc:Choice Requires="wps">
            <w:drawing>
              <wp:anchor distT="0" distB="0" distL="114300" distR="114300" simplePos="0" relativeHeight="251685888" behindDoc="0" locked="0" layoutInCell="1" allowOverlap="1">
                <wp:simplePos x="0" y="0"/>
                <wp:positionH relativeFrom="column">
                  <wp:posOffset>1606550</wp:posOffset>
                </wp:positionH>
                <wp:positionV relativeFrom="paragraph">
                  <wp:posOffset>403225</wp:posOffset>
                </wp:positionV>
                <wp:extent cx="944880" cy="437515"/>
                <wp:effectExtent l="12700" t="12700" r="204470" b="711835"/>
                <wp:wrapNone/>
                <wp:docPr id="88" name="矩形标注 88"/>
                <wp:cNvGraphicFramePr/>
                <a:graphic xmlns:a="http://schemas.openxmlformats.org/drawingml/2006/main">
                  <a:graphicData uri="http://schemas.microsoft.com/office/word/2010/wordprocessingShape">
                    <wps:wsp>
                      <wps:cNvSpPr/>
                      <wps:spPr>
                        <a:xfrm>
                          <a:off x="4798060" y="3144520"/>
                          <a:ext cx="944880" cy="437515"/>
                        </a:xfrm>
                        <a:prstGeom prst="wedgeRectCallout">
                          <a:avLst>
                            <a:gd name="adj1" fmla="val 69345"/>
                            <a:gd name="adj2" fmla="val 206730"/>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B35A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Theme="minorEastAsia"/>
                                <w:color w:val="FF0000"/>
                                <w:sz w:val="18"/>
                                <w:szCs w:val="18"/>
                                <w:lang w:val="en-US" w:eastAsia="zh-CN"/>
                              </w:rPr>
                            </w:pPr>
                            <w:r>
                              <w:rPr>
                                <w:rFonts w:hint="eastAsia"/>
                                <w:color w:val="FF0000"/>
                                <w:sz w:val="18"/>
                                <w:szCs w:val="18"/>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6.5pt;margin-top:31.75pt;height:34.45pt;width:74.4pt;z-index:251685888;v-text-anchor:middle;mso-width-relative:page;mso-height-relative:page;" filled="f" stroked="t" coordsize="21600,21600" o:gfxdata="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PNyapnYAAAACgEAAA8AAAAAAAAAAQAgAAAAIgAAAGRycy9kb3du&#10;cmV2LnhtbFBLAQIUABQAAAAIAIdO4kB5aWeFqgIAADAFAAAOAAAAAAAAAAEAIAAAACcBAABkcnMv&#10;ZTJvRG9jLnhtbFBLBQYAAAAABgAGAFkBAABDBgAAAAA=&#10;" adj="25779,55454">
                <v:fill on="f" focussize="0,0"/>
                <v:stroke weight="2pt" color="#FF0000 [3204]" joinstyle="round"/>
                <v:imagedata o:title=""/>
                <o:lock v:ext="edit" aspectratio="f"/>
                <v:textbox>
                  <w:txbxContent>
                    <w:p w14:paraId="4A7B35A4">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eastAsiaTheme="minorEastAsia"/>
                          <w:color w:val="FF0000"/>
                          <w:sz w:val="18"/>
                          <w:szCs w:val="18"/>
                          <w:lang w:val="en-US" w:eastAsia="zh-CN"/>
                        </w:rPr>
                      </w:pPr>
                      <w:r>
                        <w:rPr>
                          <w:rFonts w:hint="eastAsia"/>
                          <w:color w:val="FF0000"/>
                          <w:sz w:val="18"/>
                          <w:szCs w:val="18"/>
                          <w:lang w:val="en-US" w:eastAsia="zh-CN"/>
                        </w:rPr>
                        <w:t>项目所在地</w:t>
                      </w:r>
                    </w:p>
                  </w:txbxContent>
                </v:textbox>
              </v:shape>
            </w:pict>
          </mc:Fallback>
        </mc:AlternateContent>
      </w:r>
      <w:r>
        <mc:AlternateContent>
          <mc:Choice Requires="wps">
            <w:drawing>
              <wp:anchor distT="0" distB="0" distL="114300" distR="114300" simplePos="0" relativeHeight="251686912" behindDoc="0" locked="0" layoutInCell="1" allowOverlap="1">
                <wp:simplePos x="0" y="0"/>
                <wp:positionH relativeFrom="column">
                  <wp:posOffset>1041400</wp:posOffset>
                </wp:positionH>
                <wp:positionV relativeFrom="paragraph">
                  <wp:posOffset>7747000</wp:posOffset>
                </wp:positionV>
                <wp:extent cx="3781425" cy="457200"/>
                <wp:effectExtent l="0" t="0" r="9525" b="0"/>
                <wp:wrapNone/>
                <wp:docPr id="90" name="文本框 90"/>
                <wp:cNvGraphicFramePr/>
                <a:graphic xmlns:a="http://schemas.openxmlformats.org/drawingml/2006/main">
                  <a:graphicData uri="http://schemas.microsoft.com/office/word/2010/wordprocessingShape">
                    <wps:wsp>
                      <wps:cNvSpPr txBox="1">
                        <a:spLocks noChangeArrowheads="1"/>
                      </wps:cNvSpPr>
                      <wps:spPr bwMode="auto">
                        <a:xfrm>
                          <a:off x="0" y="0"/>
                          <a:ext cx="3781425" cy="457200"/>
                        </a:xfrm>
                        <a:prstGeom prst="rect">
                          <a:avLst/>
                        </a:prstGeom>
                        <a:solidFill>
                          <a:srgbClr val="FFFFFF"/>
                        </a:solidFill>
                        <a:ln>
                          <a:noFill/>
                        </a:ln>
                        <a:effectLst/>
                      </wps:spPr>
                      <wps:txbx>
                        <w:txbxContent>
                          <w:p w14:paraId="5D111315">
                            <w:pPr>
                              <w:rPr>
                                <w:rFonts w:ascii="Times New Roman" w:hAnsi="Times New Roman" w:cs="Times New Roman" w:eastAsiaTheme="minorEastAsia"/>
                                <w:b/>
                                <w:bCs w:val="0"/>
                                <w:sz w:val="30"/>
                                <w:szCs w:val="30"/>
                              </w:rPr>
                            </w:pPr>
                            <w:r>
                              <w:rPr>
                                <w:rFonts w:ascii="Times New Roman" w:cs="Times New Roman" w:hAnsiTheme="minorEastAsia" w:eastAsiaTheme="minorEastAsia"/>
                                <w:b/>
                                <w:bCs w:val="0"/>
                                <w:sz w:val="30"/>
                                <w:szCs w:val="30"/>
                              </w:rPr>
                              <w:t>附图</w:t>
                            </w:r>
                            <w:r>
                              <w:rPr>
                                <w:rFonts w:hint="eastAsia" w:ascii="Times New Roman" w:cs="Times New Roman" w:hAnsiTheme="minorEastAsia"/>
                                <w:b/>
                                <w:bCs w:val="0"/>
                                <w:sz w:val="30"/>
                                <w:szCs w:val="30"/>
                                <w:lang w:val="en-US" w:eastAsia="zh-CN"/>
                              </w:rPr>
                              <w:t>7</w:t>
                            </w:r>
                            <w:r>
                              <w:rPr>
                                <w:rFonts w:ascii="Times New Roman" w:hAnsi="Times New Roman" w:cs="Times New Roman" w:eastAsiaTheme="minorEastAsia"/>
                                <w:b/>
                                <w:bCs w:val="0"/>
                                <w:sz w:val="30"/>
                                <w:szCs w:val="30"/>
                              </w:rPr>
                              <w:t xml:space="preserve">  </w:t>
                            </w:r>
                            <w:r>
                              <w:rPr>
                                <w:rFonts w:hint="eastAsia" w:ascii="Times New Roman" w:cs="Times New Roman" w:hAnsiTheme="minorEastAsia"/>
                                <w:b/>
                                <w:bCs w:val="0"/>
                                <w:sz w:val="30"/>
                                <w:szCs w:val="30"/>
                                <w:lang w:eastAsia="zh-CN"/>
                              </w:rPr>
                              <w:t>龙泉镇国土空间总体规划图</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82pt;margin-top:610pt;height:36pt;width:297.75pt;z-index:251686912;mso-width-relative:page;mso-height-relative:page;" fillcolor="#FFFFFF" filled="t" stroked="f" coordsize="21600,21600" o:gfxdata="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DQcf33XAAAADQEAAA8AAAAAAAAAAQAgAAAAIgAAAGRycy9kb3ducmV2LnhtbFBL&#10;AQIUABQAAAAIAIdO4kCTg/+jMAIAAE4EAAAOAAAAAAAAAAEAIAAAACYBAABkcnMvZTJvRG9jLnht&#10;bFBLBQYAAAAABgAGAFkBAADIBQAAAAA=&#10;">
                <v:fill on="t" focussize="0,0"/>
                <v:stroke on="f"/>
                <v:imagedata o:title=""/>
                <o:lock v:ext="edit" aspectratio="f"/>
                <v:textbox>
                  <w:txbxContent>
                    <w:p w14:paraId="5D111315">
                      <w:pPr>
                        <w:rPr>
                          <w:rFonts w:ascii="Times New Roman" w:hAnsi="Times New Roman" w:cs="Times New Roman" w:eastAsiaTheme="minorEastAsia"/>
                          <w:b/>
                          <w:bCs w:val="0"/>
                          <w:sz w:val="30"/>
                          <w:szCs w:val="30"/>
                        </w:rPr>
                      </w:pPr>
                      <w:r>
                        <w:rPr>
                          <w:rFonts w:ascii="Times New Roman" w:cs="Times New Roman" w:hAnsiTheme="minorEastAsia" w:eastAsiaTheme="minorEastAsia"/>
                          <w:b/>
                          <w:bCs w:val="0"/>
                          <w:sz w:val="30"/>
                          <w:szCs w:val="30"/>
                        </w:rPr>
                        <w:t>附图</w:t>
                      </w:r>
                      <w:r>
                        <w:rPr>
                          <w:rFonts w:hint="eastAsia" w:ascii="Times New Roman" w:cs="Times New Roman" w:hAnsiTheme="minorEastAsia"/>
                          <w:b/>
                          <w:bCs w:val="0"/>
                          <w:sz w:val="30"/>
                          <w:szCs w:val="30"/>
                          <w:lang w:val="en-US" w:eastAsia="zh-CN"/>
                        </w:rPr>
                        <w:t>7</w:t>
                      </w:r>
                      <w:r>
                        <w:rPr>
                          <w:rFonts w:ascii="Times New Roman" w:hAnsi="Times New Roman" w:cs="Times New Roman" w:eastAsiaTheme="minorEastAsia"/>
                          <w:b/>
                          <w:bCs w:val="0"/>
                          <w:sz w:val="30"/>
                          <w:szCs w:val="30"/>
                        </w:rPr>
                        <w:t xml:space="preserve">  </w:t>
                      </w:r>
                      <w:r>
                        <w:rPr>
                          <w:rFonts w:hint="eastAsia" w:ascii="Times New Roman" w:cs="Times New Roman" w:hAnsiTheme="minorEastAsia"/>
                          <w:b/>
                          <w:bCs w:val="0"/>
                          <w:sz w:val="30"/>
                          <w:szCs w:val="30"/>
                          <w:lang w:eastAsia="zh-CN"/>
                        </w:rPr>
                        <w:t>龙泉镇国土空间总体规划图</w:t>
                      </w:r>
                    </w:p>
                  </w:txbxContent>
                </v:textbox>
              </v:shape>
            </w:pict>
          </mc:Fallback>
        </mc:AlternateContent>
      </w:r>
      <w:r>
        <w:drawing>
          <wp:inline distT="0" distB="0" distL="114300" distR="114300">
            <wp:extent cx="5272405" cy="7592060"/>
            <wp:effectExtent l="0" t="0" r="4445" b="8890"/>
            <wp:docPr id="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
                    <pic:cNvPicPr>
                      <a:picLocks noChangeAspect="1"/>
                    </pic:cNvPicPr>
                  </pic:nvPicPr>
                  <pic:blipFill>
                    <a:blip r:embed="rId43"/>
                    <a:stretch>
                      <a:fillRect/>
                    </a:stretch>
                  </pic:blipFill>
                  <pic:spPr>
                    <a:xfrm>
                      <a:off x="0" y="0"/>
                      <a:ext cx="5272405" cy="7592060"/>
                    </a:xfrm>
                    <a:prstGeom prst="rect">
                      <a:avLst/>
                    </a:prstGeom>
                    <a:noFill/>
                    <a:ln>
                      <a:noFill/>
                    </a:ln>
                  </pic:spPr>
                </pic:pic>
              </a:graphicData>
            </a:graphic>
          </wp:inline>
        </w:drawing>
      </w:r>
    </w:p>
    <w:p w14:paraId="1F73ADF3">
      <w:pPr>
        <w:rPr>
          <w:color w:val="auto"/>
        </w:rPr>
      </w:pPr>
    </w:p>
    <w:p w14:paraId="656FCCF4">
      <w:pPr>
        <w:pStyle w:val="82"/>
        <w:rPr>
          <w:color w:val="auto"/>
        </w:rPr>
      </w:pPr>
    </w:p>
    <w:p w14:paraId="45F0CA85">
      <w:pPr>
        <w:pStyle w:val="82"/>
        <w:rPr>
          <w:color w:val="auto"/>
        </w:rPr>
      </w:pPr>
    </w:p>
    <w:p w14:paraId="0F514D77">
      <w:pPr>
        <w:pStyle w:val="82"/>
        <w:rPr>
          <w:color w:val="auto"/>
        </w:rPr>
      </w:pPr>
    </w:p>
    <w:p w14:paraId="0E4E6337">
      <w:pPr>
        <w:jc w:val="center"/>
        <w:rPr>
          <w:rFonts w:hint="eastAsia" w:eastAsiaTheme="minorEastAsia"/>
          <w:lang w:eastAsia="zh-CN"/>
        </w:rPr>
      </w:pPr>
      <w:r>
        <w:rPr>
          <w:rFonts w:hint="eastAsia" w:eastAsiaTheme="minorEastAsia"/>
          <w:lang w:eastAsia="zh-CN"/>
        </w:rPr>
        <w:drawing>
          <wp:inline distT="0" distB="0" distL="114300" distR="114300">
            <wp:extent cx="4332605" cy="5768975"/>
            <wp:effectExtent l="0" t="0" r="10795" b="3175"/>
            <wp:docPr id="92" name="图片 92" descr="81ff0cb00fd59b1204961dd7d65a9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81ff0cb00fd59b1204961dd7d65a9175"/>
                    <pic:cNvPicPr>
                      <a:picLocks noChangeAspect="1"/>
                    </pic:cNvPicPr>
                  </pic:nvPicPr>
                  <pic:blipFill>
                    <a:blip r:embed="rId44"/>
                    <a:stretch>
                      <a:fillRect/>
                    </a:stretch>
                  </pic:blipFill>
                  <pic:spPr>
                    <a:xfrm>
                      <a:off x="0" y="0"/>
                      <a:ext cx="4332605" cy="5768975"/>
                    </a:xfrm>
                    <a:prstGeom prst="rect">
                      <a:avLst/>
                    </a:prstGeom>
                  </pic:spPr>
                </pic:pic>
              </a:graphicData>
            </a:graphic>
          </wp:inline>
        </w:drawing>
      </w:r>
    </w:p>
    <w:p w14:paraId="42B0B389">
      <w:pPr>
        <w:jc w:val="center"/>
        <w:rPr>
          <w:rFonts w:hint="default" w:ascii="Times New Roman" w:hAnsi="Times New Roman" w:cs="Times New Roman" w:eastAsiaTheme="minorEastAsia"/>
          <w:b/>
          <w:bCs/>
          <w:sz w:val="24"/>
          <w:szCs w:val="32"/>
          <w:lang w:val="en-US" w:eastAsia="zh-CN"/>
        </w:rPr>
      </w:pPr>
      <w:r>
        <w:rPr>
          <w:rFonts w:hint="default" w:ascii="Times New Roman" w:hAnsi="Times New Roman" w:cs="Times New Roman"/>
          <w:b/>
          <w:bCs/>
          <w:sz w:val="24"/>
          <w:szCs w:val="32"/>
          <w:lang w:val="en-US" w:eastAsia="zh-CN"/>
        </w:rPr>
        <w:t>附图8 工程师现场照片</w:t>
      </w:r>
    </w:p>
    <w:p w14:paraId="333990C7">
      <w:pPr>
        <w:pStyle w:val="82"/>
        <w:ind w:left="0" w:leftChars="0" w:firstLine="0" w:firstLineChars="0"/>
        <w:rPr>
          <w:color w:val="auto"/>
        </w:rPr>
      </w:pPr>
    </w:p>
    <w:sectPr>
      <w:pgSz w:w="11906" w:h="16838"/>
      <w:pgMar w:top="1701" w:right="1531" w:bottom="1701" w:left="1531" w:header="851" w:footer="1191" w:gutter="0"/>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ˎ̥">
    <w:altName w:val="Times New Roman"/>
    <w:panose1 w:val="00000000000000000000"/>
    <w:charset w:val="00"/>
    <w:family w:val="roman"/>
    <w:pitch w:val="default"/>
    <w:sig w:usb0="00000000" w:usb1="00000000" w:usb2="00000000"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Arial Black">
    <w:panose1 w:val="020B0A04020102020204"/>
    <w:charset w:val="00"/>
    <w:family w:val="swiss"/>
    <w:pitch w:val="default"/>
    <w:sig w:usb0="A00002AF" w:usb1="400078FB" w:usb2="00000000" w:usb3="00000000" w:csb0="6000009F" w:csb1="DFD70000"/>
  </w:font>
  <w:font w:name="微软雅黑">
    <w:panose1 w:val="020B0503020204020204"/>
    <w:charset w:val="86"/>
    <w:family w:val="swiss"/>
    <w:pitch w:val="default"/>
    <w:sig w:usb0="80000287" w:usb1="2ACF3C50" w:usb2="00000016" w:usb3="00000000" w:csb0="0004001F" w:csb1="00000000"/>
  </w:font>
  <w:font w:name="TimesNewRomanPS-ItalicMT">
    <w:altName w:val="Times New Roman"/>
    <w:panose1 w:val="00000000000000000000"/>
    <w:charset w:val="00"/>
    <w:family w:val="roman"/>
    <w:pitch w:val="default"/>
    <w:sig w:usb0="00000000" w:usb1="00000000" w:usb2="00000000" w:usb3="00000000" w:csb0="00040001" w:csb1="00000000"/>
  </w:font>
  <w:font w:name="Calibri Light">
    <w:panose1 w:val="020F0302020204030204"/>
    <w:charset w:val="00"/>
    <w:family w:val="swiss"/>
    <w:pitch w:val="default"/>
    <w:sig w:usb0="E4002EFF" w:usb1="C000247B" w:usb2="00000009" w:usb3="00000000" w:csb0="200001FF" w:csb1="00000000"/>
  </w:font>
  <w:font w:name="宋体-方正超大字符集">
    <w:altName w:val="宋体"/>
    <w:panose1 w:val="00000000000000000000"/>
    <w:charset w:val="86"/>
    <w:family w:val="script"/>
    <w:pitch w:val="default"/>
    <w:sig w:usb0="00000000" w:usb1="00000000" w:usb2="00000010" w:usb3="00000000" w:csb0="00040000" w:csb1="00000000"/>
  </w:font>
  <w:font w:name="Arial Unicode MS">
    <w:panose1 w:val="020B0604020202020204"/>
    <w:charset w:val="86"/>
    <w:family w:val="swiss"/>
    <w:pitch w:val="default"/>
    <w:sig w:usb0="FFFFFFFF" w:usb1="E9FFFFFF" w:usb2="0000003F" w:usb3="00000000" w:csb0="603F01FF" w:csb1="FFFF0000"/>
  </w:font>
  <w:font w:name="华文细黑">
    <w:panose1 w:val="02010600040101010101"/>
    <w:charset w:val="86"/>
    <w:family w:val="auto"/>
    <w:pitch w:val="default"/>
    <w:sig w:usb0="00000287" w:usb1="080F0000" w:usb2="00000000" w:usb3="00000000" w:csb0="0004009F" w:csb1="DFD70000"/>
  </w:font>
  <w:font w:name="MS Mincho">
    <w:altName w:val="Yu Gothic UI"/>
    <w:panose1 w:val="02020609040205080304"/>
    <w:charset w:val="80"/>
    <w:family w:val="moder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Verdana">
    <w:panose1 w:val="020B0604030504040204"/>
    <w:charset w:val="00"/>
    <w:family w:val="swiss"/>
    <w:pitch w:val="default"/>
    <w:sig w:usb0="A0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华文中宋">
    <w:panose1 w:val="02010600040101010101"/>
    <w:charset w:val="86"/>
    <w:family w:val="auto"/>
    <w:pitch w:val="default"/>
    <w:sig w:usb0="00000287" w:usb1="080F0000" w:usb2="00000000" w:usb3="00000000" w:csb0="0004009F" w:csb1="DFD70000"/>
  </w:font>
  <w:font w:name="”“Times New Roman”“">
    <w:altName w:val="宋体"/>
    <w:panose1 w:val="00000000000000000000"/>
    <w:charset w:val="86"/>
    <w:family w:val="roman"/>
    <w:pitch w:val="default"/>
    <w:sig w:usb0="00000000" w:usb1="00000000" w:usb2="00000010" w:usb3="00000000" w:csb0="00040000" w:csb1="00000000"/>
  </w:font>
  <w:font w:name="Sim Sun+ 2">
    <w:altName w:val="宋体"/>
    <w:panose1 w:val="00000000000000000000"/>
    <w:charset w:val="86"/>
    <w:family w:val="swiss"/>
    <w:pitch w:val="default"/>
    <w:sig w:usb0="00000000" w:usb1="00000000" w:usb2="00000010" w:usb3="00000000" w:csb0="00040000" w:csb1="00000000"/>
  </w:font>
  <w:font w:name="Courier">
    <w:panose1 w:val="02060409020205020404"/>
    <w:charset w:val="00"/>
    <w:family w:val="modern"/>
    <w:pitch w:val="default"/>
    <w:sig w:usb0="00000007" w:usb1="00000000" w:usb2="00000000" w:usb3="00000000" w:csb0="00000093" w:csb1="00000000"/>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汉鼎简书宋">
    <w:altName w:val="宋体"/>
    <w:panose1 w:val="00000000000000000000"/>
    <w:charset w:val="86"/>
    <w:family w:val="modern"/>
    <w:pitch w:val="default"/>
    <w:sig w:usb0="00000000" w:usb1="00000000" w:usb2="00000010" w:usb3="00000000" w:csb0="00040000" w:csb1="00000000"/>
  </w:font>
  <w:font w:name="方正宋三简体">
    <w:altName w:val="宋体"/>
    <w:panose1 w:val="00000000000000000000"/>
    <w:charset w:val="86"/>
    <w:family w:val="auto"/>
    <w:pitch w:val="default"/>
    <w:sig w:usb0="00000000" w:usb1="00000000" w:usb2="00000010" w:usb3="00000000" w:csb0="00040000" w:csb1="00000000"/>
  </w:font>
  <w:font w:name="方正仿宋_GBK">
    <w:altName w:val="宋体"/>
    <w:panose1 w:val="00000000000000000000"/>
    <w:charset w:val="86"/>
    <w:family w:val="script"/>
    <w:pitch w:val="default"/>
    <w:sig w:usb0="00000000" w:usb1="00000000" w:usb2="00000010" w:usb3="00000000" w:csb0="00040000" w:csb1="00000000"/>
  </w:font>
  <w:font w:name="Fang Song">
    <w:altName w:val="黑体"/>
    <w:panose1 w:val="00000000000000000000"/>
    <w:charset w:val="86"/>
    <w:family w:val="modern"/>
    <w:pitch w:val="default"/>
    <w:sig w:usb0="00000000" w:usb1="00000000" w:usb2="00000010" w:usb3="00000000" w:csb0="00040000" w:csb1="00000000"/>
  </w:font>
  <w:font w:name="TimesNewRomanPSMT">
    <w:altName w:val="Times New Roman"/>
    <w:panose1 w:val="00000000000000000000"/>
    <w:charset w:val="00"/>
    <w:family w:val="roman"/>
    <w:pitch w:val="default"/>
    <w:sig w:usb0="00000000" w:usb1="00000000" w:usb2="00000000" w:usb3="00000000" w:csb0="00000001" w:csb1="00000000"/>
  </w:font>
  <w:font w:name="方正小标宋_GBK">
    <w:altName w:val="微软雅黑"/>
    <w:panose1 w:val="03000509000000000000"/>
    <w:charset w:val="86"/>
    <w:family w:val="script"/>
    <w:pitch w:val="default"/>
    <w:sig w:usb0="00000000" w:usb1="00000000" w:usb2="00000000" w:usb3="00000000" w:csb0="00040000" w:csb1="00000000"/>
  </w:font>
  <w:font w:name="KSOF8080F95D">
    <w:panose1 w:val="020B0503020204020204"/>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CE7096">
    <w:pPr>
      <w:pStyle w:val="51"/>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26B79C">
                          <w:pPr>
                            <w:pStyle w:val="5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CJEl4xAgAAYQ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wiRJeMQIAAGEEAAAOAAAAAAAAAAEAIAAAAB8BAABkcnMvZTJvRG9jLnhtbFBLBQYA&#10;AAAABgAGAFkBAADCBQAAAAA=&#10;">
              <v:fill on="f" focussize="0,0"/>
              <v:stroke on="f" weight="0.5pt"/>
              <v:imagedata o:title=""/>
              <o:lock v:ext="edit" aspectratio="f"/>
              <v:textbox inset="0mm,0mm,0mm,0mm" style="mso-fit-shape-to-text:t;">
                <w:txbxContent>
                  <w:p w14:paraId="3F26B79C">
                    <w:pPr>
                      <w:pStyle w:val="5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3E454E">
    <w:pPr>
      <w:pStyle w:val="51"/>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095EED">
                          <w:pPr>
                            <w:pStyle w:val="51"/>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14:paraId="07095EED">
                    <w:pPr>
                      <w:pStyle w:val="51"/>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F3403C">
    <w:pPr>
      <w:pStyle w:val="51"/>
      <w:ind w:right="360"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6365A6">
                          <w:pPr>
                            <w:pStyle w:val="51"/>
                          </w:pPr>
                          <w:r>
                            <w:fldChar w:fldCharType="begin"/>
                          </w:r>
                          <w:r>
                            <w:instrText xml:space="preserve"> PAGE  \* MERGEFORMAT </w:instrText>
                          </w:r>
                          <w:r>
                            <w:fldChar w:fldCharType="separate"/>
                          </w:r>
                          <w:r>
                            <w:t>23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14:paraId="6A6365A6">
                    <w:pPr>
                      <w:pStyle w:val="51"/>
                    </w:pPr>
                    <w:r>
                      <w:fldChar w:fldCharType="begin"/>
                    </w:r>
                    <w:r>
                      <w:instrText xml:space="preserve"> PAGE  \* MERGEFORMAT </w:instrText>
                    </w:r>
                    <w:r>
                      <w:fldChar w:fldCharType="separate"/>
                    </w:r>
                    <w:r>
                      <w:t>23</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71B261">
    <w:pPr>
      <w:pStyle w:val="51"/>
      <w:ind w:right="360" w:firstLine="360"/>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339286">
                          <w:pPr>
                            <w:pStyle w:val="5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KVIPQyAgAAY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ApUg9DICAABhBAAADgAAAAAAAAABACAAAAAfAQAAZHJzL2Uyb0RvYy54bWxQSwUG&#10;AAAAAAYABgBZAQAAwwUAAAAA&#10;">
              <v:fill on="f" focussize="0,0"/>
              <v:stroke on="f" weight="0.5pt"/>
              <v:imagedata o:title=""/>
              <o:lock v:ext="edit" aspectratio="f"/>
              <v:textbox inset="0mm,0mm,0mm,0mm" style="mso-fit-shape-to-text:t;">
                <w:txbxContent>
                  <w:p w14:paraId="24339286">
                    <w:pPr>
                      <w:pStyle w:val="51"/>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9"/>
    <w:multiLevelType w:val="singleLevel"/>
    <w:tmpl w:val="FFFFFF89"/>
    <w:lvl w:ilvl="0" w:tentative="0">
      <w:start w:val="1"/>
      <w:numFmt w:val="bullet"/>
      <w:pStyle w:val="24"/>
      <w:lvlText w:val=""/>
      <w:lvlJc w:val="left"/>
      <w:pPr>
        <w:tabs>
          <w:tab w:val="left" w:pos="360"/>
        </w:tabs>
        <w:ind w:left="360" w:hanging="360"/>
      </w:pPr>
      <w:rPr>
        <w:rFonts w:hint="default" w:ascii="Wingdings" w:hAnsi="Wingdings"/>
      </w:rPr>
    </w:lvl>
  </w:abstractNum>
  <w:abstractNum w:abstractNumId="1">
    <w:nsid w:val="00000001"/>
    <w:multiLevelType w:val="multilevel"/>
    <w:tmpl w:val="00000001"/>
    <w:lvl w:ilvl="0" w:tentative="0">
      <w:start w:val="1"/>
      <w:numFmt w:val="decimalEnclosedCircle"/>
      <w:pStyle w:val="326"/>
      <w:lvlText w:val="%1"/>
      <w:lvlJc w:val="left"/>
      <w:pPr>
        <w:ind w:left="360" w:hanging="360"/>
      </w:pPr>
      <w:rPr>
        <w:rFonts w:hint="default" w:ascii="宋体" w:hAnsi="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00000005"/>
    <w:multiLevelType w:val="multilevel"/>
    <w:tmpl w:val="00000005"/>
    <w:lvl w:ilvl="0" w:tentative="0">
      <w:start w:val="1"/>
      <w:numFmt w:val="decimalEnclosedCircle"/>
      <w:pStyle w:val="1207"/>
      <w:lvlText w:val="%1"/>
      <w:lvlJc w:val="left"/>
      <w:pPr>
        <w:ind w:left="360" w:hanging="360"/>
      </w:pPr>
      <w:rPr>
        <w:rFonts w:hint="default" w:ascii="宋体" w:hAnsi="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16"/>
    <w:multiLevelType w:val="multilevel"/>
    <w:tmpl w:val="00000016"/>
    <w:lvl w:ilvl="0" w:tentative="0">
      <w:start w:val="1"/>
      <w:numFmt w:val="decimal"/>
      <w:pStyle w:val="852"/>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01D31CB4"/>
    <w:multiLevelType w:val="multilevel"/>
    <w:tmpl w:val="01D31CB4"/>
    <w:lvl w:ilvl="0" w:tentative="0">
      <w:start w:val="1"/>
      <w:numFmt w:val="decimal"/>
      <w:pStyle w:val="1232"/>
      <w:lvlText w:val="表7.2 -%1"/>
      <w:lvlJc w:val="center"/>
      <w:pPr>
        <w:tabs>
          <w:tab w:val="left" w:pos="726"/>
        </w:tabs>
        <w:ind w:left="2"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02E7176C"/>
    <w:multiLevelType w:val="singleLevel"/>
    <w:tmpl w:val="02E7176C"/>
    <w:lvl w:ilvl="0" w:tentative="0">
      <w:start w:val="1"/>
      <w:numFmt w:val="bullet"/>
      <w:pStyle w:val="1155"/>
      <w:lvlText w:val=""/>
      <w:lvlJc w:val="left"/>
      <w:pPr>
        <w:tabs>
          <w:tab w:val="left" w:pos="504"/>
        </w:tabs>
        <w:ind w:left="72" w:firstLine="72"/>
      </w:pPr>
      <w:rPr>
        <w:rFonts w:hint="default" w:ascii="Wingdings" w:hAnsi="Wingdings"/>
        <w:spacing w:val="0"/>
        <w:w w:val="100"/>
        <w:kern w:val="0"/>
        <w:position w:val="0"/>
        <w:sz w:val="28"/>
      </w:rPr>
    </w:lvl>
  </w:abstractNum>
  <w:abstractNum w:abstractNumId="6">
    <w:nsid w:val="0BBD0933"/>
    <w:multiLevelType w:val="multilevel"/>
    <w:tmpl w:val="0BBD0933"/>
    <w:lvl w:ilvl="0" w:tentative="0">
      <w:start w:val="4"/>
      <w:numFmt w:val="decimal"/>
      <w:pStyle w:val="1279"/>
      <w:suff w:val="space"/>
      <w:lvlText w:val="%1"/>
      <w:lvlJc w:val="left"/>
      <w:pPr>
        <w:ind w:left="0" w:firstLine="0"/>
      </w:pPr>
      <w:rPr>
        <w:rFonts w:hint="eastAsia" w:ascii="黑体" w:eastAsia="黑体"/>
        <w:b w:val="0"/>
        <w:bCs w:val="0"/>
        <w:i w:val="0"/>
        <w:iCs w:val="0"/>
        <w:color w:val="auto"/>
        <w:sz w:val="28"/>
        <w:szCs w:val="28"/>
      </w:rPr>
    </w:lvl>
    <w:lvl w:ilvl="1" w:tentative="0">
      <w:start w:val="1"/>
      <w:numFmt w:val="decimal"/>
      <w:suff w:val="space"/>
      <w:lvlText w:val="%1.%2"/>
      <w:lvlJc w:val="left"/>
      <w:pPr>
        <w:ind w:left="0" w:firstLine="0"/>
      </w:pPr>
      <w:rPr>
        <w:rFonts w:hint="eastAsia" w:ascii="黑体" w:eastAsia="黑体"/>
        <w:b w:val="0"/>
        <w:bCs w:val="0"/>
        <w:i w:val="0"/>
        <w:iCs w:val="0"/>
        <w:color w:val="auto"/>
        <w:sz w:val="28"/>
        <w:szCs w:val="28"/>
      </w:rPr>
    </w:lvl>
    <w:lvl w:ilvl="2" w:tentative="0">
      <w:start w:val="1"/>
      <w:numFmt w:val="decimal"/>
      <w:suff w:val="space"/>
      <w:lvlText w:val="%1.%2.%3"/>
      <w:lvlJc w:val="left"/>
      <w:pPr>
        <w:ind w:left="0" w:firstLine="0"/>
      </w:pPr>
      <w:rPr>
        <w:rFonts w:hint="eastAsia" w:ascii="宋体" w:eastAsia="宋体"/>
        <w:b w:val="0"/>
        <w:bCs w:val="0"/>
        <w:i w:val="0"/>
        <w:iCs w:val="0"/>
        <w:color w:val="auto"/>
        <w:sz w:val="28"/>
        <w:szCs w:val="28"/>
      </w:rPr>
    </w:lvl>
    <w:lvl w:ilvl="3" w:tentative="0">
      <w:start w:val="1"/>
      <w:numFmt w:val="decimal"/>
      <w:suff w:val="space"/>
      <w:lvlText w:val="%1.%2.%3.%4"/>
      <w:lvlJc w:val="left"/>
      <w:pPr>
        <w:ind w:left="0" w:firstLine="0"/>
      </w:pPr>
      <w:rPr>
        <w:rFonts w:hint="eastAsia" w:ascii="宋体" w:hAnsi="Arial" w:eastAsia="宋体"/>
        <w:b w:val="0"/>
        <w:bCs w:val="0"/>
        <w:i w:val="0"/>
        <w:iCs w:val="0"/>
        <w:color w:val="auto"/>
        <w:sz w:val="28"/>
        <w:szCs w:val="28"/>
      </w:rPr>
    </w:lvl>
    <w:lvl w:ilvl="4" w:tentative="0">
      <w:start w:val="1"/>
      <w:numFmt w:val="decimal"/>
      <w:suff w:val="space"/>
      <w:lvlText w:val="%5)"/>
      <w:lvlJc w:val="left"/>
      <w:pPr>
        <w:ind w:left="0" w:firstLine="567"/>
      </w:pPr>
      <w:rPr>
        <w:rFonts w:hint="eastAsia" w:ascii="宋体" w:hAnsi="Times New Roman" w:eastAsia="宋体"/>
        <w:b w:val="0"/>
        <w:bCs w:val="0"/>
        <w:i w:val="0"/>
        <w:iCs w:val="0"/>
        <w:sz w:val="28"/>
        <w:szCs w:val="28"/>
      </w:rPr>
    </w:lvl>
    <w:lvl w:ilvl="5" w:tentative="0">
      <w:start w:val="1"/>
      <w:numFmt w:val="decimal"/>
      <w:suff w:val="space"/>
      <w:lvlText w:val="(%6)"/>
      <w:lvlJc w:val="left"/>
      <w:pPr>
        <w:ind w:left="-102" w:firstLine="567"/>
      </w:pPr>
      <w:rPr>
        <w:rFonts w:hint="eastAsia" w:ascii="宋体" w:eastAsia="宋体"/>
        <w:b w:val="0"/>
        <w:bCs w:val="0"/>
        <w:i w:val="0"/>
        <w:iCs w:val="0"/>
        <w:sz w:val="28"/>
        <w:szCs w:val="28"/>
      </w:rPr>
    </w:lvl>
    <w:lvl w:ilvl="6" w:tentative="0">
      <w:start w:val="1"/>
      <w:numFmt w:val="decimal"/>
      <w:lvlText w:val="%1.%2.%3.%4.%5.%6.%7"/>
      <w:lvlJc w:val="left"/>
      <w:pPr>
        <w:tabs>
          <w:tab w:val="left" w:pos="396"/>
        </w:tabs>
        <w:ind w:left="396" w:hanging="1296"/>
      </w:pPr>
      <w:rPr>
        <w:rFonts w:hint="eastAsia"/>
      </w:rPr>
    </w:lvl>
    <w:lvl w:ilvl="7" w:tentative="0">
      <w:start w:val="1"/>
      <w:numFmt w:val="decimal"/>
      <w:lvlText w:val="%1.%2.%3.%4.%5.%6.%7.%8"/>
      <w:lvlJc w:val="left"/>
      <w:pPr>
        <w:tabs>
          <w:tab w:val="left" w:pos="540"/>
        </w:tabs>
        <w:ind w:left="540" w:hanging="1440"/>
      </w:pPr>
      <w:rPr>
        <w:rFonts w:hint="eastAsia"/>
      </w:rPr>
    </w:lvl>
    <w:lvl w:ilvl="8" w:tentative="0">
      <w:start w:val="1"/>
      <w:numFmt w:val="decimal"/>
      <w:lvlText w:val="%1.%2.%3.%4.%5.%6.%7.%8.%9"/>
      <w:lvlJc w:val="left"/>
      <w:pPr>
        <w:tabs>
          <w:tab w:val="left" w:pos="684"/>
        </w:tabs>
        <w:ind w:left="684" w:hanging="1584"/>
      </w:pPr>
      <w:rPr>
        <w:rFonts w:hint="eastAsia"/>
      </w:rPr>
    </w:lvl>
  </w:abstractNum>
  <w:abstractNum w:abstractNumId="7">
    <w:nsid w:val="0E43C952"/>
    <w:multiLevelType w:val="singleLevel"/>
    <w:tmpl w:val="0E43C952"/>
    <w:lvl w:ilvl="0" w:tentative="0">
      <w:start w:val="1"/>
      <w:numFmt w:val="decimal"/>
      <w:suff w:val="nothing"/>
      <w:lvlText w:val="%1、"/>
      <w:lvlJc w:val="left"/>
    </w:lvl>
  </w:abstractNum>
  <w:abstractNum w:abstractNumId="8">
    <w:nsid w:val="1E9F78A5"/>
    <w:multiLevelType w:val="multilevel"/>
    <w:tmpl w:val="1E9F78A5"/>
    <w:lvl w:ilvl="0" w:tentative="0">
      <w:start w:val="1"/>
      <w:numFmt w:val="decimal"/>
      <w:pStyle w:val="899"/>
      <w:lvlText w:val="%1."/>
      <w:lvlJc w:val="left"/>
      <w:pPr>
        <w:tabs>
          <w:tab w:val="left" w:pos="420"/>
        </w:tabs>
        <w:ind w:left="420" w:hanging="420"/>
      </w:pPr>
      <w:rPr>
        <w:rFonts w:hint="eastAsia"/>
      </w:rPr>
    </w:lvl>
    <w:lvl w:ilvl="1" w:tentative="0">
      <w:start w:val="1"/>
      <w:numFmt w:val="decimal"/>
      <w:lvlText w:val="（%2）"/>
      <w:lvlJc w:val="left"/>
      <w:pPr>
        <w:tabs>
          <w:tab w:val="left" w:pos="1710"/>
        </w:tabs>
        <w:ind w:left="1710" w:hanging="1290"/>
      </w:pPr>
      <w:rPr>
        <w:rFonts w:hint="default"/>
        <w:b/>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9">
    <w:nsid w:val="37660A18"/>
    <w:multiLevelType w:val="multilevel"/>
    <w:tmpl w:val="37660A18"/>
    <w:lvl w:ilvl="0" w:tentative="0">
      <w:start w:val="1"/>
      <w:numFmt w:val="decimal"/>
      <w:pStyle w:val="1278"/>
      <w:lvlText w:val="%1"/>
      <w:lvlJc w:val="left"/>
      <w:pPr>
        <w:ind w:left="425" w:hanging="425"/>
      </w:pPr>
      <w:rPr>
        <w:rFonts w:hint="default" w:ascii="Times New Roman" w:hAnsi="Times New Roman" w:cs="Times New Roman"/>
      </w:rPr>
    </w:lvl>
    <w:lvl w:ilvl="1" w:tentative="0">
      <w:start w:val="1"/>
      <w:numFmt w:val="decimal"/>
      <w:pStyle w:val="1169"/>
      <w:lvlText w:val="%1.%2"/>
      <w:lvlJc w:val="left"/>
      <w:pPr>
        <w:ind w:left="992" w:hanging="567"/>
      </w:pPr>
    </w:lvl>
    <w:lvl w:ilvl="2" w:tentative="0">
      <w:start w:val="1"/>
      <w:numFmt w:val="decimal"/>
      <w:pStyle w:val="332"/>
      <w:lvlText w:val="%1.%2.%3"/>
      <w:lvlJc w:val="left"/>
      <w:pPr>
        <w:ind w:left="1418" w:hanging="567"/>
      </w:pPr>
    </w:lvl>
    <w:lvl w:ilvl="3" w:tentative="0">
      <w:start w:val="1"/>
      <w:numFmt w:val="decimal"/>
      <w:pStyle w:val="868"/>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0">
    <w:nsid w:val="37A04360"/>
    <w:multiLevelType w:val="multilevel"/>
    <w:tmpl w:val="37A04360"/>
    <w:lvl w:ilvl="0" w:tentative="0">
      <w:start w:val="1"/>
      <w:numFmt w:val="decimal"/>
      <w:pStyle w:val="686"/>
      <w:lvlText w:val="表1.11-%1"/>
      <w:lvlJc w:val="center"/>
      <w:pPr>
        <w:tabs>
          <w:tab w:val="left" w:pos="2444"/>
        </w:tabs>
        <w:ind w:left="1720"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1">
    <w:nsid w:val="3A9076B2"/>
    <w:multiLevelType w:val="multilevel"/>
    <w:tmpl w:val="3A9076B2"/>
    <w:lvl w:ilvl="0" w:tentative="0">
      <w:start w:val="2"/>
      <w:numFmt w:val="decimal"/>
      <w:lvlText w:val="%1、"/>
      <w:lvlJc w:val="left"/>
      <w:pPr>
        <w:tabs>
          <w:tab w:val="left" w:pos="929"/>
        </w:tabs>
        <w:ind w:left="929"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pStyle w:val="1015"/>
      <w:lvlText w:val="%4."/>
      <w:lvlJc w:val="left"/>
      <w:pPr>
        <w:tabs>
          <w:tab w:val="left" w:pos="2249"/>
        </w:tabs>
        <w:ind w:left="2249" w:hanging="42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2">
    <w:nsid w:val="44B17BF9"/>
    <w:multiLevelType w:val="multilevel"/>
    <w:tmpl w:val="44B17BF9"/>
    <w:lvl w:ilvl="0" w:tentative="0">
      <w:start w:val="1"/>
      <w:numFmt w:val="decimal"/>
      <w:suff w:val="nothing"/>
      <w:lvlText w:val="%1"/>
      <w:lvlJc w:val="left"/>
      <w:rPr>
        <w:rFonts w:hint="eastAsia" w:cs="Times New Roman"/>
      </w:rPr>
    </w:lvl>
    <w:lvl w:ilvl="1" w:tentative="0">
      <w:start w:val="1"/>
      <w:numFmt w:val="lowerLetter"/>
      <w:lvlText w:val="%2)"/>
      <w:lvlJc w:val="left"/>
      <w:pPr>
        <w:ind w:left="697" w:hanging="420"/>
      </w:pPr>
      <w:rPr>
        <w:rFonts w:cs="Times New Roman"/>
      </w:rPr>
    </w:lvl>
    <w:lvl w:ilvl="2" w:tentative="0">
      <w:start w:val="1"/>
      <w:numFmt w:val="lowerRoman"/>
      <w:lvlText w:val="%3."/>
      <w:lvlJc w:val="right"/>
      <w:pPr>
        <w:ind w:left="1117" w:hanging="420"/>
      </w:pPr>
      <w:rPr>
        <w:rFonts w:cs="Times New Roman"/>
      </w:rPr>
    </w:lvl>
    <w:lvl w:ilvl="3" w:tentative="0">
      <w:start w:val="1"/>
      <w:numFmt w:val="decimal"/>
      <w:lvlText w:val="%4."/>
      <w:lvlJc w:val="left"/>
      <w:pPr>
        <w:ind w:left="1537" w:hanging="420"/>
      </w:pPr>
      <w:rPr>
        <w:rFonts w:cs="Times New Roman"/>
      </w:rPr>
    </w:lvl>
    <w:lvl w:ilvl="4" w:tentative="0">
      <w:start w:val="1"/>
      <w:numFmt w:val="lowerLetter"/>
      <w:lvlText w:val="%5)"/>
      <w:lvlJc w:val="left"/>
      <w:pPr>
        <w:ind w:left="1957" w:hanging="420"/>
      </w:pPr>
      <w:rPr>
        <w:rFonts w:cs="Times New Roman"/>
      </w:rPr>
    </w:lvl>
    <w:lvl w:ilvl="5" w:tentative="0">
      <w:start w:val="1"/>
      <w:numFmt w:val="lowerRoman"/>
      <w:lvlText w:val="%6."/>
      <w:lvlJc w:val="right"/>
      <w:pPr>
        <w:ind w:left="2377" w:hanging="420"/>
      </w:pPr>
      <w:rPr>
        <w:rFonts w:cs="Times New Roman"/>
      </w:rPr>
    </w:lvl>
    <w:lvl w:ilvl="6" w:tentative="0">
      <w:start w:val="1"/>
      <w:numFmt w:val="decimal"/>
      <w:lvlText w:val="%7."/>
      <w:lvlJc w:val="left"/>
      <w:pPr>
        <w:ind w:left="2797" w:hanging="420"/>
      </w:pPr>
      <w:rPr>
        <w:rFonts w:cs="Times New Roman"/>
      </w:rPr>
    </w:lvl>
    <w:lvl w:ilvl="7" w:tentative="0">
      <w:start w:val="1"/>
      <w:numFmt w:val="lowerLetter"/>
      <w:lvlText w:val="%8)"/>
      <w:lvlJc w:val="left"/>
      <w:pPr>
        <w:ind w:left="3217" w:hanging="420"/>
      </w:pPr>
      <w:rPr>
        <w:rFonts w:cs="Times New Roman"/>
      </w:rPr>
    </w:lvl>
    <w:lvl w:ilvl="8" w:tentative="0">
      <w:start w:val="1"/>
      <w:numFmt w:val="lowerRoman"/>
      <w:lvlText w:val="%9."/>
      <w:lvlJc w:val="right"/>
      <w:pPr>
        <w:ind w:left="3637" w:hanging="420"/>
      </w:pPr>
      <w:rPr>
        <w:rFonts w:cs="Times New Roman"/>
      </w:rPr>
    </w:lvl>
  </w:abstractNum>
  <w:abstractNum w:abstractNumId="13">
    <w:nsid w:val="47071C76"/>
    <w:multiLevelType w:val="multilevel"/>
    <w:tmpl w:val="47071C76"/>
    <w:lvl w:ilvl="0" w:tentative="0">
      <w:start w:val="1"/>
      <w:numFmt w:val="decimal"/>
      <w:lvlText w:val="%1"/>
      <w:lvlJc w:val="left"/>
      <w:pPr>
        <w:tabs>
          <w:tab w:val="left" w:pos="360"/>
        </w:tabs>
        <w:ind w:left="0" w:firstLine="0"/>
      </w:pPr>
      <w:rPr>
        <w:rFonts w:hint="eastAsia" w:ascii="仿宋_GB2312" w:eastAsia="仿宋_GB2312"/>
        <w:b/>
        <w:i w:val="0"/>
        <w:sz w:val="32"/>
      </w:rPr>
    </w:lvl>
    <w:lvl w:ilvl="1" w:tentative="0">
      <w:start w:val="1"/>
      <w:numFmt w:val="decimal"/>
      <w:pStyle w:val="1166"/>
      <w:lvlText w:val="%1.%2"/>
      <w:lvlJc w:val="left"/>
      <w:pPr>
        <w:tabs>
          <w:tab w:val="left" w:pos="720"/>
        </w:tabs>
        <w:ind w:left="0" w:firstLine="0"/>
      </w:pPr>
      <w:rPr>
        <w:rFonts w:hint="eastAsia" w:ascii="仿宋_GB2312" w:eastAsia="仿宋_GB2312"/>
        <w:b/>
        <w:i w:val="0"/>
        <w:sz w:val="30"/>
      </w:rPr>
    </w:lvl>
    <w:lvl w:ilvl="2" w:tentative="0">
      <w:start w:val="1"/>
      <w:numFmt w:val="none"/>
      <w:lvlText w:val="1.%21"/>
      <w:lvlJc w:val="left"/>
      <w:pPr>
        <w:tabs>
          <w:tab w:val="left" w:pos="1080"/>
        </w:tabs>
        <w:ind w:left="0" w:firstLine="0"/>
      </w:pPr>
      <w:rPr>
        <w:rFonts w:hint="eastAsia" w:ascii="仿宋_GB2312" w:eastAsia="仿宋_GB2312"/>
        <w:b w:val="0"/>
        <w:i w:val="0"/>
        <w:sz w:val="28"/>
      </w:rPr>
    </w:lvl>
    <w:lvl w:ilvl="3" w:tentative="0">
      <w:start w:val="1"/>
      <w:numFmt w:val="decimal"/>
      <w:lvlRestart w:val="0"/>
      <w:isLgl/>
      <w:lvlText w:val="%1.%2.%3.%4"/>
      <w:lvlJc w:val="left"/>
      <w:pPr>
        <w:tabs>
          <w:tab w:val="left" w:pos="1440"/>
        </w:tabs>
        <w:ind w:left="0" w:firstLine="0"/>
      </w:pPr>
      <w:rPr>
        <w:rFonts w:hint="eastAsia" w:ascii="仿宋_GB2312" w:eastAsia="仿宋_GB2312"/>
        <w:b w:val="0"/>
        <w:i w:val="0"/>
        <w:sz w:val="28"/>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4">
    <w:nsid w:val="5089670E"/>
    <w:multiLevelType w:val="multilevel"/>
    <w:tmpl w:val="5089670E"/>
    <w:lvl w:ilvl="0" w:tentative="0">
      <w:start w:val="1"/>
      <w:numFmt w:val="decimal"/>
      <w:suff w:val="space"/>
      <w:lvlText w:val="%1"/>
      <w:lvlJc w:val="left"/>
      <w:pPr>
        <w:ind w:left="140" w:firstLine="0"/>
      </w:pPr>
      <w:rPr>
        <w:rFonts w:hint="eastAsia" w:ascii="黑体" w:eastAsia="黑体"/>
        <w:b w:val="0"/>
        <w:bCs w:val="0"/>
        <w:i w:val="0"/>
        <w:iCs w:val="0"/>
        <w:color w:val="auto"/>
        <w:sz w:val="28"/>
        <w:szCs w:val="28"/>
      </w:rPr>
    </w:lvl>
    <w:lvl w:ilvl="1" w:tentative="0">
      <w:start w:val="1"/>
      <w:numFmt w:val="decimal"/>
      <w:suff w:val="space"/>
      <w:lvlText w:val="%1.%2"/>
      <w:lvlJc w:val="left"/>
      <w:pPr>
        <w:ind w:left="4962" w:firstLine="0"/>
      </w:pPr>
      <w:rPr>
        <w:rFonts w:hint="eastAsia" w:ascii="黑体" w:eastAsia="黑体" w:cs="Times New Roman"/>
        <w:b w:val="0"/>
        <w:bCs w:val="0"/>
        <w:i w:val="0"/>
        <w:iCs w:val="0"/>
        <w:caps w:val="0"/>
        <w:smallCaps w:val="0"/>
        <w:strike w:val="0"/>
        <w:dstrike w:val="0"/>
        <w:vanish w:val="0"/>
        <w:color w:val="000000"/>
        <w:spacing w:val="0"/>
        <w:position w:val="0"/>
        <w:sz w:val="28"/>
        <w:szCs w:val="28"/>
        <w:u w:val="none"/>
        <w:vertAlign w:val="baseline"/>
      </w:rPr>
    </w:lvl>
    <w:lvl w:ilvl="2" w:tentative="0">
      <w:start w:val="1"/>
      <w:numFmt w:val="decimal"/>
      <w:suff w:val="space"/>
      <w:lvlText w:val="%1.%2.%3"/>
      <w:lvlJc w:val="left"/>
      <w:pPr>
        <w:ind w:left="700" w:firstLine="0"/>
      </w:pPr>
      <w:rPr>
        <w:rFonts w:hint="eastAsia" w:ascii="宋体" w:eastAsia="宋体"/>
        <w:b w:val="0"/>
        <w:bCs w:val="0"/>
        <w:i w:val="0"/>
        <w:iCs w:val="0"/>
        <w:caps w:val="0"/>
        <w:smallCaps w:val="0"/>
        <w:strike w:val="0"/>
        <w:color w:val="auto"/>
        <w:spacing w:val="0"/>
        <w:sz w:val="28"/>
        <w:szCs w:val="28"/>
        <w:u w:val="none"/>
      </w:rPr>
    </w:lvl>
    <w:lvl w:ilvl="3" w:tentative="0">
      <w:start w:val="1"/>
      <w:numFmt w:val="decimal"/>
      <w:suff w:val="space"/>
      <w:lvlText w:val="%1.%2.%3.%4"/>
      <w:lvlJc w:val="left"/>
      <w:pPr>
        <w:ind w:left="0" w:firstLine="0"/>
      </w:pPr>
      <w:rPr>
        <w:rFonts w:hint="eastAsia" w:ascii="宋体" w:hAnsi="Arial" w:eastAsia="宋体"/>
        <w:b w:val="0"/>
        <w:bCs w:val="0"/>
        <w:i w:val="0"/>
        <w:iCs w:val="0"/>
        <w:color w:val="auto"/>
        <w:sz w:val="28"/>
        <w:szCs w:val="28"/>
      </w:rPr>
    </w:lvl>
    <w:lvl w:ilvl="4" w:tentative="0">
      <w:start w:val="1"/>
      <w:numFmt w:val="decimal"/>
      <w:pStyle w:val="595"/>
      <w:suff w:val="space"/>
      <w:lvlText w:val="%5)"/>
      <w:lvlJc w:val="left"/>
      <w:pPr>
        <w:ind w:left="-567" w:firstLine="567"/>
      </w:pPr>
      <w:rPr>
        <w:rFonts w:hint="eastAsia" w:ascii="宋体" w:eastAsia="宋体"/>
        <w:b w:val="0"/>
        <w:i w:val="0"/>
        <w:sz w:val="28"/>
        <w:szCs w:val="28"/>
      </w:rPr>
    </w:lvl>
    <w:lvl w:ilvl="5" w:tentative="0">
      <w:start w:val="1"/>
      <w:numFmt w:val="decimal"/>
      <w:suff w:val="space"/>
      <w:lvlText w:val="(%6)"/>
      <w:lvlJc w:val="left"/>
      <w:pPr>
        <w:ind w:left="-427" w:firstLine="567"/>
      </w:pPr>
      <w:rPr>
        <w:rFonts w:hint="eastAsia" w:ascii="宋体" w:eastAsia="宋体"/>
        <w:b w:val="0"/>
        <w:bCs w:val="0"/>
        <w:i w:val="0"/>
        <w:iCs w:val="0"/>
        <w:sz w:val="28"/>
        <w:szCs w:val="28"/>
      </w:rPr>
    </w:lvl>
    <w:lvl w:ilvl="6" w:tentative="0">
      <w:start w:val="1"/>
      <w:numFmt w:val="decimal"/>
      <w:lvlText w:val="%1.%2.%3.%4.%5.%6.%7"/>
      <w:lvlJc w:val="left"/>
      <w:pPr>
        <w:tabs>
          <w:tab w:val="left" w:pos="936"/>
        </w:tabs>
        <w:ind w:left="936" w:hanging="1296"/>
      </w:pPr>
      <w:rPr>
        <w:rFonts w:hint="eastAsia"/>
      </w:rPr>
    </w:lvl>
    <w:lvl w:ilvl="7" w:tentative="0">
      <w:start w:val="1"/>
      <w:numFmt w:val="decimal"/>
      <w:lvlText w:val="%1.%2.%3.%4.%5.%6.%7.%8"/>
      <w:lvlJc w:val="left"/>
      <w:pPr>
        <w:tabs>
          <w:tab w:val="left" w:pos="1080"/>
        </w:tabs>
        <w:ind w:left="1080" w:hanging="1440"/>
      </w:pPr>
      <w:rPr>
        <w:rFonts w:hint="eastAsia"/>
      </w:rPr>
    </w:lvl>
    <w:lvl w:ilvl="8" w:tentative="0">
      <w:start w:val="1"/>
      <w:numFmt w:val="decimal"/>
      <w:lvlText w:val="%1.%2.%3.%4.%5.%6.%7.%8.%9"/>
      <w:lvlJc w:val="left"/>
      <w:pPr>
        <w:tabs>
          <w:tab w:val="left" w:pos="1224"/>
        </w:tabs>
        <w:ind w:left="1224" w:hanging="1584"/>
      </w:pPr>
      <w:rPr>
        <w:rFonts w:hint="eastAsia"/>
      </w:rPr>
    </w:lvl>
  </w:abstractNum>
  <w:abstractNum w:abstractNumId="15">
    <w:nsid w:val="557C2AF5"/>
    <w:multiLevelType w:val="multilevel"/>
    <w:tmpl w:val="557C2AF5"/>
    <w:lvl w:ilvl="0" w:tentative="0">
      <w:start w:val="1"/>
      <w:numFmt w:val="decimal"/>
      <w:pStyle w:val="636"/>
      <w:suff w:val="nothing"/>
      <w:lvlText w:val="图%1　"/>
      <w:lvlJc w:val="left"/>
      <w:pPr>
        <w:ind w:left="0" w:firstLine="0"/>
      </w:pPr>
      <w:rPr>
        <w:rFonts w:hint="eastAsia" w:ascii="黑体" w:hAnsi="Times New Roman" w:eastAsia="黑体"/>
        <w:b w:val="0"/>
        <w:i w:val="0"/>
        <w:sz w:val="21"/>
      </w:rPr>
    </w:lvl>
    <w:lvl w:ilvl="1" w:tentative="0">
      <w:start w:val="1"/>
      <w:numFmt w:val="decimal"/>
      <w:suff w:val="nothing"/>
      <w:lvlText w:val="%1%2　"/>
      <w:lvlJc w:val="left"/>
      <w:pPr>
        <w:ind w:left="0" w:firstLine="0"/>
      </w:pPr>
      <w:rPr>
        <w:rFonts w:hint="default" w:ascii="Times New Roman" w:hAnsi="Times New Roman" w:eastAsia="黑体"/>
        <w:b w:val="0"/>
        <w:i w:val="0"/>
        <w:sz w:val="21"/>
      </w:rPr>
    </w:lvl>
    <w:lvl w:ilvl="2" w:tentative="0">
      <w:start w:val="1"/>
      <w:numFmt w:val="decimal"/>
      <w:suff w:val="nothing"/>
      <w:lvlText w:val="%1%2.%3　"/>
      <w:lvlJc w:val="left"/>
      <w:pPr>
        <w:ind w:left="0" w:firstLine="0"/>
      </w:pPr>
      <w:rPr>
        <w:rFonts w:hint="default" w:ascii="Times New Roman" w:hAnsi="Times New Roman" w:eastAsia="黑体"/>
        <w:b w:val="0"/>
        <w:i w:val="0"/>
        <w:sz w:val="21"/>
      </w:rPr>
    </w:lvl>
    <w:lvl w:ilvl="3" w:tentative="0">
      <w:start w:val="1"/>
      <w:numFmt w:val="decimal"/>
      <w:suff w:val="nothing"/>
      <w:lvlText w:val="%1%2.%3.%4　"/>
      <w:lvlJc w:val="left"/>
      <w:pPr>
        <w:ind w:left="0" w:firstLine="0"/>
      </w:pPr>
      <w:rPr>
        <w:rFonts w:hint="default" w:ascii="Times New Roman" w:hAnsi="Times New Roman" w:eastAsia="黑体"/>
        <w:b w:val="0"/>
        <w:i w:val="0"/>
        <w:sz w:val="21"/>
      </w:rPr>
    </w:lvl>
    <w:lvl w:ilvl="4" w:tentative="0">
      <w:start w:val="1"/>
      <w:numFmt w:val="decimal"/>
      <w:suff w:val="nothing"/>
      <w:lvlText w:val="%1%2.%3.%4.%5　"/>
      <w:lvlJc w:val="left"/>
      <w:pPr>
        <w:ind w:left="0" w:firstLine="0"/>
      </w:pPr>
      <w:rPr>
        <w:rFonts w:hint="default" w:ascii="Times New Roman" w:hAnsi="Times New Roman" w:eastAsia="黑体"/>
        <w:b w:val="0"/>
        <w:i w:val="0"/>
        <w:sz w:val="21"/>
      </w:rPr>
    </w:lvl>
    <w:lvl w:ilvl="5" w:tentative="0">
      <w:start w:val="1"/>
      <w:numFmt w:val="decimal"/>
      <w:suff w:val="nothing"/>
      <w:lvlText w:val="%1%2.%3.%4.%5.%6　"/>
      <w:lvlJc w:val="left"/>
      <w:pPr>
        <w:ind w:left="0" w:firstLine="0"/>
      </w:pPr>
      <w:rPr>
        <w:rFonts w:hint="default" w:ascii="Times New Roman" w:hAnsi="Times New Roman" w:eastAsia="黑体"/>
        <w:b w:val="0"/>
        <w:i w:val="0"/>
        <w:sz w:val="21"/>
      </w:rPr>
    </w:lvl>
    <w:lvl w:ilvl="6" w:tentative="0">
      <w:start w:val="1"/>
      <w:numFmt w:val="decimal"/>
      <w:suff w:val="nothing"/>
      <w:lvlText w:val="%1%2.%3.%4.%5.%6.%7　"/>
      <w:lvlJc w:val="left"/>
      <w:pPr>
        <w:ind w:left="0" w:firstLine="0"/>
      </w:pPr>
      <w:rPr>
        <w:rFonts w:hint="default" w:ascii="Times New Roman"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16">
    <w:nsid w:val="646260FA"/>
    <w:multiLevelType w:val="multilevel"/>
    <w:tmpl w:val="646260FA"/>
    <w:lvl w:ilvl="0" w:tentative="0">
      <w:start w:val="1"/>
      <w:numFmt w:val="decimal"/>
      <w:pStyle w:val="967"/>
      <w:suff w:val="nothing"/>
      <w:lvlText w:val="表%1　"/>
      <w:lvlJc w:val="left"/>
      <w:pPr>
        <w:ind w:left="0" w:firstLine="0"/>
      </w:pPr>
      <w:rPr>
        <w:rFonts w:hint="eastAsia" w:ascii="黑体" w:hAnsi="Times New Roman" w:eastAsia="黑体"/>
        <w:b w:val="0"/>
        <w:i w:val="0"/>
        <w:sz w:val="21"/>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17">
    <w:nsid w:val="766D7B15"/>
    <w:multiLevelType w:val="multilevel"/>
    <w:tmpl w:val="766D7B15"/>
    <w:lvl w:ilvl="0" w:tentative="0">
      <w:start w:val="1"/>
      <w:numFmt w:val="decimal"/>
      <w:pStyle w:val="288"/>
      <w:lvlText w:val="%1"/>
      <w:lvlJc w:val="left"/>
      <w:pPr>
        <w:tabs>
          <w:tab w:val="left" w:pos="425"/>
        </w:tabs>
        <w:ind w:left="425" w:hanging="425"/>
      </w:pPr>
      <w:rPr>
        <w:rFonts w:hint="eastAsia"/>
      </w:rPr>
    </w:lvl>
    <w:lvl w:ilvl="1" w:tentative="0">
      <w:start w:val="1"/>
      <w:numFmt w:val="decimal"/>
      <w:lvlText w:val="%1.%2"/>
      <w:lvlJc w:val="left"/>
      <w:pPr>
        <w:tabs>
          <w:tab w:val="left" w:pos="1865"/>
        </w:tabs>
        <w:ind w:left="992" w:hanging="567"/>
      </w:pPr>
      <w:rPr>
        <w:rFonts w:hint="eastAsia"/>
      </w:rPr>
    </w:lvl>
    <w:lvl w:ilvl="2" w:tentative="0">
      <w:start w:val="1"/>
      <w:numFmt w:val="decimal"/>
      <w:lvlText w:val="%1.%2.%3"/>
      <w:lvlJc w:val="left"/>
      <w:pPr>
        <w:tabs>
          <w:tab w:val="left" w:pos="3011"/>
        </w:tabs>
        <w:ind w:left="1418" w:hanging="567"/>
      </w:pPr>
      <w:rPr>
        <w:rFonts w:hint="eastAsia"/>
      </w:rPr>
    </w:lvl>
    <w:lvl w:ilvl="3" w:tentative="0">
      <w:start w:val="1"/>
      <w:numFmt w:val="decimal"/>
      <w:lvlText w:val="%1.%2.%3.%4"/>
      <w:lvlJc w:val="left"/>
      <w:pPr>
        <w:tabs>
          <w:tab w:val="left" w:pos="4156"/>
        </w:tabs>
        <w:ind w:left="1984" w:hanging="708"/>
      </w:pPr>
      <w:rPr>
        <w:rFonts w:hint="eastAsia"/>
      </w:rPr>
    </w:lvl>
    <w:lvl w:ilvl="4" w:tentative="0">
      <w:start w:val="1"/>
      <w:numFmt w:val="decimal"/>
      <w:lvlText w:val="%1.%2.%3.%4.%5"/>
      <w:lvlJc w:val="left"/>
      <w:pPr>
        <w:tabs>
          <w:tab w:val="left" w:pos="5301"/>
        </w:tabs>
        <w:ind w:left="2551" w:hanging="850"/>
      </w:pPr>
      <w:rPr>
        <w:rFonts w:hint="eastAsia"/>
      </w:rPr>
    </w:lvl>
    <w:lvl w:ilvl="5" w:tentative="0">
      <w:start w:val="1"/>
      <w:numFmt w:val="decimal"/>
      <w:lvlText w:val="%1.%2.%3.%4.%5.%6"/>
      <w:lvlJc w:val="left"/>
      <w:pPr>
        <w:tabs>
          <w:tab w:val="left" w:pos="6446"/>
        </w:tabs>
        <w:ind w:left="3260" w:hanging="1134"/>
      </w:pPr>
      <w:rPr>
        <w:rFonts w:hint="eastAsia"/>
      </w:rPr>
    </w:lvl>
    <w:lvl w:ilvl="6" w:tentative="0">
      <w:start w:val="1"/>
      <w:numFmt w:val="decimal"/>
      <w:lvlText w:val="%1.%2.%3.%4.%5.%6.%7"/>
      <w:lvlJc w:val="left"/>
      <w:pPr>
        <w:tabs>
          <w:tab w:val="left" w:pos="7591"/>
        </w:tabs>
        <w:ind w:left="3827" w:hanging="1276"/>
      </w:pPr>
      <w:rPr>
        <w:rFonts w:hint="eastAsia"/>
      </w:rPr>
    </w:lvl>
    <w:lvl w:ilvl="7" w:tentative="0">
      <w:start w:val="1"/>
      <w:numFmt w:val="decimal"/>
      <w:lvlText w:val="%1.%2.%3.%4.%5.%6.%7.%8"/>
      <w:lvlJc w:val="left"/>
      <w:pPr>
        <w:tabs>
          <w:tab w:val="left" w:pos="8736"/>
        </w:tabs>
        <w:ind w:left="4394" w:hanging="1418"/>
      </w:pPr>
      <w:rPr>
        <w:rFonts w:hint="eastAsia"/>
      </w:rPr>
    </w:lvl>
    <w:lvl w:ilvl="8" w:tentative="0">
      <w:start w:val="1"/>
      <w:numFmt w:val="decimal"/>
      <w:lvlText w:val="%1.%2.%3.%4.%5.%6.%7.%8.%9"/>
      <w:lvlJc w:val="left"/>
      <w:pPr>
        <w:tabs>
          <w:tab w:val="left" w:pos="10242"/>
        </w:tabs>
        <w:ind w:left="5102" w:hanging="1700"/>
      </w:pPr>
      <w:rPr>
        <w:rFonts w:hint="eastAsia"/>
      </w:rPr>
    </w:lvl>
  </w:abstractNum>
  <w:num w:numId="1">
    <w:abstractNumId w:val="0"/>
  </w:num>
  <w:num w:numId="2">
    <w:abstractNumId w:val="17"/>
  </w:num>
  <w:num w:numId="3">
    <w:abstractNumId w:val="1"/>
  </w:num>
  <w:num w:numId="4">
    <w:abstractNumId w:val="9"/>
  </w:num>
  <w:num w:numId="5">
    <w:abstractNumId w:val="14"/>
  </w:num>
  <w:num w:numId="6">
    <w:abstractNumId w:val="15"/>
  </w:num>
  <w:num w:numId="7">
    <w:abstractNumId w:val="10"/>
  </w:num>
  <w:num w:numId="8">
    <w:abstractNumId w:val="3"/>
  </w:num>
  <w:num w:numId="9">
    <w:abstractNumId w:val="8"/>
  </w:num>
  <w:num w:numId="10">
    <w:abstractNumId w:val="16"/>
  </w:num>
  <w:num w:numId="11">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num>
  <w:num w:numId="13">
    <w:abstractNumId w:val="13"/>
  </w:num>
  <w:num w:numId="14">
    <w:abstractNumId w:val="2"/>
  </w:num>
  <w:num w:numId="15">
    <w:abstractNumId w:val="4"/>
  </w:num>
  <w:num w:numId="16">
    <w:abstractNumId w:val="6"/>
  </w:num>
  <w:num w:numId="17">
    <w:abstractNumId w:val="7"/>
  </w:num>
  <w:num w:numId="1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evenAndOddHeaders w:val="1"/>
  <w:displayHorizontalDrawingGridEvery w:val="1"/>
  <w:displayVerticalDrawingGridEvery w:val="1"/>
  <w:noPunctuationKerning w:val="1"/>
  <w:characterSpacingControl w:val="doNotCompress"/>
  <w:noLineBreaksAfter w:lang="zh-CN" w:val="([{·‘“〈《「『【〔〖（．［｛￡￥"/>
  <w:noLineBreaksBefore w:lang="zh-CN" w:val="!),.:;?]}¨·ˇˉ―‖’”…∶、。〃々〉》」』】〕〗！＂＇），．：；？］｀｜｝～￠"/>
  <w:compat>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Y4OGMxNWE5YjdmOTExMTJlZDQyZDdiNzdhMzVhMzAifQ=="/>
  </w:docVars>
  <w:rsids>
    <w:rsidRoot w:val="00172A27"/>
    <w:rsid w:val="00002589"/>
    <w:rsid w:val="000035A2"/>
    <w:rsid w:val="00003DF0"/>
    <w:rsid w:val="000055E6"/>
    <w:rsid w:val="0000564F"/>
    <w:rsid w:val="000060B3"/>
    <w:rsid w:val="000069AE"/>
    <w:rsid w:val="00006FBF"/>
    <w:rsid w:val="00007CD0"/>
    <w:rsid w:val="00010986"/>
    <w:rsid w:val="00014574"/>
    <w:rsid w:val="00014AF0"/>
    <w:rsid w:val="00016298"/>
    <w:rsid w:val="00016C4D"/>
    <w:rsid w:val="0001762C"/>
    <w:rsid w:val="00025B61"/>
    <w:rsid w:val="00031913"/>
    <w:rsid w:val="00034071"/>
    <w:rsid w:val="00034098"/>
    <w:rsid w:val="000343A4"/>
    <w:rsid w:val="00041A3C"/>
    <w:rsid w:val="00042F19"/>
    <w:rsid w:val="00043081"/>
    <w:rsid w:val="0004364B"/>
    <w:rsid w:val="000468DB"/>
    <w:rsid w:val="00050F17"/>
    <w:rsid w:val="00054F1D"/>
    <w:rsid w:val="00057C67"/>
    <w:rsid w:val="00061B1F"/>
    <w:rsid w:val="00061EB2"/>
    <w:rsid w:val="00062CF9"/>
    <w:rsid w:val="000630D7"/>
    <w:rsid w:val="00066831"/>
    <w:rsid w:val="00066DC8"/>
    <w:rsid w:val="00067205"/>
    <w:rsid w:val="00070292"/>
    <w:rsid w:val="000706A2"/>
    <w:rsid w:val="00070C7E"/>
    <w:rsid w:val="00071AB9"/>
    <w:rsid w:val="00071B94"/>
    <w:rsid w:val="000733C4"/>
    <w:rsid w:val="00074783"/>
    <w:rsid w:val="00076D47"/>
    <w:rsid w:val="0008070B"/>
    <w:rsid w:val="000810AC"/>
    <w:rsid w:val="00081A02"/>
    <w:rsid w:val="00082231"/>
    <w:rsid w:val="00082364"/>
    <w:rsid w:val="000835C2"/>
    <w:rsid w:val="000835F4"/>
    <w:rsid w:val="00085022"/>
    <w:rsid w:val="000851C5"/>
    <w:rsid w:val="000901FE"/>
    <w:rsid w:val="000904AF"/>
    <w:rsid w:val="00092834"/>
    <w:rsid w:val="00092D38"/>
    <w:rsid w:val="0009377B"/>
    <w:rsid w:val="00093910"/>
    <w:rsid w:val="000956D2"/>
    <w:rsid w:val="00097967"/>
    <w:rsid w:val="000A03C7"/>
    <w:rsid w:val="000A0848"/>
    <w:rsid w:val="000A1480"/>
    <w:rsid w:val="000A20C9"/>
    <w:rsid w:val="000A265A"/>
    <w:rsid w:val="000A5422"/>
    <w:rsid w:val="000A7A44"/>
    <w:rsid w:val="000A7D45"/>
    <w:rsid w:val="000B058F"/>
    <w:rsid w:val="000B11C2"/>
    <w:rsid w:val="000B1C40"/>
    <w:rsid w:val="000B4467"/>
    <w:rsid w:val="000B4DB9"/>
    <w:rsid w:val="000C0328"/>
    <w:rsid w:val="000C09AC"/>
    <w:rsid w:val="000C1A6F"/>
    <w:rsid w:val="000C31CA"/>
    <w:rsid w:val="000C3482"/>
    <w:rsid w:val="000C3C3C"/>
    <w:rsid w:val="000C3F8C"/>
    <w:rsid w:val="000C6BC9"/>
    <w:rsid w:val="000C767F"/>
    <w:rsid w:val="000C7E7A"/>
    <w:rsid w:val="000D11D6"/>
    <w:rsid w:val="000D2BB3"/>
    <w:rsid w:val="000D4200"/>
    <w:rsid w:val="000D45ED"/>
    <w:rsid w:val="000D5A44"/>
    <w:rsid w:val="000D5F3C"/>
    <w:rsid w:val="000E14CD"/>
    <w:rsid w:val="000E3ED2"/>
    <w:rsid w:val="000E6D10"/>
    <w:rsid w:val="000E7B81"/>
    <w:rsid w:val="000F11D5"/>
    <w:rsid w:val="000F3738"/>
    <w:rsid w:val="000F469A"/>
    <w:rsid w:val="000F51C3"/>
    <w:rsid w:val="000F6572"/>
    <w:rsid w:val="000F79DF"/>
    <w:rsid w:val="00100296"/>
    <w:rsid w:val="00100FDD"/>
    <w:rsid w:val="00104497"/>
    <w:rsid w:val="001045EC"/>
    <w:rsid w:val="00106FC5"/>
    <w:rsid w:val="001079BE"/>
    <w:rsid w:val="00114F6E"/>
    <w:rsid w:val="00120431"/>
    <w:rsid w:val="00121FCD"/>
    <w:rsid w:val="00124362"/>
    <w:rsid w:val="001250FE"/>
    <w:rsid w:val="00125332"/>
    <w:rsid w:val="00126237"/>
    <w:rsid w:val="00127CBE"/>
    <w:rsid w:val="00130F40"/>
    <w:rsid w:val="00131C9E"/>
    <w:rsid w:val="00131F42"/>
    <w:rsid w:val="001357F1"/>
    <w:rsid w:val="00135A3C"/>
    <w:rsid w:val="001364DA"/>
    <w:rsid w:val="00136A6C"/>
    <w:rsid w:val="001378FE"/>
    <w:rsid w:val="00140FA8"/>
    <w:rsid w:val="00141F3F"/>
    <w:rsid w:val="001425EA"/>
    <w:rsid w:val="001428ED"/>
    <w:rsid w:val="00142E31"/>
    <w:rsid w:val="00142FEB"/>
    <w:rsid w:val="00143A2D"/>
    <w:rsid w:val="00144B6D"/>
    <w:rsid w:val="00145A41"/>
    <w:rsid w:val="001506EE"/>
    <w:rsid w:val="00151675"/>
    <w:rsid w:val="00157435"/>
    <w:rsid w:val="001574E9"/>
    <w:rsid w:val="001604C1"/>
    <w:rsid w:val="00162D90"/>
    <w:rsid w:val="001631FB"/>
    <w:rsid w:val="001640CC"/>
    <w:rsid w:val="00165D9A"/>
    <w:rsid w:val="00172A27"/>
    <w:rsid w:val="00174459"/>
    <w:rsid w:val="00174601"/>
    <w:rsid w:val="0017504D"/>
    <w:rsid w:val="00175C54"/>
    <w:rsid w:val="00175DAA"/>
    <w:rsid w:val="0017671A"/>
    <w:rsid w:val="00177422"/>
    <w:rsid w:val="00177DC1"/>
    <w:rsid w:val="00182C14"/>
    <w:rsid w:val="00183A88"/>
    <w:rsid w:val="0018418C"/>
    <w:rsid w:val="00184590"/>
    <w:rsid w:val="00185566"/>
    <w:rsid w:val="001870D1"/>
    <w:rsid w:val="00187190"/>
    <w:rsid w:val="0018781E"/>
    <w:rsid w:val="00192460"/>
    <w:rsid w:val="0019262D"/>
    <w:rsid w:val="00194B39"/>
    <w:rsid w:val="00194C2D"/>
    <w:rsid w:val="00194F0F"/>
    <w:rsid w:val="00195BE8"/>
    <w:rsid w:val="001A004B"/>
    <w:rsid w:val="001A1AAC"/>
    <w:rsid w:val="001A1B35"/>
    <w:rsid w:val="001A3B4D"/>
    <w:rsid w:val="001A4025"/>
    <w:rsid w:val="001A48A2"/>
    <w:rsid w:val="001A6F61"/>
    <w:rsid w:val="001B24B0"/>
    <w:rsid w:val="001B3E5E"/>
    <w:rsid w:val="001B4C8C"/>
    <w:rsid w:val="001B5BBB"/>
    <w:rsid w:val="001B72B8"/>
    <w:rsid w:val="001C0F3C"/>
    <w:rsid w:val="001C1F22"/>
    <w:rsid w:val="001C4E4E"/>
    <w:rsid w:val="001C5C85"/>
    <w:rsid w:val="001C6132"/>
    <w:rsid w:val="001C6772"/>
    <w:rsid w:val="001C69B3"/>
    <w:rsid w:val="001D057D"/>
    <w:rsid w:val="001D0961"/>
    <w:rsid w:val="001D0BCF"/>
    <w:rsid w:val="001D0C2A"/>
    <w:rsid w:val="001D0E1F"/>
    <w:rsid w:val="001D19FE"/>
    <w:rsid w:val="001D3425"/>
    <w:rsid w:val="001D3496"/>
    <w:rsid w:val="001D5595"/>
    <w:rsid w:val="001D5EB1"/>
    <w:rsid w:val="001D7874"/>
    <w:rsid w:val="001D7F22"/>
    <w:rsid w:val="001E100F"/>
    <w:rsid w:val="001E21D6"/>
    <w:rsid w:val="001E3A81"/>
    <w:rsid w:val="001E4929"/>
    <w:rsid w:val="001E4A86"/>
    <w:rsid w:val="001E683C"/>
    <w:rsid w:val="001F0DD6"/>
    <w:rsid w:val="001F0F17"/>
    <w:rsid w:val="001F2DFC"/>
    <w:rsid w:val="001F3347"/>
    <w:rsid w:val="001F5BDC"/>
    <w:rsid w:val="001F69E4"/>
    <w:rsid w:val="00202E1A"/>
    <w:rsid w:val="00204101"/>
    <w:rsid w:val="002101F0"/>
    <w:rsid w:val="002115BA"/>
    <w:rsid w:val="00211DFB"/>
    <w:rsid w:val="002125B4"/>
    <w:rsid w:val="00212C4C"/>
    <w:rsid w:val="002155B8"/>
    <w:rsid w:val="00215DB5"/>
    <w:rsid w:val="0022014A"/>
    <w:rsid w:val="0022094E"/>
    <w:rsid w:val="00220DF1"/>
    <w:rsid w:val="002210E2"/>
    <w:rsid w:val="00221154"/>
    <w:rsid w:val="00224839"/>
    <w:rsid w:val="002249B2"/>
    <w:rsid w:val="00226574"/>
    <w:rsid w:val="0022659E"/>
    <w:rsid w:val="002278D0"/>
    <w:rsid w:val="002278EC"/>
    <w:rsid w:val="00231A41"/>
    <w:rsid w:val="0023280E"/>
    <w:rsid w:val="00233005"/>
    <w:rsid w:val="00233D88"/>
    <w:rsid w:val="002343EC"/>
    <w:rsid w:val="00234D4E"/>
    <w:rsid w:val="002365FF"/>
    <w:rsid w:val="0023726D"/>
    <w:rsid w:val="002377D1"/>
    <w:rsid w:val="00240190"/>
    <w:rsid w:val="0024055C"/>
    <w:rsid w:val="00240B30"/>
    <w:rsid w:val="002467F1"/>
    <w:rsid w:val="002506BC"/>
    <w:rsid w:val="002506E7"/>
    <w:rsid w:val="00252AD3"/>
    <w:rsid w:val="00253CD2"/>
    <w:rsid w:val="00253F2C"/>
    <w:rsid w:val="00254345"/>
    <w:rsid w:val="00255871"/>
    <w:rsid w:val="002603CE"/>
    <w:rsid w:val="00263FAB"/>
    <w:rsid w:val="002642F9"/>
    <w:rsid w:val="00264557"/>
    <w:rsid w:val="00265398"/>
    <w:rsid w:val="00273026"/>
    <w:rsid w:val="0027364A"/>
    <w:rsid w:val="002741F2"/>
    <w:rsid w:val="00274222"/>
    <w:rsid w:val="0027458C"/>
    <w:rsid w:val="002752D0"/>
    <w:rsid w:val="002805AB"/>
    <w:rsid w:val="00282534"/>
    <w:rsid w:val="002831F2"/>
    <w:rsid w:val="00284204"/>
    <w:rsid w:val="00287C49"/>
    <w:rsid w:val="00290561"/>
    <w:rsid w:val="00291773"/>
    <w:rsid w:val="002936FF"/>
    <w:rsid w:val="00294441"/>
    <w:rsid w:val="00297BCE"/>
    <w:rsid w:val="002A168C"/>
    <w:rsid w:val="002A1F1C"/>
    <w:rsid w:val="002A3DC7"/>
    <w:rsid w:val="002A4A9E"/>
    <w:rsid w:val="002A57A3"/>
    <w:rsid w:val="002A5F78"/>
    <w:rsid w:val="002A7329"/>
    <w:rsid w:val="002B18BB"/>
    <w:rsid w:val="002B1A80"/>
    <w:rsid w:val="002B3243"/>
    <w:rsid w:val="002B49E2"/>
    <w:rsid w:val="002B7B00"/>
    <w:rsid w:val="002B7C44"/>
    <w:rsid w:val="002B7E77"/>
    <w:rsid w:val="002C1C6E"/>
    <w:rsid w:val="002C2B17"/>
    <w:rsid w:val="002C2FA6"/>
    <w:rsid w:val="002C60B1"/>
    <w:rsid w:val="002C6243"/>
    <w:rsid w:val="002D3D85"/>
    <w:rsid w:val="002D3DD0"/>
    <w:rsid w:val="002D6881"/>
    <w:rsid w:val="002D7DB7"/>
    <w:rsid w:val="002E0A7F"/>
    <w:rsid w:val="002E0B3B"/>
    <w:rsid w:val="002E15EF"/>
    <w:rsid w:val="002E1EA6"/>
    <w:rsid w:val="002E1F3A"/>
    <w:rsid w:val="002E25EF"/>
    <w:rsid w:val="002E298A"/>
    <w:rsid w:val="002E375C"/>
    <w:rsid w:val="002E3A0E"/>
    <w:rsid w:val="002E3D82"/>
    <w:rsid w:val="002F0FAE"/>
    <w:rsid w:val="002F2912"/>
    <w:rsid w:val="002F3517"/>
    <w:rsid w:val="002F6387"/>
    <w:rsid w:val="002F6D50"/>
    <w:rsid w:val="00301978"/>
    <w:rsid w:val="00301F1F"/>
    <w:rsid w:val="00302DDF"/>
    <w:rsid w:val="00302E31"/>
    <w:rsid w:val="0030332C"/>
    <w:rsid w:val="00303736"/>
    <w:rsid w:val="00304FD9"/>
    <w:rsid w:val="003051C2"/>
    <w:rsid w:val="00305467"/>
    <w:rsid w:val="00306F6C"/>
    <w:rsid w:val="00307CFA"/>
    <w:rsid w:val="00310218"/>
    <w:rsid w:val="00312296"/>
    <w:rsid w:val="00312891"/>
    <w:rsid w:val="00314D3B"/>
    <w:rsid w:val="00314F0E"/>
    <w:rsid w:val="003155D0"/>
    <w:rsid w:val="00316929"/>
    <w:rsid w:val="00316B2F"/>
    <w:rsid w:val="0032008D"/>
    <w:rsid w:val="0032058C"/>
    <w:rsid w:val="003211E1"/>
    <w:rsid w:val="00321D8E"/>
    <w:rsid w:val="00325928"/>
    <w:rsid w:val="00325DE0"/>
    <w:rsid w:val="003319DE"/>
    <w:rsid w:val="00332863"/>
    <w:rsid w:val="003349D0"/>
    <w:rsid w:val="003352FE"/>
    <w:rsid w:val="0033684D"/>
    <w:rsid w:val="00337B42"/>
    <w:rsid w:val="00340096"/>
    <w:rsid w:val="00341B42"/>
    <w:rsid w:val="0034348F"/>
    <w:rsid w:val="00343E4C"/>
    <w:rsid w:val="003461E0"/>
    <w:rsid w:val="00347CA0"/>
    <w:rsid w:val="00354CEE"/>
    <w:rsid w:val="003563AE"/>
    <w:rsid w:val="00356653"/>
    <w:rsid w:val="00356958"/>
    <w:rsid w:val="0035743F"/>
    <w:rsid w:val="00357BE2"/>
    <w:rsid w:val="0036170C"/>
    <w:rsid w:val="00361D0A"/>
    <w:rsid w:val="00363E54"/>
    <w:rsid w:val="0036585E"/>
    <w:rsid w:val="00366E0F"/>
    <w:rsid w:val="00366E75"/>
    <w:rsid w:val="00366F1E"/>
    <w:rsid w:val="00367B2E"/>
    <w:rsid w:val="003762AD"/>
    <w:rsid w:val="00377510"/>
    <w:rsid w:val="003813A8"/>
    <w:rsid w:val="00381A72"/>
    <w:rsid w:val="00381AD3"/>
    <w:rsid w:val="0038205F"/>
    <w:rsid w:val="0038258E"/>
    <w:rsid w:val="0038392B"/>
    <w:rsid w:val="00384676"/>
    <w:rsid w:val="00390857"/>
    <w:rsid w:val="00392BCE"/>
    <w:rsid w:val="00392D24"/>
    <w:rsid w:val="0039337C"/>
    <w:rsid w:val="003953C9"/>
    <w:rsid w:val="00395E15"/>
    <w:rsid w:val="00397890"/>
    <w:rsid w:val="003A0F1D"/>
    <w:rsid w:val="003A1F83"/>
    <w:rsid w:val="003A46AE"/>
    <w:rsid w:val="003A4BF3"/>
    <w:rsid w:val="003A5905"/>
    <w:rsid w:val="003B1812"/>
    <w:rsid w:val="003B420D"/>
    <w:rsid w:val="003B5253"/>
    <w:rsid w:val="003B53F8"/>
    <w:rsid w:val="003B5571"/>
    <w:rsid w:val="003B7AE8"/>
    <w:rsid w:val="003B7E62"/>
    <w:rsid w:val="003C0F5A"/>
    <w:rsid w:val="003C1A77"/>
    <w:rsid w:val="003C475F"/>
    <w:rsid w:val="003C4A38"/>
    <w:rsid w:val="003C51D2"/>
    <w:rsid w:val="003C6A9B"/>
    <w:rsid w:val="003C6C16"/>
    <w:rsid w:val="003D113D"/>
    <w:rsid w:val="003D2656"/>
    <w:rsid w:val="003D3D2D"/>
    <w:rsid w:val="003D4562"/>
    <w:rsid w:val="003D4935"/>
    <w:rsid w:val="003D5B07"/>
    <w:rsid w:val="003D5E0E"/>
    <w:rsid w:val="003D66CB"/>
    <w:rsid w:val="003D6FDA"/>
    <w:rsid w:val="003D794D"/>
    <w:rsid w:val="003D7FB3"/>
    <w:rsid w:val="003E0446"/>
    <w:rsid w:val="003E2630"/>
    <w:rsid w:val="003E2FAB"/>
    <w:rsid w:val="003E3058"/>
    <w:rsid w:val="003E4B7C"/>
    <w:rsid w:val="003E550C"/>
    <w:rsid w:val="003E65D7"/>
    <w:rsid w:val="003E76A9"/>
    <w:rsid w:val="003E7777"/>
    <w:rsid w:val="003F0809"/>
    <w:rsid w:val="003F14DD"/>
    <w:rsid w:val="003F2259"/>
    <w:rsid w:val="003F33DD"/>
    <w:rsid w:val="003F36BE"/>
    <w:rsid w:val="003F448B"/>
    <w:rsid w:val="003F4501"/>
    <w:rsid w:val="003F6A8C"/>
    <w:rsid w:val="003F755C"/>
    <w:rsid w:val="003F778D"/>
    <w:rsid w:val="003F7D25"/>
    <w:rsid w:val="00406F01"/>
    <w:rsid w:val="00407B0F"/>
    <w:rsid w:val="00412C5D"/>
    <w:rsid w:val="00413436"/>
    <w:rsid w:val="00414248"/>
    <w:rsid w:val="00414830"/>
    <w:rsid w:val="004148E2"/>
    <w:rsid w:val="00415604"/>
    <w:rsid w:val="0041619A"/>
    <w:rsid w:val="00416D50"/>
    <w:rsid w:val="00416FD5"/>
    <w:rsid w:val="00417772"/>
    <w:rsid w:val="00420E6A"/>
    <w:rsid w:val="004219F9"/>
    <w:rsid w:val="00425A9E"/>
    <w:rsid w:val="00426D6B"/>
    <w:rsid w:val="0043115C"/>
    <w:rsid w:val="004316E8"/>
    <w:rsid w:val="00431E6C"/>
    <w:rsid w:val="004322BD"/>
    <w:rsid w:val="00432B5C"/>
    <w:rsid w:val="00432B6B"/>
    <w:rsid w:val="00433C4E"/>
    <w:rsid w:val="00433CE7"/>
    <w:rsid w:val="00435175"/>
    <w:rsid w:val="004378E5"/>
    <w:rsid w:val="00440AEE"/>
    <w:rsid w:val="00441404"/>
    <w:rsid w:val="00442F41"/>
    <w:rsid w:val="00444228"/>
    <w:rsid w:val="00444240"/>
    <w:rsid w:val="004442BD"/>
    <w:rsid w:val="004507D6"/>
    <w:rsid w:val="004524CB"/>
    <w:rsid w:val="00452738"/>
    <w:rsid w:val="00456091"/>
    <w:rsid w:val="0046004D"/>
    <w:rsid w:val="00464594"/>
    <w:rsid w:val="00466321"/>
    <w:rsid w:val="0046679F"/>
    <w:rsid w:val="00467CBE"/>
    <w:rsid w:val="00470236"/>
    <w:rsid w:val="00471180"/>
    <w:rsid w:val="004723A7"/>
    <w:rsid w:val="004741DA"/>
    <w:rsid w:val="0047773D"/>
    <w:rsid w:val="00477BC3"/>
    <w:rsid w:val="004807C7"/>
    <w:rsid w:val="0048230B"/>
    <w:rsid w:val="0048259B"/>
    <w:rsid w:val="00484B9B"/>
    <w:rsid w:val="004855F6"/>
    <w:rsid w:val="0048661E"/>
    <w:rsid w:val="0048770F"/>
    <w:rsid w:val="0049000E"/>
    <w:rsid w:val="00492DA2"/>
    <w:rsid w:val="00493262"/>
    <w:rsid w:val="00494670"/>
    <w:rsid w:val="00495457"/>
    <w:rsid w:val="00495D23"/>
    <w:rsid w:val="004A1BCC"/>
    <w:rsid w:val="004A2AAC"/>
    <w:rsid w:val="004A3823"/>
    <w:rsid w:val="004A4B89"/>
    <w:rsid w:val="004A6D4F"/>
    <w:rsid w:val="004A7152"/>
    <w:rsid w:val="004A72DE"/>
    <w:rsid w:val="004B2A5A"/>
    <w:rsid w:val="004B62B7"/>
    <w:rsid w:val="004C5910"/>
    <w:rsid w:val="004C59EE"/>
    <w:rsid w:val="004C5CA4"/>
    <w:rsid w:val="004C7902"/>
    <w:rsid w:val="004D118B"/>
    <w:rsid w:val="004D2A10"/>
    <w:rsid w:val="004E08A6"/>
    <w:rsid w:val="004E1971"/>
    <w:rsid w:val="004E23AC"/>
    <w:rsid w:val="004E2A69"/>
    <w:rsid w:val="004E55B5"/>
    <w:rsid w:val="004E63C9"/>
    <w:rsid w:val="004E6946"/>
    <w:rsid w:val="004F1AD8"/>
    <w:rsid w:val="004F2BC0"/>
    <w:rsid w:val="004F39A7"/>
    <w:rsid w:val="004F615A"/>
    <w:rsid w:val="004F6BDC"/>
    <w:rsid w:val="005000A4"/>
    <w:rsid w:val="005000E3"/>
    <w:rsid w:val="00500552"/>
    <w:rsid w:val="005039CB"/>
    <w:rsid w:val="00503BB2"/>
    <w:rsid w:val="0050558F"/>
    <w:rsid w:val="005058C3"/>
    <w:rsid w:val="00505C0F"/>
    <w:rsid w:val="00506286"/>
    <w:rsid w:val="00506FE3"/>
    <w:rsid w:val="00507F3A"/>
    <w:rsid w:val="00510488"/>
    <w:rsid w:val="00510813"/>
    <w:rsid w:val="00510B08"/>
    <w:rsid w:val="00510F86"/>
    <w:rsid w:val="00511184"/>
    <w:rsid w:val="005116DD"/>
    <w:rsid w:val="00511803"/>
    <w:rsid w:val="00511990"/>
    <w:rsid w:val="00511DE0"/>
    <w:rsid w:val="00512EA4"/>
    <w:rsid w:val="0051457C"/>
    <w:rsid w:val="00514870"/>
    <w:rsid w:val="00514B9B"/>
    <w:rsid w:val="005176AF"/>
    <w:rsid w:val="0051777A"/>
    <w:rsid w:val="00517F02"/>
    <w:rsid w:val="00520292"/>
    <w:rsid w:val="00524303"/>
    <w:rsid w:val="005258A2"/>
    <w:rsid w:val="0053194B"/>
    <w:rsid w:val="00536B9E"/>
    <w:rsid w:val="00537EA3"/>
    <w:rsid w:val="005400F1"/>
    <w:rsid w:val="005401AE"/>
    <w:rsid w:val="00541332"/>
    <w:rsid w:val="00542E07"/>
    <w:rsid w:val="00545424"/>
    <w:rsid w:val="00551A38"/>
    <w:rsid w:val="00554A7B"/>
    <w:rsid w:val="0055572C"/>
    <w:rsid w:val="005573CB"/>
    <w:rsid w:val="0056106A"/>
    <w:rsid w:val="00561550"/>
    <w:rsid w:val="005620FB"/>
    <w:rsid w:val="0056378B"/>
    <w:rsid w:val="005656C6"/>
    <w:rsid w:val="00566D35"/>
    <w:rsid w:val="005720AE"/>
    <w:rsid w:val="005725E7"/>
    <w:rsid w:val="00576DBA"/>
    <w:rsid w:val="00582585"/>
    <w:rsid w:val="00582C01"/>
    <w:rsid w:val="005843A0"/>
    <w:rsid w:val="00593A2B"/>
    <w:rsid w:val="00594D77"/>
    <w:rsid w:val="00594E42"/>
    <w:rsid w:val="005969E4"/>
    <w:rsid w:val="005A06B7"/>
    <w:rsid w:val="005A0E3F"/>
    <w:rsid w:val="005A1759"/>
    <w:rsid w:val="005A2574"/>
    <w:rsid w:val="005A68A7"/>
    <w:rsid w:val="005A71AD"/>
    <w:rsid w:val="005A7A21"/>
    <w:rsid w:val="005B2817"/>
    <w:rsid w:val="005B51D3"/>
    <w:rsid w:val="005B574A"/>
    <w:rsid w:val="005B5B1A"/>
    <w:rsid w:val="005B5CF7"/>
    <w:rsid w:val="005B6BDD"/>
    <w:rsid w:val="005C1454"/>
    <w:rsid w:val="005C1D96"/>
    <w:rsid w:val="005C2848"/>
    <w:rsid w:val="005C75EB"/>
    <w:rsid w:val="005D2EDE"/>
    <w:rsid w:val="005D2F06"/>
    <w:rsid w:val="005D36AB"/>
    <w:rsid w:val="005D6CFE"/>
    <w:rsid w:val="005D77E3"/>
    <w:rsid w:val="005E1A34"/>
    <w:rsid w:val="005E1F69"/>
    <w:rsid w:val="005E27D7"/>
    <w:rsid w:val="005E29B5"/>
    <w:rsid w:val="005E39F6"/>
    <w:rsid w:val="005E55A8"/>
    <w:rsid w:val="005F312C"/>
    <w:rsid w:val="005F44BA"/>
    <w:rsid w:val="005F5AFB"/>
    <w:rsid w:val="006021A6"/>
    <w:rsid w:val="00602368"/>
    <w:rsid w:val="00604025"/>
    <w:rsid w:val="00605FA6"/>
    <w:rsid w:val="006100E8"/>
    <w:rsid w:val="00612192"/>
    <w:rsid w:val="00614897"/>
    <w:rsid w:val="00617CC3"/>
    <w:rsid w:val="00625240"/>
    <w:rsid w:val="00625A17"/>
    <w:rsid w:val="00626631"/>
    <w:rsid w:val="00626FBE"/>
    <w:rsid w:val="00627A70"/>
    <w:rsid w:val="00631FAF"/>
    <w:rsid w:val="00632AA2"/>
    <w:rsid w:val="00634D7B"/>
    <w:rsid w:val="006377A6"/>
    <w:rsid w:val="00637A3D"/>
    <w:rsid w:val="00637AB4"/>
    <w:rsid w:val="006411EF"/>
    <w:rsid w:val="00646778"/>
    <w:rsid w:val="00651E53"/>
    <w:rsid w:val="00653CC9"/>
    <w:rsid w:val="006544CA"/>
    <w:rsid w:val="00656BD3"/>
    <w:rsid w:val="00656EFC"/>
    <w:rsid w:val="00661B18"/>
    <w:rsid w:val="00663822"/>
    <w:rsid w:val="00664039"/>
    <w:rsid w:val="00664DE7"/>
    <w:rsid w:val="006651B9"/>
    <w:rsid w:val="00665795"/>
    <w:rsid w:val="0066793E"/>
    <w:rsid w:val="006726F8"/>
    <w:rsid w:val="00672826"/>
    <w:rsid w:val="00673DE2"/>
    <w:rsid w:val="006748B8"/>
    <w:rsid w:val="00674B9E"/>
    <w:rsid w:val="0067512F"/>
    <w:rsid w:val="00676052"/>
    <w:rsid w:val="0067757F"/>
    <w:rsid w:val="006775C3"/>
    <w:rsid w:val="00680742"/>
    <w:rsid w:val="00684078"/>
    <w:rsid w:val="00684A51"/>
    <w:rsid w:val="00684AD4"/>
    <w:rsid w:val="006862E4"/>
    <w:rsid w:val="006872DE"/>
    <w:rsid w:val="00687B7A"/>
    <w:rsid w:val="006902F2"/>
    <w:rsid w:val="00692356"/>
    <w:rsid w:val="006927A1"/>
    <w:rsid w:val="0069290A"/>
    <w:rsid w:val="006969BB"/>
    <w:rsid w:val="0069775A"/>
    <w:rsid w:val="00697813"/>
    <w:rsid w:val="00697926"/>
    <w:rsid w:val="006A06F8"/>
    <w:rsid w:val="006A1D9B"/>
    <w:rsid w:val="006A3EE8"/>
    <w:rsid w:val="006A438D"/>
    <w:rsid w:val="006A72BF"/>
    <w:rsid w:val="006B03F2"/>
    <w:rsid w:val="006B1213"/>
    <w:rsid w:val="006B24FF"/>
    <w:rsid w:val="006B37DC"/>
    <w:rsid w:val="006B4F68"/>
    <w:rsid w:val="006B6AC1"/>
    <w:rsid w:val="006B7113"/>
    <w:rsid w:val="006C0592"/>
    <w:rsid w:val="006C0813"/>
    <w:rsid w:val="006C21B6"/>
    <w:rsid w:val="006C272E"/>
    <w:rsid w:val="006C5479"/>
    <w:rsid w:val="006D13B5"/>
    <w:rsid w:val="006D1D54"/>
    <w:rsid w:val="006D5A27"/>
    <w:rsid w:val="006E12FF"/>
    <w:rsid w:val="006E196C"/>
    <w:rsid w:val="006E42C0"/>
    <w:rsid w:val="006E607E"/>
    <w:rsid w:val="006E690A"/>
    <w:rsid w:val="006F1AC8"/>
    <w:rsid w:val="006F6E68"/>
    <w:rsid w:val="006F7B83"/>
    <w:rsid w:val="006F7E41"/>
    <w:rsid w:val="007008C8"/>
    <w:rsid w:val="00700E55"/>
    <w:rsid w:val="00701372"/>
    <w:rsid w:val="00701C47"/>
    <w:rsid w:val="00703DC3"/>
    <w:rsid w:val="00703E1A"/>
    <w:rsid w:val="00704D5E"/>
    <w:rsid w:val="00705C29"/>
    <w:rsid w:val="00705D7F"/>
    <w:rsid w:val="00706C5D"/>
    <w:rsid w:val="007119ED"/>
    <w:rsid w:val="00724A82"/>
    <w:rsid w:val="0072630F"/>
    <w:rsid w:val="00726BBF"/>
    <w:rsid w:val="00732922"/>
    <w:rsid w:val="00732F99"/>
    <w:rsid w:val="0073383D"/>
    <w:rsid w:val="0073704F"/>
    <w:rsid w:val="00740B6A"/>
    <w:rsid w:val="007427F9"/>
    <w:rsid w:val="00744178"/>
    <w:rsid w:val="007462A3"/>
    <w:rsid w:val="00746357"/>
    <w:rsid w:val="00746F1F"/>
    <w:rsid w:val="00750651"/>
    <w:rsid w:val="0075154C"/>
    <w:rsid w:val="0075162E"/>
    <w:rsid w:val="00752005"/>
    <w:rsid w:val="00753494"/>
    <w:rsid w:val="00754034"/>
    <w:rsid w:val="00754DCC"/>
    <w:rsid w:val="00756556"/>
    <w:rsid w:val="007577DE"/>
    <w:rsid w:val="00760D26"/>
    <w:rsid w:val="007618C4"/>
    <w:rsid w:val="007652E6"/>
    <w:rsid w:val="00766C94"/>
    <w:rsid w:val="00767750"/>
    <w:rsid w:val="00767980"/>
    <w:rsid w:val="00770B19"/>
    <w:rsid w:val="00770DF0"/>
    <w:rsid w:val="007734A6"/>
    <w:rsid w:val="0077463F"/>
    <w:rsid w:val="007751FA"/>
    <w:rsid w:val="00775565"/>
    <w:rsid w:val="007769DA"/>
    <w:rsid w:val="007806A7"/>
    <w:rsid w:val="00780A0F"/>
    <w:rsid w:val="00781982"/>
    <w:rsid w:val="007836EA"/>
    <w:rsid w:val="00783A69"/>
    <w:rsid w:val="00784CDA"/>
    <w:rsid w:val="007871E0"/>
    <w:rsid w:val="007906C4"/>
    <w:rsid w:val="00791A43"/>
    <w:rsid w:val="00791C86"/>
    <w:rsid w:val="007940EA"/>
    <w:rsid w:val="0079431D"/>
    <w:rsid w:val="007967E8"/>
    <w:rsid w:val="00797A0D"/>
    <w:rsid w:val="007A1EB0"/>
    <w:rsid w:val="007A2170"/>
    <w:rsid w:val="007A22BF"/>
    <w:rsid w:val="007A3323"/>
    <w:rsid w:val="007A40F6"/>
    <w:rsid w:val="007B07DF"/>
    <w:rsid w:val="007B093F"/>
    <w:rsid w:val="007B2E79"/>
    <w:rsid w:val="007B31ED"/>
    <w:rsid w:val="007B43DB"/>
    <w:rsid w:val="007B528A"/>
    <w:rsid w:val="007B72B8"/>
    <w:rsid w:val="007B7A58"/>
    <w:rsid w:val="007C21B5"/>
    <w:rsid w:val="007C2D4F"/>
    <w:rsid w:val="007D2316"/>
    <w:rsid w:val="007D67FA"/>
    <w:rsid w:val="007E243D"/>
    <w:rsid w:val="007E31FF"/>
    <w:rsid w:val="007E3EE2"/>
    <w:rsid w:val="007E3FC6"/>
    <w:rsid w:val="007E4BD2"/>
    <w:rsid w:val="007E522C"/>
    <w:rsid w:val="007F1CDF"/>
    <w:rsid w:val="007F5919"/>
    <w:rsid w:val="007F5F20"/>
    <w:rsid w:val="007F7DB4"/>
    <w:rsid w:val="00801393"/>
    <w:rsid w:val="00802B03"/>
    <w:rsid w:val="00802F88"/>
    <w:rsid w:val="00803139"/>
    <w:rsid w:val="00803CB9"/>
    <w:rsid w:val="0081203E"/>
    <w:rsid w:val="0081293E"/>
    <w:rsid w:val="0081357C"/>
    <w:rsid w:val="00815465"/>
    <w:rsid w:val="00815DD8"/>
    <w:rsid w:val="00817E9A"/>
    <w:rsid w:val="00823053"/>
    <w:rsid w:val="00824DA0"/>
    <w:rsid w:val="0082778F"/>
    <w:rsid w:val="008278AC"/>
    <w:rsid w:val="008306BD"/>
    <w:rsid w:val="00831A80"/>
    <w:rsid w:val="00831D99"/>
    <w:rsid w:val="00833743"/>
    <w:rsid w:val="008340A4"/>
    <w:rsid w:val="00841137"/>
    <w:rsid w:val="00841994"/>
    <w:rsid w:val="00844864"/>
    <w:rsid w:val="00847158"/>
    <w:rsid w:val="008475A9"/>
    <w:rsid w:val="0084798A"/>
    <w:rsid w:val="00850518"/>
    <w:rsid w:val="008519B6"/>
    <w:rsid w:val="00851E59"/>
    <w:rsid w:val="00852065"/>
    <w:rsid w:val="0085240B"/>
    <w:rsid w:val="00853A06"/>
    <w:rsid w:val="00855E23"/>
    <w:rsid w:val="00856799"/>
    <w:rsid w:val="00857337"/>
    <w:rsid w:val="00862301"/>
    <w:rsid w:val="00866396"/>
    <w:rsid w:val="00866506"/>
    <w:rsid w:val="00870174"/>
    <w:rsid w:val="00870883"/>
    <w:rsid w:val="0087135F"/>
    <w:rsid w:val="00872D94"/>
    <w:rsid w:val="00873988"/>
    <w:rsid w:val="00873B38"/>
    <w:rsid w:val="00873E43"/>
    <w:rsid w:val="00876944"/>
    <w:rsid w:val="00877E36"/>
    <w:rsid w:val="00877ED7"/>
    <w:rsid w:val="00880364"/>
    <w:rsid w:val="00884567"/>
    <w:rsid w:val="008858C2"/>
    <w:rsid w:val="00885AD0"/>
    <w:rsid w:val="00886B9B"/>
    <w:rsid w:val="00887462"/>
    <w:rsid w:val="00891592"/>
    <w:rsid w:val="00891E9E"/>
    <w:rsid w:val="0089547D"/>
    <w:rsid w:val="00897735"/>
    <w:rsid w:val="008A2F68"/>
    <w:rsid w:val="008A3947"/>
    <w:rsid w:val="008A573F"/>
    <w:rsid w:val="008A589B"/>
    <w:rsid w:val="008A5DDB"/>
    <w:rsid w:val="008A7A44"/>
    <w:rsid w:val="008B24E5"/>
    <w:rsid w:val="008B4E2D"/>
    <w:rsid w:val="008B4FA6"/>
    <w:rsid w:val="008B5282"/>
    <w:rsid w:val="008B5C94"/>
    <w:rsid w:val="008B63AA"/>
    <w:rsid w:val="008B6646"/>
    <w:rsid w:val="008B7290"/>
    <w:rsid w:val="008B72A6"/>
    <w:rsid w:val="008B787A"/>
    <w:rsid w:val="008B7C17"/>
    <w:rsid w:val="008C2D01"/>
    <w:rsid w:val="008C40E6"/>
    <w:rsid w:val="008D0302"/>
    <w:rsid w:val="008D038C"/>
    <w:rsid w:val="008D03E6"/>
    <w:rsid w:val="008D0A6C"/>
    <w:rsid w:val="008D0F7A"/>
    <w:rsid w:val="008D25EB"/>
    <w:rsid w:val="008D3C06"/>
    <w:rsid w:val="008D52D9"/>
    <w:rsid w:val="008D68E4"/>
    <w:rsid w:val="008D6FC1"/>
    <w:rsid w:val="008D72F1"/>
    <w:rsid w:val="008E0506"/>
    <w:rsid w:val="008E0B50"/>
    <w:rsid w:val="008E0CFF"/>
    <w:rsid w:val="008E1774"/>
    <w:rsid w:val="008E2BC9"/>
    <w:rsid w:val="008E389A"/>
    <w:rsid w:val="008E4E49"/>
    <w:rsid w:val="008E5D6B"/>
    <w:rsid w:val="008E641C"/>
    <w:rsid w:val="008E643D"/>
    <w:rsid w:val="008E6BA1"/>
    <w:rsid w:val="008E76F0"/>
    <w:rsid w:val="008E7E95"/>
    <w:rsid w:val="008F15FE"/>
    <w:rsid w:val="008F2144"/>
    <w:rsid w:val="008F2D29"/>
    <w:rsid w:val="008F35C2"/>
    <w:rsid w:val="008F37F9"/>
    <w:rsid w:val="008F4649"/>
    <w:rsid w:val="008F5187"/>
    <w:rsid w:val="008F60D8"/>
    <w:rsid w:val="008F6CCE"/>
    <w:rsid w:val="008F7B73"/>
    <w:rsid w:val="009002DB"/>
    <w:rsid w:val="00902727"/>
    <w:rsid w:val="00903050"/>
    <w:rsid w:val="0090312B"/>
    <w:rsid w:val="00903C44"/>
    <w:rsid w:val="00904232"/>
    <w:rsid w:val="00910736"/>
    <w:rsid w:val="00915748"/>
    <w:rsid w:val="0091736D"/>
    <w:rsid w:val="009212DF"/>
    <w:rsid w:val="009218A3"/>
    <w:rsid w:val="00925C07"/>
    <w:rsid w:val="0093037A"/>
    <w:rsid w:val="009317D9"/>
    <w:rsid w:val="00932239"/>
    <w:rsid w:val="00941400"/>
    <w:rsid w:val="0094154D"/>
    <w:rsid w:val="0094186B"/>
    <w:rsid w:val="00943111"/>
    <w:rsid w:val="009438FB"/>
    <w:rsid w:val="0095155F"/>
    <w:rsid w:val="009521B9"/>
    <w:rsid w:val="00953C5C"/>
    <w:rsid w:val="00954429"/>
    <w:rsid w:val="00955321"/>
    <w:rsid w:val="009555DD"/>
    <w:rsid w:val="009562FF"/>
    <w:rsid w:val="009563CE"/>
    <w:rsid w:val="00956A52"/>
    <w:rsid w:val="00962796"/>
    <w:rsid w:val="009651F4"/>
    <w:rsid w:val="00966969"/>
    <w:rsid w:val="00972646"/>
    <w:rsid w:val="0097577F"/>
    <w:rsid w:val="00975E46"/>
    <w:rsid w:val="00976045"/>
    <w:rsid w:val="00976328"/>
    <w:rsid w:val="009763B2"/>
    <w:rsid w:val="009767CA"/>
    <w:rsid w:val="0097680D"/>
    <w:rsid w:val="009808FC"/>
    <w:rsid w:val="00980C3F"/>
    <w:rsid w:val="00980DF8"/>
    <w:rsid w:val="009813BA"/>
    <w:rsid w:val="00981A0E"/>
    <w:rsid w:val="00981D4C"/>
    <w:rsid w:val="00982438"/>
    <w:rsid w:val="00982E89"/>
    <w:rsid w:val="0098404C"/>
    <w:rsid w:val="009846E6"/>
    <w:rsid w:val="00985283"/>
    <w:rsid w:val="00985548"/>
    <w:rsid w:val="00985767"/>
    <w:rsid w:val="00986438"/>
    <w:rsid w:val="00987073"/>
    <w:rsid w:val="00987458"/>
    <w:rsid w:val="00987E22"/>
    <w:rsid w:val="00990634"/>
    <w:rsid w:val="00991E43"/>
    <w:rsid w:val="00995992"/>
    <w:rsid w:val="009966F7"/>
    <w:rsid w:val="009A03E5"/>
    <w:rsid w:val="009A0F3B"/>
    <w:rsid w:val="009A1BB4"/>
    <w:rsid w:val="009A2628"/>
    <w:rsid w:val="009A3200"/>
    <w:rsid w:val="009A4930"/>
    <w:rsid w:val="009A618E"/>
    <w:rsid w:val="009B04B9"/>
    <w:rsid w:val="009B0897"/>
    <w:rsid w:val="009B0CEC"/>
    <w:rsid w:val="009B42A7"/>
    <w:rsid w:val="009B4B6E"/>
    <w:rsid w:val="009B7571"/>
    <w:rsid w:val="009B7BD9"/>
    <w:rsid w:val="009C180A"/>
    <w:rsid w:val="009C196D"/>
    <w:rsid w:val="009C27DC"/>
    <w:rsid w:val="009C2F3C"/>
    <w:rsid w:val="009C5784"/>
    <w:rsid w:val="009C6BE7"/>
    <w:rsid w:val="009C7B29"/>
    <w:rsid w:val="009C7DD5"/>
    <w:rsid w:val="009D3368"/>
    <w:rsid w:val="009D5A1C"/>
    <w:rsid w:val="009D63DA"/>
    <w:rsid w:val="009D69FB"/>
    <w:rsid w:val="009E0587"/>
    <w:rsid w:val="009E0651"/>
    <w:rsid w:val="009E0850"/>
    <w:rsid w:val="009E08D7"/>
    <w:rsid w:val="009E227D"/>
    <w:rsid w:val="009E39AD"/>
    <w:rsid w:val="009E43A3"/>
    <w:rsid w:val="009E5019"/>
    <w:rsid w:val="009E55AB"/>
    <w:rsid w:val="009F0442"/>
    <w:rsid w:val="009F0AF6"/>
    <w:rsid w:val="009F43CE"/>
    <w:rsid w:val="009F4EC9"/>
    <w:rsid w:val="009F4EFF"/>
    <w:rsid w:val="009F5151"/>
    <w:rsid w:val="00A0044F"/>
    <w:rsid w:val="00A00F81"/>
    <w:rsid w:val="00A04F1B"/>
    <w:rsid w:val="00A0501B"/>
    <w:rsid w:val="00A11633"/>
    <w:rsid w:val="00A13132"/>
    <w:rsid w:val="00A14947"/>
    <w:rsid w:val="00A17461"/>
    <w:rsid w:val="00A22340"/>
    <w:rsid w:val="00A2259C"/>
    <w:rsid w:val="00A24335"/>
    <w:rsid w:val="00A247FC"/>
    <w:rsid w:val="00A2542C"/>
    <w:rsid w:val="00A26E42"/>
    <w:rsid w:val="00A2719A"/>
    <w:rsid w:val="00A30BAD"/>
    <w:rsid w:val="00A31151"/>
    <w:rsid w:val="00A32A83"/>
    <w:rsid w:val="00A3457F"/>
    <w:rsid w:val="00A368DB"/>
    <w:rsid w:val="00A423AA"/>
    <w:rsid w:val="00A46FA6"/>
    <w:rsid w:val="00A47645"/>
    <w:rsid w:val="00A52358"/>
    <w:rsid w:val="00A53B63"/>
    <w:rsid w:val="00A53EC3"/>
    <w:rsid w:val="00A53EC6"/>
    <w:rsid w:val="00A54DA5"/>
    <w:rsid w:val="00A55C0F"/>
    <w:rsid w:val="00A568C5"/>
    <w:rsid w:val="00A615B2"/>
    <w:rsid w:val="00A645D5"/>
    <w:rsid w:val="00A66C7C"/>
    <w:rsid w:val="00A67B61"/>
    <w:rsid w:val="00A7207F"/>
    <w:rsid w:val="00A72565"/>
    <w:rsid w:val="00A839BB"/>
    <w:rsid w:val="00A8713F"/>
    <w:rsid w:val="00A87AC1"/>
    <w:rsid w:val="00A90805"/>
    <w:rsid w:val="00A90BA1"/>
    <w:rsid w:val="00A92CD7"/>
    <w:rsid w:val="00A92CEB"/>
    <w:rsid w:val="00A93BCC"/>
    <w:rsid w:val="00A97A9A"/>
    <w:rsid w:val="00AA0671"/>
    <w:rsid w:val="00AA0B0C"/>
    <w:rsid w:val="00AA20BB"/>
    <w:rsid w:val="00AA2531"/>
    <w:rsid w:val="00AA3214"/>
    <w:rsid w:val="00AA4782"/>
    <w:rsid w:val="00AA57AE"/>
    <w:rsid w:val="00AA5DCC"/>
    <w:rsid w:val="00AA7347"/>
    <w:rsid w:val="00AA75F1"/>
    <w:rsid w:val="00AB045C"/>
    <w:rsid w:val="00AB1E09"/>
    <w:rsid w:val="00AB1F80"/>
    <w:rsid w:val="00AB28C7"/>
    <w:rsid w:val="00AB454D"/>
    <w:rsid w:val="00AB49D8"/>
    <w:rsid w:val="00AB5330"/>
    <w:rsid w:val="00AB6EBD"/>
    <w:rsid w:val="00AB7747"/>
    <w:rsid w:val="00AC14CE"/>
    <w:rsid w:val="00AC182E"/>
    <w:rsid w:val="00AC2A56"/>
    <w:rsid w:val="00AC390C"/>
    <w:rsid w:val="00AC6B0C"/>
    <w:rsid w:val="00AC6EE1"/>
    <w:rsid w:val="00AC7196"/>
    <w:rsid w:val="00AC791F"/>
    <w:rsid w:val="00AC7CF7"/>
    <w:rsid w:val="00AD0511"/>
    <w:rsid w:val="00AD055E"/>
    <w:rsid w:val="00AD28B2"/>
    <w:rsid w:val="00AD4469"/>
    <w:rsid w:val="00AD47A7"/>
    <w:rsid w:val="00AD47AC"/>
    <w:rsid w:val="00AE24FA"/>
    <w:rsid w:val="00AE2F2D"/>
    <w:rsid w:val="00AE3194"/>
    <w:rsid w:val="00AE3D5E"/>
    <w:rsid w:val="00AE3E37"/>
    <w:rsid w:val="00AE3F62"/>
    <w:rsid w:val="00AE44F9"/>
    <w:rsid w:val="00AE4604"/>
    <w:rsid w:val="00AE6C02"/>
    <w:rsid w:val="00AE7859"/>
    <w:rsid w:val="00AF0BCB"/>
    <w:rsid w:val="00AF0CBF"/>
    <w:rsid w:val="00AF257F"/>
    <w:rsid w:val="00AF33CF"/>
    <w:rsid w:val="00AF464A"/>
    <w:rsid w:val="00AF4C91"/>
    <w:rsid w:val="00AF4D50"/>
    <w:rsid w:val="00AF6179"/>
    <w:rsid w:val="00AF731C"/>
    <w:rsid w:val="00AF7B33"/>
    <w:rsid w:val="00B006D1"/>
    <w:rsid w:val="00B00D97"/>
    <w:rsid w:val="00B00E60"/>
    <w:rsid w:val="00B03504"/>
    <w:rsid w:val="00B04105"/>
    <w:rsid w:val="00B0620B"/>
    <w:rsid w:val="00B12256"/>
    <w:rsid w:val="00B12953"/>
    <w:rsid w:val="00B1295A"/>
    <w:rsid w:val="00B13196"/>
    <w:rsid w:val="00B17160"/>
    <w:rsid w:val="00B17B45"/>
    <w:rsid w:val="00B17D1E"/>
    <w:rsid w:val="00B207A8"/>
    <w:rsid w:val="00B20A45"/>
    <w:rsid w:val="00B2154A"/>
    <w:rsid w:val="00B22C5C"/>
    <w:rsid w:val="00B23E56"/>
    <w:rsid w:val="00B242E4"/>
    <w:rsid w:val="00B24F30"/>
    <w:rsid w:val="00B268B9"/>
    <w:rsid w:val="00B269B1"/>
    <w:rsid w:val="00B269BD"/>
    <w:rsid w:val="00B31ABF"/>
    <w:rsid w:val="00B32C50"/>
    <w:rsid w:val="00B33BE3"/>
    <w:rsid w:val="00B341A1"/>
    <w:rsid w:val="00B34FA4"/>
    <w:rsid w:val="00B35C93"/>
    <w:rsid w:val="00B40FD8"/>
    <w:rsid w:val="00B41FC8"/>
    <w:rsid w:val="00B43BC1"/>
    <w:rsid w:val="00B45BE5"/>
    <w:rsid w:val="00B501DF"/>
    <w:rsid w:val="00B53B5D"/>
    <w:rsid w:val="00B57EF6"/>
    <w:rsid w:val="00B6055E"/>
    <w:rsid w:val="00B6317D"/>
    <w:rsid w:val="00B64669"/>
    <w:rsid w:val="00B64E77"/>
    <w:rsid w:val="00B657AF"/>
    <w:rsid w:val="00B6662B"/>
    <w:rsid w:val="00B6680E"/>
    <w:rsid w:val="00B7047C"/>
    <w:rsid w:val="00B72670"/>
    <w:rsid w:val="00B73444"/>
    <w:rsid w:val="00B751B3"/>
    <w:rsid w:val="00B760CC"/>
    <w:rsid w:val="00B76F8C"/>
    <w:rsid w:val="00B7723F"/>
    <w:rsid w:val="00B80534"/>
    <w:rsid w:val="00B82AB5"/>
    <w:rsid w:val="00B82D47"/>
    <w:rsid w:val="00B8412C"/>
    <w:rsid w:val="00B8433C"/>
    <w:rsid w:val="00B87491"/>
    <w:rsid w:val="00B940F7"/>
    <w:rsid w:val="00B97C2B"/>
    <w:rsid w:val="00BA0ED8"/>
    <w:rsid w:val="00BA29E9"/>
    <w:rsid w:val="00BA3617"/>
    <w:rsid w:val="00BA7142"/>
    <w:rsid w:val="00BA7380"/>
    <w:rsid w:val="00BA74FA"/>
    <w:rsid w:val="00BB237C"/>
    <w:rsid w:val="00BB2681"/>
    <w:rsid w:val="00BB3A60"/>
    <w:rsid w:val="00BB41A3"/>
    <w:rsid w:val="00BB6604"/>
    <w:rsid w:val="00BC0043"/>
    <w:rsid w:val="00BC17BB"/>
    <w:rsid w:val="00BC32DC"/>
    <w:rsid w:val="00BC35B6"/>
    <w:rsid w:val="00BD0BF1"/>
    <w:rsid w:val="00BD1556"/>
    <w:rsid w:val="00BD15CF"/>
    <w:rsid w:val="00BD1B51"/>
    <w:rsid w:val="00BD2D38"/>
    <w:rsid w:val="00BD4206"/>
    <w:rsid w:val="00BD4596"/>
    <w:rsid w:val="00BD5221"/>
    <w:rsid w:val="00BD5D70"/>
    <w:rsid w:val="00BD64A6"/>
    <w:rsid w:val="00BD64FD"/>
    <w:rsid w:val="00BD7A2B"/>
    <w:rsid w:val="00BE1405"/>
    <w:rsid w:val="00BE2C9A"/>
    <w:rsid w:val="00BE312D"/>
    <w:rsid w:val="00BE58ED"/>
    <w:rsid w:val="00BF1054"/>
    <w:rsid w:val="00BF1C20"/>
    <w:rsid w:val="00BF381B"/>
    <w:rsid w:val="00BF709E"/>
    <w:rsid w:val="00BF716C"/>
    <w:rsid w:val="00C00061"/>
    <w:rsid w:val="00C017A4"/>
    <w:rsid w:val="00C01C9E"/>
    <w:rsid w:val="00C06BD6"/>
    <w:rsid w:val="00C10578"/>
    <w:rsid w:val="00C135BC"/>
    <w:rsid w:val="00C13C3E"/>
    <w:rsid w:val="00C15554"/>
    <w:rsid w:val="00C15C95"/>
    <w:rsid w:val="00C20012"/>
    <w:rsid w:val="00C202CA"/>
    <w:rsid w:val="00C202CB"/>
    <w:rsid w:val="00C2075F"/>
    <w:rsid w:val="00C21B47"/>
    <w:rsid w:val="00C22A2E"/>
    <w:rsid w:val="00C25503"/>
    <w:rsid w:val="00C2596A"/>
    <w:rsid w:val="00C27537"/>
    <w:rsid w:val="00C3042D"/>
    <w:rsid w:val="00C323FA"/>
    <w:rsid w:val="00C328FE"/>
    <w:rsid w:val="00C33507"/>
    <w:rsid w:val="00C33BFB"/>
    <w:rsid w:val="00C424E7"/>
    <w:rsid w:val="00C43791"/>
    <w:rsid w:val="00C43A36"/>
    <w:rsid w:val="00C43BEA"/>
    <w:rsid w:val="00C4409D"/>
    <w:rsid w:val="00C44E72"/>
    <w:rsid w:val="00C45A06"/>
    <w:rsid w:val="00C464B5"/>
    <w:rsid w:val="00C47E5B"/>
    <w:rsid w:val="00C50A74"/>
    <w:rsid w:val="00C52752"/>
    <w:rsid w:val="00C544CC"/>
    <w:rsid w:val="00C54D0B"/>
    <w:rsid w:val="00C55E3D"/>
    <w:rsid w:val="00C60300"/>
    <w:rsid w:val="00C60EA1"/>
    <w:rsid w:val="00C6170F"/>
    <w:rsid w:val="00C61E4B"/>
    <w:rsid w:val="00C64353"/>
    <w:rsid w:val="00C64BFF"/>
    <w:rsid w:val="00C65169"/>
    <w:rsid w:val="00C6721F"/>
    <w:rsid w:val="00C701AB"/>
    <w:rsid w:val="00C704E9"/>
    <w:rsid w:val="00C71764"/>
    <w:rsid w:val="00C74614"/>
    <w:rsid w:val="00C7467F"/>
    <w:rsid w:val="00C75095"/>
    <w:rsid w:val="00C75B0C"/>
    <w:rsid w:val="00C75BE6"/>
    <w:rsid w:val="00C763C9"/>
    <w:rsid w:val="00C80057"/>
    <w:rsid w:val="00C82232"/>
    <w:rsid w:val="00C822B3"/>
    <w:rsid w:val="00C82913"/>
    <w:rsid w:val="00C8386E"/>
    <w:rsid w:val="00C838A7"/>
    <w:rsid w:val="00C872F4"/>
    <w:rsid w:val="00C877C2"/>
    <w:rsid w:val="00C878A2"/>
    <w:rsid w:val="00C90BD6"/>
    <w:rsid w:val="00C924B0"/>
    <w:rsid w:val="00C95951"/>
    <w:rsid w:val="00C972B1"/>
    <w:rsid w:val="00CA2CCE"/>
    <w:rsid w:val="00CA3227"/>
    <w:rsid w:val="00CA43FD"/>
    <w:rsid w:val="00CA51FA"/>
    <w:rsid w:val="00CA5D66"/>
    <w:rsid w:val="00CA6678"/>
    <w:rsid w:val="00CA786E"/>
    <w:rsid w:val="00CA7EF8"/>
    <w:rsid w:val="00CB0355"/>
    <w:rsid w:val="00CB2DEF"/>
    <w:rsid w:val="00CB5D3B"/>
    <w:rsid w:val="00CC11D2"/>
    <w:rsid w:val="00CC1C8A"/>
    <w:rsid w:val="00CC2332"/>
    <w:rsid w:val="00CC25DB"/>
    <w:rsid w:val="00CC489B"/>
    <w:rsid w:val="00CC57C4"/>
    <w:rsid w:val="00CC5BE3"/>
    <w:rsid w:val="00CC7588"/>
    <w:rsid w:val="00CD1FE5"/>
    <w:rsid w:val="00CD2BCD"/>
    <w:rsid w:val="00CD2C15"/>
    <w:rsid w:val="00CD3A4C"/>
    <w:rsid w:val="00CD4CCF"/>
    <w:rsid w:val="00CD538F"/>
    <w:rsid w:val="00CD6D0D"/>
    <w:rsid w:val="00CD7776"/>
    <w:rsid w:val="00CD7ED1"/>
    <w:rsid w:val="00CD7ED6"/>
    <w:rsid w:val="00CE10E9"/>
    <w:rsid w:val="00CE163C"/>
    <w:rsid w:val="00CE2910"/>
    <w:rsid w:val="00CE2A16"/>
    <w:rsid w:val="00CE3AAB"/>
    <w:rsid w:val="00CE5393"/>
    <w:rsid w:val="00CE694C"/>
    <w:rsid w:val="00CF0F41"/>
    <w:rsid w:val="00CF3123"/>
    <w:rsid w:val="00CF36BE"/>
    <w:rsid w:val="00CF56E3"/>
    <w:rsid w:val="00CF6000"/>
    <w:rsid w:val="00D003F3"/>
    <w:rsid w:val="00D0179B"/>
    <w:rsid w:val="00D033AF"/>
    <w:rsid w:val="00D0364F"/>
    <w:rsid w:val="00D03AA5"/>
    <w:rsid w:val="00D0402C"/>
    <w:rsid w:val="00D056DC"/>
    <w:rsid w:val="00D06834"/>
    <w:rsid w:val="00D06EED"/>
    <w:rsid w:val="00D10483"/>
    <w:rsid w:val="00D10AC6"/>
    <w:rsid w:val="00D111F1"/>
    <w:rsid w:val="00D16F06"/>
    <w:rsid w:val="00D17D08"/>
    <w:rsid w:val="00D2250A"/>
    <w:rsid w:val="00D23B7B"/>
    <w:rsid w:val="00D24183"/>
    <w:rsid w:val="00D251B3"/>
    <w:rsid w:val="00D256C2"/>
    <w:rsid w:val="00D308ED"/>
    <w:rsid w:val="00D3477B"/>
    <w:rsid w:val="00D34EB1"/>
    <w:rsid w:val="00D36D86"/>
    <w:rsid w:val="00D423A9"/>
    <w:rsid w:val="00D428AA"/>
    <w:rsid w:val="00D4697B"/>
    <w:rsid w:val="00D503F2"/>
    <w:rsid w:val="00D50A34"/>
    <w:rsid w:val="00D53EFA"/>
    <w:rsid w:val="00D5544C"/>
    <w:rsid w:val="00D56E6D"/>
    <w:rsid w:val="00D6087A"/>
    <w:rsid w:val="00D618BE"/>
    <w:rsid w:val="00D66EB1"/>
    <w:rsid w:val="00D677FC"/>
    <w:rsid w:val="00D67CE6"/>
    <w:rsid w:val="00D7259C"/>
    <w:rsid w:val="00D73CA8"/>
    <w:rsid w:val="00D74F18"/>
    <w:rsid w:val="00D77E33"/>
    <w:rsid w:val="00D81DA1"/>
    <w:rsid w:val="00D83B25"/>
    <w:rsid w:val="00D86C43"/>
    <w:rsid w:val="00D87DF9"/>
    <w:rsid w:val="00D9012D"/>
    <w:rsid w:val="00D9231C"/>
    <w:rsid w:val="00D92443"/>
    <w:rsid w:val="00D927E7"/>
    <w:rsid w:val="00D93D02"/>
    <w:rsid w:val="00D940C0"/>
    <w:rsid w:val="00D94A7C"/>
    <w:rsid w:val="00D95896"/>
    <w:rsid w:val="00D975DF"/>
    <w:rsid w:val="00DA03E4"/>
    <w:rsid w:val="00DA1E89"/>
    <w:rsid w:val="00DA2EE7"/>
    <w:rsid w:val="00DA68DE"/>
    <w:rsid w:val="00DA7FE5"/>
    <w:rsid w:val="00DB0085"/>
    <w:rsid w:val="00DB1B50"/>
    <w:rsid w:val="00DB2100"/>
    <w:rsid w:val="00DB237A"/>
    <w:rsid w:val="00DB2983"/>
    <w:rsid w:val="00DB3857"/>
    <w:rsid w:val="00DC1257"/>
    <w:rsid w:val="00DC37EC"/>
    <w:rsid w:val="00DC3CD4"/>
    <w:rsid w:val="00DC3DC0"/>
    <w:rsid w:val="00DC5B2B"/>
    <w:rsid w:val="00DC676E"/>
    <w:rsid w:val="00DD318D"/>
    <w:rsid w:val="00DD3AFD"/>
    <w:rsid w:val="00DD47C6"/>
    <w:rsid w:val="00DD6335"/>
    <w:rsid w:val="00DD6368"/>
    <w:rsid w:val="00DD648B"/>
    <w:rsid w:val="00DE0847"/>
    <w:rsid w:val="00DE14FA"/>
    <w:rsid w:val="00DE4F52"/>
    <w:rsid w:val="00DE6865"/>
    <w:rsid w:val="00DE773F"/>
    <w:rsid w:val="00DE7D45"/>
    <w:rsid w:val="00DF093E"/>
    <w:rsid w:val="00DF291D"/>
    <w:rsid w:val="00DF29F5"/>
    <w:rsid w:val="00DF2E12"/>
    <w:rsid w:val="00DF3F28"/>
    <w:rsid w:val="00DF514A"/>
    <w:rsid w:val="00DF6690"/>
    <w:rsid w:val="00DF6804"/>
    <w:rsid w:val="00E000DC"/>
    <w:rsid w:val="00E01798"/>
    <w:rsid w:val="00E0358D"/>
    <w:rsid w:val="00E04323"/>
    <w:rsid w:val="00E04D74"/>
    <w:rsid w:val="00E070A2"/>
    <w:rsid w:val="00E07915"/>
    <w:rsid w:val="00E13B47"/>
    <w:rsid w:val="00E17F0A"/>
    <w:rsid w:val="00E21C38"/>
    <w:rsid w:val="00E23B9C"/>
    <w:rsid w:val="00E2644F"/>
    <w:rsid w:val="00E2656A"/>
    <w:rsid w:val="00E3316B"/>
    <w:rsid w:val="00E33BEE"/>
    <w:rsid w:val="00E35E9A"/>
    <w:rsid w:val="00E35F8D"/>
    <w:rsid w:val="00E377FC"/>
    <w:rsid w:val="00E4015C"/>
    <w:rsid w:val="00E40F77"/>
    <w:rsid w:val="00E412D0"/>
    <w:rsid w:val="00E42934"/>
    <w:rsid w:val="00E44D3D"/>
    <w:rsid w:val="00E46754"/>
    <w:rsid w:val="00E50F9E"/>
    <w:rsid w:val="00E5122A"/>
    <w:rsid w:val="00E51327"/>
    <w:rsid w:val="00E53B7C"/>
    <w:rsid w:val="00E5438E"/>
    <w:rsid w:val="00E56322"/>
    <w:rsid w:val="00E57AE0"/>
    <w:rsid w:val="00E57F89"/>
    <w:rsid w:val="00E605EB"/>
    <w:rsid w:val="00E60982"/>
    <w:rsid w:val="00E62C62"/>
    <w:rsid w:val="00E63453"/>
    <w:rsid w:val="00E652B2"/>
    <w:rsid w:val="00E654C1"/>
    <w:rsid w:val="00E65D97"/>
    <w:rsid w:val="00E67662"/>
    <w:rsid w:val="00E71F02"/>
    <w:rsid w:val="00E725F3"/>
    <w:rsid w:val="00E72A5A"/>
    <w:rsid w:val="00E73354"/>
    <w:rsid w:val="00E74187"/>
    <w:rsid w:val="00E74537"/>
    <w:rsid w:val="00E75537"/>
    <w:rsid w:val="00E7594D"/>
    <w:rsid w:val="00E803B1"/>
    <w:rsid w:val="00E8256A"/>
    <w:rsid w:val="00E82ACB"/>
    <w:rsid w:val="00E8383A"/>
    <w:rsid w:val="00E83D66"/>
    <w:rsid w:val="00E84A49"/>
    <w:rsid w:val="00E8752F"/>
    <w:rsid w:val="00E9242D"/>
    <w:rsid w:val="00E927B2"/>
    <w:rsid w:val="00E9304E"/>
    <w:rsid w:val="00E93F84"/>
    <w:rsid w:val="00E940FD"/>
    <w:rsid w:val="00EA011D"/>
    <w:rsid w:val="00EA0DA4"/>
    <w:rsid w:val="00EA1332"/>
    <w:rsid w:val="00EA3F4C"/>
    <w:rsid w:val="00EA4258"/>
    <w:rsid w:val="00EB0411"/>
    <w:rsid w:val="00EB26AC"/>
    <w:rsid w:val="00EB50EF"/>
    <w:rsid w:val="00EB5255"/>
    <w:rsid w:val="00EB5C47"/>
    <w:rsid w:val="00EB6FC0"/>
    <w:rsid w:val="00EB756C"/>
    <w:rsid w:val="00EB780D"/>
    <w:rsid w:val="00EB7FDD"/>
    <w:rsid w:val="00EC44D8"/>
    <w:rsid w:val="00EC4B6F"/>
    <w:rsid w:val="00EC5C48"/>
    <w:rsid w:val="00EC5F16"/>
    <w:rsid w:val="00ED0639"/>
    <w:rsid w:val="00ED0ED0"/>
    <w:rsid w:val="00ED2062"/>
    <w:rsid w:val="00ED41F7"/>
    <w:rsid w:val="00ED59C7"/>
    <w:rsid w:val="00EE60DD"/>
    <w:rsid w:val="00EF18E7"/>
    <w:rsid w:val="00EF3021"/>
    <w:rsid w:val="00EF4755"/>
    <w:rsid w:val="00EF583C"/>
    <w:rsid w:val="00EF7135"/>
    <w:rsid w:val="00F001FD"/>
    <w:rsid w:val="00F027DB"/>
    <w:rsid w:val="00F02F34"/>
    <w:rsid w:val="00F04899"/>
    <w:rsid w:val="00F057A3"/>
    <w:rsid w:val="00F05E1E"/>
    <w:rsid w:val="00F05F7C"/>
    <w:rsid w:val="00F14A7A"/>
    <w:rsid w:val="00F2037E"/>
    <w:rsid w:val="00F22985"/>
    <w:rsid w:val="00F23E1C"/>
    <w:rsid w:val="00F27874"/>
    <w:rsid w:val="00F326D3"/>
    <w:rsid w:val="00F3383E"/>
    <w:rsid w:val="00F3556B"/>
    <w:rsid w:val="00F36141"/>
    <w:rsid w:val="00F3633A"/>
    <w:rsid w:val="00F3668E"/>
    <w:rsid w:val="00F36FCD"/>
    <w:rsid w:val="00F37073"/>
    <w:rsid w:val="00F37622"/>
    <w:rsid w:val="00F446F6"/>
    <w:rsid w:val="00F44BFC"/>
    <w:rsid w:val="00F465A7"/>
    <w:rsid w:val="00F50B7C"/>
    <w:rsid w:val="00F550E6"/>
    <w:rsid w:val="00F56017"/>
    <w:rsid w:val="00F56EB5"/>
    <w:rsid w:val="00F57684"/>
    <w:rsid w:val="00F57DB7"/>
    <w:rsid w:val="00F61C6D"/>
    <w:rsid w:val="00F64EE0"/>
    <w:rsid w:val="00F66EAD"/>
    <w:rsid w:val="00F675A1"/>
    <w:rsid w:val="00F7160E"/>
    <w:rsid w:val="00F72565"/>
    <w:rsid w:val="00F728B2"/>
    <w:rsid w:val="00F74345"/>
    <w:rsid w:val="00F74624"/>
    <w:rsid w:val="00F75466"/>
    <w:rsid w:val="00F77C52"/>
    <w:rsid w:val="00F804C1"/>
    <w:rsid w:val="00F80A0A"/>
    <w:rsid w:val="00F825D6"/>
    <w:rsid w:val="00F82B19"/>
    <w:rsid w:val="00F84779"/>
    <w:rsid w:val="00F86B90"/>
    <w:rsid w:val="00F9212D"/>
    <w:rsid w:val="00F92658"/>
    <w:rsid w:val="00F965DA"/>
    <w:rsid w:val="00F96709"/>
    <w:rsid w:val="00F9744C"/>
    <w:rsid w:val="00FA04C8"/>
    <w:rsid w:val="00FA406A"/>
    <w:rsid w:val="00FA6112"/>
    <w:rsid w:val="00FB1A3F"/>
    <w:rsid w:val="00FB32CA"/>
    <w:rsid w:val="00FB3795"/>
    <w:rsid w:val="00FB503A"/>
    <w:rsid w:val="00FB516C"/>
    <w:rsid w:val="00FB5B40"/>
    <w:rsid w:val="00FC1E7A"/>
    <w:rsid w:val="00FC3B9A"/>
    <w:rsid w:val="00FC47F0"/>
    <w:rsid w:val="00FC6ADD"/>
    <w:rsid w:val="00FD0236"/>
    <w:rsid w:val="00FD18F4"/>
    <w:rsid w:val="00FD54DB"/>
    <w:rsid w:val="00FD619F"/>
    <w:rsid w:val="00FD7D4D"/>
    <w:rsid w:val="00FE0885"/>
    <w:rsid w:val="00FE0BA5"/>
    <w:rsid w:val="00FE6760"/>
    <w:rsid w:val="00FE68B4"/>
    <w:rsid w:val="00FE6A7E"/>
    <w:rsid w:val="00FF103A"/>
    <w:rsid w:val="00FF10F6"/>
    <w:rsid w:val="00FF40C6"/>
    <w:rsid w:val="00FF4454"/>
    <w:rsid w:val="01227D26"/>
    <w:rsid w:val="01290F7E"/>
    <w:rsid w:val="013637D1"/>
    <w:rsid w:val="015D1E09"/>
    <w:rsid w:val="017F4C7E"/>
    <w:rsid w:val="01985FCB"/>
    <w:rsid w:val="01AC75F0"/>
    <w:rsid w:val="01B974D3"/>
    <w:rsid w:val="01FB40D3"/>
    <w:rsid w:val="022352DD"/>
    <w:rsid w:val="024F3E0A"/>
    <w:rsid w:val="02697903"/>
    <w:rsid w:val="02A625A9"/>
    <w:rsid w:val="02C167B0"/>
    <w:rsid w:val="02CE12C7"/>
    <w:rsid w:val="02F16316"/>
    <w:rsid w:val="02F96569"/>
    <w:rsid w:val="02FC7ACC"/>
    <w:rsid w:val="030B7986"/>
    <w:rsid w:val="03280EF8"/>
    <w:rsid w:val="036F2169"/>
    <w:rsid w:val="03C16FD8"/>
    <w:rsid w:val="03D77EE3"/>
    <w:rsid w:val="03DF0436"/>
    <w:rsid w:val="03EA7B21"/>
    <w:rsid w:val="03EC6567"/>
    <w:rsid w:val="04051239"/>
    <w:rsid w:val="04290887"/>
    <w:rsid w:val="04566B35"/>
    <w:rsid w:val="04B30C95"/>
    <w:rsid w:val="04D379E7"/>
    <w:rsid w:val="05027E6C"/>
    <w:rsid w:val="05135B57"/>
    <w:rsid w:val="05474BB5"/>
    <w:rsid w:val="05BE6B16"/>
    <w:rsid w:val="05C235C9"/>
    <w:rsid w:val="05C6237D"/>
    <w:rsid w:val="05F81055"/>
    <w:rsid w:val="05F83EAE"/>
    <w:rsid w:val="06021459"/>
    <w:rsid w:val="06135E8F"/>
    <w:rsid w:val="062220DC"/>
    <w:rsid w:val="062749A5"/>
    <w:rsid w:val="063E7D85"/>
    <w:rsid w:val="06D33870"/>
    <w:rsid w:val="06DF1460"/>
    <w:rsid w:val="071F31CA"/>
    <w:rsid w:val="07293586"/>
    <w:rsid w:val="07295285"/>
    <w:rsid w:val="07636392"/>
    <w:rsid w:val="07770C56"/>
    <w:rsid w:val="07A5520D"/>
    <w:rsid w:val="07C57F88"/>
    <w:rsid w:val="07F438B2"/>
    <w:rsid w:val="08104767"/>
    <w:rsid w:val="08134822"/>
    <w:rsid w:val="08326984"/>
    <w:rsid w:val="0838450F"/>
    <w:rsid w:val="083B2710"/>
    <w:rsid w:val="087F1701"/>
    <w:rsid w:val="08964E72"/>
    <w:rsid w:val="08DF64BB"/>
    <w:rsid w:val="08E06CF9"/>
    <w:rsid w:val="0907134B"/>
    <w:rsid w:val="092217DD"/>
    <w:rsid w:val="093A7294"/>
    <w:rsid w:val="095D768E"/>
    <w:rsid w:val="0A0439B6"/>
    <w:rsid w:val="0A05247C"/>
    <w:rsid w:val="0A0867D9"/>
    <w:rsid w:val="0A263993"/>
    <w:rsid w:val="0A287A2F"/>
    <w:rsid w:val="0A2D3AC2"/>
    <w:rsid w:val="0A3E46F9"/>
    <w:rsid w:val="0A503874"/>
    <w:rsid w:val="0A775E1F"/>
    <w:rsid w:val="0A99080F"/>
    <w:rsid w:val="0AA755DF"/>
    <w:rsid w:val="0AE0655C"/>
    <w:rsid w:val="0B120D44"/>
    <w:rsid w:val="0B2C3BE5"/>
    <w:rsid w:val="0B664E0F"/>
    <w:rsid w:val="0B882E7B"/>
    <w:rsid w:val="0B99503A"/>
    <w:rsid w:val="0BA650B0"/>
    <w:rsid w:val="0BD27BF6"/>
    <w:rsid w:val="0C3B3C7D"/>
    <w:rsid w:val="0C6C7ADF"/>
    <w:rsid w:val="0C727688"/>
    <w:rsid w:val="0C8064A1"/>
    <w:rsid w:val="0CAB2EAE"/>
    <w:rsid w:val="0CFA1B57"/>
    <w:rsid w:val="0CFE4DC1"/>
    <w:rsid w:val="0D117E17"/>
    <w:rsid w:val="0D283592"/>
    <w:rsid w:val="0D621C7D"/>
    <w:rsid w:val="0D88050D"/>
    <w:rsid w:val="0DD17B12"/>
    <w:rsid w:val="0DF968F1"/>
    <w:rsid w:val="0E5054DE"/>
    <w:rsid w:val="0E73034D"/>
    <w:rsid w:val="0E9E6F6E"/>
    <w:rsid w:val="0EAB2B6B"/>
    <w:rsid w:val="0EC17E0E"/>
    <w:rsid w:val="0EE04D7C"/>
    <w:rsid w:val="0F13775A"/>
    <w:rsid w:val="0F2D5AA7"/>
    <w:rsid w:val="0F3240DF"/>
    <w:rsid w:val="0F386966"/>
    <w:rsid w:val="0F5F45FE"/>
    <w:rsid w:val="0F7B788F"/>
    <w:rsid w:val="0F9A112B"/>
    <w:rsid w:val="0F9C0108"/>
    <w:rsid w:val="0FA51A26"/>
    <w:rsid w:val="0FDC7731"/>
    <w:rsid w:val="0FE4089C"/>
    <w:rsid w:val="0FEF171B"/>
    <w:rsid w:val="106D2F64"/>
    <w:rsid w:val="10844DD5"/>
    <w:rsid w:val="10A26BE6"/>
    <w:rsid w:val="10B63710"/>
    <w:rsid w:val="10BA1208"/>
    <w:rsid w:val="10F10820"/>
    <w:rsid w:val="10FE598E"/>
    <w:rsid w:val="11050ACA"/>
    <w:rsid w:val="111C2F7A"/>
    <w:rsid w:val="112F0C3F"/>
    <w:rsid w:val="113C74D4"/>
    <w:rsid w:val="114F1CDB"/>
    <w:rsid w:val="11533EE2"/>
    <w:rsid w:val="11621A79"/>
    <w:rsid w:val="11665CA1"/>
    <w:rsid w:val="11835941"/>
    <w:rsid w:val="119B31DD"/>
    <w:rsid w:val="11CD6857"/>
    <w:rsid w:val="125F15C4"/>
    <w:rsid w:val="128E1AE3"/>
    <w:rsid w:val="12B97E2D"/>
    <w:rsid w:val="12E666D9"/>
    <w:rsid w:val="134753CA"/>
    <w:rsid w:val="135950FD"/>
    <w:rsid w:val="138C54D3"/>
    <w:rsid w:val="13951726"/>
    <w:rsid w:val="13985C26"/>
    <w:rsid w:val="13B95B4F"/>
    <w:rsid w:val="13CB5D21"/>
    <w:rsid w:val="14396509"/>
    <w:rsid w:val="14634486"/>
    <w:rsid w:val="147F6DE6"/>
    <w:rsid w:val="14860BF1"/>
    <w:rsid w:val="148D7E6F"/>
    <w:rsid w:val="14DD2C3C"/>
    <w:rsid w:val="14EB396E"/>
    <w:rsid w:val="15437E13"/>
    <w:rsid w:val="15480AE3"/>
    <w:rsid w:val="15877D00"/>
    <w:rsid w:val="158C5C66"/>
    <w:rsid w:val="15A57B4C"/>
    <w:rsid w:val="15BC5381"/>
    <w:rsid w:val="15EE6A63"/>
    <w:rsid w:val="16087E1D"/>
    <w:rsid w:val="16134661"/>
    <w:rsid w:val="1658169C"/>
    <w:rsid w:val="16C03316"/>
    <w:rsid w:val="16E45CEE"/>
    <w:rsid w:val="17497BD2"/>
    <w:rsid w:val="17701D14"/>
    <w:rsid w:val="17735226"/>
    <w:rsid w:val="177469AA"/>
    <w:rsid w:val="178A26E7"/>
    <w:rsid w:val="178A7F7B"/>
    <w:rsid w:val="179130B8"/>
    <w:rsid w:val="17CB3F96"/>
    <w:rsid w:val="17E56F60"/>
    <w:rsid w:val="17E66E5F"/>
    <w:rsid w:val="186F4456"/>
    <w:rsid w:val="189C1C81"/>
    <w:rsid w:val="189F624C"/>
    <w:rsid w:val="18AA234F"/>
    <w:rsid w:val="18BB4448"/>
    <w:rsid w:val="18BC23B6"/>
    <w:rsid w:val="1966549E"/>
    <w:rsid w:val="197C38F4"/>
    <w:rsid w:val="198A6011"/>
    <w:rsid w:val="19D56613"/>
    <w:rsid w:val="1A1342F8"/>
    <w:rsid w:val="1A1C66C0"/>
    <w:rsid w:val="1A371F47"/>
    <w:rsid w:val="1A3D7454"/>
    <w:rsid w:val="1A42393B"/>
    <w:rsid w:val="1A4F2969"/>
    <w:rsid w:val="1A693E78"/>
    <w:rsid w:val="1A9B6BCF"/>
    <w:rsid w:val="1AAD45DE"/>
    <w:rsid w:val="1AED534D"/>
    <w:rsid w:val="1B046F80"/>
    <w:rsid w:val="1B1F577F"/>
    <w:rsid w:val="1B292471"/>
    <w:rsid w:val="1B3267B5"/>
    <w:rsid w:val="1B40161D"/>
    <w:rsid w:val="1B441859"/>
    <w:rsid w:val="1B6606B1"/>
    <w:rsid w:val="1B6F3F5F"/>
    <w:rsid w:val="1BB26287"/>
    <w:rsid w:val="1BF65BDF"/>
    <w:rsid w:val="1BFB5A6A"/>
    <w:rsid w:val="1C177904"/>
    <w:rsid w:val="1C280A6A"/>
    <w:rsid w:val="1C2C7808"/>
    <w:rsid w:val="1C5E7925"/>
    <w:rsid w:val="1C964CCC"/>
    <w:rsid w:val="1CC655B2"/>
    <w:rsid w:val="1CD65C5D"/>
    <w:rsid w:val="1CFD070F"/>
    <w:rsid w:val="1CFE203E"/>
    <w:rsid w:val="1D1075D0"/>
    <w:rsid w:val="1D506D2A"/>
    <w:rsid w:val="1D54148D"/>
    <w:rsid w:val="1D56268C"/>
    <w:rsid w:val="1D5F6196"/>
    <w:rsid w:val="1D6132A5"/>
    <w:rsid w:val="1D707442"/>
    <w:rsid w:val="1D8E56D5"/>
    <w:rsid w:val="1D9C1BDF"/>
    <w:rsid w:val="1DAA0909"/>
    <w:rsid w:val="1E0C3498"/>
    <w:rsid w:val="1E206F43"/>
    <w:rsid w:val="1E7A43DA"/>
    <w:rsid w:val="1E7B133C"/>
    <w:rsid w:val="1E9B2DD4"/>
    <w:rsid w:val="1EB5581B"/>
    <w:rsid w:val="1ECD5917"/>
    <w:rsid w:val="1F2611F4"/>
    <w:rsid w:val="1F452AE1"/>
    <w:rsid w:val="1F4D3D68"/>
    <w:rsid w:val="1F5B35E5"/>
    <w:rsid w:val="1F9811E7"/>
    <w:rsid w:val="1FE7539E"/>
    <w:rsid w:val="20292ADD"/>
    <w:rsid w:val="205E1FA5"/>
    <w:rsid w:val="20671BE0"/>
    <w:rsid w:val="206C46C2"/>
    <w:rsid w:val="20963CB8"/>
    <w:rsid w:val="20A07065"/>
    <w:rsid w:val="20A81A1B"/>
    <w:rsid w:val="20B07FB6"/>
    <w:rsid w:val="20B646FB"/>
    <w:rsid w:val="21204750"/>
    <w:rsid w:val="213B74B1"/>
    <w:rsid w:val="214320A3"/>
    <w:rsid w:val="215A2310"/>
    <w:rsid w:val="21A8797C"/>
    <w:rsid w:val="21CA6954"/>
    <w:rsid w:val="21CE77C5"/>
    <w:rsid w:val="21D56325"/>
    <w:rsid w:val="21DE318A"/>
    <w:rsid w:val="21E14C3C"/>
    <w:rsid w:val="21EF5B80"/>
    <w:rsid w:val="22222456"/>
    <w:rsid w:val="222B4109"/>
    <w:rsid w:val="22576990"/>
    <w:rsid w:val="226E036B"/>
    <w:rsid w:val="22726533"/>
    <w:rsid w:val="22835CF3"/>
    <w:rsid w:val="22902CA4"/>
    <w:rsid w:val="22F47480"/>
    <w:rsid w:val="23645BCD"/>
    <w:rsid w:val="239A1546"/>
    <w:rsid w:val="23DE1C48"/>
    <w:rsid w:val="240210CD"/>
    <w:rsid w:val="24411A0C"/>
    <w:rsid w:val="24447577"/>
    <w:rsid w:val="24BF09F7"/>
    <w:rsid w:val="24F30A06"/>
    <w:rsid w:val="252D53FE"/>
    <w:rsid w:val="25EC2D81"/>
    <w:rsid w:val="25EF28D1"/>
    <w:rsid w:val="26516E72"/>
    <w:rsid w:val="26527EB6"/>
    <w:rsid w:val="268B2A9D"/>
    <w:rsid w:val="27292135"/>
    <w:rsid w:val="27333506"/>
    <w:rsid w:val="2762606A"/>
    <w:rsid w:val="277057A2"/>
    <w:rsid w:val="27735D42"/>
    <w:rsid w:val="277B5C80"/>
    <w:rsid w:val="27976586"/>
    <w:rsid w:val="27AE656C"/>
    <w:rsid w:val="27D30E88"/>
    <w:rsid w:val="28045F82"/>
    <w:rsid w:val="28B371A5"/>
    <w:rsid w:val="28B95B1B"/>
    <w:rsid w:val="28C12F19"/>
    <w:rsid w:val="28DE54FC"/>
    <w:rsid w:val="28F171AF"/>
    <w:rsid w:val="29206EB8"/>
    <w:rsid w:val="29312824"/>
    <w:rsid w:val="29370FFC"/>
    <w:rsid w:val="29595666"/>
    <w:rsid w:val="29874881"/>
    <w:rsid w:val="29E325E0"/>
    <w:rsid w:val="29EE7EF6"/>
    <w:rsid w:val="29FF252A"/>
    <w:rsid w:val="2A452503"/>
    <w:rsid w:val="2A4E5039"/>
    <w:rsid w:val="2A833231"/>
    <w:rsid w:val="2AE3365B"/>
    <w:rsid w:val="2AF83194"/>
    <w:rsid w:val="2B1C10CE"/>
    <w:rsid w:val="2B6229F9"/>
    <w:rsid w:val="2B716447"/>
    <w:rsid w:val="2B911481"/>
    <w:rsid w:val="2BA936A8"/>
    <w:rsid w:val="2BB24858"/>
    <w:rsid w:val="2BD70F6D"/>
    <w:rsid w:val="2BF259FE"/>
    <w:rsid w:val="2C315A5A"/>
    <w:rsid w:val="2C4B1C25"/>
    <w:rsid w:val="2C7C7A3B"/>
    <w:rsid w:val="2C8F5FE1"/>
    <w:rsid w:val="2D37400A"/>
    <w:rsid w:val="2D557340"/>
    <w:rsid w:val="2D6C440C"/>
    <w:rsid w:val="2D8C2804"/>
    <w:rsid w:val="2D8D5C78"/>
    <w:rsid w:val="2D9E56F5"/>
    <w:rsid w:val="2DE55AB4"/>
    <w:rsid w:val="2E090455"/>
    <w:rsid w:val="2E5F1C45"/>
    <w:rsid w:val="2E667F96"/>
    <w:rsid w:val="2E67471B"/>
    <w:rsid w:val="2E6B1D1B"/>
    <w:rsid w:val="2E6B5F9A"/>
    <w:rsid w:val="2E8226AB"/>
    <w:rsid w:val="2E942B39"/>
    <w:rsid w:val="2F1A761F"/>
    <w:rsid w:val="2F3A60E3"/>
    <w:rsid w:val="2F435524"/>
    <w:rsid w:val="2F8B75DA"/>
    <w:rsid w:val="2FCE5C39"/>
    <w:rsid w:val="2FD065E6"/>
    <w:rsid w:val="2FD96870"/>
    <w:rsid w:val="2FE04785"/>
    <w:rsid w:val="2FF07251"/>
    <w:rsid w:val="30254764"/>
    <w:rsid w:val="30580BC9"/>
    <w:rsid w:val="30801FAB"/>
    <w:rsid w:val="30990E96"/>
    <w:rsid w:val="30AE4E49"/>
    <w:rsid w:val="30C73EA4"/>
    <w:rsid w:val="30D65765"/>
    <w:rsid w:val="30FE32FE"/>
    <w:rsid w:val="311E2ED7"/>
    <w:rsid w:val="312A59EA"/>
    <w:rsid w:val="315619EE"/>
    <w:rsid w:val="315C449C"/>
    <w:rsid w:val="318A388B"/>
    <w:rsid w:val="31A57A34"/>
    <w:rsid w:val="31B47C77"/>
    <w:rsid w:val="31B82709"/>
    <w:rsid w:val="31D05482"/>
    <w:rsid w:val="31EF5153"/>
    <w:rsid w:val="3200359D"/>
    <w:rsid w:val="322E23E8"/>
    <w:rsid w:val="32400B34"/>
    <w:rsid w:val="32897E1C"/>
    <w:rsid w:val="328A6C2A"/>
    <w:rsid w:val="32981379"/>
    <w:rsid w:val="329E6876"/>
    <w:rsid w:val="32AB5D01"/>
    <w:rsid w:val="32BD56A6"/>
    <w:rsid w:val="32C74BA9"/>
    <w:rsid w:val="32F72E8D"/>
    <w:rsid w:val="331F3816"/>
    <w:rsid w:val="332C16ED"/>
    <w:rsid w:val="332E3589"/>
    <w:rsid w:val="333015F2"/>
    <w:rsid w:val="334B6320"/>
    <w:rsid w:val="33501E4A"/>
    <w:rsid w:val="33527747"/>
    <w:rsid w:val="335E4607"/>
    <w:rsid w:val="337376D3"/>
    <w:rsid w:val="33A064D1"/>
    <w:rsid w:val="33BF31B5"/>
    <w:rsid w:val="33D92C7A"/>
    <w:rsid w:val="33D934D4"/>
    <w:rsid w:val="33EA31A7"/>
    <w:rsid w:val="33F26834"/>
    <w:rsid w:val="33FE2F6A"/>
    <w:rsid w:val="340E07E5"/>
    <w:rsid w:val="34235BF7"/>
    <w:rsid w:val="34383D9A"/>
    <w:rsid w:val="343926B5"/>
    <w:rsid w:val="343C6163"/>
    <w:rsid w:val="344949D6"/>
    <w:rsid w:val="3495179E"/>
    <w:rsid w:val="34DA5C46"/>
    <w:rsid w:val="357D0C50"/>
    <w:rsid w:val="3586450E"/>
    <w:rsid w:val="35883A00"/>
    <w:rsid w:val="358C5FA8"/>
    <w:rsid w:val="3596327C"/>
    <w:rsid w:val="35A61EB8"/>
    <w:rsid w:val="35B8665A"/>
    <w:rsid w:val="35C15DF1"/>
    <w:rsid w:val="35D20E49"/>
    <w:rsid w:val="36074A7F"/>
    <w:rsid w:val="3641163C"/>
    <w:rsid w:val="36577894"/>
    <w:rsid w:val="366F21BD"/>
    <w:rsid w:val="36923549"/>
    <w:rsid w:val="36B75FBF"/>
    <w:rsid w:val="36BD0C45"/>
    <w:rsid w:val="36E8763B"/>
    <w:rsid w:val="37166D64"/>
    <w:rsid w:val="37862924"/>
    <w:rsid w:val="37936580"/>
    <w:rsid w:val="37B97C84"/>
    <w:rsid w:val="37E00298"/>
    <w:rsid w:val="37EC5FE6"/>
    <w:rsid w:val="38561E35"/>
    <w:rsid w:val="38635F53"/>
    <w:rsid w:val="38911C54"/>
    <w:rsid w:val="38B302F9"/>
    <w:rsid w:val="38F12CD3"/>
    <w:rsid w:val="38F94775"/>
    <w:rsid w:val="3902351F"/>
    <w:rsid w:val="3913511C"/>
    <w:rsid w:val="39203FFE"/>
    <w:rsid w:val="392971ED"/>
    <w:rsid w:val="39325651"/>
    <w:rsid w:val="39460F06"/>
    <w:rsid w:val="399718B4"/>
    <w:rsid w:val="39C0008E"/>
    <w:rsid w:val="3A1D5EDB"/>
    <w:rsid w:val="3A56477C"/>
    <w:rsid w:val="3A751F6D"/>
    <w:rsid w:val="3A872856"/>
    <w:rsid w:val="3A8A1C91"/>
    <w:rsid w:val="3AA30888"/>
    <w:rsid w:val="3AA76476"/>
    <w:rsid w:val="3B337E5E"/>
    <w:rsid w:val="3B3763D1"/>
    <w:rsid w:val="3B4C1E1D"/>
    <w:rsid w:val="3B5123CB"/>
    <w:rsid w:val="3B6D76D3"/>
    <w:rsid w:val="3BED2703"/>
    <w:rsid w:val="3C1001A0"/>
    <w:rsid w:val="3C2042A9"/>
    <w:rsid w:val="3C241E9D"/>
    <w:rsid w:val="3C2F6E1E"/>
    <w:rsid w:val="3C4F64BA"/>
    <w:rsid w:val="3C5252DB"/>
    <w:rsid w:val="3C6B4749"/>
    <w:rsid w:val="3C6D73A0"/>
    <w:rsid w:val="3CDA245A"/>
    <w:rsid w:val="3D1E06B7"/>
    <w:rsid w:val="3D3462AF"/>
    <w:rsid w:val="3D3B5B6B"/>
    <w:rsid w:val="3D3D5401"/>
    <w:rsid w:val="3D6E064C"/>
    <w:rsid w:val="3D917A06"/>
    <w:rsid w:val="3DBB0DE9"/>
    <w:rsid w:val="3DC56D68"/>
    <w:rsid w:val="3DE15BC8"/>
    <w:rsid w:val="3DF31F7D"/>
    <w:rsid w:val="3DFD6240"/>
    <w:rsid w:val="3E29379B"/>
    <w:rsid w:val="3E765781"/>
    <w:rsid w:val="3E7E7642"/>
    <w:rsid w:val="3E806EB1"/>
    <w:rsid w:val="3E8A4F9E"/>
    <w:rsid w:val="3ECA4B48"/>
    <w:rsid w:val="3ECC2AA4"/>
    <w:rsid w:val="3EDA0523"/>
    <w:rsid w:val="3EEE0039"/>
    <w:rsid w:val="3EF00600"/>
    <w:rsid w:val="3F0B3A0A"/>
    <w:rsid w:val="3F6E64A0"/>
    <w:rsid w:val="3F794A24"/>
    <w:rsid w:val="3F926809"/>
    <w:rsid w:val="3F9E546D"/>
    <w:rsid w:val="403503FB"/>
    <w:rsid w:val="407A6407"/>
    <w:rsid w:val="40905F1A"/>
    <w:rsid w:val="409B5894"/>
    <w:rsid w:val="40AF790C"/>
    <w:rsid w:val="40B3417D"/>
    <w:rsid w:val="40E045E4"/>
    <w:rsid w:val="41091CFF"/>
    <w:rsid w:val="411E335F"/>
    <w:rsid w:val="412020E6"/>
    <w:rsid w:val="415B7F84"/>
    <w:rsid w:val="418A51A1"/>
    <w:rsid w:val="419378A9"/>
    <w:rsid w:val="41B41965"/>
    <w:rsid w:val="41B75138"/>
    <w:rsid w:val="41BF0D08"/>
    <w:rsid w:val="41C002C6"/>
    <w:rsid w:val="41DB2618"/>
    <w:rsid w:val="41DF5F1B"/>
    <w:rsid w:val="4200449D"/>
    <w:rsid w:val="4209390E"/>
    <w:rsid w:val="42366486"/>
    <w:rsid w:val="423A3BCC"/>
    <w:rsid w:val="423C4631"/>
    <w:rsid w:val="423D5921"/>
    <w:rsid w:val="42435874"/>
    <w:rsid w:val="424E57D2"/>
    <w:rsid w:val="42886C9F"/>
    <w:rsid w:val="42AB29D0"/>
    <w:rsid w:val="42B26C49"/>
    <w:rsid w:val="42B40980"/>
    <w:rsid w:val="42DD3505"/>
    <w:rsid w:val="430A6196"/>
    <w:rsid w:val="433A6FE6"/>
    <w:rsid w:val="43480868"/>
    <w:rsid w:val="4350713C"/>
    <w:rsid w:val="43566DE0"/>
    <w:rsid w:val="435B519B"/>
    <w:rsid w:val="435F23CA"/>
    <w:rsid w:val="436653E0"/>
    <w:rsid w:val="43C4431A"/>
    <w:rsid w:val="43C54BB5"/>
    <w:rsid w:val="43CC740D"/>
    <w:rsid w:val="44083ACA"/>
    <w:rsid w:val="440A0153"/>
    <w:rsid w:val="44935E12"/>
    <w:rsid w:val="44AB453E"/>
    <w:rsid w:val="44B951CC"/>
    <w:rsid w:val="44CD14E0"/>
    <w:rsid w:val="44F20B0B"/>
    <w:rsid w:val="452E5F4C"/>
    <w:rsid w:val="454551A7"/>
    <w:rsid w:val="45612018"/>
    <w:rsid w:val="45643807"/>
    <w:rsid w:val="458946E9"/>
    <w:rsid w:val="45A47C0E"/>
    <w:rsid w:val="45A63CD0"/>
    <w:rsid w:val="45F97EF6"/>
    <w:rsid w:val="4607616F"/>
    <w:rsid w:val="463E2008"/>
    <w:rsid w:val="46577FD6"/>
    <w:rsid w:val="465B64BB"/>
    <w:rsid w:val="4662784A"/>
    <w:rsid w:val="46CD624D"/>
    <w:rsid w:val="46D955A7"/>
    <w:rsid w:val="47133957"/>
    <w:rsid w:val="47480D31"/>
    <w:rsid w:val="47A07E0C"/>
    <w:rsid w:val="47D2124A"/>
    <w:rsid w:val="47DE0B15"/>
    <w:rsid w:val="47E440F8"/>
    <w:rsid w:val="47F16A4D"/>
    <w:rsid w:val="480F05D2"/>
    <w:rsid w:val="48541414"/>
    <w:rsid w:val="4870272E"/>
    <w:rsid w:val="48893F67"/>
    <w:rsid w:val="48945CB4"/>
    <w:rsid w:val="4896651A"/>
    <w:rsid w:val="48D34A2F"/>
    <w:rsid w:val="48EC175E"/>
    <w:rsid w:val="48F81EA1"/>
    <w:rsid w:val="49000B63"/>
    <w:rsid w:val="492A3BE4"/>
    <w:rsid w:val="494A7116"/>
    <w:rsid w:val="495B1666"/>
    <w:rsid w:val="4970210B"/>
    <w:rsid w:val="49917DE8"/>
    <w:rsid w:val="499B3937"/>
    <w:rsid w:val="49D34CB5"/>
    <w:rsid w:val="49D35DF5"/>
    <w:rsid w:val="49DC7715"/>
    <w:rsid w:val="4A023139"/>
    <w:rsid w:val="4A062EB1"/>
    <w:rsid w:val="4A064990"/>
    <w:rsid w:val="4A1D1740"/>
    <w:rsid w:val="4A7B576F"/>
    <w:rsid w:val="4A875FDB"/>
    <w:rsid w:val="4A8A7937"/>
    <w:rsid w:val="4AE72962"/>
    <w:rsid w:val="4AF561A9"/>
    <w:rsid w:val="4B0F73DE"/>
    <w:rsid w:val="4B0F78AC"/>
    <w:rsid w:val="4B3D3B99"/>
    <w:rsid w:val="4BA10E14"/>
    <w:rsid w:val="4BF23577"/>
    <w:rsid w:val="4BFE25DB"/>
    <w:rsid w:val="4C4634F1"/>
    <w:rsid w:val="4C4A0649"/>
    <w:rsid w:val="4C4D2D4A"/>
    <w:rsid w:val="4C78250B"/>
    <w:rsid w:val="4C7E5ECA"/>
    <w:rsid w:val="4C8311CB"/>
    <w:rsid w:val="4C876AA5"/>
    <w:rsid w:val="4D0E00FB"/>
    <w:rsid w:val="4D112048"/>
    <w:rsid w:val="4D176606"/>
    <w:rsid w:val="4D5A457A"/>
    <w:rsid w:val="4D6B5C52"/>
    <w:rsid w:val="4D6F4A7B"/>
    <w:rsid w:val="4DA90454"/>
    <w:rsid w:val="4DEC4FB0"/>
    <w:rsid w:val="4E075D8A"/>
    <w:rsid w:val="4E0F1241"/>
    <w:rsid w:val="4E29093D"/>
    <w:rsid w:val="4E6E603C"/>
    <w:rsid w:val="4EB6029F"/>
    <w:rsid w:val="4EBA7ACC"/>
    <w:rsid w:val="4EC00FAD"/>
    <w:rsid w:val="4EC5306C"/>
    <w:rsid w:val="4F05568E"/>
    <w:rsid w:val="4F5575B8"/>
    <w:rsid w:val="4F7C5744"/>
    <w:rsid w:val="4F9843DC"/>
    <w:rsid w:val="4FA07BA9"/>
    <w:rsid w:val="4FB82BD0"/>
    <w:rsid w:val="4FC153E4"/>
    <w:rsid w:val="4FC62A8C"/>
    <w:rsid w:val="4FE20F0D"/>
    <w:rsid w:val="4FE51552"/>
    <w:rsid w:val="4FE777A4"/>
    <w:rsid w:val="50340D88"/>
    <w:rsid w:val="50504C4B"/>
    <w:rsid w:val="505446A7"/>
    <w:rsid w:val="509C6E7C"/>
    <w:rsid w:val="50CB07DD"/>
    <w:rsid w:val="50CE7C05"/>
    <w:rsid w:val="50D6349A"/>
    <w:rsid w:val="510238A1"/>
    <w:rsid w:val="5162104E"/>
    <w:rsid w:val="51BF7BAC"/>
    <w:rsid w:val="51D0595D"/>
    <w:rsid w:val="51DD6B89"/>
    <w:rsid w:val="52043EAB"/>
    <w:rsid w:val="521E11D7"/>
    <w:rsid w:val="5229557F"/>
    <w:rsid w:val="5241293B"/>
    <w:rsid w:val="52641FE4"/>
    <w:rsid w:val="527C1C93"/>
    <w:rsid w:val="52856B65"/>
    <w:rsid w:val="52C27F12"/>
    <w:rsid w:val="52D14142"/>
    <w:rsid w:val="52E71802"/>
    <w:rsid w:val="52FF2454"/>
    <w:rsid w:val="5363150A"/>
    <w:rsid w:val="53A039CC"/>
    <w:rsid w:val="53A1505A"/>
    <w:rsid w:val="53CD71B7"/>
    <w:rsid w:val="53CE5EE0"/>
    <w:rsid w:val="53D669F4"/>
    <w:rsid w:val="54063E08"/>
    <w:rsid w:val="54281831"/>
    <w:rsid w:val="543437E8"/>
    <w:rsid w:val="544F1C48"/>
    <w:rsid w:val="545574C5"/>
    <w:rsid w:val="54C00BB1"/>
    <w:rsid w:val="54F73313"/>
    <w:rsid w:val="54F80955"/>
    <w:rsid w:val="555170A7"/>
    <w:rsid w:val="556E6389"/>
    <w:rsid w:val="5587536D"/>
    <w:rsid w:val="559B174B"/>
    <w:rsid w:val="559D701D"/>
    <w:rsid w:val="55CE0CF4"/>
    <w:rsid w:val="55D8718F"/>
    <w:rsid w:val="56B22A9C"/>
    <w:rsid w:val="56D91B0B"/>
    <w:rsid w:val="570551D0"/>
    <w:rsid w:val="5726041F"/>
    <w:rsid w:val="57727B09"/>
    <w:rsid w:val="578130E3"/>
    <w:rsid w:val="57B72A76"/>
    <w:rsid w:val="57C049F1"/>
    <w:rsid w:val="57C3426C"/>
    <w:rsid w:val="57CE1F93"/>
    <w:rsid w:val="58000136"/>
    <w:rsid w:val="58101699"/>
    <w:rsid w:val="58124717"/>
    <w:rsid w:val="585B01EC"/>
    <w:rsid w:val="586144EF"/>
    <w:rsid w:val="586F67F3"/>
    <w:rsid w:val="58823D7B"/>
    <w:rsid w:val="588743D1"/>
    <w:rsid w:val="5887701A"/>
    <w:rsid w:val="58BD19D9"/>
    <w:rsid w:val="58C55960"/>
    <w:rsid w:val="58C94FFB"/>
    <w:rsid w:val="58E714F5"/>
    <w:rsid w:val="592A27C6"/>
    <w:rsid w:val="59490906"/>
    <w:rsid w:val="59C0439F"/>
    <w:rsid w:val="59D949F9"/>
    <w:rsid w:val="59EF593E"/>
    <w:rsid w:val="5A670D37"/>
    <w:rsid w:val="5AB3646E"/>
    <w:rsid w:val="5ABE2233"/>
    <w:rsid w:val="5AD32CC4"/>
    <w:rsid w:val="5AD7215D"/>
    <w:rsid w:val="5AE2535B"/>
    <w:rsid w:val="5AE83531"/>
    <w:rsid w:val="5B1433B1"/>
    <w:rsid w:val="5B372BFB"/>
    <w:rsid w:val="5B52500C"/>
    <w:rsid w:val="5B6D7E13"/>
    <w:rsid w:val="5B9261ED"/>
    <w:rsid w:val="5BAA7871"/>
    <w:rsid w:val="5BC53F6F"/>
    <w:rsid w:val="5BCA156F"/>
    <w:rsid w:val="5BDE1292"/>
    <w:rsid w:val="5BDF5D95"/>
    <w:rsid w:val="5BFE7528"/>
    <w:rsid w:val="5C6E4D42"/>
    <w:rsid w:val="5D794F45"/>
    <w:rsid w:val="5DAD7AAE"/>
    <w:rsid w:val="5DCA7D57"/>
    <w:rsid w:val="5E0C65C1"/>
    <w:rsid w:val="5E2467F1"/>
    <w:rsid w:val="5E2735E1"/>
    <w:rsid w:val="5E3C4389"/>
    <w:rsid w:val="5E706136"/>
    <w:rsid w:val="5EC17640"/>
    <w:rsid w:val="5F066AD1"/>
    <w:rsid w:val="5F1A2B43"/>
    <w:rsid w:val="5F3E1E41"/>
    <w:rsid w:val="5FB837BB"/>
    <w:rsid w:val="5FEB0BB3"/>
    <w:rsid w:val="60151BC1"/>
    <w:rsid w:val="60487193"/>
    <w:rsid w:val="606C695F"/>
    <w:rsid w:val="608C0FF4"/>
    <w:rsid w:val="60CC405A"/>
    <w:rsid w:val="60D07D7A"/>
    <w:rsid w:val="61357BDD"/>
    <w:rsid w:val="61E215D8"/>
    <w:rsid w:val="61ED04B8"/>
    <w:rsid w:val="621B3775"/>
    <w:rsid w:val="62364782"/>
    <w:rsid w:val="6271012F"/>
    <w:rsid w:val="62AC242B"/>
    <w:rsid w:val="62CD2097"/>
    <w:rsid w:val="62EE2198"/>
    <w:rsid w:val="63072016"/>
    <w:rsid w:val="6317105D"/>
    <w:rsid w:val="63650113"/>
    <w:rsid w:val="6394356A"/>
    <w:rsid w:val="63B77607"/>
    <w:rsid w:val="63C61B2C"/>
    <w:rsid w:val="63C96D02"/>
    <w:rsid w:val="63D40BE9"/>
    <w:rsid w:val="63F70A4B"/>
    <w:rsid w:val="64033421"/>
    <w:rsid w:val="64102431"/>
    <w:rsid w:val="64264155"/>
    <w:rsid w:val="64452173"/>
    <w:rsid w:val="647A2BDD"/>
    <w:rsid w:val="64915A72"/>
    <w:rsid w:val="64A5243A"/>
    <w:rsid w:val="64CC2A37"/>
    <w:rsid w:val="64F531DE"/>
    <w:rsid w:val="65350491"/>
    <w:rsid w:val="65373578"/>
    <w:rsid w:val="653D09BB"/>
    <w:rsid w:val="6543450A"/>
    <w:rsid w:val="654348CD"/>
    <w:rsid w:val="6557354E"/>
    <w:rsid w:val="65804A89"/>
    <w:rsid w:val="658070D6"/>
    <w:rsid w:val="658C3B58"/>
    <w:rsid w:val="66072780"/>
    <w:rsid w:val="664C1584"/>
    <w:rsid w:val="66560D21"/>
    <w:rsid w:val="667A11E5"/>
    <w:rsid w:val="66DD2A6B"/>
    <w:rsid w:val="671F124A"/>
    <w:rsid w:val="67265D5D"/>
    <w:rsid w:val="672D1356"/>
    <w:rsid w:val="6739419F"/>
    <w:rsid w:val="6746111A"/>
    <w:rsid w:val="675E4AC0"/>
    <w:rsid w:val="677A33C6"/>
    <w:rsid w:val="68064081"/>
    <w:rsid w:val="681F6961"/>
    <w:rsid w:val="68442DFB"/>
    <w:rsid w:val="68610A2F"/>
    <w:rsid w:val="686F084C"/>
    <w:rsid w:val="68805514"/>
    <w:rsid w:val="6892654B"/>
    <w:rsid w:val="68C53F3C"/>
    <w:rsid w:val="68FD25A3"/>
    <w:rsid w:val="69066C92"/>
    <w:rsid w:val="69316E2F"/>
    <w:rsid w:val="694E2071"/>
    <w:rsid w:val="69747D96"/>
    <w:rsid w:val="69766163"/>
    <w:rsid w:val="697A3B33"/>
    <w:rsid w:val="69CE6E20"/>
    <w:rsid w:val="69D44760"/>
    <w:rsid w:val="69D87C9F"/>
    <w:rsid w:val="69FB2B09"/>
    <w:rsid w:val="69FE3A8B"/>
    <w:rsid w:val="6A0D3B18"/>
    <w:rsid w:val="6A123A14"/>
    <w:rsid w:val="6A520EC7"/>
    <w:rsid w:val="6A622E47"/>
    <w:rsid w:val="6A74729B"/>
    <w:rsid w:val="6A8556AB"/>
    <w:rsid w:val="6A902328"/>
    <w:rsid w:val="6AD82F38"/>
    <w:rsid w:val="6AF87E20"/>
    <w:rsid w:val="6B2F022A"/>
    <w:rsid w:val="6B322639"/>
    <w:rsid w:val="6B4B3105"/>
    <w:rsid w:val="6BB235AF"/>
    <w:rsid w:val="6BEA0A76"/>
    <w:rsid w:val="6C165A05"/>
    <w:rsid w:val="6C636C38"/>
    <w:rsid w:val="6C8649FD"/>
    <w:rsid w:val="6D033F9F"/>
    <w:rsid w:val="6D113010"/>
    <w:rsid w:val="6D8545BE"/>
    <w:rsid w:val="6DA63E09"/>
    <w:rsid w:val="6DB34098"/>
    <w:rsid w:val="6DB545B6"/>
    <w:rsid w:val="6DE02FB4"/>
    <w:rsid w:val="6DFB21AE"/>
    <w:rsid w:val="6E514CED"/>
    <w:rsid w:val="6E67025A"/>
    <w:rsid w:val="6E706FDE"/>
    <w:rsid w:val="6E9B51D1"/>
    <w:rsid w:val="6EA33CF4"/>
    <w:rsid w:val="6EB563D5"/>
    <w:rsid w:val="6ED92677"/>
    <w:rsid w:val="6EE61329"/>
    <w:rsid w:val="6EF94770"/>
    <w:rsid w:val="6F225983"/>
    <w:rsid w:val="6FBD613F"/>
    <w:rsid w:val="6FEE27CB"/>
    <w:rsid w:val="6FFC5590"/>
    <w:rsid w:val="70010AB8"/>
    <w:rsid w:val="701201E0"/>
    <w:rsid w:val="702A661F"/>
    <w:rsid w:val="706D1DD0"/>
    <w:rsid w:val="70700C31"/>
    <w:rsid w:val="707A08E1"/>
    <w:rsid w:val="70856B87"/>
    <w:rsid w:val="708D0F8E"/>
    <w:rsid w:val="70A419DB"/>
    <w:rsid w:val="70D527EE"/>
    <w:rsid w:val="71074F29"/>
    <w:rsid w:val="71393FD4"/>
    <w:rsid w:val="71542D7C"/>
    <w:rsid w:val="715A0AFD"/>
    <w:rsid w:val="715B5300"/>
    <w:rsid w:val="715F0C04"/>
    <w:rsid w:val="71664AA5"/>
    <w:rsid w:val="71A37405"/>
    <w:rsid w:val="71AB7A47"/>
    <w:rsid w:val="71D27F8A"/>
    <w:rsid w:val="72261199"/>
    <w:rsid w:val="72553024"/>
    <w:rsid w:val="725956F5"/>
    <w:rsid w:val="72921C61"/>
    <w:rsid w:val="72E15E16"/>
    <w:rsid w:val="7309404B"/>
    <w:rsid w:val="730A137F"/>
    <w:rsid w:val="73122968"/>
    <w:rsid w:val="73142D6B"/>
    <w:rsid w:val="731F5D5E"/>
    <w:rsid w:val="738239FA"/>
    <w:rsid w:val="73857529"/>
    <w:rsid w:val="738673D5"/>
    <w:rsid w:val="73A478B6"/>
    <w:rsid w:val="73AC46F7"/>
    <w:rsid w:val="73C51AD5"/>
    <w:rsid w:val="73D019E7"/>
    <w:rsid w:val="740C2DE4"/>
    <w:rsid w:val="741E793C"/>
    <w:rsid w:val="742A2BA2"/>
    <w:rsid w:val="745E3944"/>
    <w:rsid w:val="74856C75"/>
    <w:rsid w:val="74864A31"/>
    <w:rsid w:val="74C10547"/>
    <w:rsid w:val="74E16883"/>
    <w:rsid w:val="75073186"/>
    <w:rsid w:val="75963B29"/>
    <w:rsid w:val="75DA6B4D"/>
    <w:rsid w:val="75E91F88"/>
    <w:rsid w:val="76041503"/>
    <w:rsid w:val="76052538"/>
    <w:rsid w:val="7635099D"/>
    <w:rsid w:val="767D7C04"/>
    <w:rsid w:val="76C21ABB"/>
    <w:rsid w:val="76E77774"/>
    <w:rsid w:val="77762421"/>
    <w:rsid w:val="77B56B1F"/>
    <w:rsid w:val="77B92741"/>
    <w:rsid w:val="780F09F4"/>
    <w:rsid w:val="786E1D9F"/>
    <w:rsid w:val="78830DFC"/>
    <w:rsid w:val="7891242C"/>
    <w:rsid w:val="78A90480"/>
    <w:rsid w:val="79507FD7"/>
    <w:rsid w:val="79CE276B"/>
    <w:rsid w:val="7A1C3FAC"/>
    <w:rsid w:val="7A29287B"/>
    <w:rsid w:val="7A364017"/>
    <w:rsid w:val="7A8265E1"/>
    <w:rsid w:val="7A9F497D"/>
    <w:rsid w:val="7AA97EC5"/>
    <w:rsid w:val="7AB07205"/>
    <w:rsid w:val="7B1261BC"/>
    <w:rsid w:val="7B686D42"/>
    <w:rsid w:val="7B6A44CF"/>
    <w:rsid w:val="7B772DF8"/>
    <w:rsid w:val="7B7C318C"/>
    <w:rsid w:val="7B825CBD"/>
    <w:rsid w:val="7B841746"/>
    <w:rsid w:val="7B8540E2"/>
    <w:rsid w:val="7B9642F1"/>
    <w:rsid w:val="7BB720BB"/>
    <w:rsid w:val="7C1E567C"/>
    <w:rsid w:val="7C2D749A"/>
    <w:rsid w:val="7C4D0079"/>
    <w:rsid w:val="7C552434"/>
    <w:rsid w:val="7C6C5AC7"/>
    <w:rsid w:val="7C954B88"/>
    <w:rsid w:val="7CC6544B"/>
    <w:rsid w:val="7CD32E12"/>
    <w:rsid w:val="7CDC0712"/>
    <w:rsid w:val="7D0239FF"/>
    <w:rsid w:val="7D4341BC"/>
    <w:rsid w:val="7D592A4D"/>
    <w:rsid w:val="7D5E40CD"/>
    <w:rsid w:val="7D6848ED"/>
    <w:rsid w:val="7D8600AB"/>
    <w:rsid w:val="7DCD56F2"/>
    <w:rsid w:val="7DF7700A"/>
    <w:rsid w:val="7E282B4B"/>
    <w:rsid w:val="7E3C487A"/>
    <w:rsid w:val="7E3F359E"/>
    <w:rsid w:val="7E454594"/>
    <w:rsid w:val="7E6C5C55"/>
    <w:rsid w:val="7EDF70A6"/>
    <w:rsid w:val="7EE862A2"/>
    <w:rsid w:val="7F001CE7"/>
    <w:rsid w:val="7F176D3A"/>
    <w:rsid w:val="7F357588"/>
    <w:rsid w:val="7F58120E"/>
    <w:rsid w:val="7FAC456D"/>
    <w:rsid w:val="7FD7741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ocked="1"/>
    <w:lsdException w:qFormat="1" w:unhideWhenUsed="0" w:uiPriority="9" w:semiHidden="0" w:name="heading 2" w:locked="1"/>
    <w:lsdException w:qFormat="1" w:unhideWhenUsed="0" w:uiPriority="9" w:semiHidden="0" w:name="heading 3" w:locked="1"/>
    <w:lsdException w:qFormat="1" w:unhideWhenUsed="0" w:uiPriority="0" w:semiHidden="0" w:name="heading 4" w:locked="1"/>
    <w:lsdException w:qFormat="1" w:unhideWhenUsed="0" w:uiPriority="0" w:semiHidden="0" w:name="heading 5" w:locked="1"/>
    <w:lsdException w:qFormat="1" w:unhideWhenUsed="0" w:uiPriority="0" w:semiHidden="0" w:name="heading 6" w:locked="1"/>
    <w:lsdException w:qFormat="1" w:unhideWhenUsed="0" w:uiPriority="0" w:semiHidden="0" w:name="heading 7" w:locked="1"/>
    <w:lsdException w:qFormat="1" w:unhideWhenUsed="0" w:uiPriority="0" w:semiHidden="0" w:name="heading 8" w:locked="1"/>
    <w:lsdException w:qFormat="1" w:unhideWhenUsed="0" w:uiPriority="0" w:semiHidden="0" w:name="heading 9" w:locked="1"/>
    <w:lsdException w:qFormat="1" w:uiPriority="0" w:semiHidden="0" w:name="index 1" w:locked="1"/>
    <w:lsdException w:unhideWhenUsed="0" w:uiPriority="0" w:semiHidden="0" w:name="index 2" w:locked="1"/>
    <w:lsdException w:unhideWhenUsed="0" w:uiPriority="0" w:semiHidden="0" w:name="index 3" w:locked="1"/>
    <w:lsdException w:qFormat="1"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qFormat="1" w:unhideWhenUsed="0" w:uiPriority="39" w:semiHidden="0" w:name="toc 3" w:locked="1"/>
    <w:lsdException w:qFormat="1" w:unhideWhenUsed="0" w:uiPriority="39" w:semiHidden="0" w:name="toc 4" w:locked="1"/>
    <w:lsdException w:qFormat="1" w:unhideWhenUsed="0" w:uiPriority="39" w:semiHidden="0" w:name="toc 5" w:locked="1"/>
    <w:lsdException w:qFormat="1" w:unhideWhenUsed="0" w:uiPriority="39" w:semiHidden="0" w:name="toc 6" w:locked="1"/>
    <w:lsdException w:qFormat="1" w:unhideWhenUsed="0" w:uiPriority="39" w:semiHidden="0" w:name="toc 7" w:locked="1"/>
    <w:lsdException w:qFormat="1" w:unhideWhenUsed="0" w:uiPriority="39" w:semiHidden="0" w:name="toc 8" w:locked="1"/>
    <w:lsdException w:qFormat="1" w:unhideWhenUsed="0" w:uiPriority="39" w:semiHidden="0" w:name="toc 9" w:locked="1"/>
    <w:lsdException w:qFormat="1" w:unhideWhenUsed="0" w:uiPriority="99" w:semiHidden="0" w:name="Normal Indent" w:locked="1"/>
    <w:lsdException w:qFormat="1" w:unhideWhenUsed="0" w:uiPriority="0" w:semiHidden="0" w:name="footnote text" w:locked="1"/>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ocked="1"/>
    <w:lsdException w:qFormat="1" w:unhideWhenUsed="0" w:uiPriority="35" w:semiHidden="0" w:name="caption" w:locked="1"/>
    <w:lsdException w:qFormat="1" w:unhideWhenUsed="0" w:uiPriority="0" w:semiHidden="0" w:name="table of figures" w:locked="1"/>
    <w:lsdException w:qFormat="1" w:unhideWhenUsed="0" w:uiPriority="0" w:semiHidden="0" w:name="envelope address" w:locked="1"/>
    <w:lsdException w:qFormat="1" w:unhideWhenUsed="0" w:uiPriority="0" w:semiHidden="0" w:name="envelope return" w:locked="1"/>
    <w:lsdException w:qFormat="1"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qFormat="1" w:unhideWhenUsed="0" w:uiPriority="0" w:semiHidden="0" w:name="endnote reference" w:locked="1"/>
    <w:lsdException w:qFormat="1" w:unhideWhenUsed="0" w:uiPriority="0" w:semiHidden="0" w:name="endnote text" w:locked="1"/>
    <w:lsdException w:qFormat="1" w:unhideWhenUsed="0" w:uiPriority="0" w:semiHidden="0" w:name="table of authorities" w:locked="1"/>
    <w:lsdException w:qFormat="1" w:unhideWhenUsed="0" w:uiPriority="0" w:semiHidden="0" w:name="macro" w:locked="1"/>
    <w:lsdException w:qFormat="1" w:unhideWhenUsed="0" w:uiPriority="0" w:semiHidden="0" w:name="toa heading" w:locked="1"/>
    <w:lsdException w:qFormat="1" w:unhideWhenUsed="0" w:uiPriority="0" w:semiHidden="0" w:name="List" w:locked="1"/>
    <w:lsdException w:qFormat="1" w:unhideWhenUsed="0" w:uiPriority="0" w:semiHidden="0" w:name="List Bullet" w:locked="1"/>
    <w:lsdException w:qFormat="1" w:unhideWhenUsed="0" w:uiPriority="0" w:semiHidden="0" w:name="List Number" w:locked="1"/>
    <w:lsdException w:qFormat="1" w:unhideWhenUsed="0" w:uiPriority="0" w:semiHidden="0" w:name="List 2" w:locked="1"/>
    <w:lsdException w:qFormat="1" w:unhideWhenUsed="0" w:uiPriority="0" w:semiHidden="0" w:name="List 3" w:locked="1"/>
    <w:lsdException w:qFormat="1" w:unhideWhenUsed="0" w:uiPriority="0" w:semiHidden="0" w:name="List 4" w:locked="1"/>
    <w:lsdException w:qFormat="1" w:unhideWhenUsed="0" w:uiPriority="0" w:semiHidden="0" w:name="List 5" w:locked="1"/>
    <w:lsdException w:qFormat="1" w:unhideWhenUsed="0" w:uiPriority="0" w:semiHidden="0" w:name="List Bullet 2" w:locked="1"/>
    <w:lsdException w:qFormat="1" w:unhideWhenUsed="0" w:uiPriority="0" w:semiHidden="0" w:name="List Bullet 3" w:locked="1"/>
    <w:lsdException w:qFormat="1" w:unhideWhenUsed="0" w:uiPriority="0" w:semiHidden="0" w:name="List Bullet 4" w:locked="1"/>
    <w:lsdException w:qFormat="1" w:unhideWhenUsed="0" w:uiPriority="0" w:semiHidden="0" w:name="List Bullet 5" w:locked="1"/>
    <w:lsdException w:qFormat="1" w:unhideWhenUsed="0" w:uiPriority="0" w:semiHidden="0" w:name="List Number 2" w:locked="1"/>
    <w:lsdException w:qFormat="1" w:unhideWhenUsed="0" w:uiPriority="0" w:semiHidden="0" w:name="List Number 3" w:locked="1"/>
    <w:lsdException w:qFormat="1" w:unhideWhenUsed="0" w:uiPriority="0" w:semiHidden="0" w:name="List Number 4" w:locked="1"/>
    <w:lsdException w:qFormat="1" w:unhideWhenUsed="0" w:uiPriority="0" w:semiHidden="0" w:name="List Number 5" w:locked="1"/>
    <w:lsdException w:qFormat="1" w:unhideWhenUsed="0" w:uiPriority="0" w:semiHidden="0" w:name="Title" w:locked="1"/>
    <w:lsdException w:qFormat="1" w:unhideWhenUsed="0" w:uiPriority="0" w:semiHidden="0" w:name="Closing" w:locked="1"/>
    <w:lsdException w:qFormat="1" w:unhideWhenUsed="0" w:uiPriority="0" w:semiHidden="0" w:name="Signature" w:locked="1"/>
    <w:lsdException w:qFormat="1" w:uiPriority="1" w:name="Default Paragraph Font"/>
    <w:lsdException w:qFormat="1" w:unhideWhenUsed="0" w:uiPriority="0" w:semiHidden="0" w:name="Body Text"/>
    <w:lsdException w:qFormat="1" w:unhideWhenUsed="0" w:uiPriority="99" w:semiHidden="0" w:name="Body Text Indent"/>
    <w:lsdException w:qFormat="1" w:unhideWhenUsed="0" w:uiPriority="0" w:semiHidden="0" w:name="List Continue" w:locked="1"/>
    <w:lsdException w:qFormat="1" w:unhideWhenUsed="0" w:uiPriority="0" w:semiHidden="0" w:name="List Continue 2" w:locked="1"/>
    <w:lsdException w:qFormat="1" w:unhideWhenUsed="0" w:uiPriority="0" w:semiHidden="0" w:name="List Continue 3" w:locked="1"/>
    <w:lsdException w:qFormat="1" w:unhideWhenUsed="0" w:uiPriority="0" w:semiHidden="0" w:name="List Continue 4" w:locked="1"/>
    <w:lsdException w:qFormat="1" w:unhideWhenUsed="0" w:uiPriority="0" w:semiHidden="0" w:name="List Continue 5" w:locked="1"/>
    <w:lsdException w:qFormat="1" w:unhideWhenUsed="0" w:uiPriority="0" w:semiHidden="0" w:name="Message Header" w:locked="1"/>
    <w:lsdException w:qFormat="1" w:unhideWhenUsed="0" w:uiPriority="0" w:semiHidden="0" w:name="Subtitle" w:locked="1"/>
    <w:lsdException w:qFormat="1" w:unhideWhenUsed="0" w:uiPriority="0" w:semiHidden="0" w:name="Salutation" w:locked="1"/>
    <w:lsdException w:qFormat="1" w:unhideWhenUsed="0" w:uiPriority="99" w:semiHidden="0" w:name="Date"/>
    <w:lsdException w:qFormat="1" w:unhideWhenUsed="0" w:uiPriority="0" w:semiHidden="0" w:name="Body Text First Indent" w:locked="1"/>
    <w:lsdException w:qFormat="1" w:uiPriority="99" w:semiHidden="0" w:name="Body Text First Indent 2" w:locked="1"/>
    <w:lsdException w:qFormat="1" w:unhideWhenUsed="0" w:uiPriority="0" w:semiHidden="0" w:name="Note Heading" w:locked="1"/>
    <w:lsdException w:qFormat="1" w:unhideWhenUsed="0" w:uiPriority="0" w:semiHidden="0" w:name="Body Text 2" w:locked="1"/>
    <w:lsdException w:qFormat="1"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99" w:semiHidden="0" w:name="Hyperlink" w:locked="1"/>
    <w:lsdException w:qFormat="1" w:uiPriority="99" w:semiHidden="0" w:name="FollowedHyperlink" w:locked="1"/>
    <w:lsdException w:qFormat="1" w:unhideWhenUsed="0" w:uiPriority="0" w:semiHidden="0" w:name="Strong" w:locked="1"/>
    <w:lsdException w:qFormat="1" w:unhideWhenUsed="0" w:uiPriority="0" w:semiHidden="0" w:name="Emphasis" w:locked="1"/>
    <w:lsdException w:qFormat="1" w:unhideWhenUsed="0" w:uiPriority="99" w:semiHidden="0" w:name="Document Map" w:locked="1"/>
    <w:lsdException w:qFormat="1" w:unhideWhenUsed="0" w:uiPriority="0" w:semiHidden="0" w:name="Plain Text" w:locked="1"/>
    <w:lsdException w:qFormat="1" w:unhideWhenUsed="0" w:uiPriority="0" w:semiHidden="0" w:name="E-mail Signature" w:locked="1"/>
    <w:lsdException w:qFormat="1" w:unhideWhenUsed="0" w:uiPriority="0" w:semiHidden="0" w:name="Normal (Web)"/>
    <w:lsdException w:unhideWhenUsed="0" w:uiPriority="0" w:semiHidden="0" w:name="HTML Acronym" w:locked="1"/>
    <w:lsdException w:qFormat="1" w:unhideWhenUsed="0" w:uiPriority="0" w:semiHidden="0" w:name="HTML Address" w:locked="1"/>
    <w:lsdException w:unhideWhenUsed="0" w:uiPriority="0" w:semiHidden="0" w:name="HTML Cite" w:locked="1"/>
    <w:lsdException w:qFormat="1"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qFormat="1" w:unhideWhenUsed="0" w:uiPriority="0" w:semiHidden="0" w:name="Table Grid 1" w:locked="1"/>
    <w:lsdException w:uiPriority="0" w:name="Table Grid 2" w:locked="1"/>
    <w:lsdException w:uiPriority="0" w:name="Table Grid 3" w:locked="1"/>
    <w:lsdException w:uiPriority="0" w:name="Table Grid 4" w:locked="1"/>
    <w:lsdException w:qFormat="1" w:unhideWhenUsed="0" w:uiPriority="0" w:semiHidden="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qFormat="1" w:unhideWhenUsed="0" w:uiPriority="0" w:semiHidden="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99" w:semiHidden="0" w:name="Table Grid"/>
    <w:lsdException w:qFormat="1" w:unhideWhenUsed="0" w:uiPriority="0" w:semiHidden="0" w:name="Table Theme" w:locked="1"/>
    <w:lsdException w:qFormat="1" w:unhideWhenUsed="0" w:uiPriority="0" w:semiHidden="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3">
    <w:name w:val="heading 1"/>
    <w:basedOn w:val="1"/>
    <w:next w:val="1"/>
    <w:link w:val="105"/>
    <w:qFormat/>
    <w:locked/>
    <w:uiPriority w:val="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link w:val="106"/>
    <w:autoRedefine/>
    <w:qFormat/>
    <w:locked/>
    <w:uiPriority w:val="9"/>
    <w:pPr>
      <w:keepNext/>
      <w:keepLines/>
      <w:spacing w:before="260" w:after="260" w:line="416" w:lineRule="auto"/>
      <w:outlineLvl w:val="1"/>
    </w:pPr>
    <w:rPr>
      <w:rFonts w:ascii="Arial" w:hAnsi="Arial" w:eastAsia="黑体"/>
      <w:b/>
      <w:bCs/>
      <w:sz w:val="32"/>
      <w:szCs w:val="32"/>
    </w:rPr>
  </w:style>
  <w:style w:type="paragraph" w:styleId="5">
    <w:name w:val="heading 3"/>
    <w:basedOn w:val="1"/>
    <w:next w:val="1"/>
    <w:link w:val="107"/>
    <w:autoRedefine/>
    <w:qFormat/>
    <w:locked/>
    <w:uiPriority w:val="9"/>
    <w:pPr>
      <w:keepNext/>
      <w:keepLines/>
      <w:spacing w:before="260" w:after="260" w:line="416" w:lineRule="auto"/>
      <w:outlineLvl w:val="2"/>
    </w:pPr>
    <w:rPr>
      <w:b/>
      <w:bCs/>
      <w:sz w:val="32"/>
      <w:szCs w:val="32"/>
    </w:rPr>
  </w:style>
  <w:style w:type="paragraph" w:styleId="6">
    <w:name w:val="heading 4"/>
    <w:basedOn w:val="1"/>
    <w:next w:val="1"/>
    <w:link w:val="108"/>
    <w:autoRedefine/>
    <w:qFormat/>
    <w:locked/>
    <w:uiPriority w:val="0"/>
    <w:pPr>
      <w:keepNext/>
      <w:keepLines/>
      <w:spacing w:before="280" w:after="290" w:line="376" w:lineRule="auto"/>
      <w:outlineLvl w:val="3"/>
    </w:pPr>
    <w:rPr>
      <w:rFonts w:ascii="Cambria" w:hAnsi="Cambria"/>
      <w:b/>
      <w:bCs/>
      <w:sz w:val="28"/>
      <w:szCs w:val="28"/>
    </w:rPr>
  </w:style>
  <w:style w:type="paragraph" w:styleId="7">
    <w:name w:val="heading 5"/>
    <w:basedOn w:val="1"/>
    <w:next w:val="8"/>
    <w:link w:val="109"/>
    <w:autoRedefine/>
    <w:qFormat/>
    <w:locked/>
    <w:uiPriority w:val="0"/>
    <w:pPr>
      <w:keepNext/>
      <w:keepLines/>
      <w:tabs>
        <w:tab w:val="left" w:pos="1008"/>
      </w:tabs>
      <w:spacing w:before="280" w:after="290" w:line="376" w:lineRule="auto"/>
      <w:ind w:left="1008" w:hanging="1008"/>
      <w:outlineLvl w:val="4"/>
    </w:pPr>
    <w:rPr>
      <w:b/>
      <w:sz w:val="28"/>
      <w:szCs w:val="20"/>
    </w:rPr>
  </w:style>
  <w:style w:type="paragraph" w:styleId="11">
    <w:name w:val="heading 6"/>
    <w:basedOn w:val="1"/>
    <w:next w:val="1"/>
    <w:link w:val="111"/>
    <w:autoRedefine/>
    <w:qFormat/>
    <w:locked/>
    <w:uiPriority w:val="0"/>
    <w:pPr>
      <w:keepNext/>
      <w:keepLines/>
      <w:spacing w:line="360" w:lineRule="auto"/>
      <w:jc w:val="center"/>
      <w:outlineLvl w:val="5"/>
    </w:pPr>
    <w:rPr>
      <w:rFonts w:ascii="Arial" w:hAnsi="Arial"/>
      <w:b/>
      <w:bCs/>
      <w:sz w:val="24"/>
    </w:rPr>
  </w:style>
  <w:style w:type="paragraph" w:styleId="12">
    <w:name w:val="heading 7"/>
    <w:basedOn w:val="1"/>
    <w:next w:val="1"/>
    <w:link w:val="112"/>
    <w:autoRedefine/>
    <w:qFormat/>
    <w:locked/>
    <w:uiPriority w:val="0"/>
    <w:pPr>
      <w:keepNext/>
      <w:keepLines/>
      <w:tabs>
        <w:tab w:val="left" w:pos="1296"/>
      </w:tabs>
      <w:adjustRightInd w:val="0"/>
      <w:snapToGrid w:val="0"/>
      <w:spacing w:before="240" w:after="64" w:line="320" w:lineRule="auto"/>
      <w:ind w:left="1296" w:leftChars="200" w:hanging="1296"/>
      <w:jc w:val="left"/>
      <w:outlineLvl w:val="6"/>
    </w:pPr>
    <w:rPr>
      <w:b/>
      <w:bCs/>
      <w:sz w:val="24"/>
    </w:rPr>
  </w:style>
  <w:style w:type="paragraph" w:styleId="13">
    <w:name w:val="heading 8"/>
    <w:basedOn w:val="1"/>
    <w:next w:val="8"/>
    <w:link w:val="113"/>
    <w:autoRedefine/>
    <w:qFormat/>
    <w:locked/>
    <w:uiPriority w:val="0"/>
    <w:pPr>
      <w:keepNext/>
      <w:keepLines/>
      <w:tabs>
        <w:tab w:val="left" w:pos="1440"/>
      </w:tabs>
      <w:adjustRightInd w:val="0"/>
      <w:spacing w:line="360" w:lineRule="auto"/>
      <w:ind w:left="1440" w:hanging="1440"/>
      <w:textAlignment w:val="baseline"/>
      <w:outlineLvl w:val="7"/>
    </w:pPr>
    <w:rPr>
      <w:rFonts w:ascii="Arial" w:hAnsi="Arial"/>
      <w:kern w:val="0"/>
      <w:sz w:val="24"/>
      <w:szCs w:val="20"/>
    </w:rPr>
  </w:style>
  <w:style w:type="paragraph" w:styleId="14">
    <w:name w:val="heading 9"/>
    <w:basedOn w:val="1"/>
    <w:next w:val="8"/>
    <w:link w:val="114"/>
    <w:autoRedefine/>
    <w:qFormat/>
    <w:locked/>
    <w:uiPriority w:val="0"/>
    <w:pPr>
      <w:keepNext/>
      <w:keepLines/>
      <w:tabs>
        <w:tab w:val="left" w:pos="1584"/>
      </w:tabs>
      <w:adjustRightInd w:val="0"/>
      <w:spacing w:line="360" w:lineRule="auto"/>
      <w:ind w:left="1584" w:hanging="1584"/>
      <w:textAlignment w:val="baseline"/>
      <w:outlineLvl w:val="8"/>
    </w:pPr>
    <w:rPr>
      <w:rFonts w:ascii="Arial" w:hAnsi="Arial"/>
      <w:kern w:val="0"/>
      <w:sz w:val="24"/>
      <w:szCs w:val="20"/>
    </w:rPr>
  </w:style>
  <w:style w:type="character" w:default="1" w:styleId="89">
    <w:name w:val="Default Paragraph Font"/>
    <w:autoRedefine/>
    <w:semiHidden/>
    <w:unhideWhenUsed/>
    <w:qFormat/>
    <w:uiPriority w:val="1"/>
  </w:style>
  <w:style w:type="table" w:default="1" w:styleId="83">
    <w:name w:val="Normal Table"/>
    <w:autoRedefine/>
    <w:semiHidden/>
    <w:unhideWhenUsed/>
    <w:qFormat/>
    <w:uiPriority w:val="99"/>
    <w:tblPr>
      <w:tblCellMar>
        <w:top w:w="0" w:type="dxa"/>
        <w:left w:w="108" w:type="dxa"/>
        <w:bottom w:w="0" w:type="dxa"/>
        <w:right w:w="108" w:type="dxa"/>
      </w:tblCellMar>
    </w:tblPr>
  </w:style>
  <w:style w:type="paragraph" w:styleId="2">
    <w:name w:val="macro"/>
    <w:basedOn w:val="1"/>
    <w:link w:val="104"/>
    <w:autoRedefine/>
    <w:qFormat/>
    <w:locked/>
    <w:uiPriority w:val="0"/>
    <w:pPr>
      <w:widowControl/>
      <w:spacing w:before="100" w:beforeAutospacing="1" w:after="100" w:afterAutospacing="1"/>
      <w:jc w:val="left"/>
    </w:pPr>
    <w:rPr>
      <w:rFonts w:ascii="宋体" w:hAnsi="宋体"/>
      <w:sz w:val="24"/>
    </w:rPr>
  </w:style>
  <w:style w:type="paragraph" w:styleId="8">
    <w:name w:val="Normal Indent"/>
    <w:basedOn w:val="1"/>
    <w:next w:val="9"/>
    <w:link w:val="110"/>
    <w:autoRedefine/>
    <w:qFormat/>
    <w:locked/>
    <w:uiPriority w:val="99"/>
    <w:pPr>
      <w:ind w:firstLine="420" w:firstLineChars="200"/>
    </w:pPr>
  </w:style>
  <w:style w:type="paragraph" w:styleId="9">
    <w:name w:val="Body Text"/>
    <w:basedOn w:val="1"/>
    <w:next w:val="10"/>
    <w:link w:val="123"/>
    <w:autoRedefine/>
    <w:qFormat/>
    <w:uiPriority w:val="0"/>
    <w:pPr>
      <w:widowControl/>
      <w:snapToGrid w:val="0"/>
      <w:spacing w:before="60" w:after="160" w:line="259" w:lineRule="auto"/>
      <w:ind w:right="113"/>
    </w:pPr>
    <w:rPr>
      <w:kern w:val="0"/>
      <w:sz w:val="18"/>
      <w:szCs w:val="20"/>
    </w:rPr>
  </w:style>
  <w:style w:type="paragraph" w:styleId="10">
    <w:name w:val="List Bullet 5"/>
    <w:basedOn w:val="1"/>
    <w:autoRedefine/>
    <w:qFormat/>
    <w:locked/>
    <w:uiPriority w:val="0"/>
    <w:pPr>
      <w:tabs>
        <w:tab w:val="left" w:pos="2040"/>
      </w:tabs>
      <w:spacing w:before="60"/>
      <w:ind w:left="2040" w:hanging="360"/>
    </w:pPr>
    <w:rPr>
      <w:rFonts w:ascii="Arial" w:hAnsi="Arial" w:eastAsia="仿宋_GB2312"/>
      <w:kern w:val="0"/>
      <w:sz w:val="24"/>
      <w:szCs w:val="20"/>
    </w:rPr>
  </w:style>
  <w:style w:type="paragraph" w:styleId="15">
    <w:name w:val="List 3"/>
    <w:basedOn w:val="1"/>
    <w:autoRedefine/>
    <w:qFormat/>
    <w:locked/>
    <w:uiPriority w:val="0"/>
    <w:pPr>
      <w:spacing w:before="60"/>
      <w:ind w:left="1260" w:hanging="420"/>
    </w:pPr>
    <w:rPr>
      <w:rFonts w:ascii="Arial" w:hAnsi="Arial" w:eastAsia="仿宋_GB2312"/>
      <w:kern w:val="0"/>
      <w:sz w:val="24"/>
      <w:szCs w:val="20"/>
    </w:rPr>
  </w:style>
  <w:style w:type="paragraph" w:styleId="16">
    <w:name w:val="toc 7"/>
    <w:basedOn w:val="1"/>
    <w:next w:val="1"/>
    <w:autoRedefine/>
    <w:qFormat/>
    <w:locked/>
    <w:uiPriority w:val="39"/>
    <w:pPr>
      <w:snapToGrid w:val="0"/>
      <w:spacing w:line="500" w:lineRule="exact"/>
      <w:ind w:left="1440"/>
      <w:jc w:val="left"/>
    </w:pPr>
    <w:rPr>
      <w:sz w:val="18"/>
      <w:szCs w:val="18"/>
    </w:rPr>
  </w:style>
  <w:style w:type="paragraph" w:styleId="17">
    <w:name w:val="List Number 2"/>
    <w:basedOn w:val="1"/>
    <w:autoRedefine/>
    <w:qFormat/>
    <w:locked/>
    <w:uiPriority w:val="0"/>
    <w:pPr>
      <w:tabs>
        <w:tab w:val="left" w:pos="780"/>
      </w:tabs>
      <w:spacing w:before="60"/>
      <w:ind w:left="780" w:hanging="360"/>
    </w:pPr>
    <w:rPr>
      <w:rFonts w:ascii="Arial" w:hAnsi="Arial" w:eastAsia="仿宋_GB2312"/>
      <w:kern w:val="0"/>
      <w:sz w:val="24"/>
      <w:szCs w:val="20"/>
    </w:rPr>
  </w:style>
  <w:style w:type="paragraph" w:styleId="18">
    <w:name w:val="table of authorities"/>
    <w:basedOn w:val="1"/>
    <w:next w:val="1"/>
    <w:autoRedefine/>
    <w:qFormat/>
    <w:locked/>
    <w:uiPriority w:val="0"/>
    <w:pPr>
      <w:ind w:left="210" w:hanging="210"/>
      <w:jc w:val="left"/>
    </w:pPr>
    <w:rPr>
      <w:sz w:val="20"/>
      <w:szCs w:val="20"/>
    </w:rPr>
  </w:style>
  <w:style w:type="paragraph" w:styleId="19">
    <w:name w:val="Note Heading"/>
    <w:basedOn w:val="1"/>
    <w:next w:val="1"/>
    <w:link w:val="115"/>
    <w:autoRedefine/>
    <w:qFormat/>
    <w:locked/>
    <w:uiPriority w:val="0"/>
    <w:pPr>
      <w:jc w:val="center"/>
    </w:pPr>
    <w:rPr>
      <w:rFonts w:ascii="Arial" w:hAnsi="Arial"/>
      <w:bCs/>
      <w:sz w:val="28"/>
      <w:szCs w:val="28"/>
    </w:rPr>
  </w:style>
  <w:style w:type="paragraph" w:styleId="20">
    <w:name w:val="List Bullet 4"/>
    <w:basedOn w:val="1"/>
    <w:autoRedefine/>
    <w:qFormat/>
    <w:locked/>
    <w:uiPriority w:val="0"/>
    <w:pPr>
      <w:tabs>
        <w:tab w:val="left" w:pos="1620"/>
      </w:tabs>
      <w:spacing w:before="60"/>
      <w:ind w:left="1620" w:leftChars="600" w:hanging="360" w:hangingChars="200"/>
    </w:pPr>
    <w:rPr>
      <w:rFonts w:ascii="Arial" w:hAnsi="Arial" w:eastAsia="仿宋_GB2312"/>
      <w:kern w:val="0"/>
      <w:sz w:val="24"/>
      <w:szCs w:val="20"/>
    </w:rPr>
  </w:style>
  <w:style w:type="paragraph" w:styleId="21">
    <w:name w:val="E-mail Signature"/>
    <w:basedOn w:val="1"/>
    <w:link w:val="116"/>
    <w:autoRedefine/>
    <w:qFormat/>
    <w:locked/>
    <w:uiPriority w:val="0"/>
    <w:pPr>
      <w:spacing w:before="60"/>
      <w:ind w:firstLine="482"/>
    </w:pPr>
    <w:rPr>
      <w:rFonts w:ascii="Arial" w:hAnsi="Arial" w:eastAsia="仿宋_GB2312"/>
      <w:sz w:val="24"/>
      <w:szCs w:val="22"/>
    </w:rPr>
  </w:style>
  <w:style w:type="paragraph" w:styleId="22">
    <w:name w:val="List Number"/>
    <w:basedOn w:val="1"/>
    <w:autoRedefine/>
    <w:qFormat/>
    <w:locked/>
    <w:uiPriority w:val="0"/>
    <w:pPr>
      <w:tabs>
        <w:tab w:val="left" w:pos="360"/>
      </w:tabs>
      <w:spacing w:before="60"/>
      <w:ind w:left="360" w:hanging="360" w:hangingChars="200"/>
    </w:pPr>
    <w:rPr>
      <w:rFonts w:ascii="Arial" w:hAnsi="Arial" w:eastAsia="仿宋_GB2312"/>
      <w:kern w:val="0"/>
      <w:sz w:val="24"/>
      <w:szCs w:val="20"/>
    </w:rPr>
  </w:style>
  <w:style w:type="paragraph" w:styleId="23">
    <w:name w:val="caption"/>
    <w:basedOn w:val="1"/>
    <w:next w:val="1"/>
    <w:link w:val="117"/>
    <w:autoRedefine/>
    <w:qFormat/>
    <w:locked/>
    <w:uiPriority w:val="35"/>
    <w:pPr>
      <w:snapToGrid w:val="0"/>
      <w:spacing w:line="500" w:lineRule="exact"/>
      <w:jc w:val="left"/>
    </w:pPr>
    <w:rPr>
      <w:rFonts w:ascii="Arial" w:hAnsi="Arial" w:eastAsia="黑体" w:cs="Arial"/>
      <w:sz w:val="20"/>
      <w:szCs w:val="20"/>
    </w:rPr>
  </w:style>
  <w:style w:type="paragraph" w:styleId="24">
    <w:name w:val="List Bullet"/>
    <w:basedOn w:val="1"/>
    <w:autoRedefine/>
    <w:qFormat/>
    <w:locked/>
    <w:uiPriority w:val="0"/>
    <w:pPr>
      <w:numPr>
        <w:ilvl w:val="0"/>
        <w:numId w:val="1"/>
      </w:numPr>
      <w:spacing w:line="360" w:lineRule="auto"/>
    </w:pPr>
    <w:rPr>
      <w:sz w:val="24"/>
    </w:rPr>
  </w:style>
  <w:style w:type="paragraph" w:styleId="25">
    <w:name w:val="envelope address"/>
    <w:basedOn w:val="1"/>
    <w:autoRedefine/>
    <w:qFormat/>
    <w:locked/>
    <w:uiPriority w:val="0"/>
    <w:pPr>
      <w:snapToGrid w:val="0"/>
      <w:spacing w:before="60"/>
      <w:ind w:left="2880" w:firstLine="482"/>
    </w:pPr>
    <w:rPr>
      <w:rFonts w:ascii="Arial" w:hAnsi="Arial" w:eastAsia="仿宋_GB2312" w:cs="Arial"/>
      <w:kern w:val="0"/>
      <w:sz w:val="24"/>
      <w:szCs w:val="20"/>
    </w:rPr>
  </w:style>
  <w:style w:type="paragraph" w:styleId="26">
    <w:name w:val="Document Map"/>
    <w:basedOn w:val="1"/>
    <w:link w:val="118"/>
    <w:autoRedefine/>
    <w:qFormat/>
    <w:locked/>
    <w:uiPriority w:val="99"/>
    <w:pPr>
      <w:shd w:val="clear" w:color="auto" w:fill="000080"/>
    </w:pPr>
  </w:style>
  <w:style w:type="paragraph" w:styleId="27">
    <w:name w:val="toa heading"/>
    <w:basedOn w:val="1"/>
    <w:next w:val="1"/>
    <w:autoRedefine/>
    <w:qFormat/>
    <w:locked/>
    <w:uiPriority w:val="0"/>
    <w:pPr>
      <w:spacing w:before="120"/>
    </w:pPr>
    <w:rPr>
      <w:rFonts w:ascii="Arial" w:hAnsi="Arial" w:cs="Arial"/>
      <w:sz w:val="24"/>
    </w:rPr>
  </w:style>
  <w:style w:type="paragraph" w:styleId="28">
    <w:name w:val="annotation text"/>
    <w:basedOn w:val="1"/>
    <w:link w:val="119"/>
    <w:autoRedefine/>
    <w:qFormat/>
    <w:uiPriority w:val="0"/>
    <w:pPr>
      <w:jc w:val="left"/>
    </w:pPr>
    <w:rPr>
      <w:kern w:val="0"/>
      <w:sz w:val="24"/>
      <w:szCs w:val="20"/>
    </w:rPr>
  </w:style>
  <w:style w:type="paragraph" w:styleId="29">
    <w:name w:val="Salutation"/>
    <w:basedOn w:val="1"/>
    <w:next w:val="1"/>
    <w:link w:val="120"/>
    <w:autoRedefine/>
    <w:qFormat/>
    <w:locked/>
    <w:uiPriority w:val="0"/>
  </w:style>
  <w:style w:type="paragraph" w:styleId="30">
    <w:name w:val="Body Text 3"/>
    <w:basedOn w:val="1"/>
    <w:link w:val="121"/>
    <w:autoRedefine/>
    <w:qFormat/>
    <w:locked/>
    <w:uiPriority w:val="0"/>
    <w:pPr>
      <w:spacing w:line="360" w:lineRule="auto"/>
    </w:pPr>
    <w:rPr>
      <w:rFonts w:ascii="宋体" w:hAnsi="宋体"/>
      <w:sz w:val="24"/>
    </w:rPr>
  </w:style>
  <w:style w:type="paragraph" w:styleId="31">
    <w:name w:val="Closing"/>
    <w:basedOn w:val="1"/>
    <w:link w:val="122"/>
    <w:autoRedefine/>
    <w:qFormat/>
    <w:locked/>
    <w:uiPriority w:val="0"/>
    <w:pPr>
      <w:spacing w:before="60"/>
      <w:ind w:left="4320" w:firstLine="482"/>
    </w:pPr>
    <w:rPr>
      <w:rFonts w:ascii="Arial" w:hAnsi="Arial" w:eastAsia="仿宋_GB2312"/>
      <w:sz w:val="24"/>
      <w:szCs w:val="22"/>
    </w:rPr>
  </w:style>
  <w:style w:type="paragraph" w:styleId="32">
    <w:name w:val="List Bullet 3"/>
    <w:basedOn w:val="1"/>
    <w:autoRedefine/>
    <w:qFormat/>
    <w:locked/>
    <w:uiPriority w:val="0"/>
    <w:pPr>
      <w:tabs>
        <w:tab w:val="left" w:pos="1200"/>
      </w:tabs>
      <w:spacing w:before="60"/>
      <w:ind w:left="1200" w:hanging="360"/>
    </w:pPr>
    <w:rPr>
      <w:rFonts w:ascii="Arial" w:hAnsi="Arial" w:eastAsia="仿宋_GB2312"/>
      <w:kern w:val="0"/>
      <w:sz w:val="24"/>
      <w:szCs w:val="20"/>
    </w:rPr>
  </w:style>
  <w:style w:type="paragraph" w:styleId="33">
    <w:name w:val="Body Text Indent"/>
    <w:basedOn w:val="1"/>
    <w:link w:val="124"/>
    <w:autoRedefine/>
    <w:qFormat/>
    <w:uiPriority w:val="99"/>
    <w:pPr>
      <w:spacing w:after="120"/>
      <w:ind w:left="420" w:leftChars="200"/>
    </w:pPr>
    <w:rPr>
      <w:kern w:val="0"/>
      <w:sz w:val="24"/>
      <w:szCs w:val="20"/>
    </w:rPr>
  </w:style>
  <w:style w:type="paragraph" w:styleId="34">
    <w:name w:val="List Number 3"/>
    <w:basedOn w:val="1"/>
    <w:autoRedefine/>
    <w:qFormat/>
    <w:locked/>
    <w:uiPriority w:val="0"/>
    <w:pPr>
      <w:tabs>
        <w:tab w:val="left" w:pos="1200"/>
      </w:tabs>
      <w:spacing w:before="60"/>
      <w:ind w:left="1200" w:hanging="360"/>
    </w:pPr>
    <w:rPr>
      <w:rFonts w:ascii="Arial" w:hAnsi="Arial" w:eastAsia="仿宋_GB2312"/>
      <w:kern w:val="0"/>
      <w:sz w:val="24"/>
      <w:szCs w:val="20"/>
    </w:rPr>
  </w:style>
  <w:style w:type="paragraph" w:styleId="35">
    <w:name w:val="List 2"/>
    <w:basedOn w:val="1"/>
    <w:autoRedefine/>
    <w:qFormat/>
    <w:locked/>
    <w:uiPriority w:val="0"/>
    <w:pPr>
      <w:ind w:left="100" w:leftChars="200" w:hanging="200" w:hangingChars="200"/>
    </w:pPr>
    <w:rPr>
      <w:rFonts w:eastAsia="仿宋_GB2312"/>
      <w:snapToGrid w:val="0"/>
      <w:color w:val="000000"/>
      <w:kern w:val="0"/>
      <w:sz w:val="28"/>
      <w:szCs w:val="32"/>
    </w:rPr>
  </w:style>
  <w:style w:type="paragraph" w:styleId="36">
    <w:name w:val="List Continue"/>
    <w:basedOn w:val="1"/>
    <w:autoRedefine/>
    <w:qFormat/>
    <w:locked/>
    <w:uiPriority w:val="0"/>
    <w:pPr>
      <w:spacing w:after="120"/>
      <w:ind w:left="420" w:leftChars="200"/>
    </w:pPr>
  </w:style>
  <w:style w:type="paragraph" w:styleId="37">
    <w:name w:val="Block Text"/>
    <w:basedOn w:val="1"/>
    <w:autoRedefine/>
    <w:qFormat/>
    <w:locked/>
    <w:uiPriority w:val="0"/>
    <w:pPr>
      <w:autoSpaceDE w:val="0"/>
      <w:autoSpaceDN w:val="0"/>
      <w:adjustRightInd w:val="0"/>
      <w:ind w:left="98" w:right="72" w:firstLine="490" w:firstLineChars="175"/>
      <w:jc w:val="left"/>
    </w:pPr>
    <w:rPr>
      <w:rFonts w:ascii="宋体" w:hAnsi="宋体"/>
      <w:kern w:val="0"/>
      <w:sz w:val="28"/>
      <w:szCs w:val="26"/>
    </w:rPr>
  </w:style>
  <w:style w:type="paragraph" w:styleId="38">
    <w:name w:val="List Bullet 2"/>
    <w:basedOn w:val="1"/>
    <w:autoRedefine/>
    <w:qFormat/>
    <w:locked/>
    <w:uiPriority w:val="0"/>
    <w:pPr>
      <w:tabs>
        <w:tab w:val="left" w:pos="780"/>
      </w:tabs>
      <w:spacing w:before="60"/>
      <w:ind w:left="780" w:leftChars="200" w:hanging="360" w:hangingChars="200"/>
    </w:pPr>
    <w:rPr>
      <w:rFonts w:ascii="Arial" w:hAnsi="Arial" w:eastAsia="仿宋_GB2312"/>
      <w:kern w:val="0"/>
      <w:sz w:val="24"/>
      <w:szCs w:val="20"/>
    </w:rPr>
  </w:style>
  <w:style w:type="paragraph" w:styleId="39">
    <w:name w:val="HTML Address"/>
    <w:basedOn w:val="1"/>
    <w:link w:val="126"/>
    <w:autoRedefine/>
    <w:qFormat/>
    <w:locked/>
    <w:uiPriority w:val="0"/>
    <w:pPr>
      <w:spacing w:before="60"/>
      <w:ind w:firstLine="482"/>
    </w:pPr>
    <w:rPr>
      <w:rFonts w:ascii="Arial" w:hAnsi="Arial" w:eastAsia="仿宋_GB2312"/>
      <w:i/>
      <w:iCs/>
      <w:sz w:val="24"/>
      <w:szCs w:val="22"/>
    </w:rPr>
  </w:style>
  <w:style w:type="paragraph" w:styleId="40">
    <w:name w:val="index 4"/>
    <w:basedOn w:val="1"/>
    <w:next w:val="1"/>
    <w:autoRedefine/>
    <w:qFormat/>
    <w:locked/>
    <w:uiPriority w:val="0"/>
    <w:pPr>
      <w:spacing w:line="360" w:lineRule="auto"/>
      <w:ind w:left="600" w:leftChars="600" w:firstLine="200" w:firstLineChars="200"/>
    </w:pPr>
    <w:rPr>
      <w:rFonts w:ascii="宋体"/>
      <w:sz w:val="24"/>
    </w:rPr>
  </w:style>
  <w:style w:type="paragraph" w:styleId="41">
    <w:name w:val="toc 5"/>
    <w:basedOn w:val="1"/>
    <w:next w:val="1"/>
    <w:autoRedefine/>
    <w:qFormat/>
    <w:locked/>
    <w:uiPriority w:val="39"/>
    <w:pPr>
      <w:snapToGrid w:val="0"/>
      <w:spacing w:line="500" w:lineRule="exact"/>
      <w:ind w:left="960"/>
      <w:jc w:val="left"/>
    </w:pPr>
    <w:rPr>
      <w:sz w:val="18"/>
      <w:szCs w:val="18"/>
    </w:rPr>
  </w:style>
  <w:style w:type="paragraph" w:styleId="42">
    <w:name w:val="toc 3"/>
    <w:basedOn w:val="1"/>
    <w:next w:val="1"/>
    <w:autoRedefine/>
    <w:qFormat/>
    <w:locked/>
    <w:uiPriority w:val="39"/>
    <w:pPr>
      <w:snapToGrid w:val="0"/>
      <w:spacing w:line="500" w:lineRule="exact"/>
      <w:ind w:left="480"/>
      <w:jc w:val="left"/>
    </w:pPr>
    <w:rPr>
      <w:i/>
      <w:iCs/>
      <w:sz w:val="20"/>
      <w:szCs w:val="20"/>
    </w:rPr>
  </w:style>
  <w:style w:type="paragraph" w:styleId="43">
    <w:name w:val="Plain Text"/>
    <w:basedOn w:val="1"/>
    <w:link w:val="103"/>
    <w:autoRedefine/>
    <w:qFormat/>
    <w:locked/>
    <w:uiPriority w:val="0"/>
    <w:rPr>
      <w:rFonts w:ascii="宋体" w:hAnsi="Courier New" w:cs="Courier New"/>
    </w:rPr>
  </w:style>
  <w:style w:type="paragraph" w:styleId="44">
    <w:name w:val="List Number 4"/>
    <w:basedOn w:val="1"/>
    <w:autoRedefine/>
    <w:qFormat/>
    <w:locked/>
    <w:uiPriority w:val="0"/>
    <w:pPr>
      <w:tabs>
        <w:tab w:val="left" w:pos="1620"/>
      </w:tabs>
      <w:spacing w:before="60"/>
      <w:ind w:left="1620" w:hanging="360"/>
    </w:pPr>
    <w:rPr>
      <w:rFonts w:ascii="Arial" w:hAnsi="Arial" w:eastAsia="仿宋_GB2312"/>
      <w:kern w:val="0"/>
      <w:sz w:val="24"/>
      <w:szCs w:val="20"/>
    </w:rPr>
  </w:style>
  <w:style w:type="paragraph" w:styleId="45">
    <w:name w:val="toc 8"/>
    <w:basedOn w:val="1"/>
    <w:next w:val="1"/>
    <w:autoRedefine/>
    <w:qFormat/>
    <w:locked/>
    <w:uiPriority w:val="39"/>
    <w:pPr>
      <w:snapToGrid w:val="0"/>
      <w:spacing w:line="500" w:lineRule="exact"/>
      <w:ind w:left="1680"/>
      <w:jc w:val="left"/>
    </w:pPr>
    <w:rPr>
      <w:sz w:val="18"/>
      <w:szCs w:val="18"/>
    </w:rPr>
  </w:style>
  <w:style w:type="paragraph" w:styleId="46">
    <w:name w:val="Date"/>
    <w:basedOn w:val="1"/>
    <w:next w:val="1"/>
    <w:link w:val="127"/>
    <w:autoRedefine/>
    <w:qFormat/>
    <w:uiPriority w:val="99"/>
    <w:pPr>
      <w:ind w:left="100" w:leftChars="2500"/>
    </w:pPr>
    <w:rPr>
      <w:kern w:val="0"/>
      <w:sz w:val="24"/>
      <w:szCs w:val="20"/>
    </w:rPr>
  </w:style>
  <w:style w:type="paragraph" w:styleId="47">
    <w:name w:val="Body Text Indent 2"/>
    <w:basedOn w:val="1"/>
    <w:link w:val="128"/>
    <w:autoRedefine/>
    <w:qFormat/>
    <w:locked/>
    <w:uiPriority w:val="0"/>
    <w:pPr>
      <w:spacing w:before="120"/>
      <w:ind w:right="113" w:firstLine="570"/>
    </w:pPr>
    <w:rPr>
      <w:kern w:val="24"/>
      <w:sz w:val="28"/>
      <w:szCs w:val="20"/>
    </w:rPr>
  </w:style>
  <w:style w:type="paragraph" w:styleId="48">
    <w:name w:val="endnote text"/>
    <w:basedOn w:val="1"/>
    <w:link w:val="129"/>
    <w:autoRedefine/>
    <w:qFormat/>
    <w:locked/>
    <w:uiPriority w:val="0"/>
    <w:pPr>
      <w:snapToGrid w:val="0"/>
      <w:jc w:val="left"/>
    </w:pPr>
  </w:style>
  <w:style w:type="paragraph" w:styleId="49">
    <w:name w:val="List Continue 5"/>
    <w:basedOn w:val="1"/>
    <w:autoRedefine/>
    <w:qFormat/>
    <w:locked/>
    <w:uiPriority w:val="0"/>
    <w:pPr>
      <w:spacing w:before="60" w:after="120"/>
      <w:ind w:left="2100" w:firstLine="482"/>
    </w:pPr>
    <w:rPr>
      <w:rFonts w:ascii="Arial" w:hAnsi="Arial" w:eastAsia="仿宋_GB2312"/>
      <w:kern w:val="0"/>
      <w:sz w:val="24"/>
      <w:szCs w:val="20"/>
    </w:rPr>
  </w:style>
  <w:style w:type="paragraph" w:styleId="50">
    <w:name w:val="Balloon Text"/>
    <w:basedOn w:val="1"/>
    <w:link w:val="130"/>
    <w:autoRedefine/>
    <w:semiHidden/>
    <w:qFormat/>
    <w:uiPriority w:val="0"/>
    <w:rPr>
      <w:kern w:val="0"/>
      <w:sz w:val="18"/>
      <w:szCs w:val="20"/>
    </w:rPr>
  </w:style>
  <w:style w:type="paragraph" w:styleId="51">
    <w:name w:val="footer"/>
    <w:basedOn w:val="1"/>
    <w:link w:val="131"/>
    <w:autoRedefine/>
    <w:qFormat/>
    <w:uiPriority w:val="99"/>
    <w:pPr>
      <w:tabs>
        <w:tab w:val="center" w:pos="4153"/>
        <w:tab w:val="right" w:pos="8306"/>
      </w:tabs>
      <w:snapToGrid w:val="0"/>
      <w:jc w:val="left"/>
    </w:pPr>
    <w:rPr>
      <w:kern w:val="0"/>
      <w:sz w:val="18"/>
      <w:szCs w:val="20"/>
    </w:rPr>
  </w:style>
  <w:style w:type="paragraph" w:styleId="52">
    <w:name w:val="envelope return"/>
    <w:basedOn w:val="1"/>
    <w:autoRedefine/>
    <w:qFormat/>
    <w:locked/>
    <w:uiPriority w:val="0"/>
    <w:pPr>
      <w:snapToGrid w:val="0"/>
      <w:spacing w:before="60"/>
      <w:ind w:firstLine="482"/>
    </w:pPr>
    <w:rPr>
      <w:rFonts w:ascii="Arial" w:hAnsi="Arial" w:eastAsia="仿宋_GB2312" w:cs="Arial"/>
      <w:kern w:val="0"/>
      <w:sz w:val="24"/>
      <w:szCs w:val="20"/>
    </w:rPr>
  </w:style>
  <w:style w:type="paragraph" w:styleId="53">
    <w:name w:val="header"/>
    <w:basedOn w:val="1"/>
    <w:next w:val="54"/>
    <w:link w:val="132"/>
    <w:autoRedefine/>
    <w:qFormat/>
    <w:uiPriority w:val="99"/>
    <w:pPr>
      <w:pBdr>
        <w:bottom w:val="single" w:color="auto" w:sz="6" w:space="1"/>
      </w:pBdr>
      <w:tabs>
        <w:tab w:val="center" w:pos="4153"/>
        <w:tab w:val="right" w:pos="8306"/>
      </w:tabs>
      <w:snapToGrid w:val="0"/>
      <w:jc w:val="center"/>
    </w:pPr>
    <w:rPr>
      <w:kern w:val="0"/>
      <w:sz w:val="18"/>
      <w:szCs w:val="20"/>
    </w:rPr>
  </w:style>
  <w:style w:type="paragraph" w:customStyle="1" w:styleId="54">
    <w:name w:val="样式5"/>
    <w:basedOn w:val="55"/>
    <w:next w:val="1"/>
    <w:link w:val="265"/>
    <w:autoRedefine/>
    <w:qFormat/>
    <w:uiPriority w:val="0"/>
    <w:pPr>
      <w:widowControl w:val="0"/>
      <w:snapToGrid/>
      <w:spacing w:before="0" w:after="0" w:line="240" w:lineRule="auto"/>
      <w:ind w:right="-105" w:rightChars="-50"/>
      <w:jc w:val="center"/>
    </w:pPr>
    <w:rPr>
      <w:rFonts w:ascii="宋体"/>
      <w:sz w:val="20"/>
      <w:szCs w:val="21"/>
    </w:rPr>
  </w:style>
  <w:style w:type="paragraph" w:customStyle="1" w:styleId="55">
    <w:name w:val="正文1"/>
    <w:basedOn w:val="9"/>
    <w:next w:val="1"/>
    <w:link w:val="266"/>
    <w:autoRedefine/>
    <w:qFormat/>
    <w:uiPriority w:val="0"/>
    <w:pPr>
      <w:adjustRightInd w:val="0"/>
      <w:spacing w:line="500" w:lineRule="atLeast"/>
      <w:ind w:firstLine="567"/>
    </w:pPr>
    <w:rPr>
      <w:sz w:val="28"/>
    </w:rPr>
  </w:style>
  <w:style w:type="paragraph" w:styleId="56">
    <w:name w:val="Signature"/>
    <w:basedOn w:val="1"/>
    <w:link w:val="133"/>
    <w:autoRedefine/>
    <w:qFormat/>
    <w:locked/>
    <w:uiPriority w:val="0"/>
    <w:pPr>
      <w:spacing w:before="60"/>
      <w:ind w:left="4320" w:firstLine="482"/>
    </w:pPr>
    <w:rPr>
      <w:rFonts w:ascii="Arial" w:hAnsi="Arial" w:eastAsia="仿宋_GB2312"/>
      <w:sz w:val="24"/>
      <w:szCs w:val="22"/>
    </w:rPr>
  </w:style>
  <w:style w:type="paragraph" w:styleId="57">
    <w:name w:val="toc 1"/>
    <w:basedOn w:val="1"/>
    <w:next w:val="1"/>
    <w:link w:val="134"/>
    <w:autoRedefine/>
    <w:qFormat/>
    <w:locked/>
    <w:uiPriority w:val="39"/>
    <w:pPr>
      <w:tabs>
        <w:tab w:val="right" w:leader="dot" w:pos="9060"/>
      </w:tabs>
      <w:snapToGrid w:val="0"/>
      <w:spacing w:before="120" w:after="120" w:line="360" w:lineRule="auto"/>
      <w:jc w:val="left"/>
    </w:pPr>
    <w:rPr>
      <w:b/>
      <w:bCs/>
      <w:caps/>
      <w:sz w:val="20"/>
      <w:szCs w:val="20"/>
    </w:rPr>
  </w:style>
  <w:style w:type="paragraph" w:styleId="58">
    <w:name w:val="List Continue 4"/>
    <w:basedOn w:val="1"/>
    <w:autoRedefine/>
    <w:qFormat/>
    <w:locked/>
    <w:uiPriority w:val="0"/>
    <w:pPr>
      <w:spacing w:before="60" w:after="120"/>
      <w:ind w:left="1680" w:firstLine="482"/>
    </w:pPr>
    <w:rPr>
      <w:rFonts w:ascii="Arial" w:hAnsi="Arial" w:eastAsia="仿宋_GB2312"/>
      <w:kern w:val="0"/>
      <w:sz w:val="24"/>
      <w:szCs w:val="20"/>
    </w:rPr>
  </w:style>
  <w:style w:type="paragraph" w:styleId="59">
    <w:name w:val="toc 4"/>
    <w:basedOn w:val="1"/>
    <w:next w:val="1"/>
    <w:autoRedefine/>
    <w:qFormat/>
    <w:locked/>
    <w:uiPriority w:val="39"/>
    <w:pPr>
      <w:tabs>
        <w:tab w:val="right" w:leader="dot" w:pos="9060"/>
      </w:tabs>
      <w:snapToGrid w:val="0"/>
      <w:spacing w:line="360" w:lineRule="auto"/>
      <w:ind w:left="720"/>
      <w:jc w:val="left"/>
    </w:pPr>
    <w:rPr>
      <w:b/>
      <w:sz w:val="18"/>
      <w:szCs w:val="18"/>
    </w:rPr>
  </w:style>
  <w:style w:type="paragraph" w:styleId="60">
    <w:name w:val="index heading"/>
    <w:basedOn w:val="1"/>
    <w:next w:val="61"/>
    <w:autoRedefine/>
    <w:qFormat/>
    <w:locked/>
    <w:uiPriority w:val="0"/>
  </w:style>
  <w:style w:type="paragraph" w:styleId="61">
    <w:name w:val="index 1"/>
    <w:basedOn w:val="1"/>
    <w:next w:val="1"/>
    <w:autoRedefine/>
    <w:unhideWhenUsed/>
    <w:qFormat/>
    <w:locked/>
    <w:uiPriority w:val="0"/>
  </w:style>
  <w:style w:type="paragraph" w:styleId="62">
    <w:name w:val="Subtitle"/>
    <w:basedOn w:val="1"/>
    <w:link w:val="135"/>
    <w:autoRedefine/>
    <w:qFormat/>
    <w:locked/>
    <w:uiPriority w:val="0"/>
    <w:pPr>
      <w:spacing w:before="240" w:after="60" w:line="312" w:lineRule="auto"/>
      <w:ind w:firstLine="482"/>
      <w:jc w:val="center"/>
      <w:outlineLvl w:val="1"/>
    </w:pPr>
    <w:rPr>
      <w:rFonts w:ascii="Arial" w:hAnsi="Arial" w:eastAsia="仿宋_GB2312"/>
      <w:b/>
      <w:bCs/>
      <w:kern w:val="28"/>
      <w:sz w:val="32"/>
      <w:szCs w:val="32"/>
    </w:rPr>
  </w:style>
  <w:style w:type="paragraph" w:styleId="63">
    <w:name w:val="List Number 5"/>
    <w:basedOn w:val="1"/>
    <w:autoRedefine/>
    <w:qFormat/>
    <w:locked/>
    <w:uiPriority w:val="0"/>
    <w:pPr>
      <w:tabs>
        <w:tab w:val="left" w:pos="420"/>
      </w:tabs>
      <w:spacing w:before="60"/>
      <w:ind w:left="420" w:hanging="420"/>
    </w:pPr>
    <w:rPr>
      <w:rFonts w:ascii="Arial" w:hAnsi="Arial" w:eastAsia="仿宋_GB2312"/>
      <w:kern w:val="0"/>
      <w:sz w:val="24"/>
      <w:szCs w:val="20"/>
    </w:rPr>
  </w:style>
  <w:style w:type="paragraph" w:styleId="64">
    <w:name w:val="List"/>
    <w:basedOn w:val="1"/>
    <w:autoRedefine/>
    <w:qFormat/>
    <w:locked/>
    <w:uiPriority w:val="0"/>
    <w:pPr>
      <w:snapToGrid w:val="0"/>
      <w:spacing w:line="500" w:lineRule="exact"/>
      <w:jc w:val="left"/>
    </w:pPr>
    <w:rPr>
      <w:szCs w:val="20"/>
    </w:rPr>
  </w:style>
  <w:style w:type="paragraph" w:styleId="65">
    <w:name w:val="footnote text"/>
    <w:basedOn w:val="1"/>
    <w:link w:val="136"/>
    <w:autoRedefine/>
    <w:qFormat/>
    <w:locked/>
    <w:uiPriority w:val="0"/>
    <w:pPr>
      <w:snapToGrid w:val="0"/>
      <w:spacing w:line="360" w:lineRule="auto"/>
      <w:ind w:firstLine="200" w:firstLineChars="200"/>
      <w:jc w:val="left"/>
    </w:pPr>
    <w:rPr>
      <w:rFonts w:ascii="宋体"/>
      <w:sz w:val="18"/>
      <w:szCs w:val="18"/>
    </w:rPr>
  </w:style>
  <w:style w:type="paragraph" w:styleId="66">
    <w:name w:val="toc 6"/>
    <w:basedOn w:val="1"/>
    <w:next w:val="1"/>
    <w:autoRedefine/>
    <w:qFormat/>
    <w:locked/>
    <w:uiPriority w:val="39"/>
    <w:pPr>
      <w:snapToGrid w:val="0"/>
      <w:spacing w:line="500" w:lineRule="exact"/>
      <w:ind w:left="1200"/>
      <w:jc w:val="left"/>
    </w:pPr>
    <w:rPr>
      <w:sz w:val="18"/>
      <w:szCs w:val="18"/>
    </w:rPr>
  </w:style>
  <w:style w:type="paragraph" w:styleId="67">
    <w:name w:val="List 5"/>
    <w:basedOn w:val="1"/>
    <w:autoRedefine/>
    <w:qFormat/>
    <w:locked/>
    <w:uiPriority w:val="0"/>
    <w:pPr>
      <w:spacing w:before="60"/>
      <w:ind w:left="2100" w:hanging="420"/>
    </w:pPr>
    <w:rPr>
      <w:rFonts w:ascii="Arial" w:hAnsi="Arial" w:eastAsia="仿宋_GB2312"/>
      <w:kern w:val="0"/>
      <w:sz w:val="24"/>
      <w:szCs w:val="20"/>
    </w:rPr>
  </w:style>
  <w:style w:type="paragraph" w:styleId="68">
    <w:name w:val="Body Text Indent 3"/>
    <w:basedOn w:val="1"/>
    <w:link w:val="137"/>
    <w:autoRedefine/>
    <w:qFormat/>
    <w:locked/>
    <w:uiPriority w:val="0"/>
    <w:pPr>
      <w:spacing w:after="120"/>
      <w:ind w:left="420" w:leftChars="200"/>
    </w:pPr>
    <w:rPr>
      <w:sz w:val="16"/>
      <w:szCs w:val="16"/>
    </w:rPr>
  </w:style>
  <w:style w:type="paragraph" w:styleId="69">
    <w:name w:val="table of figures"/>
    <w:basedOn w:val="1"/>
    <w:next w:val="1"/>
    <w:autoRedefine/>
    <w:qFormat/>
    <w:locked/>
    <w:uiPriority w:val="0"/>
    <w:pPr>
      <w:tabs>
        <w:tab w:val="right" w:leader="dot" w:pos="8312"/>
      </w:tabs>
      <w:adjustRightInd w:val="0"/>
      <w:spacing w:line="360" w:lineRule="auto"/>
      <w:textAlignment w:val="baseline"/>
    </w:pPr>
    <w:rPr>
      <w:rFonts w:ascii="宋体"/>
      <w:kern w:val="0"/>
      <w:szCs w:val="20"/>
    </w:rPr>
  </w:style>
  <w:style w:type="paragraph" w:styleId="70">
    <w:name w:val="toc 2"/>
    <w:basedOn w:val="1"/>
    <w:next w:val="1"/>
    <w:autoRedefine/>
    <w:qFormat/>
    <w:locked/>
    <w:uiPriority w:val="39"/>
    <w:pPr>
      <w:tabs>
        <w:tab w:val="right" w:leader="dot" w:pos="9060"/>
      </w:tabs>
      <w:snapToGrid w:val="0"/>
      <w:ind w:left="240"/>
      <w:jc w:val="left"/>
    </w:pPr>
    <w:rPr>
      <w:smallCaps/>
      <w:sz w:val="20"/>
      <w:szCs w:val="20"/>
    </w:rPr>
  </w:style>
  <w:style w:type="paragraph" w:styleId="71">
    <w:name w:val="toc 9"/>
    <w:basedOn w:val="1"/>
    <w:next w:val="1"/>
    <w:autoRedefine/>
    <w:qFormat/>
    <w:locked/>
    <w:uiPriority w:val="39"/>
    <w:pPr>
      <w:snapToGrid w:val="0"/>
      <w:spacing w:line="500" w:lineRule="exact"/>
      <w:ind w:left="1920"/>
      <w:jc w:val="left"/>
    </w:pPr>
    <w:rPr>
      <w:sz w:val="18"/>
      <w:szCs w:val="18"/>
    </w:rPr>
  </w:style>
  <w:style w:type="paragraph" w:styleId="72">
    <w:name w:val="Body Text 2"/>
    <w:basedOn w:val="1"/>
    <w:link w:val="138"/>
    <w:autoRedefine/>
    <w:qFormat/>
    <w:locked/>
    <w:uiPriority w:val="0"/>
    <w:rPr>
      <w:rFonts w:eastAsia="仿宋_GB2312"/>
      <w:sz w:val="32"/>
    </w:rPr>
  </w:style>
  <w:style w:type="paragraph" w:styleId="73">
    <w:name w:val="List 4"/>
    <w:basedOn w:val="1"/>
    <w:autoRedefine/>
    <w:qFormat/>
    <w:locked/>
    <w:uiPriority w:val="0"/>
    <w:pPr>
      <w:spacing w:before="60"/>
      <w:ind w:left="1680" w:hanging="420"/>
    </w:pPr>
    <w:rPr>
      <w:rFonts w:ascii="Arial" w:hAnsi="Arial" w:eastAsia="仿宋_GB2312"/>
      <w:kern w:val="0"/>
      <w:sz w:val="24"/>
      <w:szCs w:val="20"/>
    </w:rPr>
  </w:style>
  <w:style w:type="paragraph" w:styleId="74">
    <w:name w:val="List Continue 2"/>
    <w:basedOn w:val="1"/>
    <w:autoRedefine/>
    <w:qFormat/>
    <w:locked/>
    <w:uiPriority w:val="0"/>
    <w:pPr>
      <w:spacing w:before="60" w:after="120"/>
      <w:ind w:left="840" w:firstLine="482"/>
    </w:pPr>
    <w:rPr>
      <w:rFonts w:ascii="Arial" w:hAnsi="Arial" w:eastAsia="仿宋_GB2312"/>
      <w:kern w:val="0"/>
      <w:sz w:val="24"/>
      <w:szCs w:val="20"/>
    </w:rPr>
  </w:style>
  <w:style w:type="paragraph" w:styleId="75">
    <w:name w:val="Message Header"/>
    <w:basedOn w:val="1"/>
    <w:link w:val="139"/>
    <w:autoRedefine/>
    <w:qFormat/>
    <w:locked/>
    <w:uiPriority w:val="0"/>
    <w:pPr>
      <w:pBdr>
        <w:top w:val="single" w:color="auto" w:sz="6" w:space="1"/>
        <w:left w:val="single" w:color="auto" w:sz="6" w:space="1"/>
        <w:bottom w:val="single" w:color="auto" w:sz="6" w:space="1"/>
        <w:right w:val="single" w:color="auto" w:sz="6" w:space="1"/>
      </w:pBdr>
      <w:shd w:val="pct20" w:color="auto" w:fill="auto"/>
      <w:spacing w:before="60"/>
      <w:ind w:left="1080" w:hanging="1080"/>
    </w:pPr>
    <w:rPr>
      <w:rFonts w:ascii="宋体" w:hAnsi="宋体" w:cs="宋体"/>
      <w:sz w:val="24"/>
    </w:rPr>
  </w:style>
  <w:style w:type="paragraph" w:styleId="76">
    <w:name w:val="HTML Preformatted"/>
    <w:basedOn w:val="1"/>
    <w:link w:val="140"/>
    <w:autoRedefine/>
    <w:qFormat/>
    <w:locked/>
    <w:uiPriority w:val="0"/>
    <w:rPr>
      <w:rFonts w:ascii="Courier New" w:hAnsi="Courier New" w:cs="Courier New"/>
      <w:sz w:val="20"/>
      <w:szCs w:val="20"/>
    </w:rPr>
  </w:style>
  <w:style w:type="paragraph" w:styleId="77">
    <w:name w:val="Normal (Web)"/>
    <w:basedOn w:val="1"/>
    <w:link w:val="141"/>
    <w:autoRedefine/>
    <w:qFormat/>
    <w:uiPriority w:val="0"/>
    <w:pPr>
      <w:widowControl/>
      <w:spacing w:before="100" w:beforeAutospacing="1" w:after="100" w:afterAutospacing="1"/>
      <w:jc w:val="left"/>
    </w:pPr>
    <w:rPr>
      <w:rFonts w:ascii="宋体" w:hAnsi="宋体"/>
      <w:kern w:val="0"/>
      <w:sz w:val="24"/>
      <w:szCs w:val="20"/>
    </w:rPr>
  </w:style>
  <w:style w:type="paragraph" w:styleId="78">
    <w:name w:val="List Continue 3"/>
    <w:basedOn w:val="1"/>
    <w:autoRedefine/>
    <w:qFormat/>
    <w:locked/>
    <w:uiPriority w:val="0"/>
    <w:pPr>
      <w:spacing w:before="60" w:after="120"/>
      <w:ind w:left="1260" w:firstLine="482"/>
    </w:pPr>
    <w:rPr>
      <w:rFonts w:ascii="Arial" w:hAnsi="Arial" w:eastAsia="仿宋_GB2312"/>
      <w:kern w:val="0"/>
      <w:sz w:val="24"/>
      <w:szCs w:val="20"/>
    </w:rPr>
  </w:style>
  <w:style w:type="paragraph" w:styleId="79">
    <w:name w:val="Title"/>
    <w:basedOn w:val="1"/>
    <w:next w:val="1"/>
    <w:link w:val="142"/>
    <w:autoRedefine/>
    <w:qFormat/>
    <w:locked/>
    <w:uiPriority w:val="0"/>
    <w:pPr>
      <w:spacing w:before="240" w:after="60"/>
      <w:jc w:val="center"/>
      <w:outlineLvl w:val="0"/>
    </w:pPr>
    <w:rPr>
      <w:rFonts w:ascii="Cambria" w:hAnsi="Cambria"/>
      <w:b/>
      <w:bCs/>
      <w:sz w:val="32"/>
      <w:szCs w:val="32"/>
    </w:rPr>
  </w:style>
  <w:style w:type="paragraph" w:styleId="80">
    <w:name w:val="annotation subject"/>
    <w:basedOn w:val="28"/>
    <w:next w:val="28"/>
    <w:link w:val="143"/>
    <w:autoRedefine/>
    <w:semiHidden/>
    <w:qFormat/>
    <w:uiPriority w:val="0"/>
    <w:rPr>
      <w:b/>
    </w:rPr>
  </w:style>
  <w:style w:type="paragraph" w:styleId="81">
    <w:name w:val="Body Text First Indent"/>
    <w:basedOn w:val="9"/>
    <w:next w:val="1"/>
    <w:link w:val="125"/>
    <w:autoRedefine/>
    <w:qFormat/>
    <w:locked/>
    <w:uiPriority w:val="0"/>
    <w:pPr>
      <w:widowControl w:val="0"/>
      <w:snapToGrid/>
      <w:spacing w:before="0" w:after="120" w:line="240" w:lineRule="auto"/>
      <w:ind w:right="0" w:firstLine="420" w:firstLineChars="100"/>
    </w:pPr>
    <w:rPr>
      <w:kern w:val="2"/>
      <w:sz w:val="21"/>
      <w:szCs w:val="24"/>
    </w:rPr>
  </w:style>
  <w:style w:type="paragraph" w:styleId="82">
    <w:name w:val="Body Text First Indent 2"/>
    <w:basedOn w:val="33"/>
    <w:link w:val="144"/>
    <w:autoRedefine/>
    <w:unhideWhenUsed/>
    <w:qFormat/>
    <w:locked/>
    <w:uiPriority w:val="99"/>
    <w:pPr>
      <w:ind w:firstLine="420" w:firstLineChars="200"/>
    </w:pPr>
    <w:rPr>
      <w:szCs w:val="24"/>
    </w:rPr>
  </w:style>
  <w:style w:type="table" w:styleId="84">
    <w:name w:val="Table Grid"/>
    <w:basedOn w:val="83"/>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5">
    <w:name w:val="Table Theme"/>
    <w:basedOn w:val="83"/>
    <w:autoRedefine/>
    <w:qFormat/>
    <w:locked/>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6">
    <w:name w:val="Table Grid 1"/>
    <w:basedOn w:val="83"/>
    <w:autoRedefine/>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87">
    <w:name w:val="Table Grid 5"/>
    <w:basedOn w:val="83"/>
    <w:autoRedefine/>
    <w:qFormat/>
    <w:locked/>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88">
    <w:name w:val="Table Professional"/>
    <w:basedOn w:val="83"/>
    <w:autoRedefine/>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90">
    <w:name w:val="Strong"/>
    <w:autoRedefine/>
    <w:qFormat/>
    <w:locked/>
    <w:uiPriority w:val="0"/>
    <w:rPr>
      <w:b/>
      <w:bCs/>
    </w:rPr>
  </w:style>
  <w:style w:type="character" w:styleId="91">
    <w:name w:val="endnote reference"/>
    <w:autoRedefine/>
    <w:qFormat/>
    <w:locked/>
    <w:uiPriority w:val="0"/>
    <w:rPr>
      <w:rFonts w:ascii="宋体" w:hAnsi="宋体" w:eastAsia="宋体" w:cs="宋体"/>
      <w:kern w:val="2"/>
      <w:sz w:val="21"/>
      <w:szCs w:val="24"/>
      <w:vertAlign w:val="superscript"/>
      <w:lang w:val="en-US" w:eastAsia="zh-CN" w:bidi="ar-SA"/>
    </w:rPr>
  </w:style>
  <w:style w:type="character" w:styleId="92">
    <w:name w:val="page number"/>
    <w:autoRedefine/>
    <w:qFormat/>
    <w:locked/>
    <w:uiPriority w:val="0"/>
  </w:style>
  <w:style w:type="character" w:styleId="93">
    <w:name w:val="FollowedHyperlink"/>
    <w:autoRedefine/>
    <w:unhideWhenUsed/>
    <w:qFormat/>
    <w:locked/>
    <w:uiPriority w:val="99"/>
    <w:rPr>
      <w:color w:val="954F72"/>
      <w:u w:val="single"/>
    </w:rPr>
  </w:style>
  <w:style w:type="character" w:styleId="94">
    <w:name w:val="Emphasis"/>
    <w:autoRedefine/>
    <w:qFormat/>
    <w:locked/>
    <w:uiPriority w:val="0"/>
    <w:rPr>
      <w:rFonts w:ascii="宋体" w:hAnsi="宋体" w:eastAsia="宋体" w:cs="宋体"/>
      <w:color w:val="CC0000"/>
      <w:kern w:val="2"/>
      <w:sz w:val="24"/>
      <w:szCs w:val="24"/>
      <w:lang w:val="en-US" w:eastAsia="zh-CN" w:bidi="ar-SA"/>
    </w:rPr>
  </w:style>
  <w:style w:type="character" w:styleId="95">
    <w:name w:val="Hyperlink"/>
    <w:autoRedefine/>
    <w:qFormat/>
    <w:locked/>
    <w:uiPriority w:val="99"/>
    <w:rPr>
      <w:color w:val="0000FF"/>
      <w:u w:val="single"/>
    </w:rPr>
  </w:style>
  <w:style w:type="character" w:styleId="96">
    <w:name w:val="HTML Code"/>
    <w:autoRedefine/>
    <w:qFormat/>
    <w:locked/>
    <w:uiPriority w:val="0"/>
    <w:rPr>
      <w:rFonts w:ascii="黑体" w:hAnsi="Courier New" w:eastAsia="黑体" w:cs="Courier New"/>
      <w:sz w:val="24"/>
      <w:szCs w:val="24"/>
    </w:rPr>
  </w:style>
  <w:style w:type="character" w:styleId="97">
    <w:name w:val="annotation reference"/>
    <w:autoRedefine/>
    <w:semiHidden/>
    <w:qFormat/>
    <w:uiPriority w:val="0"/>
    <w:rPr>
      <w:sz w:val="21"/>
    </w:rPr>
  </w:style>
  <w:style w:type="character" w:styleId="98">
    <w:name w:val="footnote reference"/>
    <w:autoRedefine/>
    <w:qFormat/>
    <w:locked/>
    <w:uiPriority w:val="0"/>
    <w:rPr>
      <w:rFonts w:ascii="宋体" w:hAnsi="宋体" w:eastAsia="宋体" w:cs="宋体"/>
      <w:kern w:val="2"/>
      <w:sz w:val="24"/>
      <w:szCs w:val="24"/>
      <w:vertAlign w:val="superscript"/>
      <w:lang w:val="en-US" w:eastAsia="zh-CN" w:bidi="ar-SA"/>
    </w:rPr>
  </w:style>
  <w:style w:type="paragraph" w:customStyle="1" w:styleId="99">
    <w:name w:val="样式 正文文本缩进 + 行距: 1.5 倍行距"/>
    <w:basedOn w:val="100"/>
    <w:next w:val="1"/>
    <w:autoRedefine/>
    <w:qFormat/>
    <w:uiPriority w:val="0"/>
    <w:pPr>
      <w:ind w:left="90" w:leftChars="32" w:firstLine="560"/>
    </w:pPr>
    <w:rPr>
      <w:rFonts w:cs="宋体"/>
    </w:rPr>
  </w:style>
  <w:style w:type="paragraph" w:customStyle="1" w:styleId="100">
    <w:name w:val="正文文本缩进1"/>
    <w:basedOn w:val="101"/>
    <w:next w:val="99"/>
    <w:autoRedefine/>
    <w:qFormat/>
    <w:uiPriority w:val="0"/>
    <w:pPr>
      <w:spacing w:after="120" w:line="360" w:lineRule="auto"/>
      <w:ind w:left="420" w:leftChars="200" w:firstLine="200" w:firstLineChars="200"/>
    </w:pPr>
    <w:rPr>
      <w:sz w:val="24"/>
    </w:rPr>
  </w:style>
  <w:style w:type="paragraph" w:customStyle="1" w:styleId="101">
    <w:name w:val="Normal New New New New New New New New New New New New New New New New New New New New New New New New New New New New New New New New New New New New New New New New New New New New New New New New New New New New New New New New New New New New New 53"/>
    <w:qFormat/>
    <w:uiPriority w:val="0"/>
    <w:pPr>
      <w:widowControl w:val="0"/>
      <w:jc w:val="both"/>
    </w:pPr>
    <w:rPr>
      <w:rFonts w:hint="eastAsia" w:ascii="Calibri" w:hAnsi="Calibri" w:eastAsia="宋体" w:cs="Times New Roman"/>
      <w:kern w:val="2"/>
      <w:sz w:val="21"/>
      <w:lang w:val="en-US" w:eastAsia="zh-CN" w:bidi="ar-SA"/>
    </w:rPr>
  </w:style>
  <w:style w:type="paragraph" w:customStyle="1" w:styleId="102">
    <w:name w:val="Body Text Indent"/>
    <w:basedOn w:val="1"/>
    <w:next w:val="99"/>
    <w:qFormat/>
    <w:uiPriority w:val="0"/>
    <w:pPr>
      <w:spacing w:after="120" w:afterLines="0"/>
      <w:ind w:left="420" w:leftChars="200"/>
    </w:pPr>
    <w:rPr>
      <w:rFonts w:ascii="Times New Roman" w:hAnsi="Times New Roman" w:eastAsia="宋体"/>
      <w:sz w:val="24"/>
    </w:rPr>
  </w:style>
  <w:style w:type="character" w:customStyle="1" w:styleId="103">
    <w:name w:val="纯文本 字符"/>
    <w:link w:val="43"/>
    <w:autoRedefine/>
    <w:qFormat/>
    <w:uiPriority w:val="0"/>
    <w:rPr>
      <w:rFonts w:ascii="宋体" w:hAnsi="Courier New" w:cs="Courier New"/>
      <w:kern w:val="2"/>
      <w:sz w:val="21"/>
      <w:szCs w:val="21"/>
    </w:rPr>
  </w:style>
  <w:style w:type="character" w:customStyle="1" w:styleId="104">
    <w:name w:val="宏文本 字符"/>
    <w:link w:val="2"/>
    <w:autoRedefine/>
    <w:qFormat/>
    <w:uiPriority w:val="0"/>
    <w:rPr>
      <w:rFonts w:ascii="宋体" w:hAnsi="宋体"/>
      <w:kern w:val="2"/>
      <w:sz w:val="24"/>
      <w:szCs w:val="24"/>
    </w:rPr>
  </w:style>
  <w:style w:type="character" w:customStyle="1" w:styleId="105">
    <w:name w:val="标题 1 字符"/>
    <w:link w:val="3"/>
    <w:autoRedefine/>
    <w:qFormat/>
    <w:uiPriority w:val="9"/>
    <w:rPr>
      <w:rFonts w:eastAsia="黑体"/>
      <w:b/>
      <w:bCs/>
      <w:color w:val="000000"/>
      <w:kern w:val="44"/>
      <w:sz w:val="30"/>
      <w:szCs w:val="30"/>
    </w:rPr>
  </w:style>
  <w:style w:type="character" w:customStyle="1" w:styleId="106">
    <w:name w:val="标题 2 字符"/>
    <w:link w:val="4"/>
    <w:autoRedefine/>
    <w:qFormat/>
    <w:uiPriority w:val="9"/>
    <w:rPr>
      <w:rFonts w:ascii="Arial" w:hAnsi="Arial" w:eastAsia="黑体"/>
      <w:b/>
      <w:bCs/>
      <w:kern w:val="2"/>
      <w:sz w:val="32"/>
      <w:szCs w:val="32"/>
    </w:rPr>
  </w:style>
  <w:style w:type="character" w:customStyle="1" w:styleId="107">
    <w:name w:val="标题 3 字符"/>
    <w:link w:val="5"/>
    <w:autoRedefine/>
    <w:qFormat/>
    <w:uiPriority w:val="9"/>
    <w:rPr>
      <w:b/>
      <w:bCs/>
      <w:kern w:val="2"/>
      <w:sz w:val="32"/>
      <w:szCs w:val="32"/>
    </w:rPr>
  </w:style>
  <w:style w:type="character" w:customStyle="1" w:styleId="108">
    <w:name w:val="标题 4 字符"/>
    <w:link w:val="6"/>
    <w:autoRedefine/>
    <w:qFormat/>
    <w:uiPriority w:val="0"/>
    <w:rPr>
      <w:rFonts w:ascii="Cambria" w:hAnsi="Cambria"/>
      <w:b/>
      <w:bCs/>
      <w:kern w:val="2"/>
      <w:sz w:val="28"/>
      <w:szCs w:val="28"/>
    </w:rPr>
  </w:style>
  <w:style w:type="character" w:customStyle="1" w:styleId="109">
    <w:name w:val="标题 5 字符"/>
    <w:link w:val="7"/>
    <w:autoRedefine/>
    <w:qFormat/>
    <w:uiPriority w:val="0"/>
    <w:rPr>
      <w:b/>
      <w:kern w:val="2"/>
      <w:sz w:val="28"/>
    </w:rPr>
  </w:style>
  <w:style w:type="character" w:customStyle="1" w:styleId="110">
    <w:name w:val="正文缩进 字符"/>
    <w:link w:val="8"/>
    <w:autoRedefine/>
    <w:qFormat/>
    <w:uiPriority w:val="99"/>
    <w:rPr>
      <w:kern w:val="2"/>
      <w:sz w:val="21"/>
      <w:szCs w:val="24"/>
    </w:rPr>
  </w:style>
  <w:style w:type="character" w:customStyle="1" w:styleId="111">
    <w:name w:val="标题 6 字符"/>
    <w:link w:val="11"/>
    <w:autoRedefine/>
    <w:qFormat/>
    <w:uiPriority w:val="0"/>
    <w:rPr>
      <w:rFonts w:ascii="Arial" w:hAnsi="Arial"/>
      <w:b/>
      <w:bCs/>
      <w:kern w:val="2"/>
      <w:sz w:val="24"/>
      <w:szCs w:val="24"/>
    </w:rPr>
  </w:style>
  <w:style w:type="character" w:customStyle="1" w:styleId="112">
    <w:name w:val="标题 7 字符"/>
    <w:link w:val="12"/>
    <w:autoRedefine/>
    <w:qFormat/>
    <w:uiPriority w:val="0"/>
    <w:rPr>
      <w:b/>
      <w:bCs/>
      <w:kern w:val="2"/>
      <w:sz w:val="24"/>
      <w:szCs w:val="24"/>
    </w:rPr>
  </w:style>
  <w:style w:type="character" w:customStyle="1" w:styleId="113">
    <w:name w:val="标题 8 字符"/>
    <w:link w:val="13"/>
    <w:autoRedefine/>
    <w:qFormat/>
    <w:uiPriority w:val="0"/>
    <w:rPr>
      <w:rFonts w:ascii="Arial" w:hAnsi="Arial"/>
      <w:sz w:val="24"/>
    </w:rPr>
  </w:style>
  <w:style w:type="character" w:customStyle="1" w:styleId="114">
    <w:name w:val="标题 9 字符"/>
    <w:link w:val="14"/>
    <w:autoRedefine/>
    <w:qFormat/>
    <w:uiPriority w:val="0"/>
    <w:rPr>
      <w:rFonts w:ascii="Arial" w:hAnsi="Arial"/>
      <w:sz w:val="24"/>
    </w:rPr>
  </w:style>
  <w:style w:type="character" w:customStyle="1" w:styleId="115">
    <w:name w:val="注释标题 字符"/>
    <w:link w:val="19"/>
    <w:autoRedefine/>
    <w:qFormat/>
    <w:uiPriority w:val="0"/>
    <w:rPr>
      <w:rFonts w:ascii="Arial" w:hAnsi="Arial"/>
      <w:bCs/>
      <w:kern w:val="2"/>
      <w:sz w:val="28"/>
      <w:szCs w:val="28"/>
    </w:rPr>
  </w:style>
  <w:style w:type="character" w:customStyle="1" w:styleId="116">
    <w:name w:val="电子邮件签名 字符"/>
    <w:link w:val="21"/>
    <w:autoRedefine/>
    <w:qFormat/>
    <w:uiPriority w:val="0"/>
    <w:rPr>
      <w:rFonts w:ascii="Arial" w:hAnsi="Arial" w:eastAsia="仿宋_GB2312"/>
      <w:kern w:val="2"/>
      <w:sz w:val="24"/>
      <w:szCs w:val="22"/>
    </w:rPr>
  </w:style>
  <w:style w:type="character" w:customStyle="1" w:styleId="117">
    <w:name w:val="题注 字符"/>
    <w:link w:val="23"/>
    <w:autoRedefine/>
    <w:qFormat/>
    <w:uiPriority w:val="35"/>
    <w:rPr>
      <w:rFonts w:ascii="Arial" w:hAnsi="Arial" w:eastAsia="黑体" w:cs="Arial"/>
      <w:kern w:val="2"/>
    </w:rPr>
  </w:style>
  <w:style w:type="character" w:customStyle="1" w:styleId="118">
    <w:name w:val="文档结构图 字符"/>
    <w:link w:val="26"/>
    <w:autoRedefine/>
    <w:qFormat/>
    <w:uiPriority w:val="99"/>
    <w:rPr>
      <w:kern w:val="2"/>
      <w:sz w:val="21"/>
      <w:szCs w:val="24"/>
      <w:shd w:val="clear" w:color="auto" w:fill="000080"/>
    </w:rPr>
  </w:style>
  <w:style w:type="character" w:customStyle="1" w:styleId="119">
    <w:name w:val="批注文字 字符"/>
    <w:link w:val="28"/>
    <w:autoRedefine/>
    <w:qFormat/>
    <w:locked/>
    <w:uiPriority w:val="0"/>
    <w:rPr>
      <w:rFonts w:ascii="Times New Roman" w:hAnsi="Times New Roman" w:eastAsia="宋体"/>
      <w:sz w:val="24"/>
    </w:rPr>
  </w:style>
  <w:style w:type="character" w:customStyle="1" w:styleId="120">
    <w:name w:val="称呼 字符"/>
    <w:link w:val="29"/>
    <w:autoRedefine/>
    <w:qFormat/>
    <w:uiPriority w:val="0"/>
    <w:rPr>
      <w:kern w:val="2"/>
      <w:sz w:val="21"/>
      <w:szCs w:val="24"/>
    </w:rPr>
  </w:style>
  <w:style w:type="character" w:customStyle="1" w:styleId="121">
    <w:name w:val="正文文本 3 字符"/>
    <w:link w:val="30"/>
    <w:autoRedefine/>
    <w:qFormat/>
    <w:uiPriority w:val="0"/>
    <w:rPr>
      <w:rFonts w:ascii="宋体" w:hAnsi="宋体"/>
      <w:kern w:val="2"/>
      <w:sz w:val="24"/>
      <w:szCs w:val="24"/>
    </w:rPr>
  </w:style>
  <w:style w:type="character" w:customStyle="1" w:styleId="122">
    <w:name w:val="结束语 字符"/>
    <w:link w:val="31"/>
    <w:autoRedefine/>
    <w:qFormat/>
    <w:uiPriority w:val="0"/>
    <w:rPr>
      <w:rFonts w:ascii="Arial" w:hAnsi="Arial" w:eastAsia="仿宋_GB2312"/>
      <w:kern w:val="2"/>
      <w:sz w:val="24"/>
      <w:szCs w:val="22"/>
    </w:rPr>
  </w:style>
  <w:style w:type="character" w:customStyle="1" w:styleId="123">
    <w:name w:val="正文文本 字符"/>
    <w:link w:val="9"/>
    <w:autoRedefine/>
    <w:qFormat/>
    <w:locked/>
    <w:uiPriority w:val="0"/>
    <w:rPr>
      <w:sz w:val="18"/>
    </w:rPr>
  </w:style>
  <w:style w:type="character" w:customStyle="1" w:styleId="124">
    <w:name w:val="正文文本缩进 字符"/>
    <w:link w:val="33"/>
    <w:autoRedefine/>
    <w:qFormat/>
    <w:locked/>
    <w:uiPriority w:val="99"/>
    <w:rPr>
      <w:rFonts w:ascii="Times New Roman" w:hAnsi="Times New Roman" w:eastAsia="宋体"/>
      <w:sz w:val="24"/>
    </w:rPr>
  </w:style>
  <w:style w:type="character" w:customStyle="1" w:styleId="125">
    <w:name w:val="正文文本首行缩进 字符"/>
    <w:link w:val="81"/>
    <w:autoRedefine/>
    <w:qFormat/>
    <w:uiPriority w:val="0"/>
    <w:rPr>
      <w:kern w:val="2"/>
      <w:sz w:val="21"/>
      <w:szCs w:val="24"/>
    </w:rPr>
  </w:style>
  <w:style w:type="character" w:customStyle="1" w:styleId="126">
    <w:name w:val="HTML 地址 字符"/>
    <w:link w:val="39"/>
    <w:autoRedefine/>
    <w:qFormat/>
    <w:uiPriority w:val="0"/>
    <w:rPr>
      <w:rFonts w:ascii="Arial" w:hAnsi="Arial" w:eastAsia="仿宋_GB2312"/>
      <w:i/>
      <w:iCs/>
      <w:kern w:val="2"/>
      <w:sz w:val="24"/>
      <w:szCs w:val="22"/>
    </w:rPr>
  </w:style>
  <w:style w:type="character" w:customStyle="1" w:styleId="127">
    <w:name w:val="日期 字符1"/>
    <w:link w:val="46"/>
    <w:autoRedefine/>
    <w:qFormat/>
    <w:locked/>
    <w:uiPriority w:val="0"/>
    <w:rPr>
      <w:rFonts w:ascii="Times New Roman" w:hAnsi="Times New Roman" w:eastAsia="宋体"/>
      <w:sz w:val="24"/>
    </w:rPr>
  </w:style>
  <w:style w:type="character" w:customStyle="1" w:styleId="128">
    <w:name w:val="正文文本缩进 2 字符"/>
    <w:link w:val="47"/>
    <w:autoRedefine/>
    <w:qFormat/>
    <w:uiPriority w:val="0"/>
    <w:rPr>
      <w:kern w:val="24"/>
      <w:sz w:val="28"/>
    </w:rPr>
  </w:style>
  <w:style w:type="character" w:customStyle="1" w:styleId="129">
    <w:name w:val="尾注文本 字符"/>
    <w:link w:val="48"/>
    <w:autoRedefine/>
    <w:qFormat/>
    <w:uiPriority w:val="0"/>
    <w:rPr>
      <w:kern w:val="2"/>
      <w:sz w:val="21"/>
      <w:szCs w:val="24"/>
    </w:rPr>
  </w:style>
  <w:style w:type="character" w:customStyle="1" w:styleId="130">
    <w:name w:val="批注框文本 字符"/>
    <w:link w:val="50"/>
    <w:autoRedefine/>
    <w:semiHidden/>
    <w:qFormat/>
    <w:locked/>
    <w:uiPriority w:val="0"/>
    <w:rPr>
      <w:rFonts w:ascii="Times New Roman" w:hAnsi="Times New Roman" w:eastAsia="宋体"/>
      <w:sz w:val="18"/>
    </w:rPr>
  </w:style>
  <w:style w:type="character" w:customStyle="1" w:styleId="131">
    <w:name w:val="页脚 字符1"/>
    <w:link w:val="51"/>
    <w:autoRedefine/>
    <w:qFormat/>
    <w:locked/>
    <w:uiPriority w:val="99"/>
    <w:rPr>
      <w:sz w:val="18"/>
    </w:rPr>
  </w:style>
  <w:style w:type="character" w:customStyle="1" w:styleId="132">
    <w:name w:val="页眉 字符"/>
    <w:link w:val="53"/>
    <w:autoRedefine/>
    <w:qFormat/>
    <w:locked/>
    <w:uiPriority w:val="99"/>
    <w:rPr>
      <w:sz w:val="18"/>
    </w:rPr>
  </w:style>
  <w:style w:type="character" w:customStyle="1" w:styleId="133">
    <w:name w:val="签名 字符"/>
    <w:link w:val="56"/>
    <w:autoRedefine/>
    <w:qFormat/>
    <w:uiPriority w:val="0"/>
    <w:rPr>
      <w:rFonts w:ascii="Arial" w:hAnsi="Arial" w:eastAsia="仿宋_GB2312"/>
      <w:kern w:val="2"/>
      <w:sz w:val="24"/>
      <w:szCs w:val="22"/>
    </w:rPr>
  </w:style>
  <w:style w:type="character" w:customStyle="1" w:styleId="134">
    <w:name w:val="TOC 1 字符"/>
    <w:link w:val="57"/>
    <w:autoRedefine/>
    <w:qFormat/>
    <w:uiPriority w:val="39"/>
    <w:rPr>
      <w:b/>
      <w:bCs/>
      <w:caps/>
      <w:kern w:val="2"/>
    </w:rPr>
  </w:style>
  <w:style w:type="character" w:customStyle="1" w:styleId="135">
    <w:name w:val="副标题 字符"/>
    <w:link w:val="62"/>
    <w:autoRedefine/>
    <w:qFormat/>
    <w:uiPriority w:val="0"/>
    <w:rPr>
      <w:rFonts w:ascii="Arial" w:hAnsi="Arial" w:eastAsia="仿宋_GB2312"/>
      <w:b/>
      <w:bCs/>
      <w:kern w:val="28"/>
      <w:sz w:val="32"/>
      <w:szCs w:val="32"/>
    </w:rPr>
  </w:style>
  <w:style w:type="character" w:customStyle="1" w:styleId="136">
    <w:name w:val="脚注文本 字符"/>
    <w:link w:val="65"/>
    <w:autoRedefine/>
    <w:qFormat/>
    <w:uiPriority w:val="0"/>
    <w:rPr>
      <w:rFonts w:ascii="宋体"/>
      <w:kern w:val="2"/>
      <w:sz w:val="18"/>
      <w:szCs w:val="18"/>
    </w:rPr>
  </w:style>
  <w:style w:type="character" w:customStyle="1" w:styleId="137">
    <w:name w:val="正文文本缩进 3 字符"/>
    <w:link w:val="68"/>
    <w:autoRedefine/>
    <w:qFormat/>
    <w:uiPriority w:val="0"/>
    <w:rPr>
      <w:kern w:val="2"/>
      <w:sz w:val="16"/>
      <w:szCs w:val="16"/>
    </w:rPr>
  </w:style>
  <w:style w:type="character" w:customStyle="1" w:styleId="138">
    <w:name w:val="正文文本 2 字符"/>
    <w:link w:val="72"/>
    <w:autoRedefine/>
    <w:qFormat/>
    <w:uiPriority w:val="0"/>
    <w:rPr>
      <w:rFonts w:eastAsia="仿宋_GB2312"/>
      <w:kern w:val="2"/>
      <w:sz w:val="32"/>
      <w:szCs w:val="24"/>
    </w:rPr>
  </w:style>
  <w:style w:type="character" w:customStyle="1" w:styleId="139">
    <w:name w:val="信息标题 字符"/>
    <w:link w:val="75"/>
    <w:autoRedefine/>
    <w:qFormat/>
    <w:uiPriority w:val="0"/>
    <w:rPr>
      <w:rFonts w:ascii="宋体" w:hAnsi="宋体" w:cs="宋体"/>
      <w:kern w:val="2"/>
      <w:sz w:val="24"/>
      <w:szCs w:val="21"/>
      <w:shd w:val="pct20" w:color="auto" w:fill="auto"/>
    </w:rPr>
  </w:style>
  <w:style w:type="character" w:customStyle="1" w:styleId="140">
    <w:name w:val="HTML 预设格式 字符"/>
    <w:link w:val="76"/>
    <w:autoRedefine/>
    <w:qFormat/>
    <w:uiPriority w:val="0"/>
    <w:rPr>
      <w:rFonts w:ascii="Courier New" w:hAnsi="Courier New" w:cs="Courier New"/>
      <w:kern w:val="2"/>
    </w:rPr>
  </w:style>
  <w:style w:type="character" w:customStyle="1" w:styleId="141">
    <w:name w:val="普通(网站) 字符"/>
    <w:link w:val="77"/>
    <w:autoRedefine/>
    <w:qFormat/>
    <w:locked/>
    <w:uiPriority w:val="0"/>
    <w:rPr>
      <w:rFonts w:ascii="宋体" w:hAnsi="宋体" w:eastAsia="宋体"/>
      <w:sz w:val="24"/>
    </w:rPr>
  </w:style>
  <w:style w:type="character" w:customStyle="1" w:styleId="142">
    <w:name w:val="标题 字符"/>
    <w:link w:val="79"/>
    <w:autoRedefine/>
    <w:qFormat/>
    <w:uiPriority w:val="0"/>
    <w:rPr>
      <w:rFonts w:ascii="Cambria" w:hAnsi="Cambria"/>
      <w:b/>
      <w:bCs/>
      <w:kern w:val="2"/>
      <w:sz w:val="32"/>
      <w:szCs w:val="32"/>
    </w:rPr>
  </w:style>
  <w:style w:type="character" w:customStyle="1" w:styleId="143">
    <w:name w:val="批注主题 字符"/>
    <w:link w:val="80"/>
    <w:autoRedefine/>
    <w:semiHidden/>
    <w:qFormat/>
    <w:locked/>
    <w:uiPriority w:val="0"/>
    <w:rPr>
      <w:rFonts w:ascii="Times New Roman" w:hAnsi="Times New Roman" w:eastAsia="宋体"/>
      <w:b/>
      <w:kern w:val="2"/>
      <w:sz w:val="24"/>
    </w:rPr>
  </w:style>
  <w:style w:type="character" w:customStyle="1" w:styleId="144">
    <w:name w:val="正文文本首行缩进 2 字符"/>
    <w:link w:val="82"/>
    <w:autoRedefine/>
    <w:qFormat/>
    <w:uiPriority w:val="99"/>
    <w:rPr>
      <w:rFonts w:ascii="Times New Roman" w:hAnsi="Times New Roman" w:eastAsia="宋体"/>
      <w:kern w:val="2"/>
      <w:sz w:val="21"/>
      <w:szCs w:val="24"/>
    </w:rPr>
  </w:style>
  <w:style w:type="paragraph" w:customStyle="1" w:styleId="145">
    <w:name w:val="一般内容"/>
    <w:basedOn w:val="1"/>
    <w:autoRedefine/>
    <w:qFormat/>
    <w:uiPriority w:val="0"/>
    <w:pPr>
      <w:spacing w:line="360" w:lineRule="auto"/>
      <w:ind w:firstLine="200" w:firstLineChars="200"/>
    </w:pPr>
    <w:rPr>
      <w:rFonts w:ascii="Arial" w:hAnsi="Arial"/>
      <w:bCs/>
      <w:sz w:val="24"/>
    </w:rPr>
  </w:style>
  <w:style w:type="character" w:customStyle="1" w:styleId="146">
    <w:name w:val="内容"/>
    <w:autoRedefine/>
    <w:qFormat/>
    <w:uiPriority w:val="0"/>
  </w:style>
  <w:style w:type="character" w:customStyle="1" w:styleId="147">
    <w:name w:val="页脚 字符"/>
    <w:autoRedefine/>
    <w:qFormat/>
    <w:uiPriority w:val="99"/>
  </w:style>
  <w:style w:type="character" w:customStyle="1" w:styleId="148">
    <w:name w:val="样式2 Char"/>
    <w:link w:val="149"/>
    <w:autoRedefine/>
    <w:qFormat/>
    <w:uiPriority w:val="0"/>
    <w:rPr>
      <w:rFonts w:ascii="宋体"/>
      <w:b/>
      <w:kern w:val="2"/>
      <w:sz w:val="24"/>
      <w:szCs w:val="28"/>
    </w:rPr>
  </w:style>
  <w:style w:type="paragraph" w:customStyle="1" w:styleId="149">
    <w:name w:val="样式2"/>
    <w:basedOn w:val="1"/>
    <w:link w:val="148"/>
    <w:autoRedefine/>
    <w:qFormat/>
    <w:uiPriority w:val="0"/>
    <w:pPr>
      <w:widowControl/>
      <w:spacing w:line="360" w:lineRule="auto"/>
      <w:jc w:val="center"/>
    </w:pPr>
    <w:rPr>
      <w:rFonts w:ascii="宋体"/>
      <w:b/>
      <w:sz w:val="24"/>
      <w:szCs w:val="28"/>
    </w:rPr>
  </w:style>
  <w:style w:type="character" w:customStyle="1" w:styleId="150">
    <w:name w:val="标题 3 Char Char"/>
    <w:autoRedefine/>
    <w:qFormat/>
    <w:uiPriority w:val="0"/>
    <w:rPr>
      <w:rFonts w:ascii="宋体" w:hAnsi="宋体" w:eastAsia="宋体" w:cs="宋体"/>
      <w:b/>
      <w:bCs/>
      <w:color w:val="000000"/>
      <w:kern w:val="2"/>
      <w:sz w:val="32"/>
      <w:szCs w:val="24"/>
      <w:lang w:val="zh-CN" w:eastAsia="zh-CN" w:bidi="ar-SA"/>
    </w:rPr>
  </w:style>
  <w:style w:type="character" w:customStyle="1" w:styleId="151">
    <w:name w:val="参加人员 Char Char"/>
    <w:link w:val="152"/>
    <w:autoRedefine/>
    <w:qFormat/>
    <w:uiPriority w:val="0"/>
    <w:rPr>
      <w:sz w:val="24"/>
    </w:rPr>
  </w:style>
  <w:style w:type="paragraph" w:customStyle="1" w:styleId="152">
    <w:name w:val="参加人员"/>
    <w:basedOn w:val="1"/>
    <w:link w:val="151"/>
    <w:autoRedefine/>
    <w:qFormat/>
    <w:uiPriority w:val="0"/>
    <w:pPr>
      <w:spacing w:line="360" w:lineRule="auto"/>
    </w:pPr>
    <w:rPr>
      <w:kern w:val="0"/>
      <w:sz w:val="24"/>
      <w:szCs w:val="20"/>
    </w:rPr>
  </w:style>
  <w:style w:type="character" w:customStyle="1" w:styleId="153">
    <w:name w:val="正文王 Char Char"/>
    <w:link w:val="154"/>
    <w:autoRedefine/>
    <w:semiHidden/>
    <w:qFormat/>
    <w:uiPriority w:val="0"/>
    <w:rPr>
      <w:snapToGrid/>
      <w:color w:val="000000"/>
      <w:sz w:val="21"/>
      <w:szCs w:val="21"/>
    </w:rPr>
  </w:style>
  <w:style w:type="paragraph" w:customStyle="1" w:styleId="154">
    <w:name w:val="正文王"/>
    <w:basedOn w:val="1"/>
    <w:link w:val="153"/>
    <w:autoRedefine/>
    <w:semiHidden/>
    <w:qFormat/>
    <w:uiPriority w:val="0"/>
    <w:pPr>
      <w:adjustRightInd w:val="0"/>
      <w:snapToGrid w:val="0"/>
      <w:spacing w:line="320" w:lineRule="exact"/>
      <w:jc w:val="center"/>
    </w:pPr>
    <w:rPr>
      <w:snapToGrid w:val="0"/>
      <w:color w:val="000000"/>
      <w:kern w:val="0"/>
    </w:rPr>
  </w:style>
  <w:style w:type="character" w:customStyle="1" w:styleId="155">
    <w:name w:val="style11"/>
    <w:autoRedefine/>
    <w:qFormat/>
    <w:uiPriority w:val="0"/>
    <w:rPr>
      <w:rFonts w:ascii="宋体" w:hAnsi="宋体" w:eastAsia="宋体" w:cs="宋体"/>
      <w:color w:val="000000"/>
      <w:kern w:val="2"/>
      <w:sz w:val="24"/>
      <w:szCs w:val="24"/>
      <w:lang w:val="en-US" w:eastAsia="zh-CN" w:bidi="ar-SA"/>
    </w:rPr>
  </w:style>
  <w:style w:type="character" w:customStyle="1" w:styleId="156">
    <w:name w:val="title6"/>
    <w:autoRedefine/>
    <w:qFormat/>
    <w:uiPriority w:val="0"/>
    <w:rPr>
      <w:rFonts w:ascii="宋体" w:hAnsi="宋体" w:eastAsia="宋体" w:cs="宋体"/>
      <w:kern w:val="2"/>
      <w:sz w:val="24"/>
      <w:szCs w:val="24"/>
      <w:lang w:val="en-US" w:eastAsia="zh-CN" w:bidi="ar-SA"/>
    </w:rPr>
  </w:style>
  <w:style w:type="character" w:customStyle="1" w:styleId="157">
    <w:name w:val="f12h201"/>
    <w:autoRedefine/>
    <w:qFormat/>
    <w:uiPriority w:val="0"/>
    <w:rPr>
      <w:rFonts w:ascii="宋体" w:hAnsi="宋体" w:eastAsia="宋体" w:cs="宋体"/>
      <w:kern w:val="2"/>
      <w:sz w:val="18"/>
      <w:szCs w:val="18"/>
      <w:lang w:val="en-US" w:eastAsia="zh-CN" w:bidi="ar-SA"/>
    </w:rPr>
  </w:style>
  <w:style w:type="character" w:customStyle="1" w:styleId="158">
    <w:name w:val="apple-converted-space"/>
    <w:autoRedefine/>
    <w:qFormat/>
    <w:uiPriority w:val="0"/>
  </w:style>
  <w:style w:type="character" w:customStyle="1" w:styleId="159">
    <w:name w:val="表头 Char Char"/>
    <w:link w:val="160"/>
    <w:autoRedefine/>
    <w:qFormat/>
    <w:uiPriority w:val="0"/>
    <w:rPr>
      <w:rFonts w:eastAsia="黑体"/>
      <w:spacing w:val="-10"/>
      <w:sz w:val="21"/>
    </w:rPr>
  </w:style>
  <w:style w:type="paragraph" w:customStyle="1" w:styleId="160">
    <w:name w:val="表头"/>
    <w:basedOn w:val="1"/>
    <w:link w:val="159"/>
    <w:autoRedefine/>
    <w:qFormat/>
    <w:uiPriority w:val="0"/>
    <w:pPr>
      <w:adjustRightInd w:val="0"/>
      <w:snapToGrid w:val="0"/>
      <w:spacing w:line="320" w:lineRule="atLeast"/>
      <w:jc w:val="center"/>
      <w:textAlignment w:val="baseline"/>
    </w:pPr>
    <w:rPr>
      <w:rFonts w:eastAsia="黑体"/>
      <w:spacing w:val="-10"/>
      <w:kern w:val="0"/>
      <w:szCs w:val="20"/>
    </w:rPr>
  </w:style>
  <w:style w:type="character" w:customStyle="1" w:styleId="161">
    <w:name w:val="btd1"/>
    <w:autoRedefine/>
    <w:qFormat/>
    <w:uiPriority w:val="0"/>
    <w:rPr>
      <w:rFonts w:ascii="宋体" w:hAnsi="宋体" w:eastAsia="宋体" w:cs="宋体"/>
      <w:b/>
      <w:bCs/>
      <w:kern w:val="2"/>
      <w:sz w:val="24"/>
      <w:szCs w:val="24"/>
      <w:lang w:val="en-US" w:eastAsia="zh-CN" w:bidi="ar-SA"/>
    </w:rPr>
  </w:style>
  <w:style w:type="character" w:customStyle="1" w:styleId="162">
    <w:name w:val="表格格式 Char"/>
    <w:link w:val="163"/>
    <w:autoRedefine/>
    <w:qFormat/>
    <w:uiPriority w:val="0"/>
    <w:rPr>
      <w:rFonts w:ascii="宋体" w:hAnsi="宋体" w:cs="宋体"/>
      <w:color w:val="000000"/>
      <w:szCs w:val="21"/>
    </w:rPr>
  </w:style>
  <w:style w:type="paragraph" w:customStyle="1" w:styleId="163">
    <w:name w:val="表格格式"/>
    <w:basedOn w:val="1"/>
    <w:link w:val="162"/>
    <w:autoRedefine/>
    <w:qFormat/>
    <w:uiPriority w:val="0"/>
    <w:pPr>
      <w:snapToGrid w:val="0"/>
      <w:jc w:val="center"/>
    </w:pPr>
    <w:rPr>
      <w:rFonts w:ascii="宋体" w:hAnsi="宋体" w:cs="宋体"/>
      <w:color w:val="000000"/>
      <w:kern w:val="0"/>
      <w:sz w:val="20"/>
    </w:rPr>
  </w:style>
  <w:style w:type="character" w:customStyle="1" w:styleId="164">
    <w:name w:val="样式68 Char Char"/>
    <w:link w:val="165"/>
    <w:autoRedefine/>
    <w:qFormat/>
    <w:uiPriority w:val="0"/>
    <w:rPr>
      <w:rFonts w:ascii="宋体" w:hAnsi="宋体"/>
      <w:color w:val="000000"/>
      <w:spacing w:val="-2"/>
      <w:sz w:val="28"/>
    </w:rPr>
  </w:style>
  <w:style w:type="paragraph" w:customStyle="1" w:styleId="165">
    <w:name w:val="样式68"/>
    <w:basedOn w:val="1"/>
    <w:link w:val="164"/>
    <w:autoRedefine/>
    <w:qFormat/>
    <w:uiPriority w:val="0"/>
    <w:pPr>
      <w:ind w:firstLine="552" w:firstLineChars="200"/>
    </w:pPr>
    <w:rPr>
      <w:rFonts w:ascii="宋体" w:hAnsi="宋体"/>
      <w:color w:val="000000"/>
      <w:spacing w:val="-2"/>
      <w:kern w:val="0"/>
      <w:sz w:val="28"/>
      <w:szCs w:val="20"/>
    </w:rPr>
  </w:style>
  <w:style w:type="character" w:customStyle="1" w:styleId="166">
    <w:name w:val="正文3 Char1"/>
    <w:link w:val="167"/>
    <w:autoRedefine/>
    <w:qFormat/>
    <w:uiPriority w:val="0"/>
    <w:rPr>
      <w:sz w:val="30"/>
      <w:szCs w:val="24"/>
    </w:rPr>
  </w:style>
  <w:style w:type="paragraph" w:customStyle="1" w:styleId="167">
    <w:name w:val="正文3"/>
    <w:basedOn w:val="1"/>
    <w:link w:val="166"/>
    <w:autoRedefine/>
    <w:qFormat/>
    <w:uiPriority w:val="0"/>
    <w:pPr>
      <w:adjustRightInd w:val="0"/>
      <w:spacing w:line="360" w:lineRule="auto"/>
      <w:ind w:firstLine="624"/>
      <w:textAlignment w:val="baseline"/>
    </w:pPr>
    <w:rPr>
      <w:kern w:val="0"/>
      <w:sz w:val="30"/>
    </w:rPr>
  </w:style>
  <w:style w:type="character" w:customStyle="1" w:styleId="168">
    <w:name w:val="样式 样式 正文 行距: 固定值 25 磅 + 首行缩进:  2 字符1 Char"/>
    <w:link w:val="169"/>
    <w:autoRedefine/>
    <w:qFormat/>
    <w:uiPriority w:val="0"/>
    <w:rPr>
      <w:rFonts w:cs="宋体"/>
      <w:kern w:val="2"/>
      <w:sz w:val="24"/>
      <w:szCs w:val="24"/>
    </w:rPr>
  </w:style>
  <w:style w:type="paragraph" w:customStyle="1" w:styleId="169">
    <w:name w:val="样式 样式 正文 行距: 固定值 25 磅 + 首行缩进:  2 字符1"/>
    <w:basedOn w:val="170"/>
    <w:link w:val="168"/>
    <w:autoRedefine/>
    <w:qFormat/>
    <w:uiPriority w:val="0"/>
    <w:pPr>
      <w:ind w:firstLine="480"/>
    </w:pPr>
  </w:style>
  <w:style w:type="paragraph" w:customStyle="1" w:styleId="170">
    <w:name w:val="样式 正文 行距: 固定值 25 磅"/>
    <w:basedOn w:val="1"/>
    <w:link w:val="171"/>
    <w:autoRedefine/>
    <w:semiHidden/>
    <w:qFormat/>
    <w:uiPriority w:val="0"/>
    <w:pPr>
      <w:adjustRightInd w:val="0"/>
      <w:spacing w:line="500" w:lineRule="exact"/>
      <w:ind w:firstLine="200" w:firstLineChars="200"/>
    </w:pPr>
    <w:rPr>
      <w:rFonts w:cs="宋体"/>
      <w:sz w:val="24"/>
    </w:rPr>
  </w:style>
  <w:style w:type="character" w:customStyle="1" w:styleId="171">
    <w:name w:val="样式 正文 行距: 固定值 25 磅 Char"/>
    <w:link w:val="170"/>
    <w:autoRedefine/>
    <w:semiHidden/>
    <w:qFormat/>
    <w:uiPriority w:val="0"/>
    <w:rPr>
      <w:rFonts w:cs="宋体"/>
      <w:kern w:val="2"/>
      <w:sz w:val="24"/>
      <w:szCs w:val="24"/>
    </w:rPr>
  </w:style>
  <w:style w:type="character" w:customStyle="1" w:styleId="172">
    <w:name w:val="表头 Char Char Char"/>
    <w:autoRedefine/>
    <w:qFormat/>
    <w:uiPriority w:val="0"/>
    <w:rPr>
      <w:rFonts w:ascii="宋体" w:hAnsi="宋体" w:eastAsia="宋体"/>
      <w:b/>
      <w:spacing w:val="-10"/>
      <w:sz w:val="24"/>
      <w:lang w:val="en-US" w:eastAsia="zh-CN" w:bidi="ar-SA"/>
    </w:rPr>
  </w:style>
  <w:style w:type="character" w:customStyle="1" w:styleId="173">
    <w:name w:val="Char Char13"/>
    <w:autoRedefine/>
    <w:qFormat/>
    <w:uiPriority w:val="0"/>
    <w:rPr>
      <w:rFonts w:eastAsia="宋体"/>
      <w:kern w:val="2"/>
      <w:sz w:val="18"/>
      <w:szCs w:val="18"/>
      <w:lang w:val="en-US" w:eastAsia="zh-CN" w:bidi="ar-SA"/>
    </w:rPr>
  </w:style>
  <w:style w:type="character" w:customStyle="1" w:styleId="174">
    <w:name w:val="表格标题博泵 Char Char"/>
    <w:link w:val="175"/>
    <w:autoRedefine/>
    <w:qFormat/>
    <w:uiPriority w:val="0"/>
    <w:rPr>
      <w:b/>
      <w:color w:val="000000"/>
    </w:rPr>
  </w:style>
  <w:style w:type="paragraph" w:customStyle="1" w:styleId="175">
    <w:name w:val="表格标题博泵"/>
    <w:basedOn w:val="1"/>
    <w:link w:val="174"/>
    <w:autoRedefine/>
    <w:qFormat/>
    <w:uiPriority w:val="0"/>
    <w:pPr>
      <w:adjustRightInd w:val="0"/>
      <w:snapToGrid w:val="0"/>
      <w:jc w:val="center"/>
      <w:textAlignment w:val="baseline"/>
    </w:pPr>
    <w:rPr>
      <w:b/>
      <w:color w:val="000000"/>
      <w:kern w:val="0"/>
      <w:sz w:val="20"/>
      <w:szCs w:val="20"/>
    </w:rPr>
  </w:style>
  <w:style w:type="character" w:customStyle="1" w:styleId="176">
    <w:name w:val="al11"/>
    <w:autoRedefine/>
    <w:qFormat/>
    <w:uiPriority w:val="0"/>
    <w:rPr>
      <w:color w:val="333333"/>
      <w:sz w:val="18"/>
      <w:szCs w:val="18"/>
    </w:rPr>
  </w:style>
  <w:style w:type="character" w:customStyle="1" w:styleId="177">
    <w:name w:val="表格内文字 Char"/>
    <w:link w:val="178"/>
    <w:autoRedefine/>
    <w:qFormat/>
    <w:uiPriority w:val="0"/>
    <w:rPr>
      <w:rFonts w:eastAsia="仿宋_GB2312"/>
      <w:kern w:val="2"/>
      <w:sz w:val="24"/>
      <w:szCs w:val="24"/>
    </w:rPr>
  </w:style>
  <w:style w:type="paragraph" w:customStyle="1" w:styleId="178">
    <w:name w:val="表格内文字"/>
    <w:basedOn w:val="1"/>
    <w:link w:val="177"/>
    <w:autoRedefine/>
    <w:qFormat/>
    <w:uiPriority w:val="0"/>
    <w:pPr>
      <w:tabs>
        <w:tab w:val="left" w:pos="0"/>
      </w:tabs>
      <w:adjustRightInd w:val="0"/>
      <w:snapToGrid w:val="0"/>
      <w:jc w:val="center"/>
    </w:pPr>
    <w:rPr>
      <w:rFonts w:eastAsia="仿宋_GB2312"/>
      <w:sz w:val="24"/>
    </w:rPr>
  </w:style>
  <w:style w:type="character" w:customStyle="1" w:styleId="179">
    <w:name w:val="Char Char9"/>
    <w:autoRedefine/>
    <w:qFormat/>
    <w:uiPriority w:val="0"/>
    <w:rPr>
      <w:rFonts w:ascii="Cambria" w:hAnsi="Cambria" w:eastAsia="宋体" w:cs="宋体"/>
      <w:b/>
      <w:bCs/>
      <w:iCs/>
      <w:kern w:val="2"/>
      <w:sz w:val="30"/>
      <w:szCs w:val="28"/>
      <w:lang w:val="en-US" w:eastAsia="en-US" w:bidi="en-US"/>
    </w:rPr>
  </w:style>
  <w:style w:type="character" w:customStyle="1" w:styleId="180">
    <w:name w:val="px141"/>
    <w:autoRedefine/>
    <w:qFormat/>
    <w:uiPriority w:val="0"/>
    <w:rPr>
      <w:sz w:val="21"/>
    </w:rPr>
  </w:style>
  <w:style w:type="character" w:customStyle="1" w:styleId="181">
    <w:name w:val="hz"/>
    <w:autoRedefine/>
    <w:qFormat/>
    <w:uiPriority w:val="0"/>
  </w:style>
  <w:style w:type="character" w:customStyle="1" w:styleId="182">
    <w:name w:val="scs62"/>
    <w:autoRedefine/>
    <w:qFormat/>
    <w:uiPriority w:val="0"/>
  </w:style>
  <w:style w:type="character" w:customStyle="1" w:styleId="183">
    <w:name w:val="样式75 Char Char"/>
    <w:link w:val="184"/>
    <w:autoRedefine/>
    <w:qFormat/>
    <w:uiPriority w:val="0"/>
    <w:rPr>
      <w:rFonts w:ascii="黑体" w:hAnsi="宋体" w:eastAsia="黑体"/>
      <w:color w:val="000000"/>
      <w:sz w:val="28"/>
      <w:szCs w:val="28"/>
    </w:rPr>
  </w:style>
  <w:style w:type="paragraph" w:customStyle="1" w:styleId="184">
    <w:name w:val="样式75"/>
    <w:basedOn w:val="1"/>
    <w:link w:val="183"/>
    <w:autoRedefine/>
    <w:qFormat/>
    <w:uiPriority w:val="0"/>
    <w:pPr>
      <w:spacing w:beforeLines="150" w:line="360" w:lineRule="auto"/>
    </w:pPr>
    <w:rPr>
      <w:rFonts w:ascii="黑体" w:hAnsi="宋体" w:eastAsia="黑体"/>
      <w:color w:val="000000"/>
      <w:kern w:val="0"/>
      <w:sz w:val="28"/>
      <w:szCs w:val="28"/>
    </w:rPr>
  </w:style>
  <w:style w:type="character" w:customStyle="1" w:styleId="185">
    <w:name w:val="标题1.1.1.1.1 Char1"/>
    <w:autoRedefine/>
    <w:qFormat/>
    <w:uiPriority w:val="0"/>
    <w:rPr>
      <w:rFonts w:eastAsia="宋体"/>
      <w:b/>
      <w:bCs/>
      <w:sz w:val="28"/>
      <w:szCs w:val="28"/>
      <w:lang w:bidi="ar-SA"/>
    </w:rPr>
  </w:style>
  <w:style w:type="character" w:customStyle="1" w:styleId="186">
    <w:name w:val="图名 Char"/>
    <w:link w:val="187"/>
    <w:autoRedefine/>
    <w:qFormat/>
    <w:uiPriority w:val="0"/>
    <w:rPr>
      <w:rFonts w:ascii="宋体" w:eastAsia="黑体"/>
      <w:sz w:val="24"/>
      <w:szCs w:val="24"/>
      <w:lang w:eastAsia="en-US" w:bidi="en-US"/>
    </w:rPr>
  </w:style>
  <w:style w:type="paragraph" w:customStyle="1" w:styleId="187">
    <w:name w:val="图名"/>
    <w:basedOn w:val="1"/>
    <w:link w:val="186"/>
    <w:autoRedefine/>
    <w:qFormat/>
    <w:uiPriority w:val="0"/>
    <w:pPr>
      <w:widowControl/>
      <w:adjustRightInd w:val="0"/>
      <w:snapToGrid w:val="0"/>
      <w:spacing w:line="360" w:lineRule="auto"/>
      <w:jc w:val="center"/>
      <w:textAlignment w:val="baseline"/>
    </w:pPr>
    <w:rPr>
      <w:rFonts w:ascii="宋体" w:eastAsia="黑体"/>
      <w:kern w:val="0"/>
      <w:sz w:val="24"/>
      <w:lang w:eastAsia="en-US" w:bidi="en-US"/>
    </w:rPr>
  </w:style>
  <w:style w:type="character" w:customStyle="1" w:styleId="188">
    <w:name w:val="word131"/>
    <w:autoRedefine/>
    <w:qFormat/>
    <w:uiPriority w:val="0"/>
    <w:rPr>
      <w:rFonts w:hint="default" w:ascii="ˎ̥" w:hAnsi="ˎ̥"/>
      <w:color w:val="000000"/>
      <w:sz w:val="20"/>
      <w:szCs w:val="20"/>
      <w:u w:val="none"/>
    </w:rPr>
  </w:style>
  <w:style w:type="character" w:customStyle="1" w:styleId="189">
    <w:name w:val="样式4 Char Char"/>
    <w:link w:val="190"/>
    <w:autoRedefine/>
    <w:qFormat/>
    <w:uiPriority w:val="0"/>
    <w:rPr>
      <w:rFonts w:eastAsia="黑体" w:cs="宋体"/>
      <w:b/>
      <w:bCs/>
      <w:kern w:val="2"/>
      <w:sz w:val="28"/>
    </w:rPr>
  </w:style>
  <w:style w:type="paragraph" w:customStyle="1" w:styleId="190">
    <w:name w:val="样式4"/>
    <w:basedOn w:val="191"/>
    <w:link w:val="189"/>
    <w:autoRedefine/>
    <w:qFormat/>
    <w:uiPriority w:val="0"/>
  </w:style>
  <w:style w:type="paragraph" w:customStyle="1" w:styleId="191">
    <w:name w:val="样式 标题 2H2节标题 1.1节标题 1.1 Char1.1标题2条标题h2l22nd levelTitre..."/>
    <w:basedOn w:val="4"/>
    <w:autoRedefine/>
    <w:qFormat/>
    <w:uiPriority w:val="0"/>
    <w:pPr>
      <w:snapToGrid w:val="0"/>
      <w:spacing w:before="120" w:beforeLines="100" w:after="0" w:line="240" w:lineRule="auto"/>
      <w:ind w:left="1134" w:hanging="992"/>
    </w:pPr>
    <w:rPr>
      <w:rFonts w:ascii="Times New Roman" w:hAnsi="Times New Roman" w:cs="宋体"/>
      <w:sz w:val="28"/>
      <w:szCs w:val="20"/>
    </w:rPr>
  </w:style>
  <w:style w:type="character" w:customStyle="1" w:styleId="192">
    <w:name w:val="main-11"/>
    <w:autoRedefine/>
    <w:qFormat/>
    <w:uiPriority w:val="0"/>
  </w:style>
  <w:style w:type="character" w:customStyle="1" w:styleId="193">
    <w:name w:val="description"/>
    <w:autoRedefine/>
    <w:qFormat/>
    <w:uiPriority w:val="0"/>
  </w:style>
  <w:style w:type="character" w:customStyle="1" w:styleId="194">
    <w:name w:val="zw1"/>
    <w:autoRedefine/>
    <w:qFormat/>
    <w:uiPriority w:val="0"/>
    <w:rPr>
      <w:rFonts w:hint="eastAsia" w:ascii="宋体" w:hAnsi="宋体" w:eastAsia="宋体"/>
      <w:sz w:val="22"/>
      <w:szCs w:val="22"/>
    </w:rPr>
  </w:style>
  <w:style w:type="character" w:customStyle="1" w:styleId="195">
    <w:name w:val="正文5号 Char2"/>
    <w:autoRedefine/>
    <w:qFormat/>
    <w:uiPriority w:val="0"/>
    <w:rPr>
      <w:rFonts w:ascii="宋体" w:hAnsi="宋体" w:eastAsia="宋体" w:cs="宋体"/>
      <w:kern w:val="2"/>
      <w:sz w:val="24"/>
      <w:szCs w:val="24"/>
      <w:lang w:val="en-US" w:eastAsia="zh-CN" w:bidi="ar-SA"/>
    </w:rPr>
  </w:style>
  <w:style w:type="character" w:customStyle="1" w:styleId="196">
    <w:name w:val="表内容1 Char"/>
    <w:link w:val="197"/>
    <w:autoRedefine/>
    <w:qFormat/>
    <w:uiPriority w:val="0"/>
    <w:rPr>
      <w:rFonts w:ascii="楷体_GB2312" w:hAnsi="楷体_GB2312" w:eastAsia="仿宋_GB2312"/>
      <w:bCs/>
      <w:szCs w:val="24"/>
    </w:rPr>
  </w:style>
  <w:style w:type="paragraph" w:customStyle="1" w:styleId="197">
    <w:name w:val="表内容1"/>
    <w:basedOn w:val="1"/>
    <w:link w:val="196"/>
    <w:autoRedefine/>
    <w:qFormat/>
    <w:uiPriority w:val="0"/>
    <w:pPr>
      <w:snapToGrid w:val="0"/>
      <w:jc w:val="center"/>
    </w:pPr>
    <w:rPr>
      <w:rFonts w:ascii="楷体_GB2312" w:hAnsi="楷体_GB2312" w:eastAsia="仿宋_GB2312"/>
      <w:bCs/>
      <w:kern w:val="0"/>
      <w:sz w:val="20"/>
    </w:rPr>
  </w:style>
  <w:style w:type="character" w:customStyle="1" w:styleId="198">
    <w:name w:val="Char Char31"/>
    <w:autoRedefine/>
    <w:qFormat/>
    <w:uiPriority w:val="0"/>
    <w:rPr>
      <w:sz w:val="24"/>
      <w:lang w:bidi="ar-SA"/>
    </w:rPr>
  </w:style>
  <w:style w:type="character" w:customStyle="1" w:styleId="199">
    <w:name w:val="表格 Char"/>
    <w:link w:val="200"/>
    <w:autoRedefine/>
    <w:qFormat/>
    <w:locked/>
    <w:uiPriority w:val="0"/>
    <w:rPr>
      <w:rFonts w:ascii="宋体"/>
      <w:sz w:val="21"/>
    </w:rPr>
  </w:style>
  <w:style w:type="paragraph" w:customStyle="1" w:styleId="200">
    <w:name w:val="表格"/>
    <w:basedOn w:val="201"/>
    <w:next w:val="1"/>
    <w:link w:val="199"/>
    <w:autoRedefine/>
    <w:qFormat/>
    <w:uiPriority w:val="0"/>
    <w:pPr>
      <w:adjustRightInd w:val="0"/>
      <w:snapToGrid w:val="0"/>
      <w:spacing w:beforeLines="10" w:afterLines="10" w:line="259" w:lineRule="auto"/>
    </w:pPr>
    <w:rPr>
      <w:rFonts w:ascii="宋体"/>
      <w:kern w:val="0"/>
      <w:szCs w:val="20"/>
    </w:rPr>
  </w:style>
  <w:style w:type="paragraph" w:customStyle="1" w:styleId="201">
    <w:name w:val="表格使用文字"/>
    <w:basedOn w:val="1"/>
    <w:link w:val="202"/>
    <w:autoRedefine/>
    <w:qFormat/>
    <w:uiPriority w:val="99"/>
    <w:pPr>
      <w:jc w:val="center"/>
    </w:pPr>
    <w:rPr>
      <w:color w:val="000000"/>
    </w:rPr>
  </w:style>
  <w:style w:type="character" w:customStyle="1" w:styleId="202">
    <w:name w:val="表格使用文字 Char"/>
    <w:link w:val="201"/>
    <w:autoRedefine/>
    <w:qFormat/>
    <w:uiPriority w:val="99"/>
    <w:rPr>
      <w:color w:val="000000"/>
      <w:kern w:val="2"/>
      <w:sz w:val="21"/>
      <w:szCs w:val="21"/>
    </w:rPr>
  </w:style>
  <w:style w:type="character" w:customStyle="1" w:styleId="203">
    <w:name w:val="Char Char8"/>
    <w:autoRedefine/>
    <w:semiHidden/>
    <w:qFormat/>
    <w:uiPriority w:val="0"/>
    <w:rPr>
      <w:rFonts w:ascii="宋体" w:hAnsi="宋体" w:eastAsia="宋体" w:cs="宋体"/>
      <w:kern w:val="2"/>
      <w:sz w:val="18"/>
      <w:szCs w:val="18"/>
      <w:lang w:val="en-US" w:eastAsia="zh-CN" w:bidi="ar-SA"/>
    </w:rPr>
  </w:style>
  <w:style w:type="character" w:customStyle="1" w:styleId="204">
    <w:name w:val="haogao1"/>
    <w:autoRedefine/>
    <w:qFormat/>
    <w:uiPriority w:val="0"/>
  </w:style>
  <w:style w:type="character" w:customStyle="1" w:styleId="205">
    <w:name w:val="Plain Text Char1 Char"/>
    <w:autoRedefine/>
    <w:qFormat/>
    <w:uiPriority w:val="0"/>
    <w:rPr>
      <w:rFonts w:ascii="宋体" w:hAnsi="Courier New"/>
      <w:kern w:val="2"/>
      <w:sz w:val="21"/>
      <w:szCs w:val="21"/>
      <w:lang w:bidi="ar-SA"/>
    </w:rPr>
  </w:style>
  <w:style w:type="character" w:customStyle="1" w:styleId="206">
    <w:name w:val="sppkvsc"/>
    <w:autoRedefine/>
    <w:qFormat/>
    <w:uiPriority w:val="0"/>
  </w:style>
  <w:style w:type="character" w:customStyle="1" w:styleId="207">
    <w:name w:val="样式20 Char Char"/>
    <w:link w:val="208"/>
    <w:autoRedefine/>
    <w:qFormat/>
    <w:uiPriority w:val="0"/>
    <w:rPr>
      <w:rFonts w:ascii="楷体_GB2312" w:hAnsi="楷体_GB2312" w:eastAsia="楷体_GB2312"/>
      <w:b/>
      <w:color w:val="000000"/>
      <w:sz w:val="32"/>
    </w:rPr>
  </w:style>
  <w:style w:type="paragraph" w:customStyle="1" w:styleId="208">
    <w:name w:val="样式20"/>
    <w:basedOn w:val="4"/>
    <w:link w:val="207"/>
    <w:autoRedefine/>
    <w:qFormat/>
    <w:uiPriority w:val="0"/>
    <w:pPr>
      <w:tabs>
        <w:tab w:val="left" w:pos="840"/>
      </w:tabs>
      <w:snapToGrid w:val="0"/>
      <w:spacing w:before="0" w:after="0" w:line="360" w:lineRule="auto"/>
      <w:ind w:left="840"/>
      <w:jc w:val="center"/>
    </w:pPr>
    <w:rPr>
      <w:rFonts w:ascii="楷体_GB2312" w:hAnsi="楷体_GB2312" w:eastAsia="楷体_GB2312"/>
      <w:bCs w:val="0"/>
      <w:color w:val="000000"/>
      <w:kern w:val="0"/>
      <w:szCs w:val="20"/>
    </w:rPr>
  </w:style>
  <w:style w:type="character" w:customStyle="1" w:styleId="209">
    <w:name w:val="参数解释 Char Char"/>
    <w:link w:val="210"/>
    <w:autoRedefine/>
    <w:qFormat/>
    <w:uiPriority w:val="0"/>
    <w:rPr>
      <w:sz w:val="24"/>
    </w:rPr>
  </w:style>
  <w:style w:type="paragraph" w:customStyle="1" w:styleId="210">
    <w:name w:val="参数解释"/>
    <w:basedOn w:val="211"/>
    <w:link w:val="209"/>
    <w:autoRedefine/>
    <w:qFormat/>
    <w:uiPriority w:val="0"/>
    <w:pPr>
      <w:ind w:firstLine="1274" w:firstLineChars="531"/>
    </w:pPr>
    <w:rPr>
      <w:rFonts w:ascii="Times New Roman" w:hAnsi="Times New Roman"/>
      <w:kern w:val="0"/>
      <w:szCs w:val="20"/>
    </w:rPr>
  </w:style>
  <w:style w:type="paragraph" w:customStyle="1" w:styleId="211">
    <w:name w:val="金源"/>
    <w:basedOn w:val="1"/>
    <w:link w:val="212"/>
    <w:autoRedefine/>
    <w:qFormat/>
    <w:uiPriority w:val="0"/>
    <w:pPr>
      <w:spacing w:line="480" w:lineRule="exact"/>
      <w:ind w:firstLine="480" w:firstLineChars="200"/>
      <w:jc w:val="left"/>
    </w:pPr>
    <w:rPr>
      <w:rFonts w:ascii="Calibri" w:hAnsi="Calibri"/>
      <w:sz w:val="24"/>
      <w:szCs w:val="22"/>
    </w:rPr>
  </w:style>
  <w:style w:type="character" w:customStyle="1" w:styleId="212">
    <w:name w:val="金源 Char Char"/>
    <w:link w:val="211"/>
    <w:autoRedefine/>
    <w:qFormat/>
    <w:uiPriority w:val="0"/>
    <w:rPr>
      <w:rFonts w:ascii="Calibri" w:hAnsi="Calibri"/>
      <w:kern w:val="2"/>
      <w:sz w:val="24"/>
      <w:szCs w:val="22"/>
    </w:rPr>
  </w:style>
  <w:style w:type="character" w:customStyle="1" w:styleId="213">
    <w:name w:val="节标题 1.1 Char4"/>
    <w:autoRedefine/>
    <w:qFormat/>
    <w:uiPriority w:val="0"/>
    <w:rPr>
      <w:b/>
      <w:bCs/>
      <w:sz w:val="28"/>
      <w:szCs w:val="32"/>
    </w:rPr>
  </w:style>
  <w:style w:type="character" w:customStyle="1" w:styleId="214">
    <w:name w:val="articlebody3"/>
    <w:autoRedefine/>
    <w:qFormat/>
    <w:uiPriority w:val="0"/>
    <w:rPr>
      <w:rFonts w:ascii="宋体" w:hAnsi="宋体" w:eastAsia="宋体" w:cs="宋体"/>
      <w:kern w:val="2"/>
      <w:sz w:val="21"/>
      <w:szCs w:val="21"/>
      <w:lang w:val="en-US" w:eastAsia="zh-CN" w:bidi="ar-SA"/>
    </w:rPr>
  </w:style>
  <w:style w:type="character" w:customStyle="1" w:styleId="215">
    <w:name w:val="样式 样式 正文 行距: 固定值 25 磅 + 首行缩进:  2 字符 Char"/>
    <w:link w:val="216"/>
    <w:autoRedefine/>
    <w:qFormat/>
    <w:uiPriority w:val="0"/>
    <w:rPr>
      <w:rFonts w:cs="宋体"/>
      <w:kern w:val="2"/>
      <w:sz w:val="24"/>
      <w:szCs w:val="24"/>
    </w:rPr>
  </w:style>
  <w:style w:type="paragraph" w:customStyle="1" w:styleId="216">
    <w:name w:val="样式 样式 正文 行距: 固定值 25 磅 + 首行缩进:  2 字符"/>
    <w:basedOn w:val="1"/>
    <w:link w:val="215"/>
    <w:autoRedefine/>
    <w:qFormat/>
    <w:uiPriority w:val="0"/>
    <w:pPr>
      <w:adjustRightInd w:val="0"/>
      <w:snapToGrid w:val="0"/>
      <w:spacing w:line="500" w:lineRule="exact"/>
      <w:ind w:firstLine="200" w:firstLineChars="200"/>
    </w:pPr>
    <w:rPr>
      <w:rFonts w:cs="宋体"/>
      <w:sz w:val="24"/>
    </w:rPr>
  </w:style>
  <w:style w:type="character" w:customStyle="1" w:styleId="217">
    <w:name w:val="ssqiaz"/>
    <w:autoRedefine/>
    <w:qFormat/>
    <w:uiPriority w:val="0"/>
  </w:style>
  <w:style w:type="character" w:customStyle="1" w:styleId="218">
    <w:name w:val="表格标题 Char"/>
    <w:link w:val="219"/>
    <w:autoRedefine/>
    <w:qFormat/>
    <w:uiPriority w:val="0"/>
    <w:rPr>
      <w:b/>
      <w:color w:val="000000"/>
      <w:kern w:val="2"/>
      <w:sz w:val="21"/>
      <w:szCs w:val="21"/>
    </w:rPr>
  </w:style>
  <w:style w:type="paragraph" w:customStyle="1" w:styleId="219">
    <w:name w:val="表格标题"/>
    <w:basedOn w:val="1"/>
    <w:link w:val="218"/>
    <w:autoRedefine/>
    <w:qFormat/>
    <w:uiPriority w:val="0"/>
    <w:pPr>
      <w:snapToGrid w:val="0"/>
      <w:spacing w:before="120"/>
      <w:ind w:firstLine="1756" w:firstLineChars="833"/>
      <w:contextualSpacing/>
      <w:jc w:val="center"/>
    </w:pPr>
    <w:rPr>
      <w:b/>
      <w:color w:val="000000"/>
    </w:rPr>
  </w:style>
  <w:style w:type="character" w:customStyle="1" w:styleId="220">
    <w:name w:val="页眉1 Char"/>
    <w:autoRedefine/>
    <w:qFormat/>
    <w:uiPriority w:val="0"/>
    <w:rPr>
      <w:rFonts w:ascii="宋体" w:hAnsi="宋体" w:eastAsia="宋体" w:cs="宋体"/>
      <w:kern w:val="2"/>
      <w:sz w:val="18"/>
      <w:szCs w:val="18"/>
      <w:lang w:val="en-US" w:eastAsia="zh-CN" w:bidi="ar-SA"/>
    </w:rPr>
  </w:style>
  <w:style w:type="character" w:customStyle="1" w:styleId="221">
    <w:name w:val="c121"/>
    <w:autoRedefine/>
    <w:qFormat/>
    <w:uiPriority w:val="0"/>
    <w:rPr>
      <w:color w:val="666666"/>
      <w:sz w:val="18"/>
      <w:szCs w:val="18"/>
      <w:u w:val="none"/>
    </w:rPr>
  </w:style>
  <w:style w:type="character" w:customStyle="1" w:styleId="222">
    <w:name w:val="甲乙酮标题1 Char Char"/>
    <w:link w:val="223"/>
    <w:autoRedefine/>
    <w:qFormat/>
    <w:uiPriority w:val="0"/>
    <w:rPr>
      <w:b/>
      <w:bCs/>
      <w:kern w:val="44"/>
      <w:sz w:val="32"/>
      <w:szCs w:val="32"/>
    </w:rPr>
  </w:style>
  <w:style w:type="paragraph" w:customStyle="1" w:styleId="223">
    <w:name w:val="甲乙酮标题1"/>
    <w:basedOn w:val="3"/>
    <w:link w:val="222"/>
    <w:autoRedefine/>
    <w:qFormat/>
    <w:uiPriority w:val="0"/>
    <w:pPr>
      <w:keepLines/>
      <w:tabs>
        <w:tab w:val="left" w:pos="390"/>
      </w:tabs>
      <w:overflowPunct/>
      <w:snapToGrid/>
      <w:spacing w:after="140" w:line="480" w:lineRule="exact"/>
      <w:ind w:left="390" w:firstLine="0"/>
    </w:pPr>
    <w:rPr>
      <w:rFonts w:eastAsia="宋体"/>
      <w:color w:val="auto"/>
      <w:sz w:val="32"/>
      <w:szCs w:val="32"/>
    </w:rPr>
  </w:style>
  <w:style w:type="character" w:customStyle="1" w:styleId="224">
    <w:name w:val="contenttable1"/>
    <w:autoRedefine/>
    <w:qFormat/>
    <w:uiPriority w:val="0"/>
    <w:rPr>
      <w:rFonts w:hint="default" w:ascii="Arial" w:hAnsi="Arial" w:eastAsia="宋体" w:cs="Arial"/>
      <w:color w:val="000000"/>
      <w:kern w:val="2"/>
      <w:sz w:val="18"/>
      <w:szCs w:val="18"/>
      <w:u w:val="none"/>
      <w:lang w:val="en-US" w:eastAsia="zh-CN" w:bidi="ar-SA"/>
    </w:rPr>
  </w:style>
  <w:style w:type="character" w:customStyle="1" w:styleId="225">
    <w:name w:val="未确定 Char Char"/>
    <w:link w:val="226"/>
    <w:autoRedefine/>
    <w:qFormat/>
    <w:uiPriority w:val="0"/>
    <w:rPr>
      <w:color w:val="800080"/>
      <w:sz w:val="24"/>
      <w:szCs w:val="24"/>
    </w:rPr>
  </w:style>
  <w:style w:type="paragraph" w:customStyle="1" w:styleId="226">
    <w:name w:val="未确定"/>
    <w:basedOn w:val="1"/>
    <w:link w:val="225"/>
    <w:autoRedefine/>
    <w:qFormat/>
    <w:uiPriority w:val="0"/>
    <w:pPr>
      <w:spacing w:beforeLines="50" w:line="400" w:lineRule="exact"/>
      <w:ind w:firstLine="480" w:firstLineChars="200"/>
    </w:pPr>
    <w:rPr>
      <w:color w:val="800080"/>
      <w:kern w:val="0"/>
      <w:sz w:val="24"/>
    </w:rPr>
  </w:style>
  <w:style w:type="character" w:customStyle="1" w:styleId="227">
    <w:name w:val="16p"/>
    <w:autoRedefine/>
    <w:qFormat/>
    <w:uiPriority w:val="0"/>
  </w:style>
  <w:style w:type="character" w:customStyle="1" w:styleId="228">
    <w:name w:val="纯文本21"/>
    <w:autoRedefine/>
    <w:qFormat/>
    <w:uiPriority w:val="0"/>
    <w:rPr>
      <w:rFonts w:ascii="宋体" w:hAnsi="Courier New" w:eastAsia="宋体" w:cs="Courier New"/>
      <w:kern w:val="2"/>
      <w:sz w:val="21"/>
      <w:szCs w:val="21"/>
      <w:lang w:val="en-US" w:eastAsia="zh-CN" w:bidi="ar-SA"/>
    </w:rPr>
  </w:style>
  <w:style w:type="character" w:customStyle="1" w:styleId="229">
    <w:name w:val="图表名 大王 20100426 Char"/>
    <w:link w:val="230"/>
    <w:autoRedefine/>
    <w:qFormat/>
    <w:uiPriority w:val="0"/>
    <w:rPr>
      <w:rFonts w:ascii="宋体" w:hAnsi="宋体" w:cs="宋体"/>
      <w:b/>
      <w:bCs/>
      <w:snapToGrid/>
      <w:sz w:val="21"/>
    </w:rPr>
  </w:style>
  <w:style w:type="paragraph" w:customStyle="1" w:styleId="230">
    <w:name w:val="图表名 大王 20100426"/>
    <w:basedOn w:val="231"/>
    <w:link w:val="229"/>
    <w:autoRedefine/>
    <w:qFormat/>
    <w:uiPriority w:val="0"/>
    <w:pPr>
      <w:tabs>
        <w:tab w:val="left" w:pos="377"/>
      </w:tabs>
      <w:spacing w:before="120" w:after="120"/>
    </w:pPr>
    <w:rPr>
      <w:snapToGrid w:val="0"/>
    </w:rPr>
  </w:style>
  <w:style w:type="paragraph" w:customStyle="1" w:styleId="231">
    <w:name w:val="图表标题-大王"/>
    <w:basedOn w:val="1"/>
    <w:link w:val="232"/>
    <w:autoRedefine/>
    <w:qFormat/>
    <w:uiPriority w:val="0"/>
    <w:pPr>
      <w:widowControl/>
      <w:tabs>
        <w:tab w:val="left" w:pos="377"/>
      </w:tabs>
      <w:spacing w:beforeLines="50" w:afterLines="50"/>
      <w:jc w:val="center"/>
    </w:pPr>
    <w:rPr>
      <w:rFonts w:ascii="宋体" w:hAnsi="宋体" w:cs="宋体"/>
      <w:b/>
      <w:bCs/>
      <w:kern w:val="0"/>
      <w:szCs w:val="20"/>
    </w:rPr>
  </w:style>
  <w:style w:type="character" w:customStyle="1" w:styleId="232">
    <w:name w:val="图表标题-大王 Char"/>
    <w:link w:val="231"/>
    <w:autoRedefine/>
    <w:qFormat/>
    <w:uiPriority w:val="0"/>
    <w:rPr>
      <w:rFonts w:ascii="宋体" w:hAnsi="宋体" w:cs="宋体"/>
      <w:b/>
      <w:bCs/>
      <w:sz w:val="21"/>
    </w:rPr>
  </w:style>
  <w:style w:type="character" w:customStyle="1" w:styleId="233">
    <w:name w:val="9css21"/>
    <w:autoRedefine/>
    <w:qFormat/>
    <w:uiPriority w:val="0"/>
    <w:rPr>
      <w:spacing w:val="268"/>
      <w:sz w:val="20"/>
      <w:szCs w:val="20"/>
    </w:rPr>
  </w:style>
  <w:style w:type="character" w:customStyle="1" w:styleId="234">
    <w:name w:val="公示 Char Char"/>
    <w:link w:val="235"/>
    <w:autoRedefine/>
    <w:qFormat/>
    <w:uiPriority w:val="0"/>
  </w:style>
  <w:style w:type="paragraph" w:customStyle="1" w:styleId="235">
    <w:name w:val="公示"/>
    <w:basedOn w:val="1"/>
    <w:link w:val="234"/>
    <w:autoRedefine/>
    <w:qFormat/>
    <w:uiPriority w:val="0"/>
    <w:pPr>
      <w:spacing w:line="360" w:lineRule="auto"/>
      <w:ind w:firstLine="200" w:firstLineChars="200"/>
      <w:jc w:val="center"/>
    </w:pPr>
    <w:rPr>
      <w:kern w:val="0"/>
      <w:sz w:val="20"/>
      <w:szCs w:val="20"/>
    </w:rPr>
  </w:style>
  <w:style w:type="character" w:customStyle="1" w:styleId="236">
    <w:name w:val="style51"/>
    <w:autoRedefine/>
    <w:qFormat/>
    <w:uiPriority w:val="0"/>
    <w:rPr>
      <w:color w:val="000000"/>
      <w:sz w:val="36"/>
      <w:szCs w:val="36"/>
    </w:rPr>
  </w:style>
  <w:style w:type="character" w:customStyle="1" w:styleId="237">
    <w:name w:val="表格内文字 Char Char"/>
    <w:autoRedefine/>
    <w:qFormat/>
    <w:uiPriority w:val="0"/>
    <w:rPr>
      <w:rFonts w:eastAsia="仿宋_GB2312"/>
      <w:sz w:val="24"/>
      <w:szCs w:val="24"/>
      <w:lang w:bidi="ar-SA"/>
    </w:rPr>
  </w:style>
  <w:style w:type="character" w:customStyle="1" w:styleId="238">
    <w:name w:val="表头1 Char"/>
    <w:link w:val="239"/>
    <w:autoRedefine/>
    <w:qFormat/>
    <w:uiPriority w:val="0"/>
    <w:rPr>
      <w:rFonts w:eastAsia="黑体"/>
      <w:sz w:val="21"/>
      <w:szCs w:val="21"/>
    </w:rPr>
  </w:style>
  <w:style w:type="paragraph" w:customStyle="1" w:styleId="239">
    <w:name w:val="表头1"/>
    <w:basedOn w:val="1"/>
    <w:next w:val="1"/>
    <w:link w:val="238"/>
    <w:autoRedefine/>
    <w:qFormat/>
    <w:uiPriority w:val="0"/>
    <w:pPr>
      <w:tabs>
        <w:tab w:val="left" w:pos="605"/>
      </w:tabs>
      <w:adjustRightInd w:val="0"/>
      <w:snapToGrid w:val="0"/>
      <w:jc w:val="center"/>
    </w:pPr>
    <w:rPr>
      <w:rFonts w:eastAsia="黑体"/>
      <w:kern w:val="0"/>
    </w:rPr>
  </w:style>
  <w:style w:type="character" w:customStyle="1" w:styleId="240">
    <w:name w:val="type021"/>
    <w:autoRedefine/>
    <w:qFormat/>
    <w:uiPriority w:val="0"/>
    <w:rPr>
      <w:color w:val="000000"/>
      <w:sz w:val="18"/>
      <w:szCs w:val="18"/>
    </w:rPr>
  </w:style>
  <w:style w:type="character" w:customStyle="1" w:styleId="241">
    <w:name w:val="表蕊居中 Char Char"/>
    <w:link w:val="242"/>
    <w:autoRedefine/>
    <w:qFormat/>
    <w:uiPriority w:val="0"/>
    <w:rPr>
      <w:color w:val="FF0000"/>
      <w:spacing w:val="-10"/>
      <w:szCs w:val="21"/>
    </w:rPr>
  </w:style>
  <w:style w:type="paragraph" w:customStyle="1" w:styleId="242">
    <w:name w:val="表蕊居中"/>
    <w:basedOn w:val="1"/>
    <w:link w:val="241"/>
    <w:autoRedefine/>
    <w:qFormat/>
    <w:uiPriority w:val="0"/>
    <w:pPr>
      <w:adjustRightInd w:val="0"/>
      <w:spacing w:line="280" w:lineRule="atLeast"/>
      <w:jc w:val="center"/>
      <w:textAlignment w:val="baseline"/>
    </w:pPr>
    <w:rPr>
      <w:color w:val="FF0000"/>
      <w:spacing w:val="-10"/>
      <w:kern w:val="0"/>
      <w:sz w:val="20"/>
    </w:rPr>
  </w:style>
  <w:style w:type="character" w:customStyle="1" w:styleId="243">
    <w:name w:val="articlebody1"/>
    <w:autoRedefine/>
    <w:qFormat/>
    <w:uiPriority w:val="0"/>
    <w:rPr>
      <w:rFonts w:ascii="宋体" w:hAnsi="宋体" w:eastAsia="宋体" w:cs="宋体"/>
      <w:color w:val="333333"/>
      <w:kern w:val="2"/>
      <w:sz w:val="21"/>
      <w:szCs w:val="21"/>
      <w:lang w:val="en-US" w:eastAsia="zh-CN" w:bidi="ar-SA"/>
    </w:rPr>
  </w:style>
  <w:style w:type="character" w:customStyle="1" w:styleId="244">
    <w:name w:val="标题 3 Char1"/>
    <w:autoRedefine/>
    <w:qFormat/>
    <w:uiPriority w:val="0"/>
    <w:rPr>
      <w:rFonts w:ascii="宋体" w:hAnsi="宋体" w:eastAsia="宋体" w:cs="宋体"/>
      <w:b/>
      <w:bCs/>
      <w:caps/>
      <w:color w:val="000000"/>
      <w:kern w:val="2"/>
      <w:sz w:val="28"/>
      <w:szCs w:val="24"/>
      <w:lang w:val="zh-CN" w:eastAsia="zh-CN" w:bidi="ar-SA"/>
    </w:rPr>
  </w:style>
  <w:style w:type="character" w:customStyle="1" w:styleId="245">
    <w:name w:val="apple-style-span"/>
    <w:autoRedefine/>
    <w:qFormat/>
    <w:uiPriority w:val="0"/>
    <w:rPr>
      <w:rFonts w:ascii="宋体" w:hAnsi="宋体" w:eastAsia="宋体" w:cs="宋体"/>
      <w:kern w:val="2"/>
      <w:sz w:val="24"/>
      <w:szCs w:val="24"/>
      <w:lang w:val="en-US" w:eastAsia="zh-CN" w:bidi="ar-SA"/>
    </w:rPr>
  </w:style>
  <w:style w:type="character" w:customStyle="1" w:styleId="246">
    <w:name w:val="ssmj9"/>
    <w:autoRedefine/>
    <w:qFormat/>
    <w:uiPriority w:val="0"/>
  </w:style>
  <w:style w:type="character" w:customStyle="1" w:styleId="247">
    <w:name w:val="sfrxxz"/>
    <w:autoRedefine/>
    <w:qFormat/>
    <w:uiPriority w:val="0"/>
  </w:style>
  <w:style w:type="character" w:customStyle="1" w:styleId="248">
    <w:name w:val="无间隔 字符"/>
    <w:link w:val="249"/>
    <w:autoRedefine/>
    <w:qFormat/>
    <w:uiPriority w:val="0"/>
    <w:rPr>
      <w:rFonts w:ascii="Calibri" w:hAnsi="Calibri"/>
      <w:sz w:val="24"/>
      <w:szCs w:val="32"/>
      <w:lang w:eastAsia="en-US" w:bidi="en-US"/>
    </w:rPr>
  </w:style>
  <w:style w:type="paragraph" w:styleId="249">
    <w:name w:val="No Spacing"/>
    <w:basedOn w:val="1"/>
    <w:link w:val="248"/>
    <w:autoRedefine/>
    <w:qFormat/>
    <w:uiPriority w:val="0"/>
    <w:pPr>
      <w:widowControl/>
      <w:jc w:val="left"/>
    </w:pPr>
    <w:rPr>
      <w:rFonts w:ascii="Calibri" w:hAnsi="Calibri"/>
      <w:kern w:val="0"/>
      <w:sz w:val="24"/>
      <w:szCs w:val="32"/>
      <w:lang w:eastAsia="en-US" w:bidi="en-US"/>
    </w:rPr>
  </w:style>
  <w:style w:type="character" w:customStyle="1" w:styleId="250">
    <w:name w:val="news_line"/>
    <w:autoRedefine/>
    <w:qFormat/>
    <w:uiPriority w:val="0"/>
    <w:rPr>
      <w:rFonts w:ascii="宋体" w:hAnsi="宋体" w:eastAsia="宋体" w:cs="宋体"/>
      <w:kern w:val="2"/>
      <w:sz w:val="24"/>
      <w:szCs w:val="24"/>
      <w:lang w:val="en-US" w:eastAsia="zh-CN" w:bidi="ar-SA"/>
    </w:rPr>
  </w:style>
  <w:style w:type="character" w:customStyle="1" w:styleId="251">
    <w:name w:val="正文缩进2"/>
    <w:autoRedefine/>
    <w:qFormat/>
    <w:uiPriority w:val="0"/>
    <w:rPr>
      <w:rFonts w:ascii="仿宋_GB2312" w:eastAsia="仿宋_GB2312"/>
      <w:kern w:val="2"/>
      <w:sz w:val="28"/>
      <w:szCs w:val="24"/>
      <w:lang w:val="en-US" w:eastAsia="zh-CN" w:bidi="ar-SA"/>
    </w:rPr>
  </w:style>
  <w:style w:type="character" w:customStyle="1" w:styleId="252">
    <w:name w:val="正文文本 字符1"/>
    <w:autoRedefine/>
    <w:semiHidden/>
    <w:qFormat/>
    <w:uiPriority w:val="0"/>
    <w:rPr>
      <w:rFonts w:ascii="Times New Roman" w:hAnsi="Times New Roman" w:eastAsia="宋体"/>
      <w:sz w:val="24"/>
    </w:rPr>
  </w:style>
  <w:style w:type="character" w:customStyle="1" w:styleId="253">
    <w:name w:val="241"/>
    <w:qFormat/>
    <w:uiPriority w:val="0"/>
    <w:rPr>
      <w:rFonts w:ascii="宋体" w:hAnsi="宋体" w:eastAsia="宋体" w:cs="宋体"/>
      <w:kern w:val="2"/>
      <w:sz w:val="24"/>
      <w:szCs w:val="24"/>
      <w:lang w:val="en-US" w:eastAsia="zh-CN" w:bidi="ar-SA"/>
    </w:rPr>
  </w:style>
  <w:style w:type="character" w:customStyle="1" w:styleId="254">
    <w:name w:val="样式84 Char Char"/>
    <w:link w:val="255"/>
    <w:autoRedefine/>
    <w:qFormat/>
    <w:uiPriority w:val="0"/>
    <w:rPr>
      <w:rFonts w:ascii="宋体" w:hAnsi="宋体"/>
      <w:color w:val="000000"/>
      <w:sz w:val="24"/>
      <w:szCs w:val="24"/>
    </w:rPr>
  </w:style>
  <w:style w:type="paragraph" w:customStyle="1" w:styleId="255">
    <w:name w:val="样式84"/>
    <w:basedOn w:val="1"/>
    <w:link w:val="254"/>
    <w:autoRedefine/>
    <w:qFormat/>
    <w:uiPriority w:val="0"/>
    <w:pPr>
      <w:snapToGrid w:val="0"/>
      <w:spacing w:line="520" w:lineRule="exact"/>
      <w:ind w:firstLine="560" w:firstLineChars="200"/>
    </w:pPr>
    <w:rPr>
      <w:rFonts w:ascii="宋体" w:hAnsi="宋体"/>
      <w:color w:val="000000"/>
      <w:kern w:val="0"/>
      <w:sz w:val="24"/>
    </w:rPr>
  </w:style>
  <w:style w:type="character" w:customStyle="1" w:styleId="256">
    <w:name w:val="广石化正文 Char"/>
    <w:link w:val="257"/>
    <w:autoRedefine/>
    <w:qFormat/>
    <w:uiPriority w:val="0"/>
    <w:rPr>
      <w:rFonts w:ascii="宋体" w:hAnsi="宋体"/>
      <w:kern w:val="2"/>
      <w:sz w:val="28"/>
      <w:szCs w:val="28"/>
    </w:rPr>
  </w:style>
  <w:style w:type="paragraph" w:customStyle="1" w:styleId="257">
    <w:name w:val="广石化正文"/>
    <w:basedOn w:val="1"/>
    <w:link w:val="256"/>
    <w:autoRedefine/>
    <w:qFormat/>
    <w:uiPriority w:val="0"/>
    <w:pPr>
      <w:tabs>
        <w:tab w:val="left" w:pos="6520"/>
        <w:tab w:val="left" w:leader="dot" w:pos="8220"/>
      </w:tabs>
      <w:spacing w:line="520" w:lineRule="exact"/>
      <w:ind w:firstLine="538" w:firstLineChars="192"/>
    </w:pPr>
    <w:rPr>
      <w:rFonts w:ascii="宋体" w:hAnsi="宋体"/>
      <w:sz w:val="28"/>
      <w:szCs w:val="28"/>
    </w:rPr>
  </w:style>
  <w:style w:type="character" w:customStyle="1" w:styleId="258">
    <w:name w:val="脚注文本 字符1"/>
    <w:autoRedefine/>
    <w:qFormat/>
    <w:uiPriority w:val="0"/>
    <w:rPr>
      <w:kern w:val="2"/>
      <w:sz w:val="18"/>
      <w:szCs w:val="18"/>
    </w:rPr>
  </w:style>
  <w:style w:type="character" w:customStyle="1" w:styleId="259">
    <w:name w:val="批注文字 字符1"/>
    <w:autoRedefine/>
    <w:semiHidden/>
    <w:qFormat/>
    <w:uiPriority w:val="0"/>
    <w:rPr>
      <w:rFonts w:ascii="Times New Roman" w:hAnsi="Times New Roman" w:eastAsia="宋体"/>
      <w:sz w:val="24"/>
    </w:rPr>
  </w:style>
  <w:style w:type="character" w:customStyle="1" w:styleId="260">
    <w:name w:val="文章正文样式 Char"/>
    <w:link w:val="261"/>
    <w:qFormat/>
    <w:uiPriority w:val="0"/>
    <w:rPr>
      <w:rFonts w:ascii="宋体" w:hAnsi="宋体" w:cs="宋体"/>
      <w:kern w:val="2"/>
      <w:sz w:val="24"/>
    </w:rPr>
  </w:style>
  <w:style w:type="paragraph" w:customStyle="1" w:styleId="261">
    <w:name w:val="文章正文样式"/>
    <w:basedOn w:val="1"/>
    <w:link w:val="260"/>
    <w:qFormat/>
    <w:uiPriority w:val="0"/>
    <w:pPr>
      <w:spacing w:line="520" w:lineRule="exact"/>
      <w:ind w:firstLine="480" w:firstLineChars="200"/>
      <w:jc w:val="left"/>
    </w:pPr>
    <w:rPr>
      <w:rFonts w:ascii="宋体" w:hAnsi="宋体" w:cs="宋体"/>
      <w:sz w:val="24"/>
      <w:szCs w:val="20"/>
    </w:rPr>
  </w:style>
  <w:style w:type="character" w:customStyle="1" w:styleId="262">
    <w:name w:val="标题2"/>
    <w:autoRedefine/>
    <w:qFormat/>
    <w:uiPriority w:val="0"/>
  </w:style>
  <w:style w:type="character" w:customStyle="1" w:styleId="263">
    <w:name w:val="样式7 Char Char"/>
    <w:link w:val="264"/>
    <w:qFormat/>
    <w:uiPriority w:val="0"/>
    <w:rPr>
      <w:rFonts w:ascii="宋体" w:hAnsi="宋体"/>
      <w:color w:val="000000"/>
      <w:sz w:val="24"/>
      <w:szCs w:val="24"/>
    </w:rPr>
  </w:style>
  <w:style w:type="paragraph" w:customStyle="1" w:styleId="264">
    <w:name w:val="样式7"/>
    <w:basedOn w:val="1"/>
    <w:next w:val="1"/>
    <w:link w:val="263"/>
    <w:autoRedefine/>
    <w:qFormat/>
    <w:uiPriority w:val="0"/>
    <w:pPr>
      <w:spacing w:line="360" w:lineRule="auto"/>
      <w:ind w:firstLine="480" w:firstLineChars="200"/>
    </w:pPr>
    <w:rPr>
      <w:rFonts w:ascii="宋体" w:hAnsi="宋体"/>
      <w:color w:val="000000"/>
      <w:kern w:val="0"/>
      <w:sz w:val="24"/>
    </w:rPr>
  </w:style>
  <w:style w:type="character" w:customStyle="1" w:styleId="265">
    <w:name w:val="样式5 Char Char"/>
    <w:link w:val="54"/>
    <w:autoRedefine/>
    <w:qFormat/>
    <w:uiPriority w:val="0"/>
    <w:rPr>
      <w:rFonts w:ascii="宋体"/>
      <w:szCs w:val="21"/>
    </w:rPr>
  </w:style>
  <w:style w:type="character" w:customStyle="1" w:styleId="266">
    <w:name w:val="正文1 Char"/>
    <w:link w:val="55"/>
    <w:autoRedefine/>
    <w:qFormat/>
    <w:uiPriority w:val="0"/>
    <w:rPr>
      <w:kern w:val="2"/>
      <w:sz w:val="28"/>
      <w:szCs w:val="24"/>
    </w:rPr>
  </w:style>
  <w:style w:type="character" w:customStyle="1" w:styleId="267">
    <w:name w:val="unnamed21"/>
    <w:autoRedefine/>
    <w:qFormat/>
    <w:uiPriority w:val="0"/>
    <w:rPr>
      <w:rFonts w:ascii="宋体" w:hAnsi="宋体" w:eastAsia="宋体" w:cs="宋体"/>
      <w:kern w:val="2"/>
      <w:sz w:val="18"/>
      <w:szCs w:val="18"/>
      <w:lang w:val="en-US" w:eastAsia="zh-CN" w:bidi="ar-SA"/>
    </w:rPr>
  </w:style>
  <w:style w:type="character" w:customStyle="1" w:styleId="268">
    <w:name w:val="表格填充1 Char"/>
    <w:link w:val="269"/>
    <w:autoRedefine/>
    <w:qFormat/>
    <w:uiPriority w:val="0"/>
    <w:rPr>
      <w:snapToGrid/>
      <w:kern w:val="2"/>
      <w:sz w:val="24"/>
      <w:szCs w:val="18"/>
    </w:rPr>
  </w:style>
  <w:style w:type="paragraph" w:customStyle="1" w:styleId="269">
    <w:name w:val="表格填充1"/>
    <w:basedOn w:val="1"/>
    <w:link w:val="268"/>
    <w:autoRedefine/>
    <w:semiHidden/>
    <w:qFormat/>
    <w:uiPriority w:val="0"/>
    <w:pPr>
      <w:adjustRightInd w:val="0"/>
      <w:snapToGrid w:val="0"/>
      <w:spacing w:line="400" w:lineRule="exact"/>
      <w:jc w:val="center"/>
    </w:pPr>
    <w:rPr>
      <w:snapToGrid w:val="0"/>
      <w:sz w:val="24"/>
      <w:szCs w:val="18"/>
    </w:rPr>
  </w:style>
  <w:style w:type="character" w:customStyle="1" w:styleId="270">
    <w:name w:val="Char Char6"/>
    <w:autoRedefine/>
    <w:qFormat/>
    <w:uiPriority w:val="0"/>
    <w:rPr>
      <w:rFonts w:ascii="宋体" w:hAnsi="宋体" w:eastAsia="宋体" w:cs="宋体"/>
      <w:b/>
      <w:bCs/>
      <w:i/>
      <w:iCs/>
      <w:kern w:val="2"/>
      <w:sz w:val="26"/>
      <w:szCs w:val="26"/>
      <w:lang w:val="en-US" w:eastAsia="zh-CN" w:bidi="ar-SA"/>
    </w:rPr>
  </w:style>
  <w:style w:type="character" w:customStyle="1" w:styleId="271">
    <w:name w:val="标题 4 Char4"/>
    <w:autoRedefine/>
    <w:qFormat/>
    <w:uiPriority w:val="0"/>
    <w:rPr>
      <w:rFonts w:ascii="宋体" w:hAnsi="宋体" w:eastAsia="宋体" w:cs="宋体"/>
      <w:b/>
      <w:snapToGrid/>
      <w:kern w:val="2"/>
      <w:sz w:val="24"/>
      <w:szCs w:val="24"/>
      <w:lang w:val="en-GB" w:eastAsia="zh-CN" w:bidi="ar-SA"/>
    </w:rPr>
  </w:style>
  <w:style w:type="character" w:customStyle="1" w:styleId="272">
    <w:name w:val="Footer1 Char Char"/>
    <w:autoRedefine/>
    <w:qFormat/>
    <w:uiPriority w:val="0"/>
    <w:rPr>
      <w:rFonts w:eastAsia="宋体"/>
      <w:kern w:val="2"/>
      <w:sz w:val="18"/>
      <w:szCs w:val="18"/>
      <w:lang w:val="en-US" w:eastAsia="zh-CN" w:bidi="ar-SA"/>
    </w:rPr>
  </w:style>
  <w:style w:type="character" w:customStyle="1" w:styleId="273">
    <w:name w:val="公式 Char Char"/>
    <w:link w:val="274"/>
    <w:autoRedefine/>
    <w:qFormat/>
    <w:uiPriority w:val="0"/>
    <w:rPr>
      <w:rFonts w:ascii="宋体"/>
      <w:kern w:val="16"/>
      <w:sz w:val="24"/>
    </w:rPr>
  </w:style>
  <w:style w:type="paragraph" w:customStyle="1" w:styleId="274">
    <w:name w:val="公式"/>
    <w:basedOn w:val="1"/>
    <w:link w:val="273"/>
    <w:autoRedefine/>
    <w:qFormat/>
    <w:uiPriority w:val="0"/>
    <w:pPr>
      <w:adjustRightInd w:val="0"/>
      <w:spacing w:before="240" w:after="240" w:line="480" w:lineRule="exact"/>
      <w:ind w:firstLine="200" w:firstLineChars="200"/>
      <w:jc w:val="center"/>
      <w:textAlignment w:val="baseline"/>
    </w:pPr>
    <w:rPr>
      <w:rFonts w:ascii="宋体"/>
      <w:kern w:val="16"/>
      <w:sz w:val="24"/>
      <w:szCs w:val="20"/>
    </w:rPr>
  </w:style>
  <w:style w:type="character" w:customStyle="1" w:styleId="275">
    <w:name w:val="style2_title1"/>
    <w:autoRedefine/>
    <w:qFormat/>
    <w:uiPriority w:val="0"/>
    <w:rPr>
      <w:b/>
      <w:bCs/>
      <w:sz w:val="25"/>
      <w:szCs w:val="25"/>
    </w:rPr>
  </w:style>
  <w:style w:type="character" w:customStyle="1" w:styleId="276">
    <w:name w:val="表格题目 Char"/>
    <w:link w:val="277"/>
    <w:autoRedefine/>
    <w:qFormat/>
    <w:uiPriority w:val="0"/>
    <w:rPr>
      <w:rFonts w:ascii="宋体" w:hAnsi="宋体"/>
      <w:sz w:val="24"/>
      <w:szCs w:val="24"/>
    </w:rPr>
  </w:style>
  <w:style w:type="paragraph" w:customStyle="1" w:styleId="277">
    <w:name w:val="表格题目"/>
    <w:basedOn w:val="1"/>
    <w:link w:val="276"/>
    <w:autoRedefine/>
    <w:qFormat/>
    <w:uiPriority w:val="0"/>
    <w:pPr>
      <w:spacing w:line="360" w:lineRule="auto"/>
      <w:ind w:firstLine="480" w:firstLineChars="200"/>
    </w:pPr>
    <w:rPr>
      <w:rFonts w:ascii="宋体" w:hAnsi="宋体"/>
      <w:kern w:val="0"/>
      <w:sz w:val="24"/>
      <w:shd w:val="clear" w:color="auto" w:fill="FFFFFF"/>
    </w:rPr>
  </w:style>
  <w:style w:type="character" w:customStyle="1" w:styleId="278">
    <w:name w:val="表格 Char Char"/>
    <w:autoRedefine/>
    <w:qFormat/>
    <w:uiPriority w:val="0"/>
    <w:rPr>
      <w:kern w:val="2"/>
      <w:sz w:val="24"/>
      <w:szCs w:val="24"/>
      <w:lang w:bidi="ar-SA"/>
    </w:rPr>
  </w:style>
  <w:style w:type="character" w:customStyle="1" w:styleId="279">
    <w:name w:val="text_edit editable-title"/>
    <w:autoRedefine/>
    <w:qFormat/>
    <w:uiPriority w:val="0"/>
  </w:style>
  <w:style w:type="character" w:customStyle="1" w:styleId="280">
    <w:name w:val="s c c"/>
    <w:autoRedefine/>
    <w:qFormat/>
    <w:uiPriority w:val="0"/>
  </w:style>
  <w:style w:type="character" w:customStyle="1" w:styleId="281">
    <w:name w:val="tpc_content1"/>
    <w:autoRedefine/>
    <w:qFormat/>
    <w:uiPriority w:val="0"/>
    <w:rPr>
      <w:rFonts w:ascii="宋体" w:hAnsi="宋体" w:eastAsia="宋体" w:cs="宋体"/>
      <w:kern w:val="2"/>
      <w:sz w:val="24"/>
      <w:szCs w:val="24"/>
      <w:lang w:val="en-US" w:eastAsia="zh-CN" w:bidi="ar-SA"/>
    </w:rPr>
  </w:style>
  <w:style w:type="character" w:customStyle="1" w:styleId="282">
    <w:name w:val="样式16 Char Char"/>
    <w:link w:val="283"/>
    <w:autoRedefine/>
    <w:qFormat/>
    <w:uiPriority w:val="0"/>
    <w:rPr>
      <w:rFonts w:eastAsia="楷体_GB2312"/>
      <w:b/>
      <w:bCs/>
      <w:color w:val="000000"/>
      <w:sz w:val="32"/>
      <w:szCs w:val="32"/>
    </w:rPr>
  </w:style>
  <w:style w:type="paragraph" w:customStyle="1" w:styleId="283">
    <w:name w:val="样式16"/>
    <w:basedOn w:val="3"/>
    <w:link w:val="282"/>
    <w:autoRedefine/>
    <w:qFormat/>
    <w:uiPriority w:val="0"/>
    <w:pPr>
      <w:tabs>
        <w:tab w:val="left" w:pos="390"/>
      </w:tabs>
      <w:overflowPunct/>
      <w:snapToGrid/>
      <w:spacing w:before="340" w:beforeLines="100" w:after="330" w:afterLines="100" w:line="240" w:lineRule="auto"/>
      <w:ind w:left="390" w:firstLine="0"/>
      <w:jc w:val="center"/>
    </w:pPr>
    <w:rPr>
      <w:rFonts w:eastAsia="楷体_GB2312"/>
      <w:kern w:val="0"/>
      <w:sz w:val="32"/>
      <w:szCs w:val="32"/>
    </w:rPr>
  </w:style>
  <w:style w:type="character" w:customStyle="1" w:styleId="284">
    <w:name w:val="su21"/>
    <w:autoRedefine/>
    <w:qFormat/>
    <w:uiPriority w:val="0"/>
  </w:style>
  <w:style w:type="character" w:customStyle="1" w:styleId="285">
    <w:name w:val="文本 Char Char"/>
    <w:link w:val="286"/>
    <w:autoRedefine/>
    <w:qFormat/>
    <w:uiPriority w:val="0"/>
    <w:rPr>
      <w:rFonts w:ascii="宋体" w:hAnsi="宋体"/>
      <w:sz w:val="24"/>
      <w:szCs w:val="24"/>
    </w:rPr>
  </w:style>
  <w:style w:type="paragraph" w:customStyle="1" w:styleId="286">
    <w:name w:val="文本"/>
    <w:basedOn w:val="1"/>
    <w:link w:val="285"/>
    <w:autoRedefine/>
    <w:qFormat/>
    <w:uiPriority w:val="0"/>
    <w:pPr>
      <w:spacing w:after="60" w:line="440" w:lineRule="exact"/>
      <w:ind w:firstLine="480" w:firstLineChars="200"/>
    </w:pPr>
    <w:rPr>
      <w:rFonts w:ascii="宋体" w:hAnsi="宋体"/>
      <w:kern w:val="0"/>
      <w:sz w:val="24"/>
    </w:rPr>
  </w:style>
  <w:style w:type="character" w:customStyle="1" w:styleId="287">
    <w:name w:val="样式19 Char Char"/>
    <w:link w:val="288"/>
    <w:autoRedefine/>
    <w:qFormat/>
    <w:uiPriority w:val="0"/>
    <w:rPr>
      <w:b/>
      <w:bCs/>
      <w:kern w:val="44"/>
      <w:sz w:val="32"/>
      <w:szCs w:val="44"/>
    </w:rPr>
  </w:style>
  <w:style w:type="paragraph" w:customStyle="1" w:styleId="288">
    <w:name w:val="样式19"/>
    <w:basedOn w:val="3"/>
    <w:link w:val="287"/>
    <w:autoRedefine/>
    <w:qFormat/>
    <w:uiPriority w:val="0"/>
    <w:pPr>
      <w:keepLines/>
      <w:numPr>
        <w:ilvl w:val="0"/>
        <w:numId w:val="2"/>
      </w:numPr>
      <w:overflowPunct/>
      <w:snapToGrid/>
      <w:spacing w:before="0" w:after="0" w:line="360" w:lineRule="auto"/>
    </w:pPr>
    <w:rPr>
      <w:rFonts w:eastAsia="宋体"/>
      <w:color w:val="auto"/>
      <w:sz w:val="32"/>
      <w:szCs w:val="44"/>
    </w:rPr>
  </w:style>
  <w:style w:type="character" w:customStyle="1" w:styleId="289">
    <w:name w:val="source"/>
    <w:autoRedefine/>
    <w:qFormat/>
    <w:uiPriority w:val="0"/>
  </w:style>
  <w:style w:type="character" w:customStyle="1" w:styleId="290">
    <w:name w:val="表内字 Char1"/>
    <w:link w:val="291"/>
    <w:autoRedefine/>
    <w:qFormat/>
    <w:uiPriority w:val="0"/>
    <w:rPr>
      <w:kern w:val="2"/>
      <w:sz w:val="21"/>
    </w:rPr>
  </w:style>
  <w:style w:type="paragraph" w:customStyle="1" w:styleId="291">
    <w:name w:val="表内字"/>
    <w:link w:val="290"/>
    <w:autoRedefine/>
    <w:qFormat/>
    <w:uiPriority w:val="0"/>
    <w:pPr>
      <w:spacing w:before="80" w:after="80"/>
      <w:jc w:val="both"/>
    </w:pPr>
    <w:rPr>
      <w:rFonts w:ascii="Times New Roman" w:hAnsi="Times New Roman" w:eastAsia="宋体" w:cs="Times New Roman"/>
      <w:kern w:val="2"/>
      <w:sz w:val="21"/>
      <w:lang w:val="en-US" w:eastAsia="zh-CN" w:bidi="ar-SA"/>
    </w:rPr>
  </w:style>
  <w:style w:type="character" w:customStyle="1" w:styleId="292">
    <w:name w:val="标题 2 Char"/>
    <w:autoRedefine/>
    <w:qFormat/>
    <w:uiPriority w:val="9"/>
    <w:rPr>
      <w:rFonts w:ascii="Cambria" w:hAnsi="Cambria" w:eastAsia="宋体" w:cs="Times New Roman"/>
      <w:b/>
      <w:bCs/>
      <w:sz w:val="32"/>
      <w:szCs w:val="32"/>
    </w:rPr>
  </w:style>
  <w:style w:type="character" w:customStyle="1" w:styleId="293">
    <w:name w:val="报告书正文 Char1"/>
    <w:link w:val="294"/>
    <w:autoRedefine/>
    <w:qFormat/>
    <w:uiPriority w:val="0"/>
    <w:rPr>
      <w:sz w:val="18"/>
      <w:szCs w:val="18"/>
      <w:lang w:val="zh-CN"/>
    </w:rPr>
  </w:style>
  <w:style w:type="paragraph" w:customStyle="1" w:styleId="294">
    <w:name w:val="报告书正文"/>
    <w:basedOn w:val="1"/>
    <w:link w:val="293"/>
    <w:autoRedefine/>
    <w:qFormat/>
    <w:uiPriority w:val="0"/>
    <w:pPr>
      <w:adjustRightInd w:val="0"/>
      <w:spacing w:beforeLines="50" w:line="360" w:lineRule="auto"/>
      <w:ind w:firstLine="480" w:firstLineChars="200"/>
      <w:textAlignment w:val="baseline"/>
    </w:pPr>
    <w:rPr>
      <w:kern w:val="0"/>
      <w:sz w:val="18"/>
      <w:szCs w:val="18"/>
      <w:lang w:val="zh-CN"/>
    </w:rPr>
  </w:style>
  <w:style w:type="character" w:customStyle="1" w:styleId="295">
    <w:name w:val="css-text3"/>
    <w:autoRedefine/>
    <w:qFormat/>
    <w:uiPriority w:val="0"/>
  </w:style>
  <w:style w:type="character" w:customStyle="1" w:styleId="296">
    <w:name w:val="样式 标题 3H31.1.1标题 3条标题1.1.1h3level_3PIM 3Level 3 HeadHead...1 Char Char"/>
    <w:link w:val="297"/>
    <w:autoRedefine/>
    <w:qFormat/>
    <w:uiPriority w:val="0"/>
    <w:rPr>
      <w:rFonts w:ascii="黑体" w:hAnsi="黑体" w:eastAsia="黑体"/>
      <w:b/>
      <w:bCs/>
      <w:sz w:val="28"/>
      <w:szCs w:val="32"/>
    </w:rPr>
  </w:style>
  <w:style w:type="paragraph" w:customStyle="1" w:styleId="297">
    <w:name w:val="样式 标题 3H31.1.1标题 3条标题1.1.1h3level_3PIM 3Level 3 HeadHead...1"/>
    <w:basedOn w:val="5"/>
    <w:link w:val="296"/>
    <w:autoRedefine/>
    <w:qFormat/>
    <w:uiPriority w:val="0"/>
    <w:pPr>
      <w:tabs>
        <w:tab w:val="left" w:pos="1260"/>
      </w:tabs>
      <w:ind w:left="1260" w:hanging="420"/>
    </w:pPr>
    <w:rPr>
      <w:rFonts w:ascii="黑体" w:hAnsi="黑体" w:eastAsia="黑体"/>
      <w:kern w:val="0"/>
      <w:sz w:val="28"/>
    </w:rPr>
  </w:style>
  <w:style w:type="character" w:customStyle="1" w:styleId="298">
    <w:name w:val="默认段落字体 Para Char Char Char Char Char"/>
    <w:link w:val="299"/>
    <w:autoRedefine/>
    <w:qFormat/>
    <w:uiPriority w:val="0"/>
    <w:rPr>
      <w:kern w:val="2"/>
      <w:sz w:val="21"/>
      <w:szCs w:val="21"/>
    </w:rPr>
  </w:style>
  <w:style w:type="paragraph" w:customStyle="1" w:styleId="299">
    <w:name w:val="默认段落字体 Para Char Char Char Char"/>
    <w:basedOn w:val="1"/>
    <w:link w:val="298"/>
    <w:autoRedefine/>
    <w:qFormat/>
    <w:uiPriority w:val="0"/>
  </w:style>
  <w:style w:type="character" w:customStyle="1" w:styleId="300">
    <w:name w:val="博泵1 Char Char"/>
    <w:link w:val="301"/>
    <w:autoRedefine/>
    <w:qFormat/>
    <w:uiPriority w:val="0"/>
    <w:rPr>
      <w:rFonts w:hAnsi="宋体"/>
      <w:color w:val="000000"/>
      <w:sz w:val="24"/>
    </w:rPr>
  </w:style>
  <w:style w:type="paragraph" w:customStyle="1" w:styleId="301">
    <w:name w:val="博泵1"/>
    <w:basedOn w:val="1"/>
    <w:link w:val="300"/>
    <w:autoRedefine/>
    <w:qFormat/>
    <w:uiPriority w:val="0"/>
    <w:pPr>
      <w:adjustRightInd w:val="0"/>
      <w:spacing w:line="480" w:lineRule="exact"/>
      <w:ind w:firstLine="200" w:firstLineChars="200"/>
      <w:jc w:val="left"/>
      <w:textAlignment w:val="baseline"/>
    </w:pPr>
    <w:rPr>
      <w:rFonts w:hAnsi="宋体"/>
      <w:color w:val="000000"/>
      <w:kern w:val="0"/>
      <w:sz w:val="24"/>
      <w:szCs w:val="20"/>
    </w:rPr>
  </w:style>
  <w:style w:type="character" w:customStyle="1" w:styleId="302">
    <w:name w:val="特点标题 Char1"/>
    <w:autoRedefine/>
    <w:qFormat/>
    <w:uiPriority w:val="0"/>
    <w:rPr>
      <w:rFonts w:eastAsia="宋体"/>
      <w:kern w:val="2"/>
      <w:sz w:val="24"/>
      <w:szCs w:val="21"/>
      <w:lang w:val="en-US" w:eastAsia="zh-CN" w:bidi="ar-SA"/>
    </w:rPr>
  </w:style>
  <w:style w:type="character" w:customStyle="1" w:styleId="303">
    <w:name w:val="报告标题3 Char Char"/>
    <w:link w:val="304"/>
    <w:autoRedefine/>
    <w:qFormat/>
    <w:uiPriority w:val="0"/>
    <w:rPr>
      <w:b/>
      <w:bCs/>
      <w:color w:val="000000"/>
      <w:sz w:val="28"/>
      <w:szCs w:val="28"/>
    </w:rPr>
  </w:style>
  <w:style w:type="paragraph" w:customStyle="1" w:styleId="304">
    <w:name w:val="报告标题3"/>
    <w:basedOn w:val="5"/>
    <w:link w:val="303"/>
    <w:autoRedefine/>
    <w:qFormat/>
    <w:uiPriority w:val="0"/>
    <w:pPr>
      <w:tabs>
        <w:tab w:val="left" w:pos="1260"/>
      </w:tabs>
      <w:spacing w:before="60" w:after="60" w:line="360" w:lineRule="auto"/>
      <w:ind w:left="1260" w:hanging="420"/>
    </w:pPr>
    <w:rPr>
      <w:color w:val="000000"/>
      <w:kern w:val="0"/>
      <w:sz w:val="28"/>
      <w:szCs w:val="28"/>
    </w:rPr>
  </w:style>
  <w:style w:type="character" w:customStyle="1" w:styleId="305">
    <w:name w:val="f141"/>
    <w:autoRedefine/>
    <w:qFormat/>
    <w:uiPriority w:val="0"/>
    <w:rPr>
      <w:color w:val="000000"/>
      <w:sz w:val="21"/>
      <w:szCs w:val="21"/>
    </w:rPr>
  </w:style>
  <w:style w:type="character" w:customStyle="1" w:styleId="306">
    <w:name w:val="Plain Text Char1 Char2"/>
    <w:autoRedefine/>
    <w:qFormat/>
    <w:uiPriority w:val="0"/>
    <w:rPr>
      <w:rFonts w:ascii="宋体" w:hAnsi="Courier New" w:eastAsia="宋体"/>
      <w:kern w:val="2"/>
      <w:sz w:val="21"/>
      <w:szCs w:val="21"/>
      <w:lang w:val="en-US" w:eastAsia="zh-CN" w:bidi="ar-SA"/>
    </w:rPr>
  </w:style>
  <w:style w:type="character" w:customStyle="1" w:styleId="307">
    <w:name w:val="ourfont11"/>
    <w:autoRedefine/>
    <w:qFormat/>
    <w:uiPriority w:val="0"/>
    <w:rPr>
      <w:sz w:val="20"/>
    </w:rPr>
  </w:style>
  <w:style w:type="character" w:customStyle="1" w:styleId="308">
    <w:name w:val="Footer1 Char2"/>
    <w:autoRedefine/>
    <w:qFormat/>
    <w:uiPriority w:val="0"/>
    <w:rPr>
      <w:sz w:val="18"/>
      <w:szCs w:val="18"/>
      <w:lang w:bidi="ar-SA"/>
    </w:rPr>
  </w:style>
  <w:style w:type="character" w:customStyle="1" w:styleId="309">
    <w:name w:val="文本正文 Char"/>
    <w:link w:val="310"/>
    <w:autoRedefine/>
    <w:semiHidden/>
    <w:qFormat/>
    <w:uiPriority w:val="0"/>
    <w:rPr>
      <w:snapToGrid/>
      <w:sz w:val="24"/>
      <w:szCs w:val="24"/>
    </w:rPr>
  </w:style>
  <w:style w:type="paragraph" w:customStyle="1" w:styleId="310">
    <w:name w:val="文本正文"/>
    <w:basedOn w:val="1"/>
    <w:link w:val="309"/>
    <w:autoRedefine/>
    <w:semiHidden/>
    <w:qFormat/>
    <w:uiPriority w:val="0"/>
    <w:pPr>
      <w:spacing w:line="360" w:lineRule="auto"/>
      <w:ind w:firstLine="200" w:firstLineChars="200"/>
      <w:jc w:val="left"/>
    </w:pPr>
    <w:rPr>
      <w:snapToGrid w:val="0"/>
      <w:kern w:val="0"/>
      <w:sz w:val="24"/>
    </w:rPr>
  </w:style>
  <w:style w:type="character" w:customStyle="1" w:styleId="311">
    <w:name w:val="content"/>
    <w:autoRedefine/>
    <w:qFormat/>
    <w:uiPriority w:val="0"/>
    <w:rPr>
      <w:rFonts w:ascii="宋体" w:hAnsi="宋体" w:eastAsia="宋体" w:cs="宋体"/>
      <w:kern w:val="2"/>
      <w:sz w:val="24"/>
      <w:szCs w:val="24"/>
      <w:lang w:val="en-US" w:eastAsia="zh-CN" w:bidi="ar-SA"/>
    </w:rPr>
  </w:style>
  <w:style w:type="character" w:customStyle="1" w:styleId="312">
    <w:name w:val="dectext1"/>
    <w:autoRedefine/>
    <w:qFormat/>
    <w:uiPriority w:val="0"/>
    <w:rPr>
      <w:rFonts w:hint="eastAsia" w:ascii="宋体" w:hAnsi="宋体" w:eastAsia="宋体"/>
      <w:color w:val="333333"/>
      <w:sz w:val="21"/>
      <w:szCs w:val="21"/>
      <w:u w:val="none"/>
    </w:rPr>
  </w:style>
  <w:style w:type="character" w:customStyle="1" w:styleId="313">
    <w:name w:val="图片居中 大王 20100426 Char"/>
    <w:link w:val="314"/>
    <w:autoRedefine/>
    <w:qFormat/>
    <w:uiPriority w:val="0"/>
    <w:rPr>
      <w:snapToGrid/>
      <w:spacing w:val="10"/>
      <w:sz w:val="24"/>
    </w:rPr>
  </w:style>
  <w:style w:type="paragraph" w:customStyle="1" w:styleId="314">
    <w:name w:val="图片居中 大王 20100426"/>
    <w:basedOn w:val="1"/>
    <w:link w:val="313"/>
    <w:autoRedefine/>
    <w:qFormat/>
    <w:uiPriority w:val="0"/>
    <w:pPr>
      <w:snapToGrid w:val="0"/>
      <w:spacing w:beforeLines="20" w:afterLines="20"/>
      <w:jc w:val="center"/>
    </w:pPr>
    <w:rPr>
      <w:snapToGrid w:val="0"/>
      <w:spacing w:val="10"/>
      <w:kern w:val="0"/>
      <w:sz w:val="24"/>
      <w:szCs w:val="20"/>
    </w:rPr>
  </w:style>
  <w:style w:type="character" w:customStyle="1" w:styleId="315">
    <w:name w:val="fontstyle01"/>
    <w:autoRedefine/>
    <w:qFormat/>
    <w:uiPriority w:val="0"/>
    <w:rPr>
      <w:rFonts w:hint="eastAsia" w:ascii="宋体" w:hAnsi="宋体" w:eastAsia="宋体"/>
      <w:color w:val="000000"/>
      <w:sz w:val="24"/>
      <w:szCs w:val="24"/>
    </w:rPr>
  </w:style>
  <w:style w:type="character" w:customStyle="1" w:styleId="316">
    <w:name w:val="样式24 Char Char"/>
    <w:link w:val="317"/>
    <w:autoRedefine/>
    <w:qFormat/>
    <w:uiPriority w:val="0"/>
    <w:rPr>
      <w:rFonts w:ascii="宋体" w:hAnsi="宋体"/>
      <w:b/>
      <w:bCs/>
      <w:spacing w:val="4"/>
      <w:sz w:val="32"/>
      <w:szCs w:val="32"/>
    </w:rPr>
  </w:style>
  <w:style w:type="paragraph" w:customStyle="1" w:styleId="317">
    <w:name w:val="样式24"/>
    <w:basedOn w:val="1"/>
    <w:link w:val="316"/>
    <w:autoRedefine/>
    <w:qFormat/>
    <w:uiPriority w:val="0"/>
    <w:pPr>
      <w:keepNext/>
      <w:jc w:val="center"/>
      <w:outlineLvl w:val="1"/>
    </w:pPr>
    <w:rPr>
      <w:rFonts w:ascii="宋体" w:hAnsi="宋体"/>
      <w:b/>
      <w:bCs/>
      <w:spacing w:val="4"/>
      <w:kern w:val="0"/>
      <w:sz w:val="32"/>
      <w:szCs w:val="32"/>
    </w:rPr>
  </w:style>
  <w:style w:type="character" w:customStyle="1" w:styleId="318">
    <w:name w:val="表头1 Char Char Char"/>
    <w:autoRedefine/>
    <w:qFormat/>
    <w:uiPriority w:val="0"/>
    <w:rPr>
      <w:rFonts w:eastAsia="黑体"/>
      <w:sz w:val="21"/>
      <w:szCs w:val="28"/>
      <w:lang w:val="en-US" w:eastAsia="zh-CN" w:bidi="ar-SA"/>
    </w:rPr>
  </w:style>
  <w:style w:type="character" w:customStyle="1" w:styleId="319">
    <w:name w:val="表、图名 Char"/>
    <w:link w:val="320"/>
    <w:autoRedefine/>
    <w:semiHidden/>
    <w:qFormat/>
    <w:uiPriority w:val="0"/>
    <w:rPr>
      <w:rFonts w:ascii="宋体" w:eastAsia="黑体"/>
      <w:kern w:val="2"/>
      <w:sz w:val="21"/>
      <w:szCs w:val="24"/>
    </w:rPr>
  </w:style>
  <w:style w:type="paragraph" w:customStyle="1" w:styleId="320">
    <w:name w:val="表、图名"/>
    <w:basedOn w:val="1"/>
    <w:link w:val="319"/>
    <w:autoRedefine/>
    <w:semiHidden/>
    <w:qFormat/>
    <w:uiPriority w:val="0"/>
    <w:pPr>
      <w:adjustRightInd w:val="0"/>
      <w:snapToGrid w:val="0"/>
      <w:spacing w:line="312" w:lineRule="atLeast"/>
      <w:jc w:val="center"/>
    </w:pPr>
    <w:rPr>
      <w:rFonts w:ascii="宋体" w:eastAsia="黑体"/>
    </w:rPr>
  </w:style>
  <w:style w:type="character" w:customStyle="1" w:styleId="321">
    <w:name w:val="Char Char Char Char Char Char Char Char Char"/>
    <w:autoRedefine/>
    <w:qFormat/>
    <w:uiPriority w:val="0"/>
    <w:rPr>
      <w:rFonts w:eastAsia="宋体"/>
      <w:kern w:val="2"/>
      <w:sz w:val="18"/>
      <w:szCs w:val="18"/>
      <w:lang w:val="en-US" w:eastAsia="zh-CN" w:bidi="ar-SA"/>
    </w:rPr>
  </w:style>
  <w:style w:type="character" w:customStyle="1" w:styleId="322">
    <w:name w:val="css11"/>
    <w:autoRedefine/>
    <w:qFormat/>
    <w:uiPriority w:val="0"/>
    <w:rPr>
      <w:rFonts w:hint="eastAsia" w:ascii="宋体" w:hAnsi="宋体" w:eastAsia="宋体"/>
      <w:color w:val="336633"/>
      <w:sz w:val="18"/>
      <w:szCs w:val="18"/>
    </w:rPr>
  </w:style>
  <w:style w:type="character" w:customStyle="1" w:styleId="323">
    <w:name w:val="表格内容 Char"/>
    <w:link w:val="324"/>
    <w:autoRedefine/>
    <w:qFormat/>
    <w:uiPriority w:val="0"/>
    <w:rPr>
      <w:sz w:val="21"/>
      <w:szCs w:val="21"/>
    </w:rPr>
  </w:style>
  <w:style w:type="paragraph" w:customStyle="1" w:styleId="324">
    <w:name w:val="表格内容"/>
    <w:basedOn w:val="1"/>
    <w:link w:val="323"/>
    <w:autoRedefine/>
    <w:qFormat/>
    <w:uiPriority w:val="99"/>
    <w:pPr>
      <w:autoSpaceDE w:val="0"/>
      <w:autoSpaceDN w:val="0"/>
      <w:adjustRightInd w:val="0"/>
      <w:jc w:val="left"/>
    </w:pPr>
    <w:rPr>
      <w:kern w:val="0"/>
    </w:rPr>
  </w:style>
  <w:style w:type="character" w:customStyle="1" w:styleId="325">
    <w:name w:val="样式69 Char Char"/>
    <w:link w:val="326"/>
    <w:autoRedefine/>
    <w:qFormat/>
    <w:uiPriority w:val="0"/>
    <w:rPr>
      <w:rFonts w:ascii="宋体" w:hAnsi="宋体"/>
      <w:color w:val="000000"/>
    </w:rPr>
  </w:style>
  <w:style w:type="paragraph" w:customStyle="1" w:styleId="326">
    <w:name w:val="样式69"/>
    <w:basedOn w:val="1"/>
    <w:link w:val="325"/>
    <w:autoRedefine/>
    <w:qFormat/>
    <w:uiPriority w:val="0"/>
    <w:pPr>
      <w:numPr>
        <w:ilvl w:val="0"/>
        <w:numId w:val="3"/>
      </w:numPr>
      <w:ind w:left="0" w:firstLine="0"/>
      <w:jc w:val="center"/>
    </w:pPr>
    <w:rPr>
      <w:rFonts w:ascii="宋体" w:hAnsi="宋体"/>
      <w:color w:val="000000"/>
      <w:kern w:val="0"/>
      <w:sz w:val="20"/>
      <w:szCs w:val="20"/>
    </w:rPr>
  </w:style>
  <w:style w:type="character" w:customStyle="1" w:styleId="327">
    <w:name w:val="s19n338"/>
    <w:autoRedefine/>
    <w:qFormat/>
    <w:uiPriority w:val="0"/>
  </w:style>
  <w:style w:type="character" w:customStyle="1" w:styleId="328">
    <w:name w:val="1.1.1 Char Char"/>
    <w:link w:val="329"/>
    <w:autoRedefine/>
    <w:qFormat/>
    <w:uiPriority w:val="0"/>
    <w:rPr>
      <w:rFonts w:eastAsia="黑体"/>
      <w:sz w:val="28"/>
      <w:szCs w:val="24"/>
    </w:rPr>
  </w:style>
  <w:style w:type="paragraph" w:customStyle="1" w:styleId="329">
    <w:name w:val="1.1.1"/>
    <w:basedOn w:val="1"/>
    <w:link w:val="328"/>
    <w:autoRedefine/>
    <w:qFormat/>
    <w:uiPriority w:val="0"/>
    <w:pPr>
      <w:spacing w:line="600" w:lineRule="exact"/>
      <w:outlineLvl w:val="0"/>
    </w:pPr>
    <w:rPr>
      <w:rFonts w:eastAsia="黑体"/>
      <w:kern w:val="0"/>
      <w:sz w:val="28"/>
    </w:rPr>
  </w:style>
  <w:style w:type="character" w:customStyle="1" w:styleId="330">
    <w:name w:val="s6wwf"/>
    <w:autoRedefine/>
    <w:qFormat/>
    <w:uiPriority w:val="0"/>
  </w:style>
  <w:style w:type="character" w:customStyle="1" w:styleId="331">
    <w:name w:val="正文 大王 20100426 Char"/>
    <w:link w:val="332"/>
    <w:autoRedefine/>
    <w:qFormat/>
    <w:uiPriority w:val="0"/>
    <w:rPr>
      <w:snapToGrid/>
      <w:spacing w:val="10"/>
      <w:sz w:val="24"/>
    </w:rPr>
  </w:style>
  <w:style w:type="paragraph" w:customStyle="1" w:styleId="332">
    <w:name w:val="正文 大王 20100426"/>
    <w:basedOn w:val="1"/>
    <w:link w:val="331"/>
    <w:autoRedefine/>
    <w:qFormat/>
    <w:uiPriority w:val="0"/>
    <w:pPr>
      <w:numPr>
        <w:ilvl w:val="2"/>
        <w:numId w:val="4"/>
      </w:numPr>
      <w:snapToGrid w:val="0"/>
      <w:spacing w:beforeLines="20" w:afterLines="20" w:line="360" w:lineRule="auto"/>
      <w:ind w:left="0" w:firstLine="520" w:firstLineChars="200"/>
    </w:pPr>
    <w:rPr>
      <w:snapToGrid w:val="0"/>
      <w:spacing w:val="10"/>
      <w:kern w:val="0"/>
      <w:sz w:val="24"/>
      <w:szCs w:val="20"/>
    </w:rPr>
  </w:style>
  <w:style w:type="character" w:customStyle="1" w:styleId="333">
    <w:name w:val="unnamed3"/>
    <w:autoRedefine/>
    <w:qFormat/>
    <w:uiPriority w:val="0"/>
  </w:style>
  <w:style w:type="character" w:customStyle="1" w:styleId="334">
    <w:name w:val="表内容 Char Char"/>
    <w:autoRedefine/>
    <w:qFormat/>
    <w:uiPriority w:val="0"/>
    <w:rPr>
      <w:rFonts w:eastAsia="宋体"/>
      <w:lang w:bidi="ar-SA"/>
    </w:rPr>
  </w:style>
  <w:style w:type="character" w:customStyle="1" w:styleId="335">
    <w:name w:val="question-title2"/>
    <w:autoRedefine/>
    <w:qFormat/>
    <w:uiPriority w:val="0"/>
  </w:style>
  <w:style w:type="character" w:customStyle="1" w:styleId="336">
    <w:name w:val="表内文字 Char"/>
    <w:link w:val="337"/>
    <w:autoRedefine/>
    <w:qFormat/>
    <w:uiPriority w:val="0"/>
    <w:rPr>
      <w:kern w:val="2"/>
      <w:sz w:val="21"/>
      <w:szCs w:val="24"/>
    </w:rPr>
  </w:style>
  <w:style w:type="paragraph" w:customStyle="1" w:styleId="337">
    <w:name w:val="表内文字"/>
    <w:basedOn w:val="1"/>
    <w:next w:val="1"/>
    <w:link w:val="336"/>
    <w:autoRedefine/>
    <w:qFormat/>
    <w:uiPriority w:val="0"/>
    <w:pPr>
      <w:jc w:val="center"/>
    </w:pPr>
  </w:style>
  <w:style w:type="character" w:customStyle="1" w:styleId="338">
    <w:name w:val="postbody1"/>
    <w:autoRedefine/>
    <w:qFormat/>
    <w:uiPriority w:val="0"/>
    <w:rPr>
      <w:sz w:val="21"/>
      <w:szCs w:val="21"/>
    </w:rPr>
  </w:style>
  <w:style w:type="character" w:customStyle="1" w:styleId="339">
    <w:name w:val="!正文_ALT+Z Char Char"/>
    <w:link w:val="340"/>
    <w:autoRedefine/>
    <w:qFormat/>
    <w:uiPriority w:val="0"/>
    <w:rPr>
      <w:rFonts w:eastAsia="仿宋_GB2312"/>
      <w:kern w:val="2"/>
      <w:sz w:val="28"/>
      <w:szCs w:val="28"/>
    </w:rPr>
  </w:style>
  <w:style w:type="paragraph" w:customStyle="1" w:styleId="340">
    <w:name w:val="!正文_ALT+Z"/>
    <w:basedOn w:val="1"/>
    <w:link w:val="339"/>
    <w:autoRedefine/>
    <w:qFormat/>
    <w:uiPriority w:val="0"/>
    <w:pPr>
      <w:spacing w:line="520" w:lineRule="exact"/>
      <w:ind w:firstLine="200" w:firstLineChars="200"/>
    </w:pPr>
    <w:rPr>
      <w:rFonts w:eastAsia="仿宋_GB2312"/>
      <w:sz w:val="28"/>
      <w:szCs w:val="28"/>
    </w:rPr>
  </w:style>
  <w:style w:type="character" w:customStyle="1" w:styleId="341">
    <w:name w:val="表头1 Char Char"/>
    <w:autoRedefine/>
    <w:qFormat/>
    <w:uiPriority w:val="0"/>
    <w:rPr>
      <w:b/>
      <w:bCs/>
      <w:color w:val="000000"/>
      <w:sz w:val="24"/>
      <w:szCs w:val="24"/>
      <w:lang w:bidi="ar-SA"/>
    </w:rPr>
  </w:style>
  <w:style w:type="character" w:customStyle="1" w:styleId="342">
    <w:name w:val="正文文本缩进 Char Char"/>
    <w:autoRedefine/>
    <w:qFormat/>
    <w:uiPriority w:val="0"/>
    <w:rPr>
      <w:rFonts w:ascii="Times New Roman" w:hAnsi="Times New Roman"/>
      <w:sz w:val="24"/>
    </w:rPr>
  </w:style>
  <w:style w:type="character" w:customStyle="1" w:styleId="343">
    <w:name w:val="Char Char11"/>
    <w:autoRedefine/>
    <w:qFormat/>
    <w:uiPriority w:val="0"/>
    <w:rPr>
      <w:rFonts w:ascii="宋体" w:hAnsi="宋体" w:eastAsia="宋体" w:cs="宋体"/>
      <w:kern w:val="2"/>
      <w:sz w:val="18"/>
      <w:szCs w:val="18"/>
      <w:lang w:val="en-US" w:eastAsia="zh-CN" w:bidi="ar-SA"/>
    </w:rPr>
  </w:style>
  <w:style w:type="character" w:customStyle="1" w:styleId="344">
    <w:name w:val="日期 字符"/>
    <w:autoRedefine/>
    <w:qFormat/>
    <w:uiPriority w:val="99"/>
    <w:rPr>
      <w:rFonts w:ascii="Times New Roman" w:hAnsi="Times New Roman" w:eastAsia="宋体"/>
      <w:sz w:val="24"/>
    </w:rPr>
  </w:style>
  <w:style w:type="character" w:customStyle="1" w:styleId="345">
    <w:name w:val="z-窗体顶端 Char"/>
    <w:link w:val="346"/>
    <w:autoRedefine/>
    <w:qFormat/>
    <w:uiPriority w:val="0"/>
    <w:rPr>
      <w:rFonts w:ascii="宋体" w:hAnsi="Courier New" w:cs="宋体"/>
      <w:szCs w:val="24"/>
    </w:rPr>
  </w:style>
  <w:style w:type="paragraph" w:customStyle="1" w:styleId="346">
    <w:name w:val="z-窗体顶端1"/>
    <w:basedOn w:val="1"/>
    <w:next w:val="1"/>
    <w:link w:val="345"/>
    <w:autoRedefine/>
    <w:qFormat/>
    <w:uiPriority w:val="0"/>
    <w:pPr>
      <w:pBdr>
        <w:bottom w:val="single" w:color="auto" w:sz="6" w:space="1"/>
      </w:pBdr>
      <w:adjustRightInd w:val="0"/>
      <w:snapToGrid w:val="0"/>
      <w:spacing w:line="300" w:lineRule="auto"/>
      <w:jc w:val="center"/>
    </w:pPr>
    <w:rPr>
      <w:rFonts w:ascii="宋体" w:hAnsi="Courier New" w:cs="宋体"/>
      <w:kern w:val="0"/>
      <w:sz w:val="20"/>
    </w:rPr>
  </w:style>
  <w:style w:type="character" w:customStyle="1" w:styleId="347">
    <w:name w:val="tpc_content"/>
    <w:autoRedefine/>
    <w:qFormat/>
    <w:uiPriority w:val="0"/>
    <w:rPr>
      <w:rFonts w:ascii="宋体" w:hAnsi="宋体" w:eastAsia="宋体" w:cs="宋体"/>
      <w:kern w:val="2"/>
      <w:sz w:val="24"/>
      <w:szCs w:val="24"/>
      <w:lang w:val="en-US" w:eastAsia="zh-CN" w:bidi="ar-SA"/>
    </w:rPr>
  </w:style>
  <w:style w:type="character" w:customStyle="1" w:styleId="348">
    <w:name w:val="text_new"/>
    <w:autoRedefine/>
    <w:qFormat/>
    <w:uiPriority w:val="0"/>
  </w:style>
  <w:style w:type="character" w:customStyle="1" w:styleId="349">
    <w:name w:val="Char Char12"/>
    <w:autoRedefine/>
    <w:qFormat/>
    <w:uiPriority w:val="0"/>
    <w:rPr>
      <w:rFonts w:eastAsia="宋体"/>
      <w:kern w:val="2"/>
      <w:sz w:val="18"/>
      <w:szCs w:val="18"/>
      <w:lang w:val="en-US" w:eastAsia="zh-CN" w:bidi="ar-SA"/>
    </w:rPr>
  </w:style>
  <w:style w:type="character" w:customStyle="1" w:styleId="350">
    <w:name w:val="表 标题 Char Char"/>
    <w:link w:val="351"/>
    <w:autoRedefine/>
    <w:qFormat/>
    <w:uiPriority w:val="0"/>
    <w:rPr>
      <w:b/>
      <w:sz w:val="24"/>
    </w:rPr>
  </w:style>
  <w:style w:type="paragraph" w:customStyle="1" w:styleId="351">
    <w:name w:val="表 标题"/>
    <w:basedOn w:val="69"/>
    <w:next w:val="1"/>
    <w:link w:val="350"/>
    <w:autoRedefine/>
    <w:qFormat/>
    <w:uiPriority w:val="0"/>
    <w:pPr>
      <w:tabs>
        <w:tab w:val="clear" w:pos="8312"/>
      </w:tabs>
      <w:adjustRightInd/>
      <w:spacing w:beforeLines="50" w:line="240" w:lineRule="auto"/>
      <w:jc w:val="center"/>
      <w:textAlignment w:val="auto"/>
    </w:pPr>
    <w:rPr>
      <w:rFonts w:ascii="Times New Roman"/>
      <w:b/>
      <w:sz w:val="24"/>
    </w:rPr>
  </w:style>
  <w:style w:type="character" w:customStyle="1" w:styleId="352">
    <w:name w:val="content1"/>
    <w:autoRedefine/>
    <w:qFormat/>
    <w:uiPriority w:val="0"/>
    <w:rPr>
      <w:sz w:val="21"/>
      <w:szCs w:val="21"/>
    </w:rPr>
  </w:style>
  <w:style w:type="character" w:customStyle="1" w:styleId="353">
    <w:name w:val="表格内容 Char Char"/>
    <w:autoRedefine/>
    <w:qFormat/>
    <w:uiPriority w:val="0"/>
    <w:rPr>
      <w:rFonts w:eastAsia="宋体"/>
      <w:sz w:val="24"/>
      <w:lang w:bidi="ar-SA"/>
    </w:rPr>
  </w:style>
  <w:style w:type="character" w:customStyle="1" w:styleId="354">
    <w:name w:val="表格标题新 Char Char"/>
    <w:link w:val="355"/>
    <w:autoRedefine/>
    <w:qFormat/>
    <w:uiPriority w:val="0"/>
    <w:rPr>
      <w:rFonts w:eastAsia="仿宋_GB2312"/>
      <w:b/>
      <w:sz w:val="28"/>
      <w:szCs w:val="24"/>
    </w:rPr>
  </w:style>
  <w:style w:type="paragraph" w:customStyle="1" w:styleId="355">
    <w:name w:val="表格标题新"/>
    <w:basedOn w:val="178"/>
    <w:link w:val="354"/>
    <w:autoRedefine/>
    <w:qFormat/>
    <w:uiPriority w:val="0"/>
    <w:pPr>
      <w:spacing w:beforeLines="50" w:line="360" w:lineRule="auto"/>
      <w:ind w:firstLine="561" w:firstLineChars="200"/>
    </w:pPr>
    <w:rPr>
      <w:b/>
      <w:kern w:val="0"/>
      <w:sz w:val="28"/>
    </w:rPr>
  </w:style>
  <w:style w:type="character" w:customStyle="1" w:styleId="356">
    <w:name w:val="sz3evj"/>
    <w:autoRedefine/>
    <w:qFormat/>
    <w:uiPriority w:val="0"/>
  </w:style>
  <w:style w:type="character" w:customStyle="1" w:styleId="357">
    <w:name w:val="宏文本 Char1"/>
    <w:autoRedefine/>
    <w:semiHidden/>
    <w:qFormat/>
    <w:uiPriority w:val="99"/>
    <w:rPr>
      <w:rFonts w:ascii="Courier New" w:hAnsi="Courier New" w:eastAsia="宋体" w:cs="Courier New"/>
      <w:sz w:val="24"/>
      <w:szCs w:val="24"/>
    </w:rPr>
  </w:style>
  <w:style w:type="character" w:customStyle="1" w:styleId="358">
    <w:name w:val="sl0m"/>
    <w:autoRedefine/>
    <w:qFormat/>
    <w:uiPriority w:val="0"/>
  </w:style>
  <w:style w:type="character" w:customStyle="1" w:styleId="359">
    <w:name w:val="标题3 Char"/>
    <w:link w:val="360"/>
    <w:autoRedefine/>
    <w:qFormat/>
    <w:uiPriority w:val="0"/>
    <w:rPr>
      <w:rFonts w:eastAsia="黑体"/>
      <w:sz w:val="24"/>
    </w:rPr>
  </w:style>
  <w:style w:type="paragraph" w:customStyle="1" w:styleId="360">
    <w:name w:val="标题3"/>
    <w:basedOn w:val="1"/>
    <w:next w:val="1"/>
    <w:link w:val="359"/>
    <w:autoRedefine/>
    <w:qFormat/>
    <w:uiPriority w:val="0"/>
    <w:pPr>
      <w:keepNext/>
      <w:keepLines/>
      <w:adjustRightInd w:val="0"/>
      <w:snapToGrid w:val="0"/>
      <w:spacing w:after="50" w:line="416" w:lineRule="atLeast"/>
      <w:outlineLvl w:val="2"/>
    </w:pPr>
    <w:rPr>
      <w:rFonts w:eastAsia="黑体"/>
      <w:kern w:val="0"/>
      <w:sz w:val="24"/>
      <w:szCs w:val="20"/>
    </w:rPr>
  </w:style>
  <w:style w:type="character" w:customStyle="1" w:styleId="361">
    <w:name w:val="段落1 Char"/>
    <w:link w:val="362"/>
    <w:autoRedefine/>
    <w:qFormat/>
    <w:uiPriority w:val="0"/>
    <w:rPr>
      <w:rFonts w:ascii="宋体" w:hAnsi="宋体"/>
      <w:color w:val="000000"/>
      <w:kern w:val="28"/>
      <w:sz w:val="28"/>
      <w:szCs w:val="28"/>
    </w:rPr>
  </w:style>
  <w:style w:type="paragraph" w:customStyle="1" w:styleId="362">
    <w:name w:val="段落1"/>
    <w:basedOn w:val="1"/>
    <w:link w:val="361"/>
    <w:autoRedefine/>
    <w:qFormat/>
    <w:uiPriority w:val="0"/>
    <w:pPr>
      <w:snapToGrid w:val="0"/>
      <w:spacing w:beforeLines="10" w:afterLines="10" w:line="360" w:lineRule="auto"/>
      <w:ind w:firstLine="420" w:firstLineChars="150"/>
    </w:pPr>
    <w:rPr>
      <w:rFonts w:ascii="宋体" w:hAnsi="宋体"/>
      <w:color w:val="000000"/>
      <w:kern w:val="28"/>
      <w:sz w:val="28"/>
      <w:szCs w:val="28"/>
    </w:rPr>
  </w:style>
  <w:style w:type="character" w:customStyle="1" w:styleId="363">
    <w:name w:val="表内式样 Char1"/>
    <w:link w:val="364"/>
    <w:autoRedefine/>
    <w:qFormat/>
    <w:uiPriority w:val="0"/>
    <w:rPr>
      <w:rFonts w:ascii="宋体"/>
      <w:sz w:val="21"/>
      <w:szCs w:val="21"/>
    </w:rPr>
  </w:style>
  <w:style w:type="paragraph" w:customStyle="1" w:styleId="364">
    <w:name w:val="表内式样"/>
    <w:link w:val="363"/>
    <w:autoRedefine/>
    <w:qFormat/>
    <w:uiPriority w:val="0"/>
    <w:pPr>
      <w:keepLines/>
      <w:widowControl w:val="0"/>
      <w:kinsoku w:val="0"/>
      <w:overflowPunct w:val="0"/>
      <w:adjustRightInd w:val="0"/>
      <w:jc w:val="center"/>
    </w:pPr>
    <w:rPr>
      <w:rFonts w:ascii="宋体" w:hAnsi="Times New Roman" w:eastAsia="宋体" w:cs="Times New Roman"/>
      <w:sz w:val="21"/>
      <w:szCs w:val="21"/>
      <w:lang w:val="en-US" w:eastAsia="zh-CN" w:bidi="ar-SA"/>
    </w:rPr>
  </w:style>
  <w:style w:type="character" w:customStyle="1" w:styleId="365">
    <w:name w:val="标题 3 Char1 Char1"/>
    <w:autoRedefine/>
    <w:qFormat/>
    <w:uiPriority w:val="0"/>
    <w:rPr>
      <w:rFonts w:ascii="宋体" w:hAnsi="宋体" w:eastAsia="宋体" w:cs="宋体"/>
      <w:b/>
      <w:bCs/>
      <w:caps/>
      <w:color w:val="000000"/>
      <w:kern w:val="2"/>
      <w:sz w:val="24"/>
      <w:szCs w:val="24"/>
      <w:lang w:val="zh-CN" w:eastAsia="zh-CN" w:bidi="ar-SA"/>
    </w:rPr>
  </w:style>
  <w:style w:type="character" w:customStyle="1" w:styleId="366">
    <w:name w:val="3zw1"/>
    <w:autoRedefine/>
    <w:qFormat/>
    <w:uiPriority w:val="0"/>
    <w:rPr>
      <w:color w:val="000000"/>
      <w:sz w:val="21"/>
      <w:szCs w:val="21"/>
    </w:rPr>
  </w:style>
  <w:style w:type="character" w:customStyle="1" w:styleId="367">
    <w:name w:val="s0s4w"/>
    <w:autoRedefine/>
    <w:qFormat/>
    <w:uiPriority w:val="0"/>
  </w:style>
  <w:style w:type="character" w:customStyle="1" w:styleId="368">
    <w:name w:val="表 Char"/>
    <w:link w:val="369"/>
    <w:autoRedefine/>
    <w:qFormat/>
    <w:uiPriority w:val="0"/>
    <w:rPr>
      <w:spacing w:val="2"/>
      <w:kern w:val="2"/>
      <w:sz w:val="24"/>
    </w:rPr>
  </w:style>
  <w:style w:type="paragraph" w:customStyle="1" w:styleId="369">
    <w:name w:val="表"/>
    <w:basedOn w:val="1"/>
    <w:link w:val="368"/>
    <w:autoRedefine/>
    <w:qFormat/>
    <w:uiPriority w:val="0"/>
    <w:pPr>
      <w:adjustRightInd w:val="0"/>
      <w:snapToGrid w:val="0"/>
      <w:jc w:val="center"/>
    </w:pPr>
    <w:rPr>
      <w:spacing w:val="2"/>
      <w:sz w:val="24"/>
      <w:szCs w:val="20"/>
    </w:rPr>
  </w:style>
  <w:style w:type="character" w:customStyle="1" w:styleId="370">
    <w:name w:val="style391"/>
    <w:autoRedefine/>
    <w:qFormat/>
    <w:uiPriority w:val="0"/>
    <w:rPr>
      <w:b/>
      <w:bCs/>
      <w:color w:val="005984"/>
      <w:sz w:val="21"/>
      <w:szCs w:val="21"/>
    </w:rPr>
  </w:style>
  <w:style w:type="character" w:customStyle="1" w:styleId="371">
    <w:name w:val="正文 首行缩进:  2 字符 Char"/>
    <w:link w:val="372"/>
    <w:autoRedefine/>
    <w:semiHidden/>
    <w:qFormat/>
    <w:uiPriority w:val="0"/>
    <w:rPr>
      <w:rFonts w:cs="宋体"/>
      <w:kern w:val="2"/>
      <w:sz w:val="24"/>
    </w:rPr>
  </w:style>
  <w:style w:type="paragraph" w:customStyle="1" w:styleId="372">
    <w:name w:val="正文 首行缩进:  2 字符"/>
    <w:basedOn w:val="1"/>
    <w:link w:val="371"/>
    <w:autoRedefine/>
    <w:semiHidden/>
    <w:qFormat/>
    <w:uiPriority w:val="0"/>
    <w:pPr>
      <w:snapToGrid w:val="0"/>
      <w:spacing w:line="500" w:lineRule="exact"/>
      <w:ind w:firstLine="480" w:firstLineChars="200"/>
      <w:jc w:val="left"/>
    </w:pPr>
    <w:rPr>
      <w:rFonts w:cs="宋体"/>
      <w:sz w:val="24"/>
      <w:szCs w:val="20"/>
    </w:rPr>
  </w:style>
  <w:style w:type="character" w:customStyle="1" w:styleId="373">
    <w:name w:val="样式91 Char Char"/>
    <w:link w:val="374"/>
    <w:autoRedefine/>
    <w:qFormat/>
    <w:uiPriority w:val="0"/>
    <w:rPr>
      <w:rFonts w:ascii="宋体" w:hAnsi="宋体"/>
      <w:color w:val="000000"/>
      <w:sz w:val="28"/>
      <w:szCs w:val="28"/>
    </w:rPr>
  </w:style>
  <w:style w:type="paragraph" w:customStyle="1" w:styleId="374">
    <w:name w:val="样式91"/>
    <w:basedOn w:val="1"/>
    <w:link w:val="373"/>
    <w:autoRedefine/>
    <w:qFormat/>
    <w:uiPriority w:val="0"/>
    <w:pPr>
      <w:spacing w:line="480" w:lineRule="exact"/>
      <w:ind w:firstLine="560" w:firstLineChars="200"/>
    </w:pPr>
    <w:rPr>
      <w:rFonts w:ascii="宋体" w:hAnsi="宋体"/>
      <w:color w:val="000000"/>
      <w:kern w:val="0"/>
      <w:sz w:val="28"/>
      <w:szCs w:val="28"/>
    </w:rPr>
  </w:style>
  <w:style w:type="character" w:customStyle="1" w:styleId="375">
    <w:name w:val="表内容 Char"/>
    <w:link w:val="376"/>
    <w:autoRedefine/>
    <w:qFormat/>
    <w:uiPriority w:val="0"/>
    <w:rPr>
      <w:kern w:val="2"/>
      <w:sz w:val="21"/>
    </w:rPr>
  </w:style>
  <w:style w:type="paragraph" w:customStyle="1" w:styleId="376">
    <w:name w:val="表内容"/>
    <w:basedOn w:val="1"/>
    <w:next w:val="1"/>
    <w:link w:val="375"/>
    <w:autoRedefine/>
    <w:qFormat/>
    <w:uiPriority w:val="0"/>
    <w:pPr>
      <w:spacing w:line="320" w:lineRule="exact"/>
      <w:jc w:val="center"/>
    </w:pPr>
    <w:rPr>
      <w:szCs w:val="20"/>
    </w:rPr>
  </w:style>
  <w:style w:type="character" w:customStyle="1" w:styleId="377">
    <w:name w:val="style81"/>
    <w:autoRedefine/>
    <w:qFormat/>
    <w:uiPriority w:val="0"/>
    <w:rPr>
      <w:rFonts w:hint="eastAsia" w:ascii="宋体" w:hAnsi="宋体" w:eastAsia="宋体"/>
    </w:rPr>
  </w:style>
  <w:style w:type="character" w:customStyle="1" w:styleId="378">
    <w:name w:val="s5y7c"/>
    <w:autoRedefine/>
    <w:qFormat/>
    <w:uiPriority w:val="0"/>
  </w:style>
  <w:style w:type="character" w:customStyle="1" w:styleId="379">
    <w:name w:val="title41"/>
    <w:autoRedefine/>
    <w:qFormat/>
    <w:uiPriority w:val="0"/>
  </w:style>
  <w:style w:type="character" w:customStyle="1" w:styleId="380">
    <w:name w:val="报告正文 Char"/>
    <w:link w:val="381"/>
    <w:autoRedefine/>
    <w:qFormat/>
    <w:uiPriority w:val="0"/>
    <w:rPr>
      <w:kern w:val="2"/>
      <w:sz w:val="24"/>
      <w:szCs w:val="24"/>
      <w:lang w:val="zh-CN"/>
    </w:rPr>
  </w:style>
  <w:style w:type="paragraph" w:customStyle="1" w:styleId="381">
    <w:name w:val="报告正文"/>
    <w:basedOn w:val="1"/>
    <w:link w:val="380"/>
    <w:autoRedefine/>
    <w:qFormat/>
    <w:uiPriority w:val="0"/>
    <w:pPr>
      <w:adjustRightInd w:val="0"/>
      <w:snapToGrid w:val="0"/>
      <w:spacing w:line="360" w:lineRule="auto"/>
      <w:ind w:firstLine="200" w:firstLineChars="200"/>
    </w:pPr>
    <w:rPr>
      <w:sz w:val="24"/>
      <w:lang w:val="zh-CN"/>
    </w:rPr>
  </w:style>
  <w:style w:type="character" w:customStyle="1" w:styleId="382">
    <w:name w:val="paragragh1"/>
    <w:autoRedefine/>
    <w:qFormat/>
    <w:uiPriority w:val="0"/>
    <w:rPr>
      <w:color w:val="004040"/>
      <w:sz w:val="21"/>
      <w:szCs w:val="21"/>
    </w:rPr>
  </w:style>
  <w:style w:type="character" w:customStyle="1" w:styleId="383">
    <w:name w:val="标题 1 Char Char"/>
    <w:autoRedefine/>
    <w:qFormat/>
    <w:uiPriority w:val="0"/>
    <w:rPr>
      <w:rFonts w:ascii="宋体" w:hAnsi="宋体" w:eastAsia="宋体" w:cs="宋体"/>
      <w:b/>
      <w:bCs/>
      <w:kern w:val="44"/>
      <w:sz w:val="44"/>
      <w:szCs w:val="44"/>
      <w:lang w:val="en-US" w:eastAsia="zh-CN" w:bidi="ar-SA"/>
    </w:rPr>
  </w:style>
  <w:style w:type="character" w:customStyle="1" w:styleId="384">
    <w:name w:val="表标题 Char Char"/>
    <w:autoRedefine/>
    <w:qFormat/>
    <w:uiPriority w:val="0"/>
    <w:rPr>
      <w:rFonts w:eastAsia="宋体"/>
      <w:b/>
      <w:bCs/>
      <w:sz w:val="24"/>
      <w:szCs w:val="18"/>
      <w:lang w:bidi="ar-SA"/>
    </w:rPr>
  </w:style>
  <w:style w:type="character" w:customStyle="1" w:styleId="385">
    <w:name w:val="t_tag"/>
    <w:autoRedefine/>
    <w:qFormat/>
    <w:uiPriority w:val="0"/>
    <w:rPr>
      <w:rFonts w:ascii="宋体" w:hAnsi="宋体" w:eastAsia="宋体" w:cs="宋体"/>
      <w:kern w:val="2"/>
      <w:sz w:val="24"/>
      <w:szCs w:val="24"/>
      <w:lang w:val="en-US" w:eastAsia="zh-CN" w:bidi="ar-SA"/>
    </w:rPr>
  </w:style>
  <w:style w:type="character" w:customStyle="1" w:styleId="386">
    <w:name w:val="s2ze7v"/>
    <w:autoRedefine/>
    <w:qFormat/>
    <w:uiPriority w:val="0"/>
  </w:style>
  <w:style w:type="character" w:customStyle="1" w:styleId="387">
    <w:name w:val="tpc_title"/>
    <w:autoRedefine/>
    <w:qFormat/>
    <w:uiPriority w:val="0"/>
    <w:rPr>
      <w:rFonts w:ascii="宋体" w:hAnsi="宋体" w:eastAsia="宋体" w:cs="宋体"/>
      <w:kern w:val="2"/>
      <w:sz w:val="24"/>
      <w:szCs w:val="24"/>
      <w:lang w:val="en-US" w:eastAsia="zh-CN" w:bidi="ar-SA"/>
    </w:rPr>
  </w:style>
  <w:style w:type="character" w:customStyle="1" w:styleId="388">
    <w:name w:val="gray_text12"/>
    <w:autoRedefine/>
    <w:qFormat/>
    <w:uiPriority w:val="0"/>
  </w:style>
  <w:style w:type="character" w:customStyle="1" w:styleId="389">
    <w:name w:val="样式 表格内容 + (符号) 宋体 Char"/>
    <w:link w:val="390"/>
    <w:autoRedefine/>
    <w:qFormat/>
    <w:uiPriority w:val="0"/>
    <w:rPr>
      <w:sz w:val="21"/>
      <w:szCs w:val="21"/>
    </w:rPr>
  </w:style>
  <w:style w:type="paragraph" w:customStyle="1" w:styleId="390">
    <w:name w:val="样式 表格内容 + (符号) 宋体"/>
    <w:basedOn w:val="324"/>
    <w:link w:val="389"/>
    <w:autoRedefine/>
    <w:qFormat/>
    <w:uiPriority w:val="0"/>
  </w:style>
  <w:style w:type="character" w:customStyle="1" w:styleId="391">
    <w:name w:val="报告书正文 Char"/>
    <w:autoRedefine/>
    <w:qFormat/>
    <w:uiPriority w:val="0"/>
    <w:rPr>
      <w:rFonts w:ascii="宋体" w:hAnsi="宋体" w:eastAsia="宋体" w:cs="宋体"/>
      <w:kern w:val="2"/>
      <w:sz w:val="24"/>
      <w:szCs w:val="24"/>
      <w:lang w:val="en-US" w:eastAsia="zh-CN" w:bidi="ar-SA"/>
    </w:rPr>
  </w:style>
  <w:style w:type="character" w:customStyle="1" w:styleId="392">
    <w:name w:val="甲乙酮正文 Char Char"/>
    <w:link w:val="393"/>
    <w:autoRedefine/>
    <w:qFormat/>
    <w:uiPriority w:val="0"/>
    <w:rPr>
      <w:color w:val="000000"/>
      <w:sz w:val="24"/>
      <w:szCs w:val="24"/>
    </w:rPr>
  </w:style>
  <w:style w:type="paragraph" w:customStyle="1" w:styleId="393">
    <w:name w:val="甲乙酮正文"/>
    <w:basedOn w:val="81"/>
    <w:link w:val="392"/>
    <w:autoRedefine/>
    <w:qFormat/>
    <w:uiPriority w:val="0"/>
    <w:pPr>
      <w:spacing w:after="0" w:line="360" w:lineRule="auto"/>
      <w:ind w:firstLine="200" w:firstLineChars="200"/>
      <w:jc w:val="left"/>
    </w:pPr>
    <w:rPr>
      <w:color w:val="000000"/>
      <w:kern w:val="0"/>
      <w:sz w:val="24"/>
    </w:rPr>
  </w:style>
  <w:style w:type="character" w:customStyle="1" w:styleId="394">
    <w:name w:val="正文文字 Char Char"/>
    <w:autoRedefine/>
    <w:qFormat/>
    <w:uiPriority w:val="0"/>
    <w:rPr>
      <w:rFonts w:ascii="宋体" w:hAnsi="宋体" w:eastAsia="宋体" w:cs="宋体"/>
      <w:kern w:val="2"/>
      <w:sz w:val="24"/>
      <w:szCs w:val="24"/>
      <w:lang w:val="en-US" w:eastAsia="zh-CN" w:bidi="ar-SA"/>
    </w:rPr>
  </w:style>
  <w:style w:type="character" w:customStyle="1" w:styleId="395">
    <w:name w:val="headline-content2"/>
    <w:autoRedefine/>
    <w:qFormat/>
    <w:uiPriority w:val="0"/>
  </w:style>
  <w:style w:type="character" w:customStyle="1" w:styleId="396">
    <w:name w:val="grame"/>
    <w:autoRedefine/>
    <w:qFormat/>
    <w:uiPriority w:val="0"/>
  </w:style>
  <w:style w:type="character" w:customStyle="1" w:styleId="397">
    <w:name w:val="报告 Char"/>
    <w:link w:val="398"/>
    <w:autoRedefine/>
    <w:qFormat/>
    <w:uiPriority w:val="0"/>
    <w:rPr>
      <w:sz w:val="24"/>
    </w:rPr>
  </w:style>
  <w:style w:type="paragraph" w:customStyle="1" w:styleId="398">
    <w:name w:val="报告"/>
    <w:basedOn w:val="1"/>
    <w:link w:val="397"/>
    <w:autoRedefine/>
    <w:qFormat/>
    <w:uiPriority w:val="0"/>
    <w:pPr>
      <w:adjustRightInd w:val="0"/>
      <w:spacing w:line="360" w:lineRule="auto"/>
      <w:ind w:firstLine="505"/>
      <w:textAlignment w:val="baseline"/>
    </w:pPr>
    <w:rPr>
      <w:kern w:val="0"/>
      <w:sz w:val="24"/>
      <w:szCs w:val="20"/>
    </w:rPr>
  </w:style>
  <w:style w:type="character" w:customStyle="1" w:styleId="399">
    <w:name w:val="dash6b63-6587--char"/>
    <w:autoRedefine/>
    <w:qFormat/>
    <w:uiPriority w:val="0"/>
    <w:rPr>
      <w:rFonts w:ascii="宋体" w:hAnsi="宋体" w:eastAsia="宋体" w:cs="宋体"/>
      <w:kern w:val="2"/>
      <w:sz w:val="24"/>
      <w:szCs w:val="24"/>
      <w:lang w:val="en-US" w:eastAsia="zh-CN" w:bidi="ar-SA"/>
    </w:rPr>
  </w:style>
  <w:style w:type="character" w:customStyle="1" w:styleId="400">
    <w:name w:val="dz1"/>
    <w:autoRedefine/>
    <w:qFormat/>
    <w:uiPriority w:val="0"/>
    <w:rPr>
      <w:rFonts w:hint="default" w:ascii="ˎ̥" w:hAnsi="ˎ̥"/>
      <w:sz w:val="30"/>
      <w:szCs w:val="30"/>
    </w:rPr>
  </w:style>
  <w:style w:type="character" w:customStyle="1" w:styleId="401">
    <w:name w:val="seecix"/>
    <w:autoRedefine/>
    <w:qFormat/>
    <w:uiPriority w:val="0"/>
  </w:style>
  <w:style w:type="character" w:customStyle="1" w:styleId="402">
    <w:name w:val="表头王 Char"/>
    <w:link w:val="403"/>
    <w:autoRedefine/>
    <w:semiHidden/>
    <w:qFormat/>
    <w:uiPriority w:val="0"/>
    <w:rPr>
      <w:rFonts w:ascii="宋体" w:hAnsi="宋体"/>
      <w:b/>
      <w:color w:val="000000"/>
      <w:sz w:val="24"/>
      <w:szCs w:val="24"/>
      <w:lang w:val="zh-CN"/>
    </w:rPr>
  </w:style>
  <w:style w:type="paragraph" w:customStyle="1" w:styleId="403">
    <w:name w:val="表头王"/>
    <w:basedOn w:val="1"/>
    <w:link w:val="402"/>
    <w:autoRedefine/>
    <w:semiHidden/>
    <w:qFormat/>
    <w:uiPriority w:val="0"/>
    <w:pPr>
      <w:adjustRightInd w:val="0"/>
      <w:snapToGrid w:val="0"/>
      <w:spacing w:line="360" w:lineRule="auto"/>
      <w:jc w:val="center"/>
    </w:pPr>
    <w:rPr>
      <w:rFonts w:ascii="宋体" w:hAnsi="宋体"/>
      <w:b/>
      <w:color w:val="000000"/>
      <w:kern w:val="0"/>
      <w:sz w:val="24"/>
      <w:lang w:val="zh-CN"/>
    </w:rPr>
  </w:style>
  <w:style w:type="character" w:customStyle="1" w:styleId="404">
    <w:name w:val="s8h0t"/>
    <w:autoRedefine/>
    <w:qFormat/>
    <w:uiPriority w:val="0"/>
  </w:style>
  <w:style w:type="character" w:customStyle="1" w:styleId="405">
    <w:name w:val="样式1 Char"/>
    <w:autoRedefine/>
    <w:qFormat/>
    <w:uiPriority w:val="0"/>
    <w:rPr>
      <w:rFonts w:ascii="宋体" w:hAnsi="宋体" w:eastAsia="宋体" w:cs="宋体"/>
      <w:b/>
      <w:bCs/>
      <w:kern w:val="2"/>
      <w:sz w:val="24"/>
      <w:szCs w:val="24"/>
      <w:lang w:val="en-US" w:eastAsia="zh-CN" w:bidi="ar-SA"/>
    </w:rPr>
  </w:style>
  <w:style w:type="character" w:styleId="406">
    <w:name w:val="Placeholder Text"/>
    <w:autoRedefine/>
    <w:qFormat/>
    <w:uiPriority w:val="0"/>
    <w:rPr>
      <w:color w:val="808080"/>
    </w:rPr>
  </w:style>
  <w:style w:type="character" w:customStyle="1" w:styleId="407">
    <w:name w:val="正文文本 Char Char"/>
    <w:autoRedefine/>
    <w:qFormat/>
    <w:uiPriority w:val="0"/>
    <w:rPr>
      <w:rFonts w:eastAsia="宋体"/>
      <w:kern w:val="2"/>
      <w:sz w:val="28"/>
      <w:szCs w:val="24"/>
      <w:lang w:val="en-US" w:eastAsia="zh-CN" w:bidi="ar-SA"/>
    </w:rPr>
  </w:style>
  <w:style w:type="character" w:customStyle="1" w:styleId="408">
    <w:name w:val="Char Char19"/>
    <w:autoRedefine/>
    <w:qFormat/>
    <w:uiPriority w:val="0"/>
    <w:rPr>
      <w:rFonts w:eastAsia="仿宋_GB2312"/>
      <w:sz w:val="18"/>
      <w:lang w:val="en-US" w:eastAsia="zh-CN" w:bidi="ar-SA"/>
    </w:rPr>
  </w:style>
  <w:style w:type="character" w:customStyle="1" w:styleId="409">
    <w:name w:val="尾注文本 字符1"/>
    <w:autoRedefine/>
    <w:qFormat/>
    <w:uiPriority w:val="0"/>
    <w:rPr>
      <w:kern w:val="2"/>
      <w:sz w:val="21"/>
      <w:szCs w:val="24"/>
    </w:rPr>
  </w:style>
  <w:style w:type="character" w:customStyle="1" w:styleId="410">
    <w:name w:val="样式 正文 首行缩进:  2 字符 + (中文) 楷体_GB2312 Char"/>
    <w:link w:val="411"/>
    <w:autoRedefine/>
    <w:semiHidden/>
    <w:qFormat/>
    <w:uiPriority w:val="0"/>
    <w:rPr>
      <w:rFonts w:eastAsia="楷体_GB2312" w:cs="宋体"/>
      <w:kern w:val="2"/>
      <w:sz w:val="24"/>
      <w:szCs w:val="24"/>
    </w:rPr>
  </w:style>
  <w:style w:type="paragraph" w:customStyle="1" w:styleId="411">
    <w:name w:val="样式 正文 首行缩进:  2 字符 + (中文) 楷体_GB2312"/>
    <w:basedOn w:val="372"/>
    <w:link w:val="410"/>
    <w:autoRedefine/>
    <w:semiHidden/>
    <w:qFormat/>
    <w:uiPriority w:val="0"/>
    <w:pPr>
      <w:adjustRightInd w:val="0"/>
      <w:ind w:firstLine="200"/>
      <w:jc w:val="both"/>
    </w:pPr>
    <w:rPr>
      <w:rFonts w:eastAsia="楷体_GB2312"/>
      <w:szCs w:val="24"/>
    </w:rPr>
  </w:style>
  <w:style w:type="character" w:customStyle="1" w:styleId="412">
    <w:name w:val="样式 小四 行距: 1.5 倍行距 Char Char"/>
    <w:link w:val="413"/>
    <w:autoRedefine/>
    <w:qFormat/>
    <w:uiPriority w:val="0"/>
    <w:rPr>
      <w:sz w:val="24"/>
      <w:szCs w:val="24"/>
    </w:rPr>
  </w:style>
  <w:style w:type="paragraph" w:customStyle="1" w:styleId="413">
    <w:name w:val="样式 小四 行距: 1.5 倍行距"/>
    <w:basedOn w:val="1"/>
    <w:link w:val="412"/>
    <w:autoRedefine/>
    <w:qFormat/>
    <w:uiPriority w:val="0"/>
    <w:pPr>
      <w:spacing w:line="360" w:lineRule="auto"/>
      <w:ind w:firstLine="480" w:firstLineChars="200"/>
    </w:pPr>
    <w:rPr>
      <w:kern w:val="0"/>
      <w:sz w:val="24"/>
    </w:rPr>
  </w:style>
  <w:style w:type="character" w:customStyle="1" w:styleId="414">
    <w:name w:val="正文(首行缩进) Char Char"/>
    <w:link w:val="415"/>
    <w:autoRedefine/>
    <w:qFormat/>
    <w:uiPriority w:val="0"/>
    <w:rPr>
      <w:rFonts w:ascii="宋体" w:hAnsi="宋体"/>
      <w:color w:val="000000"/>
      <w:kern w:val="2"/>
      <w:sz w:val="24"/>
      <w:szCs w:val="24"/>
    </w:rPr>
  </w:style>
  <w:style w:type="paragraph" w:customStyle="1" w:styleId="415">
    <w:name w:val="正文(首行缩进)"/>
    <w:basedOn w:val="1"/>
    <w:link w:val="414"/>
    <w:autoRedefine/>
    <w:qFormat/>
    <w:uiPriority w:val="0"/>
    <w:pPr>
      <w:spacing w:line="360" w:lineRule="auto"/>
      <w:ind w:firstLine="540" w:firstLineChars="225"/>
    </w:pPr>
    <w:rPr>
      <w:rFonts w:ascii="宋体" w:hAnsi="宋体"/>
      <w:color w:val="000000"/>
      <w:sz w:val="24"/>
    </w:rPr>
  </w:style>
  <w:style w:type="character" w:customStyle="1" w:styleId="416">
    <w:name w:val="表格文字 Char Char"/>
    <w:link w:val="417"/>
    <w:autoRedefine/>
    <w:qFormat/>
    <w:uiPriority w:val="0"/>
    <w:rPr>
      <w:rFonts w:ascii="仿宋_GB2312" w:hAnsi="Arial Black" w:eastAsia="仿宋_GB2312"/>
      <w:kern w:val="44"/>
      <w:sz w:val="24"/>
    </w:rPr>
  </w:style>
  <w:style w:type="paragraph" w:customStyle="1" w:styleId="417">
    <w:name w:val="表格文字"/>
    <w:basedOn w:val="1"/>
    <w:link w:val="416"/>
    <w:autoRedefine/>
    <w:qFormat/>
    <w:uiPriority w:val="0"/>
    <w:pPr>
      <w:jc w:val="center"/>
    </w:pPr>
    <w:rPr>
      <w:rFonts w:ascii="仿宋_GB2312" w:hAnsi="Arial Black" w:eastAsia="仿宋_GB2312"/>
      <w:kern w:val="44"/>
      <w:sz w:val="24"/>
      <w:szCs w:val="20"/>
    </w:rPr>
  </w:style>
  <w:style w:type="character" w:customStyle="1" w:styleId="418">
    <w:name w:val="标题 Char Char"/>
    <w:autoRedefine/>
    <w:qFormat/>
    <w:uiPriority w:val="0"/>
    <w:rPr>
      <w:rFonts w:ascii="Arial" w:hAnsi="Arial" w:eastAsia="宋体" w:cs="Arial"/>
      <w:b/>
      <w:bCs/>
      <w:sz w:val="32"/>
      <w:szCs w:val="32"/>
      <w:lang w:val="en-US" w:eastAsia="zh-CN" w:bidi="ar-SA"/>
    </w:rPr>
  </w:style>
  <w:style w:type="character" w:customStyle="1" w:styleId="419">
    <w:name w:val="Char Char4"/>
    <w:autoRedefine/>
    <w:qFormat/>
    <w:uiPriority w:val="0"/>
    <w:rPr>
      <w:rFonts w:ascii="宋体" w:hAnsi="宋体" w:eastAsia="宋体" w:cs="宋体"/>
      <w:kern w:val="2"/>
      <w:sz w:val="24"/>
      <w:szCs w:val="24"/>
      <w:lang w:val="en-US" w:eastAsia="zh-CN" w:bidi="ar-SA"/>
    </w:rPr>
  </w:style>
  <w:style w:type="character" w:customStyle="1" w:styleId="420">
    <w:name w:val="样式35 Char Char"/>
    <w:link w:val="421"/>
    <w:autoRedefine/>
    <w:qFormat/>
    <w:uiPriority w:val="0"/>
    <w:rPr>
      <w:color w:val="000000"/>
      <w:sz w:val="28"/>
      <w:szCs w:val="28"/>
    </w:rPr>
  </w:style>
  <w:style w:type="paragraph" w:customStyle="1" w:styleId="421">
    <w:name w:val="样式35"/>
    <w:basedOn w:val="1"/>
    <w:link w:val="420"/>
    <w:autoRedefine/>
    <w:qFormat/>
    <w:uiPriority w:val="0"/>
    <w:pPr>
      <w:snapToGrid w:val="0"/>
      <w:spacing w:line="360" w:lineRule="auto"/>
      <w:ind w:firstLine="560" w:firstLineChars="200"/>
    </w:pPr>
    <w:rPr>
      <w:color w:val="000000"/>
      <w:kern w:val="0"/>
      <w:sz w:val="28"/>
      <w:szCs w:val="28"/>
    </w:rPr>
  </w:style>
  <w:style w:type="character" w:customStyle="1" w:styleId="422">
    <w:name w:val="bt21"/>
    <w:autoRedefine/>
    <w:qFormat/>
    <w:uiPriority w:val="0"/>
    <w:rPr>
      <w:rFonts w:hint="eastAsia" w:ascii="黑体" w:eastAsia="黑体"/>
      <w:sz w:val="24"/>
      <w:szCs w:val="24"/>
    </w:rPr>
  </w:style>
  <w:style w:type="character" w:customStyle="1" w:styleId="423">
    <w:name w:val="表标题 Char"/>
    <w:link w:val="424"/>
    <w:autoRedefine/>
    <w:qFormat/>
    <w:uiPriority w:val="0"/>
    <w:rPr>
      <w:b/>
      <w:bCs/>
      <w:kern w:val="2"/>
      <w:sz w:val="24"/>
      <w:szCs w:val="18"/>
    </w:rPr>
  </w:style>
  <w:style w:type="paragraph" w:customStyle="1" w:styleId="424">
    <w:name w:val="表标题"/>
    <w:basedOn w:val="81"/>
    <w:link w:val="423"/>
    <w:autoRedefine/>
    <w:qFormat/>
    <w:uiPriority w:val="0"/>
    <w:pPr>
      <w:adjustRightInd w:val="0"/>
      <w:snapToGrid w:val="0"/>
      <w:spacing w:before="60" w:after="60" w:line="500" w:lineRule="exact"/>
      <w:ind w:firstLine="0" w:firstLineChars="0"/>
      <w:jc w:val="center"/>
    </w:pPr>
    <w:rPr>
      <w:b/>
      <w:bCs/>
      <w:sz w:val="24"/>
      <w:szCs w:val="18"/>
    </w:rPr>
  </w:style>
  <w:style w:type="character" w:customStyle="1" w:styleId="425">
    <w:name w:val="样式 标题 3H31.1.1标题 3条标题1.1.1h3level_3PIM 3Level 3 HeadHead... Char Char"/>
    <w:link w:val="426"/>
    <w:autoRedefine/>
    <w:qFormat/>
    <w:uiPriority w:val="0"/>
    <w:rPr>
      <w:rFonts w:ascii="黑体" w:hAnsi="黑体" w:eastAsia="黑体"/>
      <w:sz w:val="28"/>
      <w:szCs w:val="32"/>
    </w:rPr>
  </w:style>
  <w:style w:type="paragraph" w:customStyle="1" w:styleId="426">
    <w:name w:val="样式 标题 3H31.1.1标题 3条标题1.1.1h3level_3PIM 3Level 3 HeadHead..."/>
    <w:basedOn w:val="5"/>
    <w:link w:val="425"/>
    <w:autoRedefine/>
    <w:qFormat/>
    <w:uiPriority w:val="0"/>
    <w:pPr>
      <w:tabs>
        <w:tab w:val="left" w:pos="1260"/>
      </w:tabs>
      <w:spacing w:line="360" w:lineRule="auto"/>
      <w:ind w:left="1260" w:hanging="420"/>
    </w:pPr>
    <w:rPr>
      <w:rFonts w:ascii="黑体" w:hAnsi="黑体" w:eastAsia="黑体"/>
      <w:b w:val="0"/>
      <w:bCs w:val="0"/>
      <w:kern w:val="0"/>
      <w:sz w:val="28"/>
    </w:rPr>
  </w:style>
  <w:style w:type="character" w:customStyle="1" w:styleId="427">
    <w:name w:val="sovnn"/>
    <w:autoRedefine/>
    <w:qFormat/>
    <w:uiPriority w:val="0"/>
  </w:style>
  <w:style w:type="character" w:customStyle="1" w:styleId="428">
    <w:name w:val="si16"/>
    <w:autoRedefine/>
    <w:qFormat/>
    <w:uiPriority w:val="0"/>
  </w:style>
  <w:style w:type="character" w:customStyle="1" w:styleId="429">
    <w:name w:val="样式26 Char Char"/>
    <w:link w:val="430"/>
    <w:autoRedefine/>
    <w:qFormat/>
    <w:uiPriority w:val="0"/>
    <w:rPr>
      <w:rFonts w:ascii="宋体" w:hAnsi="宋体"/>
      <w:color w:val="000000"/>
      <w:sz w:val="28"/>
      <w:szCs w:val="24"/>
    </w:rPr>
  </w:style>
  <w:style w:type="paragraph" w:customStyle="1" w:styleId="430">
    <w:name w:val="样式26"/>
    <w:basedOn w:val="1"/>
    <w:link w:val="429"/>
    <w:autoRedefine/>
    <w:qFormat/>
    <w:uiPriority w:val="0"/>
    <w:pPr>
      <w:spacing w:line="520" w:lineRule="exact"/>
      <w:ind w:firstLine="560" w:firstLineChars="200"/>
      <w:jc w:val="left"/>
    </w:pPr>
    <w:rPr>
      <w:rFonts w:ascii="宋体" w:hAnsi="宋体"/>
      <w:color w:val="000000"/>
      <w:kern w:val="0"/>
      <w:sz w:val="28"/>
    </w:rPr>
  </w:style>
  <w:style w:type="character" w:customStyle="1" w:styleId="431">
    <w:name w:val="c"/>
    <w:autoRedefine/>
    <w:qFormat/>
    <w:uiPriority w:val="0"/>
    <w:rPr>
      <w:rFonts w:ascii="宋体" w:hAnsi="宋体" w:eastAsia="宋体" w:cs="宋体"/>
      <w:kern w:val="2"/>
      <w:sz w:val="24"/>
      <w:szCs w:val="24"/>
      <w:lang w:val="en-US" w:eastAsia="zh-CN" w:bidi="ar-SA"/>
    </w:rPr>
  </w:style>
  <w:style w:type="character" w:customStyle="1" w:styleId="432">
    <w:name w:val="条标题1.1.1 Char1"/>
    <w:autoRedefine/>
    <w:qFormat/>
    <w:uiPriority w:val="0"/>
    <w:rPr>
      <w:b/>
      <w:bCs/>
      <w:sz w:val="24"/>
      <w:szCs w:val="32"/>
    </w:rPr>
  </w:style>
  <w:style w:type="character" w:customStyle="1" w:styleId="433">
    <w:name w:val="正文四号ss Char Char"/>
    <w:link w:val="434"/>
    <w:autoRedefine/>
    <w:qFormat/>
    <w:uiPriority w:val="0"/>
    <w:rPr>
      <w:rFonts w:ascii="宋体" w:hAnsi="宋体"/>
      <w:sz w:val="28"/>
      <w:szCs w:val="28"/>
    </w:rPr>
  </w:style>
  <w:style w:type="paragraph" w:customStyle="1" w:styleId="434">
    <w:name w:val="正文四号ss"/>
    <w:basedOn w:val="1"/>
    <w:next w:val="1"/>
    <w:link w:val="433"/>
    <w:autoRedefine/>
    <w:qFormat/>
    <w:uiPriority w:val="0"/>
    <w:pPr>
      <w:spacing w:line="520" w:lineRule="exact"/>
      <w:ind w:firstLine="200" w:firstLineChars="200"/>
    </w:pPr>
    <w:rPr>
      <w:rFonts w:ascii="宋体" w:hAnsi="宋体"/>
      <w:kern w:val="0"/>
      <w:sz w:val="28"/>
      <w:szCs w:val="28"/>
    </w:rPr>
  </w:style>
  <w:style w:type="character" w:customStyle="1" w:styleId="435">
    <w:name w:val="scu4wkd"/>
    <w:autoRedefine/>
    <w:qFormat/>
    <w:uiPriority w:val="0"/>
  </w:style>
  <w:style w:type="character" w:customStyle="1" w:styleId="436">
    <w:name w:val="申兴正文 Char Char"/>
    <w:link w:val="437"/>
    <w:autoRedefine/>
    <w:qFormat/>
    <w:uiPriority w:val="0"/>
    <w:rPr>
      <w:sz w:val="24"/>
      <w:szCs w:val="24"/>
    </w:rPr>
  </w:style>
  <w:style w:type="paragraph" w:customStyle="1" w:styleId="437">
    <w:name w:val="申兴正文"/>
    <w:basedOn w:val="1"/>
    <w:link w:val="436"/>
    <w:autoRedefine/>
    <w:qFormat/>
    <w:uiPriority w:val="0"/>
    <w:pPr>
      <w:spacing w:line="360" w:lineRule="auto"/>
      <w:ind w:firstLine="200" w:firstLineChars="200"/>
    </w:pPr>
    <w:rPr>
      <w:kern w:val="0"/>
      <w:sz w:val="24"/>
    </w:rPr>
  </w:style>
  <w:style w:type="character" w:customStyle="1" w:styleId="438">
    <w:name w:val="标题 7表内5号 Char1"/>
    <w:autoRedefine/>
    <w:qFormat/>
    <w:uiPriority w:val="0"/>
    <w:rPr>
      <w:rFonts w:eastAsia="宋体"/>
      <w:b/>
      <w:bCs/>
      <w:sz w:val="24"/>
      <w:szCs w:val="24"/>
      <w:lang w:bidi="ar-SA"/>
    </w:rPr>
  </w:style>
  <w:style w:type="character" w:customStyle="1" w:styleId="439">
    <w:name w:val="satajq8"/>
    <w:autoRedefine/>
    <w:qFormat/>
    <w:uiPriority w:val="0"/>
  </w:style>
  <w:style w:type="character" w:customStyle="1" w:styleId="440">
    <w:name w:val="样式 标题 4 + 行距: 1.5 倍行距 Char"/>
    <w:link w:val="441"/>
    <w:autoRedefine/>
    <w:qFormat/>
    <w:uiPriority w:val="0"/>
    <w:rPr>
      <w:rFonts w:ascii="Cambria" w:hAnsi="Cambria" w:eastAsia="黑体" w:cs="宋体"/>
      <w:b/>
      <w:bCs/>
      <w:kern w:val="2"/>
      <w:sz w:val="24"/>
      <w:szCs w:val="28"/>
    </w:rPr>
  </w:style>
  <w:style w:type="paragraph" w:customStyle="1" w:styleId="441">
    <w:name w:val="样式 标题 4 + 行距: 1.5 倍行距"/>
    <w:basedOn w:val="6"/>
    <w:link w:val="440"/>
    <w:autoRedefine/>
    <w:qFormat/>
    <w:uiPriority w:val="0"/>
    <w:pPr>
      <w:snapToGrid w:val="0"/>
      <w:spacing w:before="0" w:beforeLines="50" w:after="0" w:line="360" w:lineRule="auto"/>
      <w:ind w:left="2884" w:hanging="2884"/>
      <w:jc w:val="left"/>
    </w:pPr>
    <w:rPr>
      <w:rFonts w:eastAsia="黑体" w:cs="宋体"/>
      <w:sz w:val="24"/>
    </w:rPr>
  </w:style>
  <w:style w:type="character" w:customStyle="1" w:styleId="442">
    <w:name w:val="正文1 Char Char"/>
    <w:autoRedefine/>
    <w:qFormat/>
    <w:uiPriority w:val="0"/>
    <w:rPr>
      <w:rFonts w:ascii="宋体" w:eastAsia="宋体"/>
      <w:snapToGrid/>
      <w:kern w:val="21"/>
      <w:position w:val="2"/>
      <w:sz w:val="24"/>
      <w:lang w:val="en-US" w:eastAsia="zh-CN" w:bidi="ar-SA"/>
    </w:rPr>
  </w:style>
  <w:style w:type="character" w:customStyle="1" w:styleId="443">
    <w:name w:val="正文缩进 Char1"/>
    <w:autoRedefine/>
    <w:qFormat/>
    <w:uiPriority w:val="0"/>
    <w:rPr>
      <w:kern w:val="2"/>
      <w:sz w:val="21"/>
      <w:szCs w:val="24"/>
      <w:lang w:val="zh-CN" w:eastAsia="zh-CN"/>
    </w:rPr>
  </w:style>
  <w:style w:type="character" w:customStyle="1" w:styleId="444">
    <w:name w:val="正文01 Char Char"/>
    <w:link w:val="445"/>
    <w:autoRedefine/>
    <w:qFormat/>
    <w:uiPriority w:val="0"/>
    <w:rPr>
      <w:rFonts w:ascii="Arial" w:hAnsi="Arial"/>
      <w:sz w:val="24"/>
    </w:rPr>
  </w:style>
  <w:style w:type="paragraph" w:customStyle="1" w:styleId="445">
    <w:name w:val="正文01"/>
    <w:basedOn w:val="1"/>
    <w:link w:val="444"/>
    <w:autoRedefine/>
    <w:qFormat/>
    <w:uiPriority w:val="0"/>
    <w:pPr>
      <w:spacing w:before="60" w:line="460" w:lineRule="exact"/>
      <w:ind w:firstLine="200" w:firstLineChars="200"/>
    </w:pPr>
    <w:rPr>
      <w:rFonts w:ascii="Arial" w:hAnsi="Arial"/>
      <w:kern w:val="0"/>
      <w:sz w:val="24"/>
      <w:szCs w:val="20"/>
    </w:rPr>
  </w:style>
  <w:style w:type="character" w:customStyle="1" w:styleId="446">
    <w:name w:val="正文 Char Char"/>
    <w:autoRedefine/>
    <w:qFormat/>
    <w:uiPriority w:val="0"/>
    <w:rPr>
      <w:rFonts w:ascii="仿宋_GB2312" w:hAnsi="宋体" w:eastAsia="仿宋_GB2312"/>
      <w:color w:val="000000"/>
      <w:kern w:val="2"/>
      <w:sz w:val="28"/>
      <w:szCs w:val="24"/>
      <w:lang w:val="en-US" w:eastAsia="zh-CN" w:bidi="ar-SA"/>
    </w:rPr>
  </w:style>
  <w:style w:type="character" w:customStyle="1" w:styleId="447">
    <w:name w:val="甲乙酮正文 Char Char Char"/>
    <w:autoRedefine/>
    <w:qFormat/>
    <w:uiPriority w:val="0"/>
    <w:rPr>
      <w:rFonts w:ascii="Times New Roman" w:hAnsi="Times New Roman" w:eastAsia="宋体" w:cs="Times New Roman"/>
      <w:color w:val="000000"/>
      <w:sz w:val="24"/>
      <w:szCs w:val="24"/>
    </w:rPr>
  </w:style>
  <w:style w:type="character" w:customStyle="1" w:styleId="448">
    <w:name w:val="表格内容 Char Char Char"/>
    <w:autoRedefine/>
    <w:qFormat/>
    <w:uiPriority w:val="0"/>
    <w:rPr>
      <w:rFonts w:ascii="Arial" w:hAnsi="Arial" w:eastAsia="仿宋_GB2312"/>
      <w:sz w:val="24"/>
      <w:lang w:val="en-US" w:eastAsia="zh-CN" w:bidi="ar-SA"/>
    </w:rPr>
  </w:style>
  <w:style w:type="character" w:customStyle="1" w:styleId="449">
    <w:name w:val="表格内文字 Char Char Char"/>
    <w:autoRedefine/>
    <w:qFormat/>
    <w:uiPriority w:val="0"/>
    <w:rPr>
      <w:rFonts w:ascii="仿宋_GB2312" w:eastAsia="仿宋_GB2312"/>
      <w:kern w:val="2"/>
      <w:sz w:val="24"/>
      <w:szCs w:val="24"/>
      <w:lang w:val="en-US" w:eastAsia="zh-CN" w:bidi="ar-SA"/>
    </w:rPr>
  </w:style>
  <w:style w:type="character" w:customStyle="1" w:styleId="450">
    <w:name w:val="part"/>
    <w:autoRedefine/>
    <w:qFormat/>
    <w:uiPriority w:val="0"/>
    <w:rPr>
      <w:rFonts w:ascii="宋体" w:hAnsi="宋体" w:eastAsia="宋体" w:cs="宋体"/>
      <w:kern w:val="2"/>
      <w:sz w:val="24"/>
      <w:szCs w:val="24"/>
      <w:lang w:val="en-US" w:eastAsia="zh-CN" w:bidi="ar-SA"/>
    </w:rPr>
  </w:style>
  <w:style w:type="character" w:customStyle="1" w:styleId="451">
    <w:name w:val="样式2 Char Char"/>
    <w:autoRedefine/>
    <w:qFormat/>
    <w:uiPriority w:val="0"/>
    <w:rPr>
      <w:rFonts w:eastAsia="Times New Roman"/>
      <w:kern w:val="2"/>
      <w:sz w:val="24"/>
      <w:lang w:val="en-US" w:eastAsia="zh-CN" w:bidi="ar-SA"/>
    </w:rPr>
  </w:style>
  <w:style w:type="character" w:customStyle="1" w:styleId="452">
    <w:name w:val="td21"/>
    <w:autoRedefine/>
    <w:qFormat/>
    <w:uiPriority w:val="0"/>
    <w:rPr>
      <w:sz w:val="21"/>
      <w:szCs w:val="21"/>
      <w:u w:val="none"/>
    </w:rPr>
  </w:style>
  <w:style w:type="character" w:customStyle="1" w:styleId="453">
    <w:name w:val="highlight1"/>
    <w:autoRedefine/>
    <w:qFormat/>
    <w:uiPriority w:val="0"/>
    <w:rPr>
      <w:sz w:val="21"/>
    </w:rPr>
  </w:style>
  <w:style w:type="character" w:customStyle="1" w:styleId="454">
    <w:name w:val="宋体4 Char Char"/>
    <w:link w:val="455"/>
    <w:autoRedefine/>
    <w:qFormat/>
    <w:uiPriority w:val="0"/>
    <w:rPr>
      <w:sz w:val="28"/>
      <w:szCs w:val="48"/>
    </w:rPr>
  </w:style>
  <w:style w:type="paragraph" w:customStyle="1" w:styleId="455">
    <w:name w:val="宋体4"/>
    <w:basedOn w:val="1"/>
    <w:link w:val="454"/>
    <w:autoRedefine/>
    <w:qFormat/>
    <w:uiPriority w:val="0"/>
    <w:pPr>
      <w:spacing w:line="360" w:lineRule="auto"/>
      <w:ind w:firstLine="200" w:firstLineChars="200"/>
    </w:pPr>
    <w:rPr>
      <w:kern w:val="0"/>
      <w:sz w:val="28"/>
      <w:szCs w:val="48"/>
    </w:rPr>
  </w:style>
  <w:style w:type="character" w:customStyle="1" w:styleId="456">
    <w:name w:val="indetail1"/>
    <w:autoRedefine/>
    <w:qFormat/>
    <w:uiPriority w:val="0"/>
    <w:rPr>
      <w:sz w:val="18"/>
      <w:szCs w:val="18"/>
      <w:bdr w:val="single" w:color="E2E2E2" w:sz="6" w:space="0"/>
    </w:rPr>
  </w:style>
  <w:style w:type="character" w:customStyle="1" w:styleId="457">
    <w:name w:val="专用字体 Char Char"/>
    <w:link w:val="458"/>
    <w:autoRedefine/>
    <w:qFormat/>
    <w:uiPriority w:val="0"/>
    <w:rPr>
      <w:bCs/>
      <w:sz w:val="24"/>
      <w:szCs w:val="24"/>
    </w:rPr>
  </w:style>
  <w:style w:type="paragraph" w:customStyle="1" w:styleId="458">
    <w:name w:val="专用字体"/>
    <w:basedOn w:val="1"/>
    <w:link w:val="457"/>
    <w:autoRedefine/>
    <w:qFormat/>
    <w:uiPriority w:val="0"/>
    <w:pPr>
      <w:spacing w:line="360" w:lineRule="auto"/>
      <w:ind w:firstLine="200" w:firstLineChars="200"/>
    </w:pPr>
    <w:rPr>
      <w:bCs/>
      <w:kern w:val="0"/>
      <w:sz w:val="24"/>
    </w:rPr>
  </w:style>
  <w:style w:type="character" w:customStyle="1" w:styleId="459">
    <w:name w:val="甲乙酮标题3 Char Char"/>
    <w:link w:val="460"/>
    <w:autoRedefine/>
    <w:qFormat/>
    <w:uiPriority w:val="0"/>
    <w:rPr>
      <w:b/>
      <w:bCs/>
      <w:sz w:val="32"/>
      <w:szCs w:val="32"/>
    </w:rPr>
  </w:style>
  <w:style w:type="paragraph" w:customStyle="1" w:styleId="460">
    <w:name w:val="甲乙酮标题3"/>
    <w:basedOn w:val="5"/>
    <w:link w:val="459"/>
    <w:autoRedefine/>
    <w:qFormat/>
    <w:uiPriority w:val="0"/>
    <w:pPr>
      <w:tabs>
        <w:tab w:val="left" w:pos="1260"/>
      </w:tabs>
      <w:spacing w:before="100" w:after="100" w:line="360" w:lineRule="auto"/>
      <w:ind w:left="1260" w:hanging="420"/>
    </w:pPr>
    <w:rPr>
      <w:kern w:val="0"/>
    </w:rPr>
  </w:style>
  <w:style w:type="character" w:customStyle="1" w:styleId="461">
    <w:name w:val="Char Char Char1"/>
    <w:autoRedefine/>
    <w:qFormat/>
    <w:uiPriority w:val="0"/>
    <w:rPr>
      <w:rFonts w:ascii="宋体" w:hAnsi="Courier New" w:eastAsia="宋体" w:cs="Courier New"/>
      <w:kern w:val="2"/>
      <w:sz w:val="21"/>
      <w:szCs w:val="21"/>
      <w:lang w:val="en-US" w:eastAsia="zh-CN" w:bidi="ar-SA"/>
    </w:rPr>
  </w:style>
  <w:style w:type="character" w:customStyle="1" w:styleId="462">
    <w:name w:val="表格填充1 Char Char"/>
    <w:autoRedefine/>
    <w:qFormat/>
    <w:uiPriority w:val="0"/>
    <w:rPr>
      <w:rFonts w:eastAsia="宋体"/>
      <w:szCs w:val="18"/>
      <w:lang w:bidi="ar-SA"/>
    </w:rPr>
  </w:style>
  <w:style w:type="character" w:customStyle="1" w:styleId="463">
    <w:name w:val="表格文字1 Char Char"/>
    <w:link w:val="464"/>
    <w:autoRedefine/>
    <w:qFormat/>
    <w:uiPriority w:val="0"/>
    <w:rPr>
      <w:bCs/>
      <w:color w:val="000000"/>
      <w:szCs w:val="21"/>
    </w:rPr>
  </w:style>
  <w:style w:type="paragraph" w:customStyle="1" w:styleId="464">
    <w:name w:val="表格文字1"/>
    <w:basedOn w:val="178"/>
    <w:link w:val="463"/>
    <w:autoRedefine/>
    <w:qFormat/>
    <w:uiPriority w:val="0"/>
    <w:rPr>
      <w:rFonts w:eastAsia="宋体"/>
      <w:bCs/>
      <w:color w:val="000000"/>
      <w:kern w:val="0"/>
      <w:sz w:val="20"/>
    </w:rPr>
  </w:style>
  <w:style w:type="character" w:customStyle="1" w:styleId="465">
    <w:name w:val="标题1.1.1.1.1.1 Char1"/>
    <w:autoRedefine/>
    <w:qFormat/>
    <w:uiPriority w:val="0"/>
    <w:rPr>
      <w:rFonts w:ascii="Arial" w:hAnsi="Arial" w:eastAsia="黑体"/>
      <w:b/>
      <w:bCs/>
      <w:sz w:val="24"/>
      <w:szCs w:val="24"/>
      <w:lang w:bidi="ar-SA"/>
    </w:rPr>
  </w:style>
  <w:style w:type="character" w:customStyle="1" w:styleId="466">
    <w:name w:val="s1"/>
    <w:autoRedefine/>
    <w:qFormat/>
    <w:uiPriority w:val="0"/>
    <w:rPr>
      <w:sz w:val="18"/>
      <w:szCs w:val="18"/>
    </w:rPr>
  </w:style>
  <w:style w:type="character" w:customStyle="1" w:styleId="467">
    <w:name w:val="正文5号 Char Char1"/>
    <w:autoRedefine/>
    <w:qFormat/>
    <w:uiPriority w:val="0"/>
    <w:rPr>
      <w:sz w:val="24"/>
      <w:lang w:bidi="ar-SA"/>
    </w:rPr>
  </w:style>
  <w:style w:type="character" w:customStyle="1" w:styleId="468">
    <w:name w:val="what"/>
    <w:autoRedefine/>
    <w:qFormat/>
    <w:uiPriority w:val="0"/>
    <w:rPr>
      <w:rFonts w:eastAsia="宋体"/>
      <w:kern w:val="2"/>
      <w:sz w:val="24"/>
      <w:szCs w:val="24"/>
      <w:lang w:val="en-US" w:eastAsia="zh-CN" w:bidi="ar-SA"/>
    </w:rPr>
  </w:style>
  <w:style w:type="character" w:customStyle="1" w:styleId="469">
    <w:name w:val="报告正文1 Char Char"/>
    <w:link w:val="470"/>
    <w:autoRedefine/>
    <w:qFormat/>
    <w:uiPriority w:val="0"/>
    <w:rPr>
      <w:color w:val="000000"/>
      <w:sz w:val="24"/>
      <w:szCs w:val="24"/>
    </w:rPr>
  </w:style>
  <w:style w:type="paragraph" w:customStyle="1" w:styleId="470">
    <w:name w:val="报告正文1"/>
    <w:basedOn w:val="82"/>
    <w:link w:val="469"/>
    <w:autoRedefine/>
    <w:qFormat/>
    <w:uiPriority w:val="0"/>
    <w:pPr>
      <w:spacing w:line="360" w:lineRule="auto"/>
      <w:ind w:firstLine="200"/>
    </w:pPr>
    <w:rPr>
      <w:color w:val="000000"/>
      <w:kern w:val="0"/>
      <w:sz w:val="24"/>
    </w:rPr>
  </w:style>
  <w:style w:type="character" w:customStyle="1" w:styleId="471">
    <w:name w:val="b1 Char2"/>
    <w:autoRedefine/>
    <w:qFormat/>
    <w:uiPriority w:val="0"/>
    <w:rPr>
      <w:rFonts w:ascii="Calibri" w:hAnsi="Calibri"/>
      <w:b/>
      <w:bCs/>
      <w:kern w:val="44"/>
      <w:sz w:val="44"/>
      <w:szCs w:val="44"/>
    </w:rPr>
  </w:style>
  <w:style w:type="character" w:customStyle="1" w:styleId="472">
    <w:name w:val="nine-11"/>
    <w:autoRedefine/>
    <w:qFormat/>
    <w:uiPriority w:val="0"/>
    <w:rPr>
      <w:rFonts w:hint="default"/>
      <w:sz w:val="18"/>
      <w:szCs w:val="18"/>
    </w:rPr>
  </w:style>
  <w:style w:type="character" w:customStyle="1" w:styleId="473">
    <w:name w:val="sf6tjlp"/>
    <w:autoRedefine/>
    <w:qFormat/>
    <w:uiPriority w:val="0"/>
  </w:style>
  <w:style w:type="character" w:customStyle="1" w:styleId="474">
    <w:name w:val="兴武正文 Char Char"/>
    <w:link w:val="475"/>
    <w:autoRedefine/>
    <w:qFormat/>
    <w:uiPriority w:val="0"/>
    <w:rPr>
      <w:sz w:val="24"/>
    </w:rPr>
  </w:style>
  <w:style w:type="paragraph" w:customStyle="1" w:styleId="475">
    <w:name w:val="兴武正文"/>
    <w:basedOn w:val="1"/>
    <w:link w:val="474"/>
    <w:autoRedefine/>
    <w:qFormat/>
    <w:uiPriority w:val="0"/>
    <w:pPr>
      <w:spacing w:line="480" w:lineRule="exact"/>
      <w:ind w:firstLine="200" w:firstLineChars="200"/>
    </w:pPr>
    <w:rPr>
      <w:kern w:val="0"/>
      <w:sz w:val="24"/>
      <w:szCs w:val="20"/>
    </w:rPr>
  </w:style>
  <w:style w:type="character" w:customStyle="1" w:styleId="476">
    <w:name w:val="a11"/>
    <w:autoRedefine/>
    <w:qFormat/>
    <w:uiPriority w:val="0"/>
  </w:style>
  <w:style w:type="character" w:customStyle="1" w:styleId="477">
    <w:name w:val="main-1"/>
    <w:autoRedefine/>
    <w:qFormat/>
    <w:uiPriority w:val="0"/>
  </w:style>
  <w:style w:type="character" w:customStyle="1" w:styleId="478">
    <w:name w:val="s4y5"/>
    <w:autoRedefine/>
    <w:qFormat/>
    <w:uiPriority w:val="0"/>
  </w:style>
  <w:style w:type="character" w:customStyle="1" w:styleId="479">
    <w:name w:val="lh131"/>
    <w:autoRedefine/>
    <w:qFormat/>
    <w:uiPriority w:val="0"/>
  </w:style>
  <w:style w:type="character" w:customStyle="1" w:styleId="480">
    <w:name w:val="Char Char27"/>
    <w:autoRedefine/>
    <w:qFormat/>
    <w:uiPriority w:val="0"/>
    <w:rPr>
      <w:kern w:val="2"/>
      <w:sz w:val="24"/>
      <w:szCs w:val="21"/>
      <w:lang w:bidi="ar-SA"/>
    </w:rPr>
  </w:style>
  <w:style w:type="character" w:customStyle="1" w:styleId="481">
    <w:name w:val="shekj8m"/>
    <w:autoRedefine/>
    <w:qFormat/>
    <w:uiPriority w:val="0"/>
  </w:style>
  <w:style w:type="character" w:customStyle="1" w:styleId="482">
    <w:name w:val="正文样式 Char Char Char Char Char Char Char"/>
    <w:link w:val="483"/>
    <w:autoRedefine/>
    <w:qFormat/>
    <w:uiPriority w:val="0"/>
    <w:rPr>
      <w:rFonts w:ascii="宋体" w:hAnsi="宋体"/>
      <w:color w:val="000000"/>
      <w:sz w:val="24"/>
      <w:szCs w:val="24"/>
    </w:rPr>
  </w:style>
  <w:style w:type="paragraph" w:customStyle="1" w:styleId="483">
    <w:name w:val="正文样式 Char Char Char Char Char"/>
    <w:basedOn w:val="1"/>
    <w:link w:val="482"/>
    <w:autoRedefine/>
    <w:qFormat/>
    <w:uiPriority w:val="0"/>
    <w:pPr>
      <w:spacing w:line="360" w:lineRule="auto"/>
      <w:ind w:firstLine="480" w:firstLineChars="200"/>
    </w:pPr>
    <w:rPr>
      <w:rFonts w:ascii="宋体" w:hAnsi="宋体"/>
      <w:color w:val="000000"/>
      <w:kern w:val="0"/>
      <w:sz w:val="24"/>
    </w:rPr>
  </w:style>
  <w:style w:type="character" w:customStyle="1" w:styleId="484">
    <w:name w:val="样式14 Char Char"/>
    <w:link w:val="485"/>
    <w:autoRedefine/>
    <w:qFormat/>
    <w:uiPriority w:val="0"/>
    <w:rPr>
      <w:rFonts w:ascii="仿宋_GB2312" w:hAnsi="宋体" w:eastAsia="仿宋_GB2312"/>
      <w:bCs/>
      <w:sz w:val="24"/>
    </w:rPr>
  </w:style>
  <w:style w:type="paragraph" w:customStyle="1" w:styleId="485">
    <w:name w:val="样式14"/>
    <w:basedOn w:val="486"/>
    <w:link w:val="484"/>
    <w:autoRedefine/>
    <w:qFormat/>
    <w:uiPriority w:val="0"/>
    <w:pPr>
      <w:adjustRightInd w:val="0"/>
      <w:spacing w:line="240" w:lineRule="auto"/>
      <w:textAlignment w:val="baseline"/>
    </w:pPr>
    <w:rPr>
      <w:rFonts w:ascii="仿宋_GB2312" w:eastAsia="仿宋_GB2312"/>
      <w:bCs/>
      <w:kern w:val="0"/>
      <w:sz w:val="24"/>
      <w:szCs w:val="20"/>
    </w:rPr>
  </w:style>
  <w:style w:type="paragraph" w:customStyle="1" w:styleId="486">
    <w:name w:val="图表文字"/>
    <w:basedOn w:val="1"/>
    <w:autoRedefine/>
    <w:qFormat/>
    <w:uiPriority w:val="0"/>
    <w:pPr>
      <w:spacing w:line="320" w:lineRule="exact"/>
      <w:jc w:val="center"/>
    </w:pPr>
    <w:rPr>
      <w:rFonts w:ascii="宋体" w:hAnsi="宋体"/>
    </w:rPr>
  </w:style>
  <w:style w:type="character" w:customStyle="1" w:styleId="487">
    <w:name w:val="s9n1k0c"/>
    <w:autoRedefine/>
    <w:qFormat/>
    <w:uiPriority w:val="0"/>
  </w:style>
  <w:style w:type="character" w:customStyle="1" w:styleId="488">
    <w:name w:val="Char Char5"/>
    <w:autoRedefine/>
    <w:qFormat/>
    <w:uiPriority w:val="0"/>
    <w:rPr>
      <w:rFonts w:ascii="宋体" w:hAnsi="宋体" w:eastAsia="宋体"/>
      <w:kern w:val="2"/>
      <w:sz w:val="21"/>
      <w:szCs w:val="24"/>
      <w:lang w:val="en-US" w:eastAsia="zh-CN" w:bidi="ar-SA"/>
    </w:rPr>
  </w:style>
  <w:style w:type="character" w:customStyle="1" w:styleId="489">
    <w:name w:val="正文2 Char Char"/>
    <w:link w:val="490"/>
    <w:autoRedefine/>
    <w:qFormat/>
    <w:uiPriority w:val="0"/>
    <w:rPr>
      <w:bCs/>
      <w:sz w:val="24"/>
      <w:szCs w:val="44"/>
    </w:rPr>
  </w:style>
  <w:style w:type="paragraph" w:customStyle="1" w:styleId="490">
    <w:name w:val="正文21"/>
    <w:basedOn w:val="1"/>
    <w:link w:val="489"/>
    <w:autoRedefine/>
    <w:qFormat/>
    <w:uiPriority w:val="0"/>
    <w:pPr>
      <w:adjustRightInd w:val="0"/>
      <w:spacing w:line="360" w:lineRule="auto"/>
      <w:ind w:firstLine="200" w:firstLineChars="200"/>
    </w:pPr>
    <w:rPr>
      <w:bCs/>
      <w:kern w:val="0"/>
      <w:sz w:val="24"/>
      <w:szCs w:val="44"/>
    </w:rPr>
  </w:style>
  <w:style w:type="character" w:customStyle="1" w:styleId="491">
    <w:name w:val="title31"/>
    <w:autoRedefine/>
    <w:qFormat/>
    <w:uiPriority w:val="0"/>
  </w:style>
  <w:style w:type="character" w:customStyle="1" w:styleId="492">
    <w:name w:val="sfmq"/>
    <w:autoRedefine/>
    <w:qFormat/>
    <w:uiPriority w:val="0"/>
  </w:style>
  <w:style w:type="character" w:customStyle="1" w:styleId="493">
    <w:name w:val="f121"/>
    <w:autoRedefine/>
    <w:qFormat/>
    <w:uiPriority w:val="0"/>
    <w:rPr>
      <w:sz w:val="18"/>
      <w:szCs w:val="18"/>
      <w:u w:val="none"/>
    </w:rPr>
  </w:style>
  <w:style w:type="character" w:customStyle="1" w:styleId="494">
    <w:name w:val="sxwt2u"/>
    <w:autoRedefine/>
    <w:qFormat/>
    <w:uiPriority w:val="0"/>
  </w:style>
  <w:style w:type="character" w:customStyle="1" w:styleId="495">
    <w:name w:val="style191"/>
    <w:autoRedefine/>
    <w:qFormat/>
    <w:uiPriority w:val="0"/>
    <w:rPr>
      <w:b/>
      <w:bCs/>
      <w:color w:val="FF0000"/>
    </w:rPr>
  </w:style>
  <w:style w:type="character" w:customStyle="1" w:styleId="496">
    <w:name w:val="sv1hyw"/>
    <w:autoRedefine/>
    <w:qFormat/>
    <w:uiPriority w:val="0"/>
  </w:style>
  <w:style w:type="character" w:customStyle="1" w:styleId="497">
    <w:name w:val="td1"/>
    <w:autoRedefine/>
    <w:qFormat/>
    <w:uiPriority w:val="0"/>
    <w:rPr>
      <w:color w:val="000000"/>
      <w:sz w:val="21"/>
      <w:szCs w:val="21"/>
    </w:rPr>
  </w:style>
  <w:style w:type="character" w:customStyle="1" w:styleId="498">
    <w:name w:val="样式82 Char Char"/>
    <w:link w:val="499"/>
    <w:autoRedefine/>
    <w:qFormat/>
    <w:uiPriority w:val="0"/>
    <w:rPr>
      <w:rFonts w:ascii="宋体" w:hAnsi="宋体"/>
      <w:sz w:val="28"/>
      <w:szCs w:val="28"/>
    </w:rPr>
  </w:style>
  <w:style w:type="paragraph" w:customStyle="1" w:styleId="499">
    <w:name w:val="样式82"/>
    <w:basedOn w:val="1"/>
    <w:link w:val="498"/>
    <w:autoRedefine/>
    <w:qFormat/>
    <w:uiPriority w:val="0"/>
    <w:pPr>
      <w:spacing w:line="360" w:lineRule="auto"/>
      <w:ind w:firstLine="560" w:firstLineChars="200"/>
    </w:pPr>
    <w:rPr>
      <w:rFonts w:ascii="宋体" w:hAnsi="宋体"/>
      <w:kern w:val="0"/>
      <w:sz w:val="28"/>
      <w:szCs w:val="28"/>
    </w:rPr>
  </w:style>
  <w:style w:type="character" w:customStyle="1" w:styleId="500">
    <w:name w:val="s lh15"/>
    <w:autoRedefine/>
    <w:qFormat/>
    <w:uiPriority w:val="0"/>
  </w:style>
  <w:style w:type="character" w:customStyle="1" w:styleId="501">
    <w:name w:val="s8xye"/>
    <w:autoRedefine/>
    <w:qFormat/>
    <w:uiPriority w:val="0"/>
  </w:style>
  <w:style w:type="character" w:customStyle="1" w:styleId="502">
    <w:name w:val="style61"/>
    <w:autoRedefine/>
    <w:qFormat/>
    <w:uiPriority w:val="0"/>
    <w:rPr>
      <w:sz w:val="45"/>
      <w:szCs w:val="45"/>
    </w:rPr>
  </w:style>
  <w:style w:type="character" w:customStyle="1" w:styleId="503">
    <w:name w:val="表格001 Char Char"/>
    <w:link w:val="504"/>
    <w:autoRedefine/>
    <w:qFormat/>
    <w:uiPriority w:val="0"/>
  </w:style>
  <w:style w:type="paragraph" w:customStyle="1" w:styleId="504">
    <w:name w:val="表格001"/>
    <w:basedOn w:val="1"/>
    <w:link w:val="503"/>
    <w:autoRedefine/>
    <w:qFormat/>
    <w:uiPriority w:val="0"/>
    <w:pPr>
      <w:jc w:val="center"/>
    </w:pPr>
    <w:rPr>
      <w:kern w:val="0"/>
      <w:sz w:val="20"/>
      <w:szCs w:val="20"/>
    </w:rPr>
  </w:style>
  <w:style w:type="character" w:customStyle="1" w:styleId="505">
    <w:name w:val="style421"/>
    <w:autoRedefine/>
    <w:qFormat/>
    <w:uiPriority w:val="0"/>
    <w:rPr>
      <w:color w:val="287D3C"/>
      <w:sz w:val="21"/>
      <w:szCs w:val="21"/>
    </w:rPr>
  </w:style>
  <w:style w:type="character" w:customStyle="1" w:styleId="506">
    <w:name w:val="高表单 Char Char"/>
    <w:autoRedefine/>
    <w:qFormat/>
    <w:uiPriority w:val="0"/>
    <w:rPr>
      <w:rFonts w:ascii="Arial" w:hAnsi="Arial" w:eastAsia="宋体"/>
      <w:kern w:val="2"/>
      <w:sz w:val="21"/>
      <w:szCs w:val="21"/>
      <w:lang w:val="en-US" w:eastAsia="zh-CN" w:bidi="ar-SA"/>
    </w:rPr>
  </w:style>
  <w:style w:type="character" w:customStyle="1" w:styleId="507">
    <w:name w:val="soqzabs"/>
    <w:autoRedefine/>
    <w:qFormat/>
    <w:uiPriority w:val="0"/>
  </w:style>
  <w:style w:type="character" w:customStyle="1" w:styleId="508">
    <w:name w:val="pccs1"/>
    <w:autoRedefine/>
    <w:qFormat/>
    <w:uiPriority w:val="0"/>
    <w:rPr>
      <w:sz w:val="18"/>
      <w:szCs w:val="18"/>
    </w:rPr>
  </w:style>
  <w:style w:type="character" w:customStyle="1" w:styleId="509">
    <w:name w:val="s9zsb3q"/>
    <w:autoRedefine/>
    <w:qFormat/>
    <w:uiPriority w:val="0"/>
  </w:style>
  <w:style w:type="character" w:customStyle="1" w:styleId="510">
    <w:name w:val="unnamed91"/>
    <w:autoRedefine/>
    <w:qFormat/>
    <w:uiPriority w:val="0"/>
    <w:rPr>
      <w:rFonts w:hint="eastAsia" w:ascii="宋体" w:hAnsi="宋体" w:eastAsia="宋体"/>
      <w:color w:val="000000"/>
      <w:sz w:val="18"/>
      <w:szCs w:val="18"/>
      <w:u w:val="none"/>
    </w:rPr>
  </w:style>
  <w:style w:type="character" w:customStyle="1" w:styleId="511">
    <w:name w:val="sj4lab"/>
    <w:autoRedefine/>
    <w:qFormat/>
    <w:uiPriority w:val="0"/>
  </w:style>
  <w:style w:type="character" w:customStyle="1" w:styleId="512">
    <w:name w:val="ttitle1"/>
    <w:autoRedefine/>
    <w:qFormat/>
    <w:uiPriority w:val="0"/>
    <w:rPr>
      <w:spacing w:val="120"/>
      <w:sz w:val="21"/>
      <w:szCs w:val="21"/>
    </w:rPr>
  </w:style>
  <w:style w:type="character" w:customStyle="1" w:styleId="513">
    <w:name w:val="style21"/>
    <w:autoRedefine/>
    <w:qFormat/>
    <w:uiPriority w:val="0"/>
    <w:rPr>
      <w:color w:val="00007F"/>
    </w:rPr>
  </w:style>
  <w:style w:type="character" w:customStyle="1" w:styleId="514">
    <w:name w:val="sdi8io"/>
    <w:autoRedefine/>
    <w:qFormat/>
    <w:uiPriority w:val="0"/>
  </w:style>
  <w:style w:type="character" w:customStyle="1" w:styleId="515">
    <w:name w:val="正文缩进 Cha Char"/>
    <w:autoRedefine/>
    <w:qFormat/>
    <w:uiPriority w:val="0"/>
    <w:rPr>
      <w:rFonts w:eastAsia="宋体"/>
      <w:kern w:val="2"/>
      <w:sz w:val="28"/>
      <w:szCs w:val="24"/>
      <w:lang w:val="en-US" w:eastAsia="zh-CN" w:bidi="ar-SA"/>
    </w:rPr>
  </w:style>
  <w:style w:type="character" w:customStyle="1" w:styleId="516">
    <w:name w:val="表文字 Char Char"/>
    <w:link w:val="517"/>
    <w:autoRedefine/>
    <w:qFormat/>
    <w:uiPriority w:val="0"/>
    <w:rPr>
      <w:sz w:val="24"/>
    </w:rPr>
  </w:style>
  <w:style w:type="paragraph" w:customStyle="1" w:styleId="517">
    <w:name w:val="表文字"/>
    <w:basedOn w:val="1"/>
    <w:link w:val="516"/>
    <w:autoRedefine/>
    <w:qFormat/>
    <w:uiPriority w:val="0"/>
    <w:pPr>
      <w:overflowPunct w:val="0"/>
      <w:autoSpaceDE w:val="0"/>
      <w:autoSpaceDN w:val="0"/>
      <w:adjustRightInd w:val="0"/>
      <w:spacing w:line="240" w:lineRule="atLeast"/>
      <w:jc w:val="center"/>
      <w:textAlignment w:val="baseline"/>
    </w:pPr>
    <w:rPr>
      <w:kern w:val="0"/>
      <w:sz w:val="24"/>
      <w:szCs w:val="20"/>
    </w:rPr>
  </w:style>
  <w:style w:type="character" w:customStyle="1" w:styleId="518">
    <w:name w:val="soa7bda"/>
    <w:autoRedefine/>
    <w:qFormat/>
    <w:uiPriority w:val="0"/>
  </w:style>
  <w:style w:type="character" w:customStyle="1" w:styleId="519">
    <w:name w:val="sxuoj4"/>
    <w:autoRedefine/>
    <w:qFormat/>
    <w:uiPriority w:val="0"/>
  </w:style>
  <w:style w:type="character" w:customStyle="1" w:styleId="520">
    <w:name w:val="报告 Char Char"/>
    <w:autoRedefine/>
    <w:qFormat/>
    <w:uiPriority w:val="0"/>
    <w:rPr>
      <w:sz w:val="24"/>
      <w:lang w:bidi="ar-SA"/>
    </w:rPr>
  </w:style>
  <w:style w:type="character" w:customStyle="1" w:styleId="521">
    <w:name w:val="标题 21"/>
    <w:autoRedefine/>
    <w:qFormat/>
    <w:uiPriority w:val="0"/>
    <w:rPr>
      <w:rFonts w:ascii="黑体" w:hAnsi="Arial" w:eastAsia="黑体"/>
      <w:kern w:val="2"/>
      <w:sz w:val="36"/>
      <w:szCs w:val="32"/>
      <w:lang w:val="en-US" w:eastAsia="zh-CN" w:bidi="ar-SA"/>
    </w:rPr>
  </w:style>
  <w:style w:type="character" w:customStyle="1" w:styleId="522">
    <w:name w:val="样式21 Char Char"/>
    <w:link w:val="523"/>
    <w:autoRedefine/>
    <w:qFormat/>
    <w:uiPriority w:val="0"/>
    <w:rPr>
      <w:rFonts w:ascii="宋体" w:hAnsi="宋体"/>
      <w:b/>
      <w:bCs/>
      <w:color w:val="000000"/>
      <w:sz w:val="28"/>
      <w:szCs w:val="28"/>
      <w:lang w:val="zh-CN"/>
    </w:rPr>
  </w:style>
  <w:style w:type="paragraph" w:customStyle="1" w:styleId="523">
    <w:name w:val="样式21"/>
    <w:basedOn w:val="283"/>
    <w:link w:val="522"/>
    <w:autoRedefine/>
    <w:qFormat/>
    <w:uiPriority w:val="0"/>
    <w:pPr>
      <w:spacing w:beforeLines="0" w:afterLines="0" w:line="480" w:lineRule="auto"/>
      <w:ind w:firstLine="3500" w:firstLineChars="1250"/>
      <w:jc w:val="both"/>
      <w:outlineLvl w:val="9"/>
    </w:pPr>
    <w:rPr>
      <w:rFonts w:ascii="宋体" w:hAnsi="宋体" w:eastAsia="宋体"/>
      <w:sz w:val="28"/>
      <w:szCs w:val="28"/>
      <w:lang w:val="zh-CN"/>
    </w:rPr>
  </w:style>
  <w:style w:type="character" w:customStyle="1" w:styleId="524">
    <w:name w:val="zjgblk1"/>
    <w:autoRedefine/>
    <w:qFormat/>
    <w:uiPriority w:val="0"/>
    <w:rPr>
      <w:rFonts w:hint="default"/>
      <w:color w:val="000000"/>
      <w:sz w:val="18"/>
      <w:szCs w:val="18"/>
      <w:u w:val="none"/>
    </w:rPr>
  </w:style>
  <w:style w:type="character" w:customStyle="1" w:styleId="525">
    <w:name w:val="sub42"/>
    <w:autoRedefine/>
    <w:qFormat/>
    <w:uiPriority w:val="0"/>
  </w:style>
  <w:style w:type="character" w:customStyle="1" w:styleId="526">
    <w:name w:val="smuvt"/>
    <w:autoRedefine/>
    <w:qFormat/>
    <w:uiPriority w:val="0"/>
  </w:style>
  <w:style w:type="character" w:customStyle="1" w:styleId="527">
    <w:name w:val="sgiivq"/>
    <w:autoRedefine/>
    <w:qFormat/>
    <w:uiPriority w:val="0"/>
  </w:style>
  <w:style w:type="character" w:customStyle="1" w:styleId="528">
    <w:name w:val="标题 12"/>
    <w:autoRedefine/>
    <w:qFormat/>
    <w:uiPriority w:val="0"/>
    <w:rPr>
      <w:rFonts w:ascii="黑体" w:eastAsia="黑体"/>
      <w:kern w:val="44"/>
      <w:sz w:val="44"/>
      <w:lang w:val="en-US" w:eastAsia="zh-CN" w:bidi="ar-SA"/>
    </w:rPr>
  </w:style>
  <w:style w:type="character" w:customStyle="1" w:styleId="529">
    <w:name w:val="nava61"/>
    <w:autoRedefine/>
    <w:qFormat/>
    <w:uiPriority w:val="0"/>
    <w:rPr>
      <w:color w:val="000000"/>
      <w:sz w:val="21"/>
      <w:szCs w:val="21"/>
      <w:u w:val="none"/>
    </w:rPr>
  </w:style>
  <w:style w:type="character" w:customStyle="1" w:styleId="530">
    <w:name w:val="Char Char Char11"/>
    <w:autoRedefine/>
    <w:qFormat/>
    <w:uiPriority w:val="0"/>
    <w:rPr>
      <w:rFonts w:eastAsia="宋体"/>
      <w:kern w:val="2"/>
      <w:sz w:val="21"/>
      <w:szCs w:val="24"/>
      <w:lang w:val="en-US" w:eastAsia="zh-CN" w:bidi="ar-SA"/>
    </w:rPr>
  </w:style>
  <w:style w:type="character" w:customStyle="1" w:styleId="531">
    <w:name w:val="sc2f7tt"/>
    <w:autoRedefine/>
    <w:qFormat/>
    <w:uiPriority w:val="0"/>
  </w:style>
  <w:style w:type="character" w:customStyle="1" w:styleId="532">
    <w:name w:val="oblog_text"/>
    <w:autoRedefine/>
    <w:qFormat/>
    <w:uiPriority w:val="0"/>
  </w:style>
  <w:style w:type="character" w:customStyle="1" w:styleId="533">
    <w:name w:val="xiaozhiti1"/>
    <w:autoRedefine/>
    <w:qFormat/>
    <w:uiPriority w:val="0"/>
    <w:rPr>
      <w:sz w:val="18"/>
      <w:szCs w:val="18"/>
    </w:rPr>
  </w:style>
  <w:style w:type="character" w:customStyle="1" w:styleId="534">
    <w:name w:val="标题 Char1"/>
    <w:autoRedefine/>
    <w:qFormat/>
    <w:uiPriority w:val="0"/>
    <w:rPr>
      <w:rFonts w:ascii="Arial" w:hAnsi="Arial" w:eastAsia="黑体" w:cs="Arial"/>
      <w:b/>
      <w:bCs/>
      <w:kern w:val="2"/>
      <w:sz w:val="32"/>
      <w:szCs w:val="32"/>
      <w:lang w:val="en-US" w:eastAsia="zh-CN" w:bidi="ar-SA"/>
    </w:rPr>
  </w:style>
  <w:style w:type="character" w:customStyle="1" w:styleId="535">
    <w:name w:val="sub_title1"/>
    <w:autoRedefine/>
    <w:qFormat/>
    <w:uiPriority w:val="0"/>
    <w:rPr>
      <w:rFonts w:hint="default"/>
      <w:color w:val="FF6600"/>
      <w:sz w:val="21"/>
      <w:szCs w:val="21"/>
    </w:rPr>
  </w:style>
  <w:style w:type="character" w:customStyle="1" w:styleId="536">
    <w:name w:val="s6lx"/>
    <w:autoRedefine/>
    <w:qFormat/>
    <w:uiPriority w:val="0"/>
  </w:style>
  <w:style w:type="character" w:customStyle="1" w:styleId="537">
    <w:name w:val="sy7t"/>
    <w:autoRedefine/>
    <w:qFormat/>
    <w:uiPriority w:val="0"/>
  </w:style>
  <w:style w:type="character" w:customStyle="1" w:styleId="538">
    <w:name w:val="样式78 Char Char"/>
    <w:link w:val="539"/>
    <w:autoRedefine/>
    <w:qFormat/>
    <w:uiPriority w:val="0"/>
    <w:rPr>
      <w:rFonts w:ascii="黑体" w:eastAsia="黑体"/>
      <w:b/>
      <w:kern w:val="44"/>
      <w:sz w:val="32"/>
    </w:rPr>
  </w:style>
  <w:style w:type="paragraph" w:customStyle="1" w:styleId="539">
    <w:name w:val="样式78"/>
    <w:basedOn w:val="1"/>
    <w:link w:val="538"/>
    <w:autoRedefine/>
    <w:qFormat/>
    <w:uiPriority w:val="0"/>
    <w:pPr>
      <w:keepNext/>
      <w:keepLines/>
      <w:spacing w:before="290" w:after="290" w:line="360" w:lineRule="auto"/>
      <w:jc w:val="center"/>
      <w:outlineLvl w:val="0"/>
    </w:pPr>
    <w:rPr>
      <w:rFonts w:ascii="黑体" w:eastAsia="黑体"/>
      <w:b/>
      <w:kern w:val="44"/>
      <w:sz w:val="32"/>
      <w:szCs w:val="20"/>
    </w:rPr>
  </w:style>
  <w:style w:type="character" w:customStyle="1" w:styleId="540">
    <w:name w:val="样式45 Char Char"/>
    <w:link w:val="541"/>
    <w:autoRedefine/>
    <w:qFormat/>
    <w:uiPriority w:val="0"/>
    <w:rPr>
      <w:rFonts w:ascii="宋体" w:hAnsi="宋体"/>
      <w:color w:val="000000"/>
      <w:sz w:val="28"/>
      <w:szCs w:val="28"/>
    </w:rPr>
  </w:style>
  <w:style w:type="paragraph" w:customStyle="1" w:styleId="541">
    <w:name w:val="样式45"/>
    <w:basedOn w:val="1"/>
    <w:link w:val="540"/>
    <w:autoRedefine/>
    <w:qFormat/>
    <w:uiPriority w:val="0"/>
    <w:pPr>
      <w:spacing w:line="360" w:lineRule="auto"/>
      <w:ind w:firstLine="560" w:firstLineChars="200"/>
    </w:pPr>
    <w:rPr>
      <w:rFonts w:ascii="宋体" w:hAnsi="宋体"/>
      <w:color w:val="000000"/>
      <w:kern w:val="0"/>
      <w:sz w:val="28"/>
      <w:szCs w:val="28"/>
    </w:rPr>
  </w:style>
  <w:style w:type="character" w:customStyle="1" w:styleId="542">
    <w:name w:val="样式90 Char Char"/>
    <w:link w:val="543"/>
    <w:autoRedefine/>
    <w:qFormat/>
    <w:uiPriority w:val="0"/>
    <w:rPr>
      <w:rFonts w:ascii="黑体" w:hAnsi="宋体" w:eastAsia="黑体"/>
      <w:color w:val="000000"/>
      <w:sz w:val="24"/>
      <w:szCs w:val="24"/>
    </w:rPr>
  </w:style>
  <w:style w:type="paragraph" w:customStyle="1" w:styleId="543">
    <w:name w:val="样式90"/>
    <w:basedOn w:val="1"/>
    <w:link w:val="542"/>
    <w:autoRedefine/>
    <w:qFormat/>
    <w:uiPriority w:val="0"/>
    <w:pPr>
      <w:widowControl/>
      <w:spacing w:beforeLines="50" w:afterLines="50" w:line="360" w:lineRule="auto"/>
      <w:ind w:firstLine="480" w:firstLineChars="200"/>
      <w:jc w:val="center"/>
    </w:pPr>
    <w:rPr>
      <w:rFonts w:ascii="黑体" w:hAnsi="宋体" w:eastAsia="黑体"/>
      <w:color w:val="000000"/>
      <w:kern w:val="0"/>
      <w:sz w:val="24"/>
    </w:rPr>
  </w:style>
  <w:style w:type="character" w:customStyle="1" w:styleId="544">
    <w:name w:val="样式70 Char Char"/>
    <w:link w:val="545"/>
    <w:autoRedefine/>
    <w:qFormat/>
    <w:uiPriority w:val="0"/>
    <w:rPr>
      <w:rFonts w:ascii="宋体" w:hAnsi="宋体"/>
      <w:color w:val="000000"/>
      <w:kern w:val="28"/>
      <w:sz w:val="28"/>
      <w:szCs w:val="28"/>
    </w:rPr>
  </w:style>
  <w:style w:type="paragraph" w:customStyle="1" w:styleId="545">
    <w:name w:val="样式70"/>
    <w:basedOn w:val="1"/>
    <w:link w:val="544"/>
    <w:autoRedefine/>
    <w:qFormat/>
    <w:uiPriority w:val="0"/>
    <w:pPr>
      <w:spacing w:line="460" w:lineRule="exact"/>
      <w:ind w:firstLine="560" w:firstLineChars="200"/>
      <w:jc w:val="left"/>
    </w:pPr>
    <w:rPr>
      <w:rFonts w:ascii="宋体" w:hAnsi="宋体"/>
      <w:color w:val="000000"/>
      <w:kern w:val="28"/>
      <w:sz w:val="28"/>
      <w:szCs w:val="28"/>
    </w:rPr>
  </w:style>
  <w:style w:type="character" w:customStyle="1" w:styleId="546">
    <w:name w:val="标题 Char2"/>
    <w:autoRedefine/>
    <w:qFormat/>
    <w:uiPriority w:val="0"/>
    <w:rPr>
      <w:rFonts w:ascii="Cambria" w:hAnsi="Cambria" w:cs="Times New Roman"/>
      <w:b/>
      <w:bCs/>
      <w:kern w:val="2"/>
      <w:sz w:val="32"/>
      <w:szCs w:val="32"/>
    </w:rPr>
  </w:style>
  <w:style w:type="character" w:customStyle="1" w:styleId="547">
    <w:name w:val="甲乙酮正文 Char"/>
    <w:autoRedefine/>
    <w:qFormat/>
    <w:uiPriority w:val="0"/>
    <w:rPr>
      <w:rFonts w:eastAsia="宋体"/>
      <w:color w:val="000000"/>
      <w:kern w:val="2"/>
      <w:sz w:val="24"/>
      <w:szCs w:val="24"/>
      <w:lang w:val="en-US" w:eastAsia="zh-CN" w:bidi="ar-SA"/>
    </w:rPr>
  </w:style>
  <w:style w:type="character" w:customStyle="1" w:styleId="548">
    <w:name w:val="甲乙酮标题3 Char"/>
    <w:autoRedefine/>
    <w:qFormat/>
    <w:uiPriority w:val="0"/>
    <w:rPr>
      <w:rFonts w:eastAsia="宋体"/>
      <w:b/>
      <w:bCs/>
      <w:kern w:val="2"/>
      <w:sz w:val="32"/>
      <w:szCs w:val="32"/>
      <w:lang w:val="en-US" w:eastAsia="zh-CN" w:bidi="ar-SA"/>
    </w:rPr>
  </w:style>
  <w:style w:type="character" w:customStyle="1" w:styleId="549">
    <w:name w:val="报告正文1 Char"/>
    <w:autoRedefine/>
    <w:qFormat/>
    <w:uiPriority w:val="0"/>
    <w:rPr>
      <w:rFonts w:eastAsia="宋体"/>
      <w:color w:val="000000"/>
      <w:kern w:val="2"/>
      <w:sz w:val="24"/>
      <w:szCs w:val="24"/>
      <w:lang w:val="en-US" w:eastAsia="zh-CN" w:bidi="ar-SA"/>
    </w:rPr>
  </w:style>
  <w:style w:type="character" w:customStyle="1" w:styleId="550">
    <w:name w:val="文本 Char"/>
    <w:autoRedefine/>
    <w:qFormat/>
    <w:uiPriority w:val="0"/>
    <w:rPr>
      <w:kern w:val="2"/>
      <w:sz w:val="24"/>
      <w:szCs w:val="24"/>
    </w:rPr>
  </w:style>
  <w:style w:type="character" w:customStyle="1" w:styleId="551">
    <w:name w:val="表 标题 Char"/>
    <w:autoRedefine/>
    <w:qFormat/>
    <w:uiPriority w:val="0"/>
    <w:rPr>
      <w:rFonts w:cs="宋体"/>
      <w:b/>
      <w:kern w:val="2"/>
      <w:sz w:val="24"/>
    </w:rPr>
  </w:style>
  <w:style w:type="character" w:customStyle="1" w:styleId="552">
    <w:name w:val="环正文 Char4"/>
    <w:link w:val="553"/>
    <w:autoRedefine/>
    <w:qFormat/>
    <w:uiPriority w:val="0"/>
    <w:rPr>
      <w:rFonts w:ascii="仿宋_GB2312" w:hAnsi="宋体" w:eastAsia="仿宋_GB2312"/>
      <w:sz w:val="28"/>
    </w:rPr>
  </w:style>
  <w:style w:type="paragraph" w:customStyle="1" w:styleId="553">
    <w:name w:val="环正文"/>
    <w:basedOn w:val="1"/>
    <w:link w:val="552"/>
    <w:autoRedefine/>
    <w:qFormat/>
    <w:uiPriority w:val="0"/>
    <w:pPr>
      <w:widowControl/>
      <w:suppressAutoHyphens/>
      <w:adjustRightInd w:val="0"/>
      <w:snapToGrid w:val="0"/>
      <w:spacing w:line="300" w:lineRule="auto"/>
      <w:ind w:firstLine="560"/>
      <w:textAlignment w:val="baseline"/>
    </w:pPr>
    <w:rPr>
      <w:rFonts w:ascii="仿宋_GB2312" w:hAnsi="宋体" w:eastAsia="仿宋_GB2312"/>
      <w:kern w:val="0"/>
      <w:sz w:val="28"/>
      <w:szCs w:val="20"/>
    </w:rPr>
  </w:style>
  <w:style w:type="character" w:customStyle="1" w:styleId="554">
    <w:name w:val="副标题 Char1"/>
    <w:autoRedefine/>
    <w:qFormat/>
    <w:uiPriority w:val="11"/>
    <w:rPr>
      <w:rFonts w:ascii="Cambria" w:hAnsi="Cambria" w:eastAsia="宋体" w:cs="Times New Roman"/>
      <w:b/>
      <w:bCs/>
      <w:kern w:val="28"/>
      <w:sz w:val="32"/>
      <w:szCs w:val="32"/>
    </w:rPr>
  </w:style>
  <w:style w:type="character" w:customStyle="1" w:styleId="555">
    <w:name w:val="三级 Char"/>
    <w:link w:val="556"/>
    <w:autoRedefine/>
    <w:qFormat/>
    <w:uiPriority w:val="0"/>
    <w:rPr>
      <w:b/>
      <w:kern w:val="2"/>
      <w:sz w:val="28"/>
    </w:rPr>
  </w:style>
  <w:style w:type="paragraph" w:customStyle="1" w:styleId="556">
    <w:name w:val="三级"/>
    <w:basedOn w:val="1"/>
    <w:link w:val="555"/>
    <w:autoRedefine/>
    <w:qFormat/>
    <w:uiPriority w:val="0"/>
    <w:pPr>
      <w:adjustRightInd w:val="0"/>
      <w:textAlignment w:val="baseline"/>
    </w:pPr>
    <w:rPr>
      <w:b/>
      <w:sz w:val="28"/>
      <w:szCs w:val="20"/>
    </w:rPr>
  </w:style>
  <w:style w:type="character" w:customStyle="1" w:styleId="557">
    <w:name w:val="兴武正文 Char"/>
    <w:autoRedefine/>
    <w:qFormat/>
    <w:uiPriority w:val="0"/>
    <w:rPr>
      <w:rFonts w:eastAsia="宋体" w:cs="宋体"/>
      <w:kern w:val="2"/>
      <w:sz w:val="24"/>
      <w:lang w:val="en-US" w:eastAsia="zh-CN" w:bidi="ar-SA"/>
    </w:rPr>
  </w:style>
  <w:style w:type="character" w:customStyle="1" w:styleId="558">
    <w:name w:val="表格yy Char Char"/>
    <w:link w:val="559"/>
    <w:autoRedefine/>
    <w:qFormat/>
    <w:uiPriority w:val="0"/>
    <w:rPr>
      <w:rFonts w:eastAsia="仿宋_GB2312"/>
      <w:szCs w:val="24"/>
    </w:rPr>
  </w:style>
  <w:style w:type="paragraph" w:customStyle="1" w:styleId="559">
    <w:name w:val="表格yy"/>
    <w:basedOn w:val="1"/>
    <w:link w:val="558"/>
    <w:autoRedefine/>
    <w:qFormat/>
    <w:uiPriority w:val="0"/>
    <w:pPr>
      <w:snapToGrid w:val="0"/>
      <w:spacing w:line="240" w:lineRule="atLeast"/>
      <w:jc w:val="center"/>
    </w:pPr>
    <w:rPr>
      <w:rFonts w:eastAsia="仿宋_GB2312"/>
      <w:kern w:val="0"/>
      <w:sz w:val="20"/>
    </w:rPr>
  </w:style>
  <w:style w:type="character" w:customStyle="1" w:styleId="560">
    <w:name w:val="正文缩进 Char Char"/>
    <w:autoRedefine/>
    <w:qFormat/>
    <w:uiPriority w:val="0"/>
    <w:rPr>
      <w:rFonts w:eastAsia="宋体"/>
      <w:kern w:val="2"/>
      <w:sz w:val="21"/>
      <w:szCs w:val="24"/>
      <w:lang w:val="en-US" w:eastAsia="zh-CN" w:bidi="ar-SA"/>
    </w:rPr>
  </w:style>
  <w:style w:type="character" w:customStyle="1" w:styleId="561">
    <w:name w:val="页眉1 Char1"/>
    <w:autoRedefine/>
    <w:qFormat/>
    <w:uiPriority w:val="0"/>
    <w:rPr>
      <w:rFonts w:eastAsia="宋体"/>
      <w:kern w:val="2"/>
      <w:sz w:val="18"/>
      <w:szCs w:val="18"/>
      <w:lang w:val="en-US" w:eastAsia="zh-CN" w:bidi="ar-SA"/>
    </w:rPr>
  </w:style>
  <w:style w:type="character" w:customStyle="1" w:styleId="562">
    <w:name w:val="Char Char48"/>
    <w:autoRedefine/>
    <w:qFormat/>
    <w:uiPriority w:val="0"/>
    <w:rPr>
      <w:b/>
      <w:bCs/>
      <w:kern w:val="44"/>
      <w:sz w:val="44"/>
      <w:szCs w:val="44"/>
    </w:rPr>
  </w:style>
  <w:style w:type="character" w:customStyle="1" w:styleId="563">
    <w:name w:val="14588 Char"/>
    <w:link w:val="564"/>
    <w:autoRedefine/>
    <w:qFormat/>
    <w:uiPriority w:val="0"/>
    <w:rPr>
      <w:rFonts w:ascii="Calibri" w:hAnsi="Calibri" w:cs="宋体"/>
      <w:kern w:val="2"/>
      <w:sz w:val="24"/>
      <w:lang w:val="de-DE"/>
    </w:rPr>
  </w:style>
  <w:style w:type="paragraph" w:customStyle="1" w:styleId="564">
    <w:name w:val="14588"/>
    <w:basedOn w:val="1"/>
    <w:link w:val="563"/>
    <w:autoRedefine/>
    <w:qFormat/>
    <w:uiPriority w:val="0"/>
    <w:pPr>
      <w:spacing w:line="360" w:lineRule="auto"/>
      <w:ind w:firstLine="480" w:firstLineChars="200"/>
    </w:pPr>
    <w:rPr>
      <w:rFonts w:ascii="Calibri" w:hAnsi="Calibri" w:cs="宋体"/>
      <w:sz w:val="24"/>
      <w:szCs w:val="20"/>
      <w:lang w:val="de-DE"/>
    </w:rPr>
  </w:style>
  <w:style w:type="character" w:customStyle="1" w:styleId="565">
    <w:name w:val="茂名 正文 Char"/>
    <w:link w:val="566"/>
    <w:autoRedefine/>
    <w:qFormat/>
    <w:uiPriority w:val="0"/>
    <w:rPr>
      <w:rFonts w:ascii="Symbol" w:hAnsi="Symbol" w:eastAsia="微软雅黑" w:cs="Symbol"/>
      <w:sz w:val="24"/>
      <w:szCs w:val="24"/>
    </w:rPr>
  </w:style>
  <w:style w:type="paragraph" w:customStyle="1" w:styleId="566">
    <w:name w:val="茂名 正文"/>
    <w:basedOn w:val="1"/>
    <w:link w:val="565"/>
    <w:autoRedefine/>
    <w:qFormat/>
    <w:uiPriority w:val="0"/>
    <w:pPr>
      <w:widowControl/>
      <w:topLinePunct/>
      <w:spacing w:line="480" w:lineRule="exact"/>
      <w:ind w:firstLine="539"/>
    </w:pPr>
    <w:rPr>
      <w:rFonts w:ascii="Symbol" w:hAnsi="Symbol" w:eastAsia="微软雅黑" w:cs="Symbol"/>
      <w:kern w:val="0"/>
      <w:sz w:val="24"/>
    </w:rPr>
  </w:style>
  <w:style w:type="character" w:customStyle="1" w:styleId="567">
    <w:name w:val="正文(康健城) Char"/>
    <w:link w:val="568"/>
    <w:autoRedefine/>
    <w:qFormat/>
    <w:uiPriority w:val="0"/>
    <w:rPr>
      <w:sz w:val="24"/>
      <w:szCs w:val="24"/>
    </w:rPr>
  </w:style>
  <w:style w:type="paragraph" w:customStyle="1" w:styleId="568">
    <w:name w:val="正文(康健城)"/>
    <w:basedOn w:val="1"/>
    <w:link w:val="567"/>
    <w:autoRedefine/>
    <w:qFormat/>
    <w:uiPriority w:val="0"/>
    <w:pPr>
      <w:adjustRightInd w:val="0"/>
      <w:snapToGrid w:val="0"/>
      <w:spacing w:line="360" w:lineRule="auto"/>
      <w:ind w:firstLine="480" w:firstLineChars="200"/>
      <w:textAlignment w:val="baseline"/>
    </w:pPr>
    <w:rPr>
      <w:kern w:val="0"/>
      <w:sz w:val="24"/>
    </w:rPr>
  </w:style>
  <w:style w:type="character" w:customStyle="1" w:styleId="569">
    <w:name w:val="标题1.1.1.1.1.1 Char"/>
    <w:autoRedefine/>
    <w:qFormat/>
    <w:uiPriority w:val="0"/>
    <w:rPr>
      <w:rFonts w:ascii="Arial" w:hAnsi="Arial" w:eastAsia="黑体" w:cs="宋体"/>
      <w:b/>
      <w:color w:val="FF0000"/>
      <w:kern w:val="0"/>
      <w:szCs w:val="20"/>
    </w:rPr>
  </w:style>
  <w:style w:type="character" w:customStyle="1" w:styleId="570">
    <w:name w:val="标题 7表内5号 Char"/>
    <w:autoRedefine/>
    <w:qFormat/>
    <w:uiPriority w:val="0"/>
    <w:rPr>
      <w:rFonts w:ascii="Times New Roman" w:hAnsi="Times New Roman" w:eastAsia="宋体" w:cs="宋体"/>
      <w:b/>
      <w:color w:val="FF0000"/>
      <w:kern w:val="0"/>
      <w:szCs w:val="20"/>
    </w:rPr>
  </w:style>
  <w:style w:type="character" w:customStyle="1" w:styleId="571">
    <w:name w:val="目标题 1) Char"/>
    <w:autoRedefine/>
    <w:qFormat/>
    <w:uiPriority w:val="0"/>
    <w:rPr>
      <w:rFonts w:ascii="Arial" w:hAnsi="Arial" w:eastAsia="黑体" w:cs="宋体"/>
      <w:b/>
      <w:color w:val="FF0000"/>
      <w:kern w:val="0"/>
      <w:szCs w:val="20"/>
    </w:rPr>
  </w:style>
  <w:style w:type="character" w:customStyle="1" w:styleId="572">
    <w:name w:val="干标题(a) Char"/>
    <w:autoRedefine/>
    <w:qFormat/>
    <w:uiPriority w:val="0"/>
    <w:rPr>
      <w:rFonts w:ascii="Arial" w:hAnsi="Arial" w:eastAsia="黑体" w:cs="宋体"/>
      <w:b/>
      <w:color w:val="FF0000"/>
      <w:kern w:val="0"/>
      <w:szCs w:val="20"/>
    </w:rPr>
  </w:style>
  <w:style w:type="character" w:customStyle="1" w:styleId="573">
    <w:name w:val="CN normal Char"/>
    <w:link w:val="574"/>
    <w:autoRedefine/>
    <w:qFormat/>
    <w:uiPriority w:val="0"/>
    <w:rPr>
      <w:rFonts w:ascii="Arial" w:hAnsi="Arial"/>
      <w:lang w:val="en-GB"/>
    </w:rPr>
  </w:style>
  <w:style w:type="paragraph" w:customStyle="1" w:styleId="574">
    <w:name w:val="CN normal"/>
    <w:basedOn w:val="1"/>
    <w:link w:val="573"/>
    <w:autoRedefine/>
    <w:qFormat/>
    <w:uiPriority w:val="0"/>
    <w:pPr>
      <w:widowControl/>
      <w:spacing w:line="280" w:lineRule="atLeast"/>
      <w:contextualSpacing/>
    </w:pPr>
    <w:rPr>
      <w:rFonts w:ascii="Arial" w:hAnsi="Arial"/>
      <w:kern w:val="0"/>
      <w:sz w:val="20"/>
      <w:szCs w:val="20"/>
      <w:lang w:val="en-GB"/>
    </w:rPr>
  </w:style>
  <w:style w:type="character" w:customStyle="1" w:styleId="575">
    <w:name w:val="li_正文 Char"/>
    <w:link w:val="576"/>
    <w:autoRedefine/>
    <w:qFormat/>
    <w:uiPriority w:val="0"/>
    <w:rPr>
      <w:rFonts w:ascii="Calibri" w:hAnsi="Calibri"/>
      <w:kern w:val="2"/>
      <w:sz w:val="21"/>
      <w:szCs w:val="24"/>
    </w:rPr>
  </w:style>
  <w:style w:type="paragraph" w:customStyle="1" w:styleId="576">
    <w:name w:val="li_正文"/>
    <w:basedOn w:val="1"/>
    <w:link w:val="575"/>
    <w:autoRedefine/>
    <w:qFormat/>
    <w:uiPriority w:val="0"/>
    <w:pPr>
      <w:ind w:firstLine="480" w:firstLineChars="200"/>
      <w:contextualSpacing/>
    </w:pPr>
    <w:rPr>
      <w:rFonts w:ascii="Calibri" w:hAnsi="Calibri"/>
    </w:rPr>
  </w:style>
  <w:style w:type="character" w:customStyle="1" w:styleId="577">
    <w:name w:val="表名 Char1"/>
    <w:link w:val="578"/>
    <w:autoRedefine/>
    <w:semiHidden/>
    <w:qFormat/>
    <w:uiPriority w:val="0"/>
    <w:rPr>
      <w:rFonts w:ascii="Arial" w:hAnsi="Arial" w:eastAsia="楷体_GB2312" w:cs="宋体"/>
      <w:b/>
      <w:sz w:val="21"/>
    </w:rPr>
  </w:style>
  <w:style w:type="paragraph" w:customStyle="1" w:styleId="578">
    <w:name w:val="表名"/>
    <w:basedOn w:val="1"/>
    <w:link w:val="577"/>
    <w:autoRedefine/>
    <w:semiHidden/>
    <w:qFormat/>
    <w:uiPriority w:val="0"/>
    <w:pPr>
      <w:widowControl/>
      <w:adjustRightInd w:val="0"/>
      <w:spacing w:before="120" w:afterLines="10" w:line="312" w:lineRule="auto"/>
      <w:contextualSpacing/>
      <w:jc w:val="center"/>
      <w:textAlignment w:val="baseline"/>
    </w:pPr>
    <w:rPr>
      <w:rFonts w:ascii="Arial" w:hAnsi="Arial" w:eastAsia="楷体_GB2312" w:cs="宋体"/>
      <w:b/>
      <w:kern w:val="0"/>
      <w:szCs w:val="20"/>
    </w:rPr>
  </w:style>
  <w:style w:type="character" w:customStyle="1" w:styleId="579">
    <w:name w:val="表名 1 Char"/>
    <w:link w:val="580"/>
    <w:autoRedefine/>
    <w:qFormat/>
    <w:uiPriority w:val="0"/>
    <w:rPr>
      <w:rFonts w:ascii="Arial" w:hAnsi="Arial" w:eastAsia="楷体_GB2312" w:cs="宋体"/>
      <w:b/>
      <w:sz w:val="21"/>
    </w:rPr>
  </w:style>
  <w:style w:type="paragraph" w:customStyle="1" w:styleId="580">
    <w:name w:val="表名 1"/>
    <w:basedOn w:val="578"/>
    <w:link w:val="579"/>
    <w:autoRedefine/>
    <w:qFormat/>
    <w:uiPriority w:val="0"/>
    <w:pPr>
      <w:spacing w:after="31"/>
    </w:pPr>
  </w:style>
  <w:style w:type="character" w:customStyle="1" w:styleId="581">
    <w:name w:val="hangju"/>
    <w:autoRedefine/>
    <w:qFormat/>
    <w:uiPriority w:val="0"/>
    <w:rPr>
      <w:rFonts w:ascii="宋体" w:hAnsi="宋体" w:eastAsia="宋体" w:cs="宋体"/>
      <w:kern w:val="2"/>
      <w:sz w:val="24"/>
      <w:szCs w:val="24"/>
      <w:lang w:val="en-US" w:eastAsia="zh-CN" w:bidi="ar-SA"/>
    </w:rPr>
  </w:style>
  <w:style w:type="character" w:customStyle="1" w:styleId="582">
    <w:name w:val="可研报告正文 Char"/>
    <w:link w:val="583"/>
    <w:autoRedefine/>
    <w:qFormat/>
    <w:uiPriority w:val="0"/>
    <w:rPr>
      <w:rFonts w:ascii="Calibri" w:hAnsi="Calibri" w:cs="宋体"/>
      <w:sz w:val="21"/>
      <w:szCs w:val="24"/>
    </w:rPr>
  </w:style>
  <w:style w:type="paragraph" w:customStyle="1" w:styleId="583">
    <w:name w:val="可研报告正文"/>
    <w:basedOn w:val="1"/>
    <w:link w:val="582"/>
    <w:autoRedefine/>
    <w:qFormat/>
    <w:uiPriority w:val="0"/>
    <w:pPr>
      <w:widowControl/>
      <w:tabs>
        <w:tab w:val="left" w:pos="5880"/>
      </w:tabs>
      <w:spacing w:beforeLines="50" w:line="440" w:lineRule="exact"/>
      <w:ind w:left="425" w:firstLine="482"/>
      <w:contextualSpacing/>
      <w:jc w:val="left"/>
    </w:pPr>
    <w:rPr>
      <w:rFonts w:ascii="Calibri" w:hAnsi="Calibri" w:cs="宋体"/>
      <w:kern w:val="0"/>
    </w:rPr>
  </w:style>
  <w:style w:type="character" w:customStyle="1" w:styleId="584">
    <w:name w:val="csscontent0041"/>
    <w:autoRedefine/>
    <w:qFormat/>
    <w:uiPriority w:val="0"/>
    <w:rPr>
      <w:rFonts w:hint="default" w:ascii="ˎ̥" w:hAnsi="ˎ̥"/>
      <w:color w:val="000000"/>
      <w:sz w:val="16"/>
      <w:szCs w:val="16"/>
      <w:u w:val="none"/>
    </w:rPr>
  </w:style>
  <w:style w:type="character" w:customStyle="1" w:styleId="585">
    <w:name w:val="段落文字 Char"/>
    <w:link w:val="586"/>
    <w:autoRedefine/>
    <w:qFormat/>
    <w:uiPriority w:val="0"/>
    <w:rPr>
      <w:rFonts w:ascii="宋体" w:hAnsi="宋体"/>
      <w:sz w:val="24"/>
      <w:szCs w:val="24"/>
    </w:rPr>
  </w:style>
  <w:style w:type="paragraph" w:customStyle="1" w:styleId="586">
    <w:name w:val="段落文字"/>
    <w:basedOn w:val="1"/>
    <w:link w:val="585"/>
    <w:autoRedefine/>
    <w:qFormat/>
    <w:uiPriority w:val="0"/>
    <w:pPr>
      <w:widowControl/>
      <w:adjustRightInd w:val="0"/>
      <w:snapToGrid w:val="0"/>
      <w:spacing w:line="480" w:lineRule="exact"/>
      <w:contextualSpacing/>
      <w:jc w:val="left"/>
    </w:pPr>
    <w:rPr>
      <w:rFonts w:ascii="宋体" w:hAnsi="宋体"/>
      <w:kern w:val="0"/>
      <w:sz w:val="24"/>
    </w:rPr>
  </w:style>
  <w:style w:type="character" w:customStyle="1" w:styleId="587">
    <w:name w:val="middle1"/>
    <w:autoRedefine/>
    <w:qFormat/>
    <w:uiPriority w:val="0"/>
    <w:rPr>
      <w:rFonts w:hint="eastAsia" w:ascii="宋体" w:hAnsi="宋体" w:eastAsia="宋体"/>
      <w:sz w:val="24"/>
      <w:szCs w:val="24"/>
    </w:rPr>
  </w:style>
  <w:style w:type="character" w:customStyle="1" w:styleId="588">
    <w:name w:val="样式 表内样式 + (符号) 宋体 Char1"/>
    <w:link w:val="589"/>
    <w:autoRedefine/>
    <w:qFormat/>
    <w:uiPriority w:val="0"/>
    <w:rPr>
      <w:rFonts w:ascii="Calibri" w:hAnsi="Calibri" w:cs="宋体"/>
      <w:sz w:val="21"/>
      <w:szCs w:val="21"/>
    </w:rPr>
  </w:style>
  <w:style w:type="paragraph" w:customStyle="1" w:styleId="589">
    <w:name w:val="样式 表内样式 + (符号) 宋体"/>
    <w:basedOn w:val="1"/>
    <w:link w:val="588"/>
    <w:autoRedefine/>
    <w:qFormat/>
    <w:uiPriority w:val="0"/>
    <w:pPr>
      <w:keepLines/>
      <w:widowControl/>
      <w:kinsoku w:val="0"/>
      <w:overflowPunct w:val="0"/>
      <w:adjustRightInd w:val="0"/>
      <w:spacing w:line="320" w:lineRule="exact"/>
      <w:contextualSpacing/>
      <w:jc w:val="center"/>
    </w:pPr>
    <w:rPr>
      <w:rFonts w:ascii="Calibri" w:hAnsi="Calibri" w:cs="宋体"/>
      <w:kern w:val="0"/>
    </w:rPr>
  </w:style>
  <w:style w:type="character" w:customStyle="1" w:styleId="590">
    <w:name w:val="Char Char111"/>
    <w:autoRedefine/>
    <w:qFormat/>
    <w:uiPriority w:val="0"/>
    <w:rPr>
      <w:rFonts w:ascii="Arial" w:hAnsi="Arial" w:eastAsia="黑体"/>
      <w:b/>
      <w:sz w:val="28"/>
    </w:rPr>
  </w:style>
  <w:style w:type="character" w:customStyle="1" w:styleId="591">
    <w:name w:val="Char Char2"/>
    <w:autoRedefine/>
    <w:qFormat/>
    <w:uiPriority w:val="0"/>
    <w:rPr>
      <w:rFonts w:ascii="宋体" w:hAnsi="Courier New" w:eastAsia="宋体"/>
      <w:kern w:val="2"/>
      <w:sz w:val="21"/>
      <w:lang w:val="en-US" w:eastAsia="zh-CN" w:bidi="ar-SA"/>
    </w:rPr>
  </w:style>
  <w:style w:type="character" w:customStyle="1" w:styleId="592">
    <w:name w:val="正文首行缩进2字符! Char"/>
    <w:link w:val="593"/>
    <w:autoRedefine/>
    <w:qFormat/>
    <w:uiPriority w:val="0"/>
    <w:rPr>
      <w:rFonts w:ascii="Calibri" w:hAnsi="Calibri"/>
      <w:kern w:val="2"/>
      <w:sz w:val="28"/>
    </w:rPr>
  </w:style>
  <w:style w:type="paragraph" w:customStyle="1" w:styleId="593">
    <w:name w:val="正文首行缩进2字符!"/>
    <w:basedOn w:val="1"/>
    <w:link w:val="592"/>
    <w:autoRedefine/>
    <w:qFormat/>
    <w:uiPriority w:val="0"/>
    <w:pPr>
      <w:adjustRightInd w:val="0"/>
      <w:snapToGrid w:val="0"/>
      <w:ind w:firstLine="560" w:firstLineChars="200"/>
      <w:contextualSpacing/>
      <w:jc w:val="left"/>
    </w:pPr>
    <w:rPr>
      <w:rFonts w:ascii="Calibri" w:hAnsi="Calibri"/>
      <w:sz w:val="28"/>
      <w:szCs w:val="20"/>
    </w:rPr>
  </w:style>
  <w:style w:type="character" w:customStyle="1" w:styleId="594">
    <w:name w:val="标题5 Char"/>
    <w:link w:val="595"/>
    <w:autoRedefine/>
    <w:qFormat/>
    <w:uiPriority w:val="0"/>
    <w:rPr>
      <w:rFonts w:ascii="Calibri" w:hAnsi="Calibri"/>
      <w:kern w:val="2"/>
      <w:sz w:val="28"/>
      <w:szCs w:val="21"/>
    </w:rPr>
  </w:style>
  <w:style w:type="paragraph" w:customStyle="1" w:styleId="595">
    <w:name w:val="标题5"/>
    <w:basedOn w:val="1"/>
    <w:next w:val="81"/>
    <w:link w:val="594"/>
    <w:autoRedefine/>
    <w:qFormat/>
    <w:uiPriority w:val="0"/>
    <w:pPr>
      <w:numPr>
        <w:ilvl w:val="4"/>
        <w:numId w:val="5"/>
      </w:numPr>
      <w:snapToGrid w:val="0"/>
      <w:contextualSpacing/>
      <w:outlineLvl w:val="4"/>
    </w:pPr>
    <w:rPr>
      <w:rFonts w:ascii="Calibri" w:hAnsi="Calibri"/>
      <w:sz w:val="28"/>
    </w:rPr>
  </w:style>
  <w:style w:type="character" w:customStyle="1" w:styleId="596">
    <w:name w:val="样式 题注 + 首行缩进:  2 字符2 Char"/>
    <w:link w:val="597"/>
    <w:autoRedefine/>
    <w:qFormat/>
    <w:uiPriority w:val="0"/>
    <w:rPr>
      <w:rFonts w:ascii="黑体" w:hAnsi="宋体" w:eastAsia="黑体"/>
      <w:kern w:val="2"/>
      <w:sz w:val="24"/>
      <w:szCs w:val="24"/>
    </w:rPr>
  </w:style>
  <w:style w:type="paragraph" w:customStyle="1" w:styleId="597">
    <w:name w:val="样式 题注 + 首行缩进:  2 字符2"/>
    <w:basedOn w:val="23"/>
    <w:link w:val="596"/>
    <w:autoRedefine/>
    <w:qFormat/>
    <w:uiPriority w:val="0"/>
    <w:pPr>
      <w:snapToGrid/>
      <w:spacing w:line="240" w:lineRule="auto"/>
      <w:contextualSpacing/>
      <w:jc w:val="center"/>
    </w:pPr>
    <w:rPr>
      <w:rFonts w:ascii="黑体" w:hAnsi="宋体" w:cs="Times New Roman"/>
      <w:sz w:val="24"/>
      <w:szCs w:val="24"/>
    </w:rPr>
  </w:style>
  <w:style w:type="character" w:customStyle="1" w:styleId="598">
    <w:name w:val="题注 + 居中! Char"/>
    <w:link w:val="599"/>
    <w:autoRedefine/>
    <w:qFormat/>
    <w:uiPriority w:val="0"/>
    <w:rPr>
      <w:rFonts w:ascii="黑体" w:hAnsi="Arial" w:eastAsia="黑体"/>
      <w:kern w:val="2"/>
      <w:sz w:val="24"/>
      <w:szCs w:val="24"/>
    </w:rPr>
  </w:style>
  <w:style w:type="paragraph" w:customStyle="1" w:styleId="599">
    <w:name w:val="题注 + 居中!"/>
    <w:basedOn w:val="23"/>
    <w:link w:val="598"/>
    <w:autoRedefine/>
    <w:qFormat/>
    <w:uiPriority w:val="0"/>
    <w:pPr>
      <w:adjustRightInd w:val="0"/>
      <w:spacing w:line="240" w:lineRule="auto"/>
      <w:ind w:firstLine="480" w:firstLineChars="200"/>
      <w:contextualSpacing/>
      <w:jc w:val="center"/>
    </w:pPr>
    <w:rPr>
      <w:rFonts w:ascii="黑体" w:cs="Times New Roman"/>
      <w:sz w:val="24"/>
      <w:szCs w:val="24"/>
    </w:rPr>
  </w:style>
  <w:style w:type="character" w:customStyle="1" w:styleId="600">
    <w:name w:val="texd1"/>
    <w:autoRedefine/>
    <w:qFormat/>
    <w:uiPriority w:val="0"/>
    <w:rPr>
      <w:rFonts w:hint="default"/>
      <w:color w:val="000000"/>
      <w:spacing w:val="480"/>
      <w:w w:val="0"/>
      <w:sz w:val="20"/>
      <w:szCs w:val="20"/>
    </w:rPr>
  </w:style>
  <w:style w:type="character" w:customStyle="1" w:styleId="601">
    <w:name w:val="正文（首行缩进两字） Char1 Char Char"/>
    <w:autoRedefine/>
    <w:qFormat/>
    <w:uiPriority w:val="0"/>
    <w:rPr>
      <w:rFonts w:ascii="Times New Roman" w:hAnsi="Times New Roman" w:eastAsia="宋体" w:cs="Times New Roman"/>
      <w:bCs/>
      <w:snapToGrid/>
      <w:kern w:val="0"/>
      <w:szCs w:val="24"/>
      <w:lang w:val="zh-CN"/>
    </w:rPr>
  </w:style>
  <w:style w:type="character" w:customStyle="1" w:styleId="602">
    <w:name w:val="yyp Char"/>
    <w:link w:val="603"/>
    <w:autoRedefine/>
    <w:qFormat/>
    <w:uiPriority w:val="0"/>
    <w:rPr>
      <w:rFonts w:ascii="Calibri" w:hAnsi="Calibri"/>
      <w:kern w:val="2"/>
      <w:sz w:val="24"/>
      <w:szCs w:val="24"/>
    </w:rPr>
  </w:style>
  <w:style w:type="paragraph" w:customStyle="1" w:styleId="603">
    <w:name w:val="yyp"/>
    <w:basedOn w:val="81"/>
    <w:link w:val="602"/>
    <w:autoRedefine/>
    <w:qFormat/>
    <w:uiPriority w:val="0"/>
    <w:pPr>
      <w:spacing w:line="360" w:lineRule="auto"/>
      <w:ind w:firstLine="480" w:firstLineChars="200"/>
    </w:pPr>
    <w:rPr>
      <w:rFonts w:ascii="Calibri" w:hAnsi="Calibri"/>
      <w:sz w:val="24"/>
    </w:rPr>
  </w:style>
  <w:style w:type="character" w:customStyle="1" w:styleId="604">
    <w:name w:val="正文小四首缩1.3行距 Char"/>
    <w:link w:val="605"/>
    <w:autoRedefine/>
    <w:qFormat/>
    <w:uiPriority w:val="0"/>
    <w:rPr>
      <w:rFonts w:ascii="Calibri" w:hAnsi="Calibri"/>
      <w:kern w:val="2"/>
      <w:sz w:val="24"/>
      <w:szCs w:val="24"/>
    </w:rPr>
  </w:style>
  <w:style w:type="paragraph" w:customStyle="1" w:styleId="605">
    <w:name w:val="正文小四首缩1.3行距"/>
    <w:basedOn w:val="1"/>
    <w:link w:val="604"/>
    <w:autoRedefine/>
    <w:qFormat/>
    <w:uiPriority w:val="0"/>
    <w:pPr>
      <w:spacing w:line="312" w:lineRule="auto"/>
      <w:ind w:firstLine="420" w:firstLineChars="200"/>
    </w:pPr>
    <w:rPr>
      <w:rFonts w:ascii="Calibri" w:hAnsi="Calibri"/>
      <w:sz w:val="24"/>
    </w:rPr>
  </w:style>
  <w:style w:type="character" w:customStyle="1" w:styleId="606">
    <w:name w:val="表、图标题 Char Char"/>
    <w:link w:val="607"/>
    <w:autoRedefine/>
    <w:qFormat/>
    <w:uiPriority w:val="0"/>
    <w:rPr>
      <w:rFonts w:ascii="宋体" w:hAnsi="宋体"/>
      <w:b/>
      <w:bCs/>
      <w:snapToGrid/>
      <w:sz w:val="24"/>
      <w:szCs w:val="21"/>
    </w:rPr>
  </w:style>
  <w:style w:type="paragraph" w:customStyle="1" w:styleId="607">
    <w:name w:val="表、图标题"/>
    <w:basedOn w:val="1"/>
    <w:link w:val="606"/>
    <w:autoRedefine/>
    <w:qFormat/>
    <w:uiPriority w:val="0"/>
    <w:pPr>
      <w:adjustRightInd w:val="0"/>
      <w:snapToGrid w:val="0"/>
      <w:spacing w:line="480" w:lineRule="exact"/>
      <w:jc w:val="center"/>
    </w:pPr>
    <w:rPr>
      <w:rFonts w:ascii="宋体" w:hAnsi="宋体"/>
      <w:b/>
      <w:bCs/>
      <w:snapToGrid w:val="0"/>
      <w:kern w:val="0"/>
      <w:sz w:val="24"/>
    </w:rPr>
  </w:style>
  <w:style w:type="character" w:customStyle="1" w:styleId="608">
    <w:name w:val="Footer1 Char1"/>
    <w:autoRedefine/>
    <w:qFormat/>
    <w:uiPriority w:val="0"/>
    <w:rPr>
      <w:sz w:val="18"/>
      <w:szCs w:val="18"/>
    </w:rPr>
  </w:style>
  <w:style w:type="character" w:customStyle="1" w:styleId="609">
    <w:name w:val="font21"/>
    <w:basedOn w:val="89"/>
    <w:autoRedefine/>
    <w:qFormat/>
    <w:uiPriority w:val="0"/>
    <w:rPr>
      <w:rFonts w:hint="default" w:ascii="Times New Roman" w:hAnsi="Times New Roman" w:cs="Times New Roman"/>
      <w:color w:val="000000"/>
      <w:sz w:val="21"/>
      <w:szCs w:val="21"/>
      <w:u w:val="none"/>
    </w:rPr>
  </w:style>
  <w:style w:type="character" w:customStyle="1" w:styleId="610">
    <w:name w:val="节标题 1.1 Char3"/>
    <w:autoRedefine/>
    <w:qFormat/>
    <w:uiPriority w:val="0"/>
    <w:rPr>
      <w:rFonts w:ascii="Times New Roman" w:hAnsi="Times New Roman" w:eastAsia="宋体" w:cs="Times New Roman"/>
      <w:b/>
      <w:bCs/>
      <w:sz w:val="28"/>
      <w:szCs w:val="32"/>
    </w:rPr>
  </w:style>
  <w:style w:type="character" w:customStyle="1" w:styleId="611">
    <w:name w:val="111正文 Char"/>
    <w:link w:val="612"/>
    <w:autoRedefine/>
    <w:qFormat/>
    <w:uiPriority w:val="0"/>
    <w:rPr>
      <w:rFonts w:ascii="Calibri" w:hAnsi="Calibri"/>
      <w:kern w:val="2"/>
      <w:sz w:val="24"/>
      <w:szCs w:val="22"/>
    </w:rPr>
  </w:style>
  <w:style w:type="paragraph" w:customStyle="1" w:styleId="612">
    <w:name w:val="111正文"/>
    <w:basedOn w:val="1"/>
    <w:link w:val="611"/>
    <w:autoRedefine/>
    <w:qFormat/>
    <w:uiPriority w:val="0"/>
    <w:pPr>
      <w:tabs>
        <w:tab w:val="left" w:pos="600"/>
      </w:tabs>
      <w:spacing w:line="360" w:lineRule="auto"/>
      <w:ind w:firstLine="200" w:firstLineChars="200"/>
    </w:pPr>
    <w:rPr>
      <w:rFonts w:ascii="Calibri" w:hAnsi="Calibri"/>
      <w:sz w:val="24"/>
      <w:szCs w:val="22"/>
    </w:rPr>
  </w:style>
  <w:style w:type="character" w:customStyle="1" w:styleId="613">
    <w:name w:val="表格文字 Char1"/>
    <w:autoRedefine/>
    <w:qFormat/>
    <w:uiPriority w:val="0"/>
    <w:rPr>
      <w:rFonts w:ascii="宋体" w:hAnsi="宋体" w:eastAsia="宋体" w:cs="宋体"/>
      <w:kern w:val="2"/>
      <w:sz w:val="21"/>
      <w:szCs w:val="24"/>
      <w:lang w:val="en-US" w:eastAsia="zh-CN" w:bidi="ar-SA"/>
    </w:rPr>
  </w:style>
  <w:style w:type="character" w:customStyle="1" w:styleId="614">
    <w:name w:val="fontstyle21"/>
    <w:autoRedefine/>
    <w:qFormat/>
    <w:uiPriority w:val="0"/>
    <w:rPr>
      <w:rFonts w:hint="eastAsia" w:ascii="黑体" w:hAnsi="黑体" w:eastAsia="黑体"/>
      <w:color w:val="000000"/>
      <w:sz w:val="32"/>
      <w:szCs w:val="32"/>
    </w:rPr>
  </w:style>
  <w:style w:type="character" w:customStyle="1" w:styleId="615">
    <w:name w:val="fontstyle31"/>
    <w:autoRedefine/>
    <w:qFormat/>
    <w:uiPriority w:val="0"/>
    <w:rPr>
      <w:rFonts w:hint="eastAsia" w:ascii="宋体" w:hAnsi="宋体" w:eastAsia="宋体"/>
      <w:color w:val="000000"/>
      <w:sz w:val="24"/>
      <w:szCs w:val="24"/>
    </w:rPr>
  </w:style>
  <w:style w:type="character" w:customStyle="1" w:styleId="616">
    <w:name w:val="表格标题 Char Char"/>
    <w:autoRedefine/>
    <w:qFormat/>
    <w:uiPriority w:val="0"/>
    <w:rPr>
      <w:rFonts w:eastAsia="黑体"/>
      <w:kern w:val="2"/>
      <w:sz w:val="21"/>
      <w:szCs w:val="24"/>
    </w:rPr>
  </w:style>
  <w:style w:type="character" w:customStyle="1" w:styleId="617">
    <w:name w:val="fontstyle11"/>
    <w:autoRedefine/>
    <w:qFormat/>
    <w:uiPriority w:val="0"/>
    <w:rPr>
      <w:rFonts w:hint="default" w:ascii="TimesNewRomanPS-ItalicMT" w:hAnsi="TimesNewRomanPS-ItalicMT"/>
      <w:i/>
      <w:iCs/>
      <w:color w:val="000000"/>
      <w:sz w:val="24"/>
      <w:szCs w:val="24"/>
    </w:rPr>
  </w:style>
  <w:style w:type="character" w:customStyle="1" w:styleId="618">
    <w:name w:val="未处理的提及1"/>
    <w:autoRedefine/>
    <w:unhideWhenUsed/>
    <w:qFormat/>
    <w:uiPriority w:val="99"/>
    <w:rPr>
      <w:color w:val="808080"/>
      <w:shd w:val="clear" w:color="auto" w:fill="E6E6E6"/>
    </w:rPr>
  </w:style>
  <w:style w:type="character" w:customStyle="1" w:styleId="619">
    <w:name w:val="标题 5 Char"/>
    <w:autoRedefine/>
    <w:semiHidden/>
    <w:qFormat/>
    <w:uiPriority w:val="0"/>
    <w:rPr>
      <w:b/>
      <w:bCs/>
      <w:sz w:val="28"/>
      <w:szCs w:val="28"/>
    </w:rPr>
  </w:style>
  <w:style w:type="character" w:customStyle="1" w:styleId="620">
    <w:name w:val="纯文本 Char"/>
    <w:autoRedefine/>
    <w:semiHidden/>
    <w:qFormat/>
    <w:uiPriority w:val="99"/>
    <w:rPr>
      <w:rFonts w:ascii="宋体" w:hAnsi="Courier New" w:eastAsia="宋体" w:cs="Courier New"/>
      <w:szCs w:val="21"/>
    </w:rPr>
  </w:style>
  <w:style w:type="character" w:customStyle="1" w:styleId="621">
    <w:name w:val="表头 Char"/>
    <w:autoRedefine/>
    <w:semiHidden/>
    <w:qFormat/>
    <w:uiPriority w:val="0"/>
    <w:rPr>
      <w:rFonts w:ascii="Times New Roman" w:hAnsi="Times New Roman" w:eastAsia="宋体" w:cs="宋体"/>
      <w:b/>
      <w:bCs/>
      <w:kern w:val="0"/>
      <w:sz w:val="21"/>
      <w:szCs w:val="21"/>
    </w:rPr>
  </w:style>
  <w:style w:type="character" w:customStyle="1" w:styleId="622">
    <w:name w:val="样式 Arial"/>
    <w:autoRedefine/>
    <w:semiHidden/>
    <w:qFormat/>
    <w:uiPriority w:val="0"/>
    <w:rPr>
      <w:rFonts w:ascii="Arial" w:hAnsi="Arial" w:eastAsia="宋体" w:cs="宋体"/>
      <w:kern w:val="2"/>
      <w:sz w:val="24"/>
      <w:szCs w:val="24"/>
      <w:lang w:val="en-US" w:eastAsia="zh-CN" w:bidi="ar-SA"/>
    </w:rPr>
  </w:style>
  <w:style w:type="character" w:customStyle="1" w:styleId="623">
    <w:name w:val="enas"/>
    <w:autoRedefine/>
    <w:semiHidden/>
    <w:qFormat/>
    <w:uiPriority w:val="0"/>
    <w:rPr>
      <w:rFonts w:ascii="Arial" w:hAnsi="Arial" w:eastAsia="宋体" w:cs="Arial"/>
      <w:color w:val="auto"/>
      <w:kern w:val="2"/>
      <w:sz w:val="20"/>
      <w:szCs w:val="20"/>
      <w:lang w:val="en-US" w:eastAsia="zh-CN" w:bidi="ar-SA"/>
    </w:rPr>
  </w:style>
  <w:style w:type="character" w:customStyle="1" w:styleId="624">
    <w:name w:val="Char Char10"/>
    <w:autoRedefine/>
    <w:semiHidden/>
    <w:qFormat/>
    <w:uiPriority w:val="0"/>
    <w:rPr>
      <w:rFonts w:ascii="宋体" w:hAnsi="宋体" w:eastAsia="宋体" w:cs="宋体"/>
      <w:color w:val="FF0000"/>
      <w:kern w:val="2"/>
      <w:sz w:val="24"/>
      <w:szCs w:val="24"/>
      <w:lang w:val="en-US" w:eastAsia="zh-CN" w:bidi="ar-SA"/>
    </w:rPr>
  </w:style>
  <w:style w:type="character" w:customStyle="1" w:styleId="625">
    <w:name w:val="Char Char7"/>
    <w:autoRedefine/>
    <w:semiHidden/>
    <w:qFormat/>
    <w:uiPriority w:val="0"/>
    <w:rPr>
      <w:rFonts w:ascii="宋体" w:hAnsi="宋体" w:eastAsia="宋体" w:cs="宋体"/>
      <w:kern w:val="2"/>
      <w:sz w:val="18"/>
      <w:szCs w:val="18"/>
      <w:lang w:val="en-US" w:eastAsia="zh-CN" w:bidi="ar-SA"/>
    </w:rPr>
  </w:style>
  <w:style w:type="character" w:customStyle="1" w:styleId="626">
    <w:name w:val="HTML 地址 Char1"/>
    <w:autoRedefine/>
    <w:semiHidden/>
    <w:qFormat/>
    <w:uiPriority w:val="99"/>
    <w:rPr>
      <w:i/>
      <w:iCs/>
    </w:rPr>
  </w:style>
  <w:style w:type="character" w:customStyle="1" w:styleId="627">
    <w:name w:val="信息标题 Char1"/>
    <w:autoRedefine/>
    <w:semiHidden/>
    <w:qFormat/>
    <w:uiPriority w:val="99"/>
    <w:rPr>
      <w:rFonts w:ascii="Calibri Light" w:hAnsi="Calibri Light" w:eastAsia="宋体" w:cs="Times New Roman"/>
      <w:sz w:val="24"/>
      <w:szCs w:val="24"/>
      <w:shd w:val="pct20" w:color="auto" w:fill="auto"/>
    </w:rPr>
  </w:style>
  <w:style w:type="character" w:customStyle="1" w:styleId="628">
    <w:name w:val="z-窗体顶端 Char1"/>
    <w:autoRedefine/>
    <w:semiHidden/>
    <w:qFormat/>
    <w:uiPriority w:val="99"/>
    <w:rPr>
      <w:rFonts w:ascii="Arial" w:hAnsi="Arial" w:cs="Arial"/>
      <w:vanish/>
      <w:sz w:val="16"/>
      <w:szCs w:val="16"/>
    </w:rPr>
  </w:style>
  <w:style w:type="character" w:customStyle="1" w:styleId="629">
    <w:name w:val="访问过的超链接1"/>
    <w:autoRedefine/>
    <w:unhideWhenUsed/>
    <w:qFormat/>
    <w:uiPriority w:val="99"/>
    <w:rPr>
      <w:rFonts w:ascii="宋体" w:hAnsi="宋体" w:eastAsia="宋体" w:cs="宋体"/>
      <w:color w:val="954F72"/>
      <w:kern w:val="2"/>
      <w:sz w:val="24"/>
      <w:szCs w:val="24"/>
      <w:u w:val="single"/>
      <w:lang w:val="en-US" w:eastAsia="zh-CN" w:bidi="ar-SA"/>
    </w:rPr>
  </w:style>
  <w:style w:type="character" w:customStyle="1" w:styleId="630">
    <w:name w:val="ref"/>
    <w:autoRedefine/>
    <w:qFormat/>
    <w:uiPriority w:val="0"/>
  </w:style>
  <w:style w:type="paragraph" w:customStyle="1" w:styleId="631">
    <w:name w:val="fcolor"/>
    <w:basedOn w:val="1"/>
    <w:autoRedefine/>
    <w:qFormat/>
    <w:uiPriority w:val="0"/>
    <w:pPr>
      <w:widowControl/>
      <w:spacing w:before="100" w:beforeAutospacing="1" w:after="100" w:afterAutospacing="1"/>
      <w:jc w:val="left"/>
    </w:pPr>
    <w:rPr>
      <w:rFonts w:ascii="宋体" w:hAnsi="宋体"/>
      <w:color w:val="000000"/>
      <w:kern w:val="0"/>
      <w:sz w:val="24"/>
    </w:rPr>
  </w:style>
  <w:style w:type="paragraph" w:customStyle="1" w:styleId="632">
    <w:name w:val="默认段落字体 Para Char Char Char Char Char Char Char Char Char Char"/>
    <w:basedOn w:val="5"/>
    <w:autoRedefine/>
    <w:qFormat/>
    <w:uiPriority w:val="0"/>
    <w:pPr>
      <w:tabs>
        <w:tab w:val="left" w:pos="360"/>
        <w:tab w:val="left" w:pos="900"/>
      </w:tabs>
      <w:snapToGrid w:val="0"/>
      <w:spacing w:before="120" w:after="120" w:line="360" w:lineRule="auto"/>
      <w:ind w:left="542" w:leftChars="-12" w:firstLine="200" w:firstLineChars="200"/>
      <w:jc w:val="left"/>
    </w:pPr>
    <w:rPr>
      <w:rFonts w:eastAsia="黑体"/>
      <w:b w:val="0"/>
      <w:bCs w:val="0"/>
      <w:snapToGrid w:val="0"/>
      <w:sz w:val="24"/>
      <w:szCs w:val="24"/>
    </w:rPr>
  </w:style>
  <w:style w:type="paragraph" w:customStyle="1" w:styleId="633">
    <w:name w:val="东明_章"/>
    <w:basedOn w:val="3"/>
    <w:autoRedefine/>
    <w:qFormat/>
    <w:uiPriority w:val="0"/>
    <w:pPr>
      <w:keepLines/>
      <w:pBdr>
        <w:top w:val="single" w:color="808080" w:sz="24" w:space="1"/>
        <w:left w:val="single" w:color="808080" w:sz="24" w:space="4"/>
        <w:bottom w:val="single" w:color="808080" w:sz="24" w:space="1"/>
        <w:right w:val="single" w:color="808080" w:sz="24" w:space="4"/>
      </w:pBdr>
      <w:shd w:val="clear" w:color="auto" w:fill="D9D9D9"/>
      <w:tabs>
        <w:tab w:val="left" w:pos="0"/>
        <w:tab w:val="left" w:pos="1400"/>
        <w:tab w:val="left" w:pos="8280"/>
      </w:tabs>
      <w:overflowPunct/>
      <w:snapToGrid/>
      <w:spacing w:before="600" w:after="0" w:line="578" w:lineRule="auto"/>
      <w:ind w:left="1400" w:hanging="840"/>
      <w:jc w:val="center"/>
    </w:pPr>
    <w:rPr>
      <w:rFonts w:ascii="Arial" w:hAnsi="Arial" w:eastAsia="宋体-方正超大字符集"/>
      <w:color w:val="auto"/>
      <w:sz w:val="36"/>
      <w:szCs w:val="20"/>
    </w:rPr>
  </w:style>
  <w:style w:type="paragraph" w:customStyle="1" w:styleId="634">
    <w:name w:val="样式 标题 4 + 宋体 行距: 1.5 倍行距"/>
    <w:basedOn w:val="6"/>
    <w:autoRedefine/>
    <w:qFormat/>
    <w:uiPriority w:val="0"/>
    <w:pPr>
      <w:snapToGrid w:val="0"/>
      <w:spacing w:before="0" w:beforeLines="50" w:after="0" w:line="360" w:lineRule="auto"/>
      <w:ind w:left="1985" w:hanging="1985"/>
      <w:jc w:val="left"/>
    </w:pPr>
    <w:rPr>
      <w:rFonts w:ascii="宋体" w:hAnsi="宋体" w:cs="宋体"/>
      <w:sz w:val="24"/>
      <w:szCs w:val="20"/>
    </w:rPr>
  </w:style>
  <w:style w:type="paragraph" w:customStyle="1" w:styleId="635">
    <w:name w:val="xl179"/>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636">
    <w:name w:val="其他发布日期"/>
    <w:basedOn w:val="1"/>
    <w:autoRedefine/>
    <w:qFormat/>
    <w:uiPriority w:val="0"/>
    <w:pPr>
      <w:widowControl/>
      <w:numPr>
        <w:ilvl w:val="0"/>
        <w:numId w:val="6"/>
      </w:numPr>
      <w:jc w:val="left"/>
    </w:pPr>
    <w:rPr>
      <w:rFonts w:eastAsia="黑体"/>
      <w:kern w:val="0"/>
      <w:sz w:val="28"/>
      <w:szCs w:val="20"/>
    </w:rPr>
  </w:style>
  <w:style w:type="paragraph" w:customStyle="1" w:styleId="637">
    <w:name w:val="1表格"/>
    <w:basedOn w:val="1"/>
    <w:autoRedefine/>
    <w:qFormat/>
    <w:uiPriority w:val="0"/>
    <w:pPr>
      <w:adjustRightInd w:val="0"/>
      <w:snapToGrid w:val="0"/>
      <w:jc w:val="center"/>
      <w:textAlignment w:val="baseline"/>
    </w:pPr>
    <w:rPr>
      <w:rFonts w:ascii="宋体" w:hAnsi="宋体" w:cs="宋体"/>
      <w:spacing w:val="4"/>
      <w:sz w:val="24"/>
    </w:rPr>
  </w:style>
  <w:style w:type="paragraph" w:customStyle="1" w:styleId="638">
    <w:name w:val="xl160"/>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639">
    <w:name w:val="正文标题"/>
    <w:basedOn w:val="1"/>
    <w:autoRedefine/>
    <w:qFormat/>
    <w:uiPriority w:val="0"/>
    <w:pPr>
      <w:spacing w:line="480" w:lineRule="auto"/>
      <w:ind w:firstLine="472" w:firstLineChars="196"/>
    </w:pPr>
    <w:rPr>
      <w:b/>
      <w:sz w:val="24"/>
    </w:rPr>
  </w:style>
  <w:style w:type="paragraph" w:customStyle="1" w:styleId="640">
    <w:name w:val="四级条标题"/>
    <w:basedOn w:val="641"/>
    <w:next w:val="1"/>
    <w:autoRedefine/>
    <w:qFormat/>
    <w:uiPriority w:val="0"/>
    <w:pPr>
      <w:tabs>
        <w:tab w:val="left" w:pos="360"/>
        <w:tab w:val="left" w:pos="903"/>
      </w:tabs>
      <w:outlineLvl w:val="5"/>
    </w:pPr>
  </w:style>
  <w:style w:type="paragraph" w:customStyle="1" w:styleId="641">
    <w:name w:val="三级条标题"/>
    <w:basedOn w:val="642"/>
    <w:next w:val="1"/>
    <w:autoRedefine/>
    <w:qFormat/>
    <w:uiPriority w:val="0"/>
    <w:pPr>
      <w:tabs>
        <w:tab w:val="left" w:pos="360"/>
        <w:tab w:val="left" w:pos="903"/>
      </w:tabs>
      <w:outlineLvl w:val="4"/>
    </w:pPr>
  </w:style>
  <w:style w:type="paragraph" w:customStyle="1" w:styleId="642">
    <w:name w:val="二级条标题"/>
    <w:basedOn w:val="643"/>
    <w:next w:val="1"/>
    <w:autoRedefine/>
    <w:qFormat/>
    <w:uiPriority w:val="0"/>
    <w:pPr>
      <w:tabs>
        <w:tab w:val="left" w:pos="360"/>
        <w:tab w:val="left" w:pos="903"/>
      </w:tabs>
      <w:outlineLvl w:val="3"/>
    </w:pPr>
  </w:style>
  <w:style w:type="paragraph" w:customStyle="1" w:styleId="643">
    <w:name w:val="一级条标题"/>
    <w:basedOn w:val="644"/>
    <w:next w:val="1"/>
    <w:autoRedefine/>
    <w:qFormat/>
    <w:uiPriority w:val="0"/>
    <w:pPr>
      <w:tabs>
        <w:tab w:val="left" w:pos="360"/>
        <w:tab w:val="left" w:pos="903"/>
      </w:tabs>
      <w:spacing w:before="0" w:after="0"/>
      <w:ind w:left="0" w:firstLine="0"/>
      <w:outlineLvl w:val="2"/>
    </w:pPr>
  </w:style>
  <w:style w:type="paragraph" w:customStyle="1" w:styleId="644">
    <w:name w:val="章标题"/>
    <w:next w:val="1"/>
    <w:autoRedefine/>
    <w:qFormat/>
    <w:uiPriority w:val="0"/>
    <w:pPr>
      <w:tabs>
        <w:tab w:val="left" w:pos="903"/>
      </w:tabs>
      <w:spacing w:before="50" w:after="50"/>
      <w:ind w:left="903" w:hanging="315"/>
      <w:jc w:val="both"/>
      <w:outlineLvl w:val="1"/>
    </w:pPr>
    <w:rPr>
      <w:rFonts w:ascii="黑体" w:hAnsi="Times New Roman" w:eastAsia="黑体" w:cs="Times New Roman"/>
      <w:sz w:val="21"/>
      <w:lang w:val="en-US" w:eastAsia="zh-CN" w:bidi="ar-SA"/>
    </w:rPr>
  </w:style>
  <w:style w:type="paragraph" w:customStyle="1" w:styleId="645">
    <w:name w:val="7"/>
    <w:basedOn w:val="1"/>
    <w:next w:val="8"/>
    <w:autoRedefine/>
    <w:qFormat/>
    <w:uiPriority w:val="0"/>
    <w:pPr>
      <w:adjustRightInd w:val="0"/>
      <w:snapToGrid w:val="0"/>
      <w:spacing w:line="312" w:lineRule="auto"/>
      <w:ind w:firstLine="200" w:firstLineChars="200"/>
    </w:pPr>
    <w:rPr>
      <w:rFonts w:ascii="仿宋_GB2312" w:eastAsia="仿宋_GB2312"/>
      <w:sz w:val="28"/>
    </w:rPr>
  </w:style>
  <w:style w:type="paragraph" w:customStyle="1" w:styleId="646">
    <w:name w:val="样式 标题 3东明_小节H3条标题1.1.1二级节名h33rd level3l3CTHeading 3 - ..."/>
    <w:basedOn w:val="5"/>
    <w:autoRedefine/>
    <w:qFormat/>
    <w:uiPriority w:val="0"/>
    <w:pPr>
      <w:spacing w:before="0" w:after="0" w:line="360" w:lineRule="auto"/>
    </w:pPr>
    <w:rPr>
      <w:rFonts w:eastAsia="黑体" w:cs="宋体"/>
      <w:sz w:val="24"/>
      <w:szCs w:val="20"/>
      <w:lang w:val="zh-CN"/>
    </w:rPr>
  </w:style>
  <w:style w:type="paragraph" w:customStyle="1" w:styleId="647">
    <w:name w:val="扉页 黑体-"/>
    <w:basedOn w:val="1"/>
    <w:autoRedefine/>
    <w:qFormat/>
    <w:uiPriority w:val="0"/>
    <w:pPr>
      <w:spacing w:before="240" w:after="240" w:line="480" w:lineRule="exact"/>
      <w:ind w:firstLine="600" w:firstLineChars="200"/>
      <w:jc w:val="left"/>
    </w:pPr>
    <w:rPr>
      <w:rFonts w:eastAsia="黑体"/>
      <w:sz w:val="30"/>
      <w:szCs w:val="20"/>
    </w:rPr>
  </w:style>
  <w:style w:type="paragraph" w:customStyle="1" w:styleId="648">
    <w:name w:val="xl117"/>
    <w:basedOn w:val="1"/>
    <w:autoRedefine/>
    <w:qFormat/>
    <w:uiPriority w:val="0"/>
    <w:pPr>
      <w:widowControl/>
      <w:pBdr>
        <w:left w:val="single" w:color="auto" w:sz="8" w:space="0"/>
      </w:pBdr>
      <w:spacing w:before="100" w:beforeAutospacing="1" w:after="100" w:afterAutospacing="1"/>
      <w:jc w:val="left"/>
    </w:pPr>
    <w:rPr>
      <w:rFonts w:ascii="Arial Unicode MS" w:hAnsi="Arial Unicode MS"/>
      <w:kern w:val="0"/>
    </w:rPr>
  </w:style>
  <w:style w:type="paragraph" w:customStyle="1" w:styleId="649">
    <w:name w:val="样式 题注 + 首行缩进:  2 字符"/>
    <w:basedOn w:val="23"/>
    <w:autoRedefine/>
    <w:qFormat/>
    <w:uiPriority w:val="0"/>
    <w:pPr>
      <w:snapToGrid/>
      <w:spacing w:before="152" w:after="160" w:line="360" w:lineRule="auto"/>
      <w:ind w:firstLine="400" w:firstLineChars="200"/>
      <w:jc w:val="both"/>
    </w:pPr>
    <w:rPr>
      <w:rFonts w:cs="宋体"/>
      <w:sz w:val="21"/>
    </w:rPr>
  </w:style>
  <w:style w:type="paragraph" w:customStyle="1" w:styleId="650">
    <w:name w:val="样式 标题 4 + 左侧:  0 厘米 首行缩进:  0 厘米"/>
    <w:basedOn w:val="6"/>
    <w:autoRedefine/>
    <w:qFormat/>
    <w:uiPriority w:val="0"/>
    <w:pPr>
      <w:spacing w:before="0" w:after="0" w:line="360" w:lineRule="auto"/>
    </w:pPr>
    <w:rPr>
      <w:rFonts w:ascii="黑体" w:hAnsi="宋体" w:eastAsia="黑体" w:cs="宋体"/>
      <w:b w:val="0"/>
      <w:sz w:val="24"/>
      <w:szCs w:val="20"/>
    </w:rPr>
  </w:style>
  <w:style w:type="paragraph" w:customStyle="1" w:styleId="651">
    <w:name w:val="xl73"/>
    <w:basedOn w:val="1"/>
    <w:autoRedefine/>
    <w:qFormat/>
    <w:uiPriority w:val="0"/>
    <w:pPr>
      <w:widowControl/>
      <w:spacing w:before="100" w:beforeAutospacing="1" w:after="100" w:afterAutospacing="1"/>
      <w:jc w:val="center"/>
      <w:textAlignment w:val="bottom"/>
    </w:pPr>
    <w:rPr>
      <w:rFonts w:ascii="宋体" w:hAnsi="宋体"/>
      <w:b/>
      <w:bCs/>
      <w:kern w:val="0"/>
      <w:sz w:val="22"/>
      <w:szCs w:val="22"/>
    </w:rPr>
  </w:style>
  <w:style w:type="paragraph" w:customStyle="1" w:styleId="652">
    <w:name w:val="标题小四"/>
    <w:basedOn w:val="1"/>
    <w:next w:val="1"/>
    <w:autoRedefine/>
    <w:qFormat/>
    <w:uiPriority w:val="0"/>
    <w:pPr>
      <w:spacing w:line="360" w:lineRule="auto"/>
      <w:jc w:val="center"/>
    </w:pPr>
    <w:rPr>
      <w:rFonts w:eastAsia="黑体"/>
      <w:sz w:val="24"/>
    </w:rPr>
  </w:style>
  <w:style w:type="paragraph" w:customStyle="1" w:styleId="653">
    <w:name w:val="Char1 Char Char Char2"/>
    <w:basedOn w:val="1"/>
    <w:autoRedefine/>
    <w:qFormat/>
    <w:uiPriority w:val="0"/>
    <w:pPr>
      <w:spacing w:line="360" w:lineRule="auto"/>
      <w:ind w:firstLine="200" w:firstLineChars="200"/>
    </w:pPr>
    <w:rPr>
      <w:rFonts w:ascii="宋体" w:hAnsi="宋体" w:cs="宋体"/>
      <w:sz w:val="24"/>
    </w:rPr>
  </w:style>
  <w:style w:type="paragraph" w:customStyle="1" w:styleId="654">
    <w:name w:val="二级无标题条"/>
    <w:basedOn w:val="1"/>
    <w:autoRedefine/>
    <w:qFormat/>
    <w:uiPriority w:val="0"/>
  </w:style>
  <w:style w:type="paragraph" w:customStyle="1" w:styleId="655">
    <w:name w:val="版式1-表名 Char Char Char"/>
    <w:basedOn w:val="8"/>
    <w:next w:val="1"/>
    <w:autoRedefine/>
    <w:qFormat/>
    <w:uiPriority w:val="0"/>
    <w:pPr>
      <w:overflowPunct w:val="0"/>
      <w:snapToGrid w:val="0"/>
      <w:spacing w:beforeLines="50" w:afterLines="50" w:line="440" w:lineRule="exact"/>
      <w:ind w:firstLine="0" w:firstLineChars="0"/>
      <w:jc w:val="center"/>
    </w:pPr>
    <w:rPr>
      <w:rFonts w:ascii="华文细黑" w:hAnsi="华文细黑" w:eastAsia="华文细黑"/>
      <w:b/>
      <w:sz w:val="24"/>
    </w:rPr>
  </w:style>
  <w:style w:type="paragraph" w:customStyle="1" w:styleId="656">
    <w:name w:val="xl5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b/>
      <w:bCs/>
      <w:color w:val="FF0000"/>
      <w:kern w:val="0"/>
      <w:sz w:val="24"/>
    </w:rPr>
  </w:style>
  <w:style w:type="paragraph" w:customStyle="1" w:styleId="657">
    <w:name w:val="样式 标题 1章标题 11标题 1H1一、 + 行距: 1.5 倍行距1"/>
    <w:basedOn w:val="3"/>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658">
    <w:name w:val="4号两端对齐"/>
    <w:autoRedefine/>
    <w:qFormat/>
    <w:uiPriority w:val="0"/>
    <w:pPr>
      <w:widowControl w:val="0"/>
      <w:adjustRightInd w:val="0"/>
      <w:snapToGrid w:val="0"/>
      <w:jc w:val="both"/>
    </w:pPr>
    <w:rPr>
      <w:rFonts w:ascii="宋体" w:hAnsi="Times New Roman" w:eastAsia="宋体" w:cs="Times New Roman"/>
      <w:sz w:val="28"/>
      <w:lang w:val="en-US" w:eastAsia="zh-CN" w:bidi="ar-SA"/>
    </w:rPr>
  </w:style>
  <w:style w:type="paragraph" w:customStyle="1" w:styleId="659">
    <w:name w:val="Char Char"/>
    <w:basedOn w:val="1"/>
    <w:autoRedefine/>
    <w:qFormat/>
    <w:uiPriority w:val="0"/>
    <w:pPr>
      <w:widowControl/>
      <w:spacing w:after="160" w:line="240" w:lineRule="exact"/>
      <w:jc w:val="left"/>
    </w:pPr>
    <w:rPr>
      <w:rFonts w:ascii="Arial" w:hAnsi="Arial"/>
      <w:kern w:val="0"/>
      <w:sz w:val="20"/>
      <w:szCs w:val="20"/>
      <w:lang w:eastAsia="en-US"/>
    </w:rPr>
  </w:style>
  <w:style w:type="paragraph" w:customStyle="1" w:styleId="660">
    <w:name w:val="表目"/>
    <w:basedOn w:val="1"/>
    <w:autoRedefine/>
    <w:qFormat/>
    <w:uiPriority w:val="0"/>
    <w:pPr>
      <w:adjustRightInd w:val="0"/>
      <w:spacing w:line="480" w:lineRule="atLeast"/>
      <w:ind w:left="-105" w:leftChars="-50" w:right="-105" w:rightChars="-50"/>
      <w:jc w:val="center"/>
      <w:textAlignment w:val="baseline"/>
    </w:pPr>
    <w:rPr>
      <w:rFonts w:ascii="Arial" w:hAnsi="Arial" w:eastAsia="仿宋_GB2312" w:cs="Arial"/>
      <w:kern w:val="0"/>
      <w:sz w:val="24"/>
      <w:szCs w:val="20"/>
    </w:rPr>
  </w:style>
  <w:style w:type="paragraph" w:customStyle="1" w:styleId="661">
    <w:name w:val="地理段落"/>
    <w:basedOn w:val="1"/>
    <w:autoRedefine/>
    <w:qFormat/>
    <w:uiPriority w:val="0"/>
    <w:pPr>
      <w:adjustRightInd w:val="0"/>
      <w:snapToGrid w:val="0"/>
      <w:spacing w:line="360" w:lineRule="auto"/>
      <w:ind w:firstLine="200" w:firstLineChars="200"/>
    </w:pPr>
    <w:rPr>
      <w:rFonts w:ascii="仿宋_GB2312" w:eastAsia="仿宋_GB2312"/>
      <w:sz w:val="28"/>
      <w:szCs w:val="28"/>
    </w:rPr>
  </w:style>
  <w:style w:type="paragraph" w:customStyle="1" w:styleId="662">
    <w:name w:val="Char5"/>
    <w:basedOn w:val="1"/>
    <w:autoRedefine/>
    <w:qFormat/>
    <w:uiPriority w:val="0"/>
  </w:style>
  <w:style w:type="paragraph" w:customStyle="1" w:styleId="663">
    <w:name w:val="综述"/>
    <w:autoRedefine/>
    <w:qFormat/>
    <w:uiPriority w:val="0"/>
    <w:pPr>
      <w:spacing w:beforeLines="50" w:line="440" w:lineRule="exact"/>
      <w:ind w:firstLine="200" w:firstLineChars="200"/>
    </w:pPr>
    <w:rPr>
      <w:rFonts w:ascii="Times New Roman" w:hAnsi="Times New Roman" w:eastAsia="宋体" w:cs="MS Mincho"/>
      <w:b/>
      <w:kern w:val="2"/>
      <w:sz w:val="24"/>
      <w:szCs w:val="24"/>
      <w:lang w:val="en-US" w:eastAsia="zh-CN" w:bidi="ar-SA"/>
    </w:rPr>
  </w:style>
  <w:style w:type="paragraph" w:customStyle="1" w:styleId="664">
    <w:name w:val="样式 标题 3 + 宋体 四号1"/>
    <w:basedOn w:val="5"/>
    <w:autoRedefine/>
    <w:qFormat/>
    <w:uiPriority w:val="0"/>
    <w:pPr>
      <w:tabs>
        <w:tab w:val="left" w:pos="1260"/>
      </w:tabs>
      <w:spacing w:line="360" w:lineRule="auto"/>
      <w:ind w:left="1260" w:hanging="420"/>
    </w:pPr>
    <w:rPr>
      <w:rFonts w:ascii="宋体" w:hAnsi="宋体" w:eastAsia="黑体" w:cs="宋体"/>
      <w:kern w:val="0"/>
      <w:sz w:val="28"/>
      <w:szCs w:val="20"/>
    </w:rPr>
  </w:style>
  <w:style w:type="paragraph" w:customStyle="1" w:styleId="665">
    <w:name w:val="样式 样式 正文文本缩进 + 行距: 固定值 24 磅1 + 首行缩进:  2 字符"/>
    <w:basedOn w:val="1"/>
    <w:autoRedefine/>
    <w:qFormat/>
    <w:uiPriority w:val="0"/>
    <w:pPr>
      <w:spacing w:line="480" w:lineRule="exact"/>
      <w:ind w:firstLine="480" w:firstLineChars="200"/>
    </w:pPr>
    <w:rPr>
      <w:rFonts w:ascii="宋体" w:hAnsi="宋体" w:cs="宋体"/>
      <w:sz w:val="24"/>
      <w:szCs w:val="20"/>
    </w:rPr>
  </w:style>
  <w:style w:type="paragraph" w:customStyle="1" w:styleId="666">
    <w:name w:val="样式 标题 1 + 两端对齐"/>
    <w:basedOn w:val="3"/>
    <w:autoRedefine/>
    <w:qFormat/>
    <w:uiPriority w:val="0"/>
    <w:pPr>
      <w:keepNext w:val="0"/>
      <w:pageBreakBefore/>
      <w:widowControl/>
      <w:tabs>
        <w:tab w:val="left" w:pos="390"/>
        <w:tab w:val="left" w:pos="420"/>
      </w:tabs>
      <w:overflowPunct/>
      <w:adjustRightInd w:val="0"/>
      <w:spacing w:before="0" w:after="0" w:line="300" w:lineRule="auto"/>
      <w:ind w:left="425" w:hanging="425"/>
      <w:jc w:val="center"/>
    </w:pPr>
    <w:rPr>
      <w:rFonts w:ascii="仿宋_GB2312" w:hAnsi="Calibri" w:eastAsia="仿宋_GB2312" w:cs="宋体"/>
      <w:b w:val="0"/>
      <w:bCs w:val="0"/>
      <w:snapToGrid w:val="0"/>
      <w:color w:val="auto"/>
      <w:kern w:val="0"/>
      <w:sz w:val="32"/>
      <w:szCs w:val="32"/>
    </w:rPr>
  </w:style>
  <w:style w:type="paragraph" w:customStyle="1" w:styleId="667">
    <w:name w:val="xl85"/>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68">
    <w:name w:val="xl118"/>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69">
    <w:name w:val="xl134"/>
    <w:basedOn w:val="1"/>
    <w:autoRedefine/>
    <w:qFormat/>
    <w:uiPriority w:val="0"/>
    <w:pPr>
      <w:widowControl/>
      <w:spacing w:before="100" w:beforeAutospacing="1" w:after="100" w:afterAutospacing="1"/>
      <w:jc w:val="left"/>
    </w:pPr>
    <w:rPr>
      <w:rFonts w:ascii="Arial Unicode MS" w:hAnsi="Arial Unicode MS"/>
      <w:kern w:val="0"/>
      <w:sz w:val="20"/>
      <w:szCs w:val="20"/>
    </w:rPr>
  </w:style>
  <w:style w:type="paragraph" w:customStyle="1" w:styleId="670">
    <w:name w:val="xl168"/>
    <w:basedOn w:val="1"/>
    <w:autoRedefine/>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671">
    <w:name w:val="3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672">
    <w:name w:val="xl76"/>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673">
    <w:name w:val="表蕊"/>
    <w:basedOn w:val="1"/>
    <w:autoRedefine/>
    <w:qFormat/>
    <w:uiPriority w:val="0"/>
    <w:pPr>
      <w:adjustRightInd w:val="0"/>
      <w:spacing w:line="280" w:lineRule="atLeast"/>
      <w:jc w:val="left"/>
      <w:textAlignment w:val="baseline"/>
    </w:pPr>
    <w:rPr>
      <w:rFonts w:eastAsia="楷体_GB2312"/>
      <w:color w:val="000000"/>
      <w:spacing w:val="-10"/>
      <w:kern w:val="0"/>
    </w:rPr>
  </w:style>
  <w:style w:type="paragraph" w:customStyle="1" w:styleId="674">
    <w:name w:val="图"/>
    <w:basedOn w:val="475"/>
    <w:autoRedefine/>
    <w:qFormat/>
    <w:uiPriority w:val="0"/>
    <w:pPr>
      <w:spacing w:line="240" w:lineRule="auto"/>
      <w:ind w:firstLine="0" w:firstLineChars="0"/>
      <w:jc w:val="center"/>
    </w:pPr>
  </w:style>
  <w:style w:type="paragraph" w:customStyle="1" w:styleId="675">
    <w:name w:val="Char Char Char Char1"/>
    <w:basedOn w:val="1"/>
    <w:autoRedefine/>
    <w:qFormat/>
    <w:uiPriority w:val="0"/>
  </w:style>
  <w:style w:type="paragraph" w:customStyle="1" w:styleId="676">
    <w:name w:val="xl162"/>
    <w:basedOn w:val="1"/>
    <w:autoRedefine/>
    <w:qFormat/>
    <w:uiPriority w:val="0"/>
    <w:pPr>
      <w:widowControl/>
      <w:pBdr>
        <w:bottom w:val="single" w:color="auto" w:sz="12" w:space="0"/>
        <w:right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677">
    <w:name w:val="标题-图表"/>
    <w:basedOn w:val="1"/>
    <w:autoRedefine/>
    <w:qFormat/>
    <w:uiPriority w:val="0"/>
    <w:pPr>
      <w:spacing w:line="500" w:lineRule="exact"/>
      <w:jc w:val="center"/>
    </w:pPr>
    <w:rPr>
      <w:rFonts w:ascii="黑体" w:eastAsia="黑体"/>
      <w:sz w:val="24"/>
    </w:rPr>
  </w:style>
  <w:style w:type="paragraph" w:customStyle="1" w:styleId="678">
    <w:name w:val="BG-WZ"/>
    <w:basedOn w:val="1"/>
    <w:autoRedefine/>
    <w:qFormat/>
    <w:uiPriority w:val="0"/>
    <w:pPr>
      <w:adjustRightInd w:val="0"/>
      <w:snapToGrid w:val="0"/>
      <w:ind w:left="-51" w:right="-51"/>
      <w:jc w:val="center"/>
    </w:pPr>
    <w:rPr>
      <w:rFonts w:ascii="宋体" w:hAnsi="宋体"/>
      <w:szCs w:val="20"/>
    </w:rPr>
  </w:style>
  <w:style w:type="paragraph" w:customStyle="1" w:styleId="679">
    <w:name w:val="甲乙酮标题2"/>
    <w:basedOn w:val="4"/>
    <w:autoRedefine/>
    <w:qFormat/>
    <w:uiPriority w:val="0"/>
    <w:pPr>
      <w:tabs>
        <w:tab w:val="left" w:pos="840"/>
      </w:tabs>
      <w:ind w:left="840"/>
    </w:pPr>
    <w:rPr>
      <w:rFonts w:ascii="Times New Roman" w:hAnsi="Times New Roman" w:eastAsia="宋体"/>
      <w:kern w:val="0"/>
    </w:rPr>
  </w:style>
  <w:style w:type="paragraph" w:customStyle="1" w:styleId="680">
    <w:name w:val="char"/>
    <w:basedOn w:val="1"/>
    <w:autoRedefine/>
    <w:qFormat/>
    <w:uiPriority w:val="0"/>
    <w:pPr>
      <w:widowControl/>
      <w:spacing w:after="160"/>
      <w:jc w:val="left"/>
    </w:pPr>
    <w:rPr>
      <w:rFonts w:ascii="宋体" w:hAnsi="宋体" w:cs="宋体"/>
      <w:sz w:val="24"/>
    </w:rPr>
  </w:style>
  <w:style w:type="paragraph" w:customStyle="1" w:styleId="681">
    <w:name w:val="In Table"/>
    <w:basedOn w:val="1"/>
    <w:autoRedefine/>
    <w:qFormat/>
    <w:uiPriority w:val="0"/>
    <w:pPr>
      <w:keepNext/>
      <w:tabs>
        <w:tab w:val="left" w:pos="3960"/>
        <w:tab w:val="left" w:pos="5280"/>
      </w:tabs>
      <w:snapToGrid w:val="0"/>
      <w:spacing w:beforeLines="40" w:afterLines="40" w:line="0" w:lineRule="atLeast"/>
      <w:contextualSpacing/>
      <w:jc w:val="center"/>
    </w:pPr>
    <w:rPr>
      <w:rFonts w:ascii="Tahoma" w:hAnsi="Tahoma" w:eastAsia="华文中宋" w:cs="Arial"/>
      <w:szCs w:val="20"/>
    </w:rPr>
  </w:style>
  <w:style w:type="paragraph" w:customStyle="1" w:styleId="682">
    <w:name w:val="xl49"/>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683">
    <w:name w:val="表的格式（小四）"/>
    <w:basedOn w:val="1"/>
    <w:autoRedefine/>
    <w:qFormat/>
    <w:uiPriority w:val="0"/>
    <w:pPr>
      <w:adjustRightInd w:val="0"/>
      <w:spacing w:line="360" w:lineRule="atLeast"/>
      <w:jc w:val="center"/>
    </w:pPr>
    <w:rPr>
      <w:kern w:val="0"/>
      <w:sz w:val="24"/>
      <w:szCs w:val="20"/>
    </w:rPr>
  </w:style>
  <w:style w:type="paragraph" w:customStyle="1" w:styleId="684">
    <w:name w:val="术语标题"/>
    <w:basedOn w:val="1"/>
    <w:next w:val="1"/>
    <w:autoRedefine/>
    <w:qFormat/>
    <w:uiPriority w:val="0"/>
    <w:pPr>
      <w:ind w:firstLine="425"/>
    </w:pPr>
    <w:rPr>
      <w:rFonts w:ascii="黑体" w:eastAsia="黑体"/>
      <w:szCs w:val="20"/>
    </w:rPr>
  </w:style>
  <w:style w:type="paragraph" w:customStyle="1" w:styleId="685">
    <w:name w:val="东明_正文 Char Char Char"/>
    <w:basedOn w:val="1"/>
    <w:autoRedefine/>
    <w:qFormat/>
    <w:uiPriority w:val="0"/>
    <w:pPr>
      <w:spacing w:before="240" w:after="240" w:line="480" w:lineRule="exact"/>
      <w:ind w:firstLine="560" w:firstLineChars="200"/>
    </w:pPr>
    <w:rPr>
      <w:sz w:val="28"/>
      <w:szCs w:val="20"/>
    </w:rPr>
  </w:style>
  <w:style w:type="paragraph" w:customStyle="1" w:styleId="686">
    <w:name w:val="样式 表标题4.9 + 居中"/>
    <w:basedOn w:val="1"/>
    <w:autoRedefine/>
    <w:qFormat/>
    <w:uiPriority w:val="0"/>
    <w:pPr>
      <w:numPr>
        <w:ilvl w:val="0"/>
        <w:numId w:val="7"/>
      </w:numPr>
      <w:tabs>
        <w:tab w:val="center" w:pos="4060"/>
        <w:tab w:val="right" w:pos="8261"/>
      </w:tabs>
      <w:suppressAutoHyphens/>
      <w:adjustRightInd w:val="0"/>
      <w:spacing w:before="240" w:line="0" w:lineRule="atLeast"/>
      <w:jc w:val="center"/>
    </w:pPr>
    <w:rPr>
      <w:rFonts w:ascii="黑体" w:eastAsia="黑体" w:cs="宋体"/>
      <w:b/>
      <w:bCs/>
      <w:spacing w:val="6"/>
      <w:kern w:val="0"/>
      <w:sz w:val="26"/>
      <w:szCs w:val="20"/>
    </w:rPr>
  </w:style>
  <w:style w:type="paragraph" w:customStyle="1" w:styleId="687">
    <w:name w:val="(文字) (文字)"/>
    <w:basedOn w:val="1"/>
    <w:autoRedefine/>
    <w:qFormat/>
    <w:uiPriority w:val="0"/>
  </w:style>
  <w:style w:type="paragraph" w:customStyle="1" w:styleId="688">
    <w:name w:val="xl170"/>
    <w:basedOn w:val="1"/>
    <w:autoRedefine/>
    <w:qFormat/>
    <w:uiPriority w:val="0"/>
    <w:pPr>
      <w:widowControl/>
      <w:pBdr>
        <w:left w:val="single" w:color="auto" w:sz="4" w:space="0"/>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689">
    <w:name w:val="xl92"/>
    <w:basedOn w:val="1"/>
    <w:autoRedefine/>
    <w:qFormat/>
    <w:uiPriority w:val="0"/>
    <w:pPr>
      <w:widowControl/>
      <w:pBdr>
        <w:top w:val="single" w:color="auto" w:sz="12" w:space="0"/>
        <w:left w:val="single" w:color="auto" w:sz="12" w:space="0"/>
        <w:right w:val="single" w:color="auto" w:sz="4"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90">
    <w:name w:val="首页脚注"/>
    <w:basedOn w:val="51"/>
    <w:autoRedefine/>
    <w:qFormat/>
    <w:uiPriority w:val="0"/>
    <w:pPr>
      <w:keepLines/>
      <w:widowControl/>
      <w:tabs>
        <w:tab w:val="center" w:pos="4320"/>
        <w:tab w:val="clear" w:pos="4153"/>
        <w:tab w:val="clear" w:pos="8306"/>
      </w:tabs>
      <w:overflowPunct w:val="0"/>
      <w:autoSpaceDE w:val="0"/>
      <w:autoSpaceDN w:val="0"/>
      <w:adjustRightInd w:val="0"/>
      <w:snapToGrid/>
      <w:jc w:val="center"/>
      <w:textAlignment w:val="baseline"/>
    </w:pPr>
    <w:rPr>
      <w:sz w:val="20"/>
    </w:rPr>
  </w:style>
  <w:style w:type="paragraph" w:customStyle="1" w:styleId="691">
    <w:name w:val="文本框文字格式"/>
    <w:basedOn w:val="1"/>
    <w:autoRedefine/>
    <w:qFormat/>
    <w:uiPriority w:val="0"/>
    <w:pPr>
      <w:jc w:val="center"/>
    </w:pPr>
    <w:rPr>
      <w:sz w:val="24"/>
    </w:rPr>
  </w:style>
  <w:style w:type="paragraph" w:customStyle="1" w:styleId="692">
    <w:name w:val="Char Char Char Char Char Char Char Char Char Char Char Char Char Char Char Char Char Char Char1"/>
    <w:basedOn w:val="1"/>
    <w:autoRedefine/>
    <w:qFormat/>
    <w:uiPriority w:val="0"/>
    <w:pPr>
      <w:widowControl/>
      <w:contextualSpacing/>
      <w:jc w:val="left"/>
    </w:pPr>
    <w:rPr>
      <w:rFonts w:cs="宋体"/>
      <w:kern w:val="0"/>
    </w:rPr>
  </w:style>
  <w:style w:type="paragraph" w:customStyle="1" w:styleId="693">
    <w:name w:val="标2"/>
    <w:basedOn w:val="4"/>
    <w:next w:val="294"/>
    <w:autoRedefine/>
    <w:qFormat/>
    <w:uiPriority w:val="0"/>
    <w:pPr>
      <w:tabs>
        <w:tab w:val="left" w:pos="0"/>
      </w:tabs>
      <w:spacing w:before="0" w:after="0" w:line="240" w:lineRule="auto"/>
      <w:ind w:left="576" w:hanging="576"/>
      <w:contextualSpacing/>
      <w:jc w:val="left"/>
    </w:pPr>
    <w:rPr>
      <w:rFonts w:ascii="黑体" w:hAnsi="黑体" w:cs="宋体"/>
      <w:bCs w:val="0"/>
      <w:sz w:val="30"/>
      <w:szCs w:val="20"/>
    </w:rPr>
  </w:style>
  <w:style w:type="paragraph" w:customStyle="1" w:styleId="694">
    <w:name w:val="style12"/>
    <w:basedOn w:val="1"/>
    <w:autoRedefine/>
    <w:qFormat/>
    <w:uiPriority w:val="0"/>
    <w:pPr>
      <w:widowControl/>
      <w:spacing w:before="100" w:beforeAutospacing="1" w:after="100" w:afterAutospacing="1"/>
      <w:jc w:val="left"/>
    </w:pPr>
    <w:rPr>
      <w:rFonts w:ascii="Arial" w:hAnsi="Arial" w:cs="Arial"/>
      <w:color w:val="666666"/>
      <w:kern w:val="0"/>
      <w:sz w:val="18"/>
      <w:szCs w:val="18"/>
    </w:rPr>
  </w:style>
  <w:style w:type="paragraph" w:customStyle="1" w:styleId="695">
    <w:name w:val="xl62"/>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696">
    <w:name w:val="样式6"/>
    <w:basedOn w:val="1"/>
    <w:next w:val="1"/>
    <w:autoRedefine/>
    <w:qFormat/>
    <w:uiPriority w:val="0"/>
    <w:pPr>
      <w:adjustRightInd w:val="0"/>
      <w:jc w:val="center"/>
      <w:textAlignment w:val="center"/>
    </w:pPr>
  </w:style>
  <w:style w:type="paragraph" w:customStyle="1" w:styleId="697">
    <w:name w:val="样式8"/>
    <w:basedOn w:val="1"/>
    <w:next w:val="1"/>
    <w:autoRedefine/>
    <w:qFormat/>
    <w:uiPriority w:val="0"/>
    <w:pPr>
      <w:ind w:firstLine="420"/>
    </w:pPr>
    <w:rPr>
      <w:rFonts w:ascii="宋体" w:hAnsi="Arial Black" w:cs="宋体"/>
      <w:sz w:val="24"/>
    </w:rPr>
  </w:style>
  <w:style w:type="paragraph" w:customStyle="1" w:styleId="698">
    <w:name w:val="工业统一正文"/>
    <w:basedOn w:val="1"/>
    <w:autoRedefine/>
    <w:qFormat/>
    <w:uiPriority w:val="0"/>
    <w:pPr>
      <w:adjustRightInd w:val="0"/>
      <w:snapToGrid w:val="0"/>
      <w:spacing w:line="360" w:lineRule="auto"/>
      <w:ind w:firstLine="200" w:firstLineChars="200"/>
      <w:jc w:val="left"/>
    </w:pPr>
    <w:rPr>
      <w:rFonts w:ascii="宋体"/>
      <w:sz w:val="28"/>
      <w:szCs w:val="20"/>
    </w:rPr>
  </w:style>
  <w:style w:type="paragraph" w:customStyle="1" w:styleId="699">
    <w:name w:val="菏泽-正文 Char Char Char"/>
    <w:basedOn w:val="1"/>
    <w:autoRedefine/>
    <w:qFormat/>
    <w:uiPriority w:val="0"/>
    <w:pPr>
      <w:spacing w:line="440" w:lineRule="exact"/>
      <w:ind w:firstLine="420" w:firstLineChars="200"/>
    </w:pPr>
    <w:rPr>
      <w:rFonts w:ascii="Arial" w:hAnsi="Arial" w:eastAsia="华文细黑"/>
      <w:szCs w:val="20"/>
    </w:rPr>
  </w:style>
  <w:style w:type="paragraph" w:customStyle="1" w:styleId="700">
    <w:name w:val="xl173"/>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701">
    <w:name w:val="pian"/>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702">
    <w:name w:val="缩进"/>
    <w:basedOn w:val="1"/>
    <w:autoRedefine/>
    <w:qFormat/>
    <w:uiPriority w:val="0"/>
    <w:pPr>
      <w:autoSpaceDE w:val="0"/>
      <w:autoSpaceDN w:val="0"/>
      <w:adjustRightInd w:val="0"/>
      <w:spacing w:line="400" w:lineRule="atLeast"/>
      <w:ind w:firstLine="200" w:firstLineChars="200"/>
      <w:textAlignment w:val="baseline"/>
    </w:pPr>
    <w:rPr>
      <w:kern w:val="0"/>
      <w:sz w:val="24"/>
      <w:szCs w:val="20"/>
    </w:rPr>
  </w:style>
  <w:style w:type="paragraph" w:customStyle="1" w:styleId="703">
    <w:name w:val="工艺统一正文"/>
    <w:basedOn w:val="1"/>
    <w:autoRedefine/>
    <w:qFormat/>
    <w:uiPriority w:val="0"/>
    <w:pPr>
      <w:adjustRightInd w:val="0"/>
      <w:snapToGrid w:val="0"/>
      <w:spacing w:line="360" w:lineRule="auto"/>
      <w:ind w:firstLine="578"/>
    </w:pPr>
    <w:rPr>
      <w:rFonts w:ascii="宋体"/>
      <w:sz w:val="28"/>
      <w:szCs w:val="20"/>
    </w:rPr>
  </w:style>
  <w:style w:type="paragraph" w:customStyle="1" w:styleId="704">
    <w:name w:val="样式 楷体_GB2312 居中"/>
    <w:basedOn w:val="1"/>
    <w:autoRedefine/>
    <w:qFormat/>
    <w:uiPriority w:val="0"/>
    <w:pPr>
      <w:spacing w:line="360" w:lineRule="auto"/>
      <w:jc w:val="center"/>
    </w:pPr>
    <w:rPr>
      <w:rFonts w:ascii="楷体_GB2312" w:eastAsia="楷体_GB2312"/>
      <w:szCs w:val="20"/>
      <w:lang w:bidi="ar-OM"/>
    </w:rPr>
  </w:style>
  <w:style w:type="paragraph" w:customStyle="1" w:styleId="705">
    <w:name w:val="居中正文"/>
    <w:basedOn w:val="81"/>
    <w:autoRedefine/>
    <w:qFormat/>
    <w:uiPriority w:val="0"/>
    <w:pPr>
      <w:adjustRightInd w:val="0"/>
      <w:spacing w:before="120" w:after="0" w:line="360" w:lineRule="auto"/>
      <w:ind w:firstLine="0" w:firstLineChars="0"/>
      <w:jc w:val="center"/>
      <w:textAlignment w:val="baseline"/>
    </w:pPr>
    <w:rPr>
      <w:rFonts w:ascii="宋体"/>
      <w:kern w:val="28"/>
      <w:sz w:val="24"/>
      <w:szCs w:val="20"/>
    </w:rPr>
  </w:style>
  <w:style w:type="paragraph" w:customStyle="1" w:styleId="706">
    <w:name w:val="Char4"/>
    <w:basedOn w:val="1"/>
    <w:autoRedefine/>
    <w:qFormat/>
    <w:uiPriority w:val="0"/>
    <w:pPr>
      <w:widowControl/>
      <w:spacing w:after="160"/>
      <w:jc w:val="left"/>
    </w:pPr>
    <w:rPr>
      <w:rFonts w:ascii="Verdana" w:hAnsi="Verdana" w:eastAsia="仿宋_GB2312" w:cs="”“Times New Roman”“"/>
      <w:kern w:val="0"/>
      <w:sz w:val="28"/>
      <w:szCs w:val="28"/>
      <w:lang w:eastAsia="en-US"/>
    </w:rPr>
  </w:style>
  <w:style w:type="paragraph" w:customStyle="1" w:styleId="707">
    <w:name w:val="CM75"/>
    <w:basedOn w:val="1"/>
    <w:next w:val="1"/>
    <w:autoRedefine/>
    <w:qFormat/>
    <w:uiPriority w:val="0"/>
    <w:pPr>
      <w:autoSpaceDE w:val="0"/>
      <w:autoSpaceDN w:val="0"/>
      <w:adjustRightInd w:val="0"/>
      <w:spacing w:after="60"/>
      <w:jc w:val="left"/>
    </w:pPr>
    <w:rPr>
      <w:rFonts w:ascii="Sim Sun+ 2" w:eastAsia="Sim Sun+ 2" w:cs="Sim Sun+ 2"/>
      <w:kern w:val="0"/>
      <w:sz w:val="24"/>
    </w:rPr>
  </w:style>
  <w:style w:type="paragraph" w:customStyle="1" w:styleId="708">
    <w:name w:val="WPS Plain"/>
    <w:autoRedefine/>
    <w:qFormat/>
    <w:uiPriority w:val="0"/>
    <w:rPr>
      <w:rFonts w:ascii="Times New Roman" w:hAnsi="Times New Roman" w:eastAsia="宋体" w:cs="Times New Roman"/>
      <w:lang w:val="en-US" w:eastAsia="zh-CN" w:bidi="ar-SA"/>
    </w:rPr>
  </w:style>
  <w:style w:type="paragraph" w:customStyle="1" w:styleId="709">
    <w:name w:val="xl133"/>
    <w:basedOn w:val="1"/>
    <w:autoRedefine/>
    <w:qFormat/>
    <w:uiPriority w:val="0"/>
    <w:pPr>
      <w:widowControl/>
      <w:pBdr>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710">
    <w:name w:val="xl57"/>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711">
    <w:name w:val="宏福正文-2"/>
    <w:basedOn w:val="81"/>
    <w:autoRedefine/>
    <w:qFormat/>
    <w:uiPriority w:val="0"/>
    <w:pPr>
      <w:snapToGrid w:val="0"/>
      <w:spacing w:before="240" w:after="0" w:line="400" w:lineRule="atLeast"/>
      <w:ind w:firstLine="567" w:firstLineChars="0"/>
    </w:pPr>
    <w:rPr>
      <w:kern w:val="0"/>
      <w:sz w:val="28"/>
    </w:rPr>
  </w:style>
  <w:style w:type="paragraph" w:customStyle="1" w:styleId="712">
    <w:name w:val="正文2"/>
    <w:autoRedefine/>
    <w:qFormat/>
    <w:uiPriority w:val="0"/>
    <w:pPr>
      <w:widowControl w:val="0"/>
      <w:tabs>
        <w:tab w:val="left" w:pos="567"/>
      </w:tabs>
      <w:adjustRightInd w:val="0"/>
      <w:spacing w:line="360" w:lineRule="atLeast"/>
      <w:jc w:val="both"/>
      <w:textAlignment w:val="baseline"/>
    </w:pPr>
    <w:rPr>
      <w:rFonts w:ascii="Times New Roman" w:hAnsi="Courier" w:eastAsia="PMingLiU" w:cs="Times New Roman"/>
      <w:sz w:val="24"/>
      <w:lang w:val="en-US" w:eastAsia="zh-TW" w:bidi="ar-SA"/>
    </w:rPr>
  </w:style>
  <w:style w:type="paragraph" w:customStyle="1" w:styleId="713">
    <w:name w:val="我的样式（正文）"/>
    <w:basedOn w:val="1"/>
    <w:autoRedefine/>
    <w:qFormat/>
    <w:uiPriority w:val="0"/>
    <w:pPr>
      <w:spacing w:line="440" w:lineRule="exact"/>
    </w:pPr>
    <w:rPr>
      <w:rFonts w:ascii="宋体"/>
      <w:sz w:val="28"/>
      <w:szCs w:val="20"/>
    </w:rPr>
  </w:style>
  <w:style w:type="paragraph" w:customStyle="1" w:styleId="714">
    <w:name w:val="xl36"/>
    <w:basedOn w:val="1"/>
    <w:autoRedefine/>
    <w:qFormat/>
    <w:uiPriority w:val="0"/>
    <w:pPr>
      <w:widowControl/>
      <w:spacing w:before="100" w:beforeAutospacing="1" w:after="100" w:afterAutospacing="1"/>
      <w:jc w:val="left"/>
      <w:textAlignment w:val="bottom"/>
    </w:pPr>
    <w:rPr>
      <w:rFonts w:ascii="Arial" w:hAnsi="Arial" w:cs="Arial"/>
      <w:b/>
      <w:bCs/>
      <w:kern w:val="0"/>
      <w:sz w:val="24"/>
    </w:rPr>
  </w:style>
  <w:style w:type="paragraph" w:customStyle="1" w:styleId="715">
    <w:name w:val="表格文字居中 Char"/>
    <w:basedOn w:val="81"/>
    <w:autoRedefine/>
    <w:qFormat/>
    <w:uiPriority w:val="0"/>
    <w:pPr>
      <w:keepNext/>
      <w:tabs>
        <w:tab w:val="left" w:pos="628"/>
        <w:tab w:val="left" w:pos="1727"/>
        <w:tab w:val="left" w:pos="1884"/>
        <w:tab w:val="left" w:pos="2660"/>
        <w:tab w:val="left" w:pos="5460"/>
      </w:tabs>
      <w:spacing w:before="100" w:beforeAutospacing="1" w:after="0"/>
      <w:ind w:firstLine="0" w:firstLineChars="0"/>
      <w:jc w:val="center"/>
    </w:pPr>
    <w:rPr>
      <w:rFonts w:ascii="宋体"/>
      <w:bCs/>
      <w:color w:val="000000"/>
      <w:kern w:val="0"/>
      <w:sz w:val="24"/>
    </w:rPr>
  </w:style>
  <w:style w:type="paragraph" w:customStyle="1" w:styleId="716">
    <w:name w:val="Char2"/>
    <w:basedOn w:val="1"/>
    <w:autoRedefine/>
    <w:qFormat/>
    <w:uiPriority w:val="0"/>
    <w:pPr>
      <w:spacing w:line="360" w:lineRule="auto"/>
      <w:ind w:firstLine="200" w:firstLineChars="200"/>
    </w:pPr>
    <w:rPr>
      <w:rFonts w:ascii="宋体" w:hAnsi="宋体" w:cs="宋体"/>
      <w:sz w:val="24"/>
    </w:rPr>
  </w:style>
  <w:style w:type="paragraph" w:customStyle="1" w:styleId="717">
    <w:name w:val="xl58"/>
    <w:basedOn w:val="1"/>
    <w:autoRedefine/>
    <w:qFormat/>
    <w:uiPriority w:val="0"/>
    <w:pPr>
      <w:widowControl/>
      <w:spacing w:before="100" w:beforeAutospacing="1" w:after="100" w:afterAutospacing="1"/>
      <w:jc w:val="left"/>
    </w:pPr>
    <w:rPr>
      <w:rFonts w:ascii="Arial" w:hAnsi="Arial" w:cs="Arial"/>
      <w:b/>
      <w:bCs/>
      <w:kern w:val="0"/>
      <w:sz w:val="22"/>
      <w:szCs w:val="22"/>
    </w:rPr>
  </w:style>
  <w:style w:type="paragraph" w:customStyle="1" w:styleId="718">
    <w:name w:val="7表格(治)"/>
    <w:autoRedefine/>
    <w:qFormat/>
    <w:uiPriority w:val="0"/>
    <w:pPr>
      <w:jc w:val="center"/>
    </w:pPr>
    <w:rPr>
      <w:rFonts w:ascii="Calibri" w:hAnsi="Calibri" w:eastAsia="楷体_GB2312" w:cs="Times New Roman"/>
      <w:color w:val="000000"/>
      <w:sz w:val="21"/>
      <w:lang w:val="en-US" w:eastAsia="zh-CN" w:bidi="ar-SA"/>
    </w:rPr>
  </w:style>
  <w:style w:type="paragraph" w:customStyle="1" w:styleId="719">
    <w:name w:val="环表"/>
    <w:basedOn w:val="553"/>
    <w:autoRedefine/>
    <w:qFormat/>
    <w:uiPriority w:val="0"/>
    <w:pPr>
      <w:tabs>
        <w:tab w:val="left" w:pos="1464"/>
        <w:tab w:val="left" w:pos="5094"/>
      </w:tabs>
      <w:suppressAutoHyphens w:val="0"/>
      <w:spacing w:before="120" w:after="120" w:line="324" w:lineRule="auto"/>
      <w:ind w:left="7" w:right="29" w:firstLine="539"/>
      <w:jc w:val="center"/>
    </w:pPr>
    <w:rPr>
      <w:rFonts w:hAnsi="Courier New"/>
      <w:sz w:val="21"/>
    </w:rPr>
  </w:style>
  <w:style w:type="paragraph" w:customStyle="1" w:styleId="720">
    <w:name w:val="Char Char Char Char Char Char Char2"/>
    <w:basedOn w:val="1"/>
    <w:autoRedefine/>
    <w:qFormat/>
    <w:uiPriority w:val="0"/>
    <w:pPr>
      <w:widowControl/>
      <w:spacing w:after="160" w:line="240" w:lineRule="exact"/>
      <w:contextualSpacing/>
      <w:jc w:val="left"/>
    </w:pPr>
    <w:rPr>
      <w:rFonts w:ascii="Arial" w:hAnsi="Arial" w:eastAsia="Times New Roman" w:cs="Verdana"/>
      <w:b/>
      <w:kern w:val="0"/>
      <w:lang w:eastAsia="en-US"/>
    </w:rPr>
  </w:style>
  <w:style w:type="paragraph" w:customStyle="1" w:styleId="721">
    <w:name w:val="xl59"/>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722">
    <w:name w:val="w4"/>
    <w:basedOn w:val="1"/>
    <w:autoRedefine/>
    <w:qFormat/>
    <w:uiPriority w:val="0"/>
    <w:pPr>
      <w:widowControl/>
      <w:spacing w:before="100" w:beforeAutospacing="1" w:after="100" w:afterAutospacing="1" w:line="336" w:lineRule="auto"/>
      <w:ind w:firstLine="360"/>
      <w:jc w:val="left"/>
    </w:pPr>
    <w:rPr>
      <w:rFonts w:ascii="Calibri" w:hAnsi="Calibri"/>
      <w:color w:val="8A5E00"/>
      <w:kern w:val="0"/>
      <w:sz w:val="18"/>
      <w:szCs w:val="18"/>
    </w:rPr>
  </w:style>
  <w:style w:type="paragraph" w:customStyle="1" w:styleId="723">
    <w:name w:val="xl176"/>
    <w:basedOn w:val="1"/>
    <w:autoRedefine/>
    <w:qFormat/>
    <w:uiPriority w:val="0"/>
    <w:pPr>
      <w:widowControl/>
      <w:pBdr>
        <w:top w:val="single" w:color="auto" w:sz="12" w:space="0"/>
        <w:left w:val="single" w:color="auto" w:sz="12" w:space="0"/>
      </w:pBdr>
      <w:spacing w:before="100" w:beforeAutospacing="1" w:after="100" w:afterAutospacing="1"/>
      <w:jc w:val="left"/>
    </w:pPr>
    <w:rPr>
      <w:rFonts w:ascii="Arial Unicode MS" w:hAnsi="Arial Unicode MS"/>
      <w:kern w:val="0"/>
    </w:rPr>
  </w:style>
  <w:style w:type="paragraph" w:customStyle="1" w:styleId="724">
    <w:name w:val="表格文字居中"/>
    <w:basedOn w:val="1"/>
    <w:next w:val="81"/>
    <w:autoRedefine/>
    <w:qFormat/>
    <w:uiPriority w:val="0"/>
    <w:pPr>
      <w:keepNext/>
      <w:tabs>
        <w:tab w:val="left" w:pos="628"/>
        <w:tab w:val="left" w:pos="1727"/>
        <w:tab w:val="left" w:pos="1884"/>
      </w:tabs>
      <w:adjustRightInd w:val="0"/>
      <w:snapToGrid w:val="0"/>
      <w:contextualSpacing/>
      <w:jc w:val="center"/>
    </w:pPr>
    <w:rPr>
      <w:bCs/>
      <w:color w:val="000000"/>
      <w:kern w:val="0"/>
    </w:rPr>
  </w:style>
  <w:style w:type="paragraph" w:customStyle="1" w:styleId="725">
    <w:name w:val="缺省文本_宋体"/>
    <w:basedOn w:val="1"/>
    <w:autoRedefine/>
    <w:qFormat/>
    <w:uiPriority w:val="0"/>
    <w:pPr>
      <w:tabs>
        <w:tab w:val="left" w:pos="525"/>
        <w:tab w:val="center" w:pos="5670"/>
        <w:tab w:val="right" w:pos="7655"/>
      </w:tabs>
      <w:spacing w:before="80" w:after="120" w:line="360" w:lineRule="auto"/>
      <w:outlineLvl w:val="7"/>
    </w:pPr>
    <w:rPr>
      <w:spacing w:val="16"/>
      <w:kern w:val="28"/>
      <w:sz w:val="24"/>
      <w:szCs w:val="20"/>
    </w:rPr>
  </w:style>
  <w:style w:type="paragraph" w:customStyle="1" w:styleId="726">
    <w:name w:val="流程图"/>
    <w:basedOn w:val="1"/>
    <w:autoRedefine/>
    <w:qFormat/>
    <w:uiPriority w:val="0"/>
    <w:pPr>
      <w:tabs>
        <w:tab w:val="left" w:pos="0"/>
      </w:tabs>
      <w:autoSpaceDE w:val="0"/>
      <w:autoSpaceDN w:val="0"/>
      <w:adjustRightInd w:val="0"/>
      <w:spacing w:line="240" w:lineRule="atLeast"/>
      <w:jc w:val="center"/>
      <w:textAlignment w:val="bottom"/>
    </w:pPr>
    <w:rPr>
      <w:rFonts w:ascii="宋体"/>
      <w:szCs w:val="20"/>
    </w:rPr>
  </w:style>
  <w:style w:type="paragraph" w:customStyle="1" w:styleId="727">
    <w:name w:val="流程文字"/>
    <w:basedOn w:val="1"/>
    <w:autoRedefine/>
    <w:qFormat/>
    <w:uiPriority w:val="0"/>
    <w:pPr>
      <w:tabs>
        <w:tab w:val="left" w:pos="6480"/>
      </w:tabs>
      <w:topLinePunct/>
      <w:adjustRightInd w:val="0"/>
      <w:snapToGrid w:val="0"/>
      <w:jc w:val="center"/>
    </w:pPr>
    <w:rPr>
      <w:rFonts w:eastAsia="仿宋_GB2312"/>
      <w:szCs w:val="20"/>
    </w:rPr>
  </w:style>
  <w:style w:type="paragraph" w:customStyle="1" w:styleId="728">
    <w:name w:val="表格1"/>
    <w:basedOn w:val="1"/>
    <w:autoRedefine/>
    <w:qFormat/>
    <w:uiPriority w:val="0"/>
    <w:pPr>
      <w:jc w:val="center"/>
    </w:pPr>
  </w:style>
  <w:style w:type="paragraph" w:customStyle="1" w:styleId="729">
    <w:name w:val="xl53"/>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730">
    <w:name w:val="EIA1"/>
    <w:basedOn w:val="3"/>
    <w:autoRedefine/>
    <w:qFormat/>
    <w:uiPriority w:val="0"/>
    <w:pPr>
      <w:tabs>
        <w:tab w:val="left" w:pos="390"/>
      </w:tabs>
      <w:overflowPunct/>
      <w:snapToGrid/>
      <w:spacing w:before="0" w:after="0" w:line="480" w:lineRule="auto"/>
      <w:ind w:left="390" w:firstLine="0"/>
      <w:jc w:val="left"/>
    </w:pPr>
    <w:rPr>
      <w:rFonts w:ascii="Calibri" w:hAnsi="Calibri" w:eastAsia="宋体"/>
      <w:bCs w:val="0"/>
      <w:color w:val="auto"/>
      <w:kern w:val="2"/>
      <w:sz w:val="32"/>
      <w:szCs w:val="20"/>
    </w:rPr>
  </w:style>
  <w:style w:type="paragraph" w:customStyle="1" w:styleId="731">
    <w:name w:val="标准条文"/>
    <w:basedOn w:val="732"/>
    <w:next w:val="732"/>
    <w:autoRedefine/>
    <w:qFormat/>
    <w:uiPriority w:val="0"/>
    <w:rPr>
      <w:rFonts w:ascii="宋体"/>
      <w:color w:val="auto"/>
    </w:rPr>
  </w:style>
  <w:style w:type="paragraph" w:customStyle="1" w:styleId="732">
    <w:name w:val="Default"/>
    <w:next w:val="1"/>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733">
    <w:name w:val="font5"/>
    <w:basedOn w:val="1"/>
    <w:autoRedefine/>
    <w:qFormat/>
    <w:uiPriority w:val="0"/>
    <w:pPr>
      <w:widowControl/>
      <w:spacing w:before="100" w:beforeAutospacing="1" w:after="100" w:afterAutospacing="1"/>
      <w:jc w:val="left"/>
    </w:pPr>
    <w:rPr>
      <w:rFonts w:hint="eastAsia" w:ascii="宋体" w:hAnsi="宋体"/>
      <w:kern w:val="0"/>
      <w:sz w:val="18"/>
      <w:szCs w:val="18"/>
    </w:rPr>
  </w:style>
  <w:style w:type="paragraph" w:customStyle="1" w:styleId="734">
    <w:name w:val="表格标题2"/>
    <w:basedOn w:val="160"/>
    <w:autoRedefine/>
    <w:qFormat/>
    <w:uiPriority w:val="0"/>
    <w:pPr>
      <w:adjustRightInd/>
      <w:snapToGrid/>
      <w:spacing w:line="360" w:lineRule="auto"/>
      <w:jc w:val="left"/>
      <w:textAlignment w:val="auto"/>
    </w:pPr>
    <w:rPr>
      <w:rFonts w:eastAsia="宋体"/>
      <w:b/>
      <w:color w:val="000000"/>
      <w:sz w:val="24"/>
      <w:szCs w:val="21"/>
    </w:rPr>
  </w:style>
  <w:style w:type="paragraph" w:customStyle="1" w:styleId="735">
    <w:name w:val="图文字"/>
    <w:basedOn w:val="1"/>
    <w:autoRedefine/>
    <w:qFormat/>
    <w:uiPriority w:val="0"/>
    <w:pPr>
      <w:spacing w:line="400" w:lineRule="exact"/>
      <w:jc w:val="center"/>
    </w:pPr>
    <w:rPr>
      <w:rFonts w:ascii="宋体" w:hAnsi="宋体"/>
      <w:kern w:val="44"/>
      <w:sz w:val="24"/>
    </w:rPr>
  </w:style>
  <w:style w:type="paragraph" w:customStyle="1" w:styleId="736">
    <w:name w:val="xl52"/>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737">
    <w:name w:val="xl159"/>
    <w:basedOn w:val="1"/>
    <w:autoRedefine/>
    <w:qFormat/>
    <w:uiPriority w:val="0"/>
    <w:pPr>
      <w:widowControl/>
      <w:pBdr>
        <w:right w:val="single" w:color="auto" w:sz="4" w:space="0"/>
      </w:pBdr>
      <w:spacing w:before="100" w:beforeAutospacing="1" w:after="100" w:afterAutospacing="1"/>
      <w:jc w:val="left"/>
    </w:pPr>
    <w:rPr>
      <w:rFonts w:ascii="Arial Unicode MS" w:hAnsi="Arial Unicode MS"/>
      <w:kern w:val="0"/>
    </w:rPr>
  </w:style>
  <w:style w:type="paragraph" w:customStyle="1" w:styleId="738">
    <w:name w:val="GY6"/>
    <w:basedOn w:val="1"/>
    <w:autoRedefine/>
    <w:qFormat/>
    <w:uiPriority w:val="0"/>
    <w:pPr>
      <w:tabs>
        <w:tab w:val="left" w:pos="840"/>
      </w:tabs>
      <w:adjustRightInd w:val="0"/>
      <w:snapToGrid w:val="0"/>
      <w:spacing w:line="360" w:lineRule="auto"/>
    </w:pPr>
    <w:rPr>
      <w:rFonts w:hint="eastAsia" w:ascii="宋体" w:hAnsi="宋体"/>
      <w:sz w:val="28"/>
      <w:szCs w:val="20"/>
    </w:rPr>
  </w:style>
  <w:style w:type="paragraph" w:customStyle="1" w:styleId="739">
    <w:name w:val="a"/>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740">
    <w:name w:val="甲乙酮标题4"/>
    <w:basedOn w:val="6"/>
    <w:autoRedefine/>
    <w:qFormat/>
    <w:uiPriority w:val="0"/>
    <w:pPr>
      <w:tabs>
        <w:tab w:val="left" w:pos="1680"/>
      </w:tabs>
      <w:spacing w:before="100" w:after="100" w:line="377" w:lineRule="auto"/>
      <w:ind w:left="1680"/>
    </w:pPr>
    <w:rPr>
      <w:rFonts w:ascii="Times New Roman" w:hAnsi="Times New Roman"/>
      <w:sz w:val="24"/>
      <w:szCs w:val="24"/>
    </w:rPr>
  </w:style>
  <w:style w:type="paragraph" w:customStyle="1" w:styleId="741">
    <w:name w:val="样式10"/>
    <w:basedOn w:val="3"/>
    <w:autoRedefine/>
    <w:qFormat/>
    <w:uiPriority w:val="0"/>
    <w:pPr>
      <w:keepLines/>
      <w:tabs>
        <w:tab w:val="left" w:pos="390"/>
      </w:tabs>
      <w:overflowPunct/>
      <w:snapToGrid/>
      <w:spacing w:before="340" w:beforeLines="100" w:after="330" w:afterLines="100" w:line="520" w:lineRule="exact"/>
      <w:ind w:left="390" w:firstLine="0"/>
    </w:pPr>
    <w:rPr>
      <w:rFonts w:ascii="Calibri" w:hAnsi="Calibri" w:eastAsia="宋体"/>
      <w:color w:val="FF0000"/>
    </w:rPr>
  </w:style>
  <w:style w:type="paragraph" w:customStyle="1" w:styleId="742">
    <w:name w:val="xl146"/>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743">
    <w:name w:val="标题 2 + 黑体"/>
    <w:basedOn w:val="4"/>
    <w:autoRedefine/>
    <w:qFormat/>
    <w:uiPriority w:val="0"/>
    <w:pPr>
      <w:keepNext w:val="0"/>
      <w:keepLines w:val="0"/>
      <w:tabs>
        <w:tab w:val="left" w:pos="280"/>
        <w:tab w:val="left" w:pos="1400"/>
      </w:tabs>
      <w:adjustRightInd w:val="0"/>
      <w:snapToGrid w:val="0"/>
      <w:spacing w:before="50" w:after="240" w:line="480" w:lineRule="exact"/>
      <w:ind w:left="1233" w:right="100" w:rightChars="100" w:firstLine="567"/>
      <w:jc w:val="left"/>
    </w:pPr>
    <w:rPr>
      <w:rFonts w:ascii="黑体" w:hAnsi="黑体"/>
      <w:b w:val="0"/>
      <w:bCs w:val="0"/>
      <w:sz w:val="28"/>
      <w:szCs w:val="28"/>
    </w:rPr>
  </w:style>
  <w:style w:type="paragraph" w:customStyle="1" w:styleId="744">
    <w:name w:val="xl96"/>
    <w:basedOn w:val="1"/>
    <w:autoRedefine/>
    <w:qFormat/>
    <w:uiPriority w:val="0"/>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745">
    <w:name w:val="报告书表格"/>
    <w:basedOn w:val="1"/>
    <w:autoRedefine/>
    <w:qFormat/>
    <w:uiPriority w:val="0"/>
    <w:pPr>
      <w:adjustRightInd w:val="0"/>
      <w:spacing w:before="60" w:after="60" w:line="240" w:lineRule="atLeast"/>
      <w:jc w:val="center"/>
      <w:textAlignment w:val="baseline"/>
    </w:pPr>
    <w:rPr>
      <w:kern w:val="0"/>
      <w:szCs w:val="20"/>
    </w:rPr>
  </w:style>
  <w:style w:type="paragraph" w:customStyle="1" w:styleId="746">
    <w:name w:val="表后文"/>
    <w:basedOn w:val="1"/>
    <w:autoRedefine/>
    <w:qFormat/>
    <w:uiPriority w:val="0"/>
    <w:pPr>
      <w:adjustRightInd w:val="0"/>
      <w:spacing w:before="120" w:line="400" w:lineRule="exact"/>
      <w:ind w:firstLine="601"/>
      <w:textAlignment w:val="baseline"/>
    </w:pPr>
    <w:rPr>
      <w:rFonts w:eastAsia="楷体_GB2312"/>
      <w:spacing w:val="8"/>
      <w:kern w:val="0"/>
      <w:sz w:val="28"/>
      <w:szCs w:val="20"/>
    </w:rPr>
  </w:style>
  <w:style w:type="paragraph" w:customStyle="1" w:styleId="747">
    <w:name w:val="xl144"/>
    <w:basedOn w:val="1"/>
    <w:autoRedefine/>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748">
    <w:name w:val="图编号"/>
    <w:basedOn w:val="417"/>
    <w:autoRedefine/>
    <w:qFormat/>
    <w:uiPriority w:val="0"/>
    <w:pPr>
      <w:tabs>
        <w:tab w:val="left" w:pos="763"/>
        <w:tab w:val="left" w:pos="1440"/>
      </w:tabs>
      <w:spacing w:before="300" w:after="300" w:line="360" w:lineRule="auto"/>
      <w:ind w:left="400" w:leftChars="400" w:hanging="200" w:hangingChars="200"/>
    </w:pPr>
    <w:rPr>
      <w:rFonts w:ascii="Times New Roman" w:hAnsi="Times New Roman" w:eastAsia="宋体"/>
      <w:kern w:val="0"/>
      <w:sz w:val="20"/>
      <w:szCs w:val="24"/>
    </w:rPr>
  </w:style>
  <w:style w:type="paragraph" w:customStyle="1" w:styleId="749">
    <w:name w:val="xl169"/>
    <w:basedOn w:val="1"/>
    <w:autoRedefine/>
    <w:qFormat/>
    <w:uiPriority w:val="0"/>
    <w:pPr>
      <w:widowControl/>
      <w:pBdr>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750">
    <w:name w:val="样式13"/>
    <w:basedOn w:val="1"/>
    <w:next w:val="30"/>
    <w:autoRedefine/>
    <w:qFormat/>
    <w:uiPriority w:val="0"/>
    <w:pPr>
      <w:adjustRightInd w:val="0"/>
      <w:spacing w:line="500" w:lineRule="exact"/>
      <w:ind w:firstLine="200" w:firstLineChars="200"/>
      <w:textAlignment w:val="baseline"/>
    </w:pPr>
    <w:rPr>
      <w:rFonts w:ascii="仿宋_GB2312" w:hAnsi="宋体" w:eastAsia="仿宋_GB2312"/>
      <w:color w:val="FF0000"/>
      <w:sz w:val="28"/>
      <w:szCs w:val="28"/>
    </w:rPr>
  </w:style>
  <w:style w:type="paragraph" w:customStyle="1" w:styleId="751">
    <w:name w:val="表格03"/>
    <w:basedOn w:val="1"/>
    <w:autoRedefine/>
    <w:qFormat/>
    <w:uiPriority w:val="0"/>
    <w:pPr>
      <w:spacing w:line="400" w:lineRule="exact"/>
      <w:jc w:val="center"/>
    </w:pPr>
    <w:rPr>
      <w:color w:val="000000"/>
      <w:sz w:val="24"/>
    </w:rPr>
  </w:style>
  <w:style w:type="paragraph" w:customStyle="1" w:styleId="752">
    <w:name w:val="xl104"/>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753">
    <w:name w:val="扉页 黑体缩进"/>
    <w:basedOn w:val="1"/>
    <w:autoRedefine/>
    <w:qFormat/>
    <w:uiPriority w:val="0"/>
    <w:pPr>
      <w:spacing w:before="240" w:after="240" w:line="480" w:lineRule="exact"/>
      <w:ind w:firstLine="2240" w:firstLineChars="700"/>
      <w:jc w:val="left"/>
    </w:pPr>
    <w:rPr>
      <w:rFonts w:eastAsia="黑体"/>
      <w:sz w:val="32"/>
      <w:szCs w:val="20"/>
    </w:rPr>
  </w:style>
  <w:style w:type="paragraph" w:customStyle="1" w:styleId="754">
    <w:name w:val="xl33"/>
    <w:basedOn w:val="1"/>
    <w:autoRedefine/>
    <w:qFormat/>
    <w:uiPriority w:val="0"/>
    <w:pPr>
      <w:widowControl/>
      <w:spacing w:before="100" w:beforeAutospacing="1" w:after="100" w:afterAutospacing="1"/>
      <w:jc w:val="left"/>
    </w:pPr>
    <w:rPr>
      <w:rFonts w:ascii="Arial" w:hAnsi="Arial" w:cs="Arial"/>
      <w:kern w:val="0"/>
      <w:sz w:val="22"/>
      <w:szCs w:val="22"/>
    </w:rPr>
  </w:style>
  <w:style w:type="paragraph" w:customStyle="1" w:styleId="755">
    <w:name w:val="正文首行缩进2字"/>
    <w:basedOn w:val="1"/>
    <w:autoRedefine/>
    <w:qFormat/>
    <w:uiPriority w:val="0"/>
    <w:pPr>
      <w:adjustRightInd w:val="0"/>
      <w:snapToGrid w:val="0"/>
      <w:spacing w:line="300" w:lineRule="auto"/>
      <w:ind w:firstLine="563" w:firstLineChars="201"/>
    </w:pPr>
    <w:rPr>
      <w:sz w:val="28"/>
    </w:rPr>
  </w:style>
  <w:style w:type="paragraph" w:customStyle="1" w:styleId="756">
    <w:name w:val="xl82"/>
    <w:basedOn w:val="1"/>
    <w:autoRedefine/>
    <w:qFormat/>
    <w:uiPriority w:val="0"/>
    <w:pPr>
      <w:widowControl/>
      <w:pBdr>
        <w:left w:val="single" w:color="auto" w:sz="12" w:space="0"/>
        <w:bottom w:val="single" w:color="auto" w:sz="12" w:space="0"/>
      </w:pBdr>
      <w:spacing w:before="100" w:beforeAutospacing="1" w:after="100" w:afterAutospacing="1"/>
      <w:jc w:val="right"/>
      <w:textAlignment w:val="center"/>
    </w:pPr>
    <w:rPr>
      <w:rFonts w:ascii="Arial Unicode MS" w:hAnsi="Arial Unicode MS"/>
      <w:kern w:val="0"/>
      <w:sz w:val="12"/>
      <w:szCs w:val="12"/>
    </w:rPr>
  </w:style>
  <w:style w:type="paragraph" w:customStyle="1" w:styleId="757">
    <w:name w:val="1"/>
    <w:basedOn w:val="1"/>
    <w:next w:val="33"/>
    <w:autoRedefine/>
    <w:qFormat/>
    <w:uiPriority w:val="0"/>
    <w:pPr>
      <w:ind w:firstLine="480" w:firstLineChars="200"/>
    </w:pPr>
    <w:rPr>
      <w:sz w:val="24"/>
    </w:rPr>
  </w:style>
  <w:style w:type="paragraph" w:customStyle="1" w:styleId="758">
    <w:name w:val="样式"/>
    <w:basedOn w:val="1"/>
    <w:next w:val="372"/>
    <w:autoRedefine/>
    <w:qFormat/>
    <w:uiPriority w:val="0"/>
    <w:pPr>
      <w:tabs>
        <w:tab w:val="left" w:pos="280"/>
        <w:tab w:val="left" w:pos="620"/>
      </w:tabs>
      <w:adjustRightInd w:val="0"/>
      <w:snapToGrid w:val="0"/>
      <w:spacing w:before="240" w:after="240" w:line="480" w:lineRule="exact"/>
      <w:ind w:left="2098" w:right="392" w:rightChars="140" w:firstLine="454" w:firstLineChars="200"/>
    </w:pPr>
    <w:rPr>
      <w:sz w:val="28"/>
    </w:rPr>
  </w:style>
  <w:style w:type="paragraph" w:customStyle="1" w:styleId="759">
    <w:name w:val="高表标"/>
    <w:basedOn w:val="1"/>
    <w:autoRedefine/>
    <w:qFormat/>
    <w:uiPriority w:val="0"/>
    <w:pPr>
      <w:snapToGrid w:val="0"/>
      <w:spacing w:line="300" w:lineRule="auto"/>
      <w:jc w:val="right"/>
    </w:pPr>
    <w:rPr>
      <w:rFonts w:ascii="Arial" w:hAnsi="Arial" w:eastAsia="黑体"/>
      <w:bCs/>
      <w:sz w:val="24"/>
    </w:rPr>
  </w:style>
  <w:style w:type="paragraph" w:customStyle="1" w:styleId="760">
    <w:name w:val="五级条标题"/>
    <w:basedOn w:val="640"/>
    <w:next w:val="1"/>
    <w:autoRedefine/>
    <w:qFormat/>
    <w:uiPriority w:val="0"/>
    <w:pPr>
      <w:outlineLvl w:val="6"/>
    </w:pPr>
  </w:style>
  <w:style w:type="paragraph" w:customStyle="1" w:styleId="761">
    <w:name w:val="myformat_content Char"/>
    <w:basedOn w:val="1"/>
    <w:autoRedefine/>
    <w:qFormat/>
    <w:uiPriority w:val="0"/>
    <w:pPr>
      <w:spacing w:beforeLines="50" w:afterLines="50" w:line="360" w:lineRule="exact"/>
      <w:ind w:firstLine="480" w:firstLineChars="200"/>
    </w:pPr>
    <w:rPr>
      <w:sz w:val="24"/>
      <w:szCs w:val="20"/>
    </w:rPr>
  </w:style>
  <w:style w:type="paragraph" w:customStyle="1" w:styleId="762">
    <w:name w:val="xl123"/>
    <w:basedOn w:val="1"/>
    <w:autoRedefine/>
    <w:qFormat/>
    <w:uiPriority w:val="0"/>
    <w:pPr>
      <w:widowControl/>
      <w:pBdr>
        <w:top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763">
    <w:name w:val="xl149"/>
    <w:basedOn w:val="1"/>
    <w:autoRedefine/>
    <w:qFormat/>
    <w:uiPriority w:val="0"/>
    <w:pPr>
      <w:widowControl/>
      <w:pBdr>
        <w:bottom w:val="single" w:color="auto" w:sz="8" w:space="0"/>
        <w:right w:val="single" w:color="auto" w:sz="4" w:space="0"/>
      </w:pBdr>
      <w:spacing w:before="100" w:beforeAutospacing="1" w:after="100" w:afterAutospacing="1"/>
      <w:jc w:val="left"/>
    </w:pPr>
    <w:rPr>
      <w:rFonts w:ascii="Arial Unicode MS" w:hAnsi="Arial Unicode MS"/>
      <w:kern w:val="0"/>
    </w:rPr>
  </w:style>
  <w:style w:type="paragraph" w:customStyle="1" w:styleId="764">
    <w:name w:val="表样式3"/>
    <w:basedOn w:val="1"/>
    <w:autoRedefine/>
    <w:qFormat/>
    <w:uiPriority w:val="0"/>
    <w:pPr>
      <w:spacing w:beforeLines="50" w:afterLines="50"/>
      <w:jc w:val="center"/>
    </w:pPr>
    <w:rPr>
      <w:rFonts w:ascii="宋体" w:hAnsi="宋体" w:eastAsia="黑体"/>
      <w:color w:val="000000"/>
      <w:szCs w:val="18"/>
    </w:rPr>
  </w:style>
  <w:style w:type="paragraph" w:customStyle="1" w:styleId="765">
    <w:name w:val="word"/>
    <w:basedOn w:val="1"/>
    <w:autoRedefine/>
    <w:qFormat/>
    <w:uiPriority w:val="0"/>
    <w:pPr>
      <w:spacing w:line="360" w:lineRule="auto"/>
      <w:ind w:firstLine="480" w:firstLineChars="200"/>
    </w:pPr>
    <w:rPr>
      <w:sz w:val="24"/>
    </w:rPr>
  </w:style>
  <w:style w:type="paragraph" w:customStyle="1" w:styleId="766">
    <w:name w:val="样式 标题 2 + 行距: 1.5 倍行距"/>
    <w:basedOn w:val="4"/>
    <w:autoRedefine/>
    <w:qFormat/>
    <w:uiPriority w:val="0"/>
    <w:pPr>
      <w:snapToGrid w:val="0"/>
      <w:spacing w:before="240" w:after="240" w:line="240" w:lineRule="auto"/>
      <w:ind w:left="1134" w:hanging="992"/>
      <w:jc w:val="left"/>
    </w:pPr>
    <w:rPr>
      <w:rFonts w:ascii="Times New Roman" w:hAnsi="Times New Roman" w:cs="宋体"/>
      <w:sz w:val="28"/>
      <w:szCs w:val="20"/>
    </w:rPr>
  </w:style>
  <w:style w:type="paragraph" w:customStyle="1" w:styleId="767">
    <w:name w:val="注"/>
    <w:basedOn w:val="1"/>
    <w:next w:val="1"/>
    <w:autoRedefine/>
    <w:qFormat/>
    <w:uiPriority w:val="0"/>
    <w:pPr>
      <w:widowControl/>
      <w:spacing w:before="60" w:after="60" w:line="312" w:lineRule="auto"/>
    </w:pPr>
    <w:rPr>
      <w:rFonts w:eastAsia="黑体"/>
      <w:kern w:val="0"/>
      <w:szCs w:val="20"/>
    </w:rPr>
  </w:style>
  <w:style w:type="paragraph" w:customStyle="1" w:styleId="768">
    <w:name w:val="样式 正文文本 + 左侧:  2 字符 首行缩进:  2 字符"/>
    <w:basedOn w:val="9"/>
    <w:autoRedefine/>
    <w:qFormat/>
    <w:uiPriority w:val="0"/>
    <w:pPr>
      <w:widowControl w:val="0"/>
      <w:adjustRightInd w:val="0"/>
      <w:spacing w:before="0" w:after="0" w:line="360" w:lineRule="auto"/>
      <w:ind w:left="480" w:leftChars="200" w:right="0" w:firstLine="480" w:firstLineChars="200"/>
      <w:jc w:val="left"/>
    </w:pPr>
    <w:rPr>
      <w:rFonts w:ascii="Arial" w:hAnsi="Arial" w:cs="宋体"/>
      <w:kern w:val="2"/>
      <w:sz w:val="24"/>
    </w:rPr>
  </w:style>
  <w:style w:type="paragraph" w:customStyle="1" w:styleId="769">
    <w:name w:val="xl31"/>
    <w:basedOn w:val="1"/>
    <w:autoRedefine/>
    <w:qFormat/>
    <w:uiPriority w:val="0"/>
    <w:pPr>
      <w:widowControl/>
      <w:spacing w:before="100" w:beforeAutospacing="1" w:after="100" w:afterAutospacing="1"/>
      <w:jc w:val="center"/>
      <w:textAlignment w:val="bottom"/>
    </w:pPr>
    <w:rPr>
      <w:rFonts w:ascii="Arial" w:hAnsi="Arial" w:cs="Arial"/>
      <w:b/>
      <w:bCs/>
      <w:kern w:val="0"/>
      <w:sz w:val="28"/>
      <w:szCs w:val="28"/>
    </w:rPr>
  </w:style>
  <w:style w:type="paragraph" w:customStyle="1" w:styleId="770">
    <w:name w:val="表名称"/>
    <w:autoRedefine/>
    <w:semiHidden/>
    <w:qFormat/>
    <w:uiPriority w:val="0"/>
    <w:pPr>
      <w:widowControl w:val="0"/>
      <w:spacing w:before="240" w:line="288" w:lineRule="auto"/>
      <w:jc w:val="both"/>
    </w:pPr>
    <w:rPr>
      <w:rFonts w:ascii="Times New Roman" w:hAnsi="Times New Roman" w:eastAsia="宋体" w:cs="Times New Roman"/>
      <w:kern w:val="2"/>
      <w:sz w:val="24"/>
      <w:szCs w:val="24"/>
      <w:lang w:val="en-US" w:eastAsia="zh-CN" w:bidi="ar-SA"/>
    </w:rPr>
  </w:style>
  <w:style w:type="paragraph" w:customStyle="1" w:styleId="771">
    <w:name w:val="Char Char Char Char Char Char"/>
    <w:basedOn w:val="1"/>
    <w:autoRedefine/>
    <w:qFormat/>
    <w:uiPriority w:val="0"/>
    <w:rPr>
      <w:sz w:val="24"/>
    </w:rPr>
  </w:style>
  <w:style w:type="paragraph" w:customStyle="1" w:styleId="772">
    <w:name w:val="标准"/>
    <w:basedOn w:val="1"/>
    <w:autoRedefine/>
    <w:qFormat/>
    <w:uiPriority w:val="0"/>
    <w:pPr>
      <w:adjustRightInd w:val="0"/>
      <w:spacing w:line="312" w:lineRule="atLeast"/>
      <w:jc w:val="center"/>
      <w:textAlignment w:val="baseline"/>
    </w:pPr>
    <w:rPr>
      <w:kern w:val="0"/>
      <w:szCs w:val="20"/>
    </w:rPr>
  </w:style>
  <w:style w:type="paragraph" w:customStyle="1" w:styleId="773">
    <w:name w:val="样式 样式 正文 首行缩进:  2 字符 + (中文) 楷体_GB2312 + 宋体 首行缩进:  2 字符 段前: 7.8..."/>
    <w:basedOn w:val="411"/>
    <w:autoRedefine/>
    <w:qFormat/>
    <w:uiPriority w:val="0"/>
    <w:rPr>
      <w:rFonts w:eastAsia="宋体"/>
    </w:rPr>
  </w:style>
  <w:style w:type="paragraph" w:customStyle="1" w:styleId="774">
    <w:name w:val="样式 样式 标题 3东明_小节H3条标题1.1.1二级节名h33rd level3l3CTHeading 3 - ... + 段..."/>
    <w:basedOn w:val="646"/>
    <w:autoRedefine/>
    <w:qFormat/>
    <w:uiPriority w:val="0"/>
    <w:pPr>
      <w:spacing w:after="156"/>
    </w:pPr>
  </w:style>
  <w:style w:type="paragraph" w:customStyle="1" w:styleId="775">
    <w:name w:val="首行缩进"/>
    <w:basedOn w:val="1"/>
    <w:autoRedefine/>
    <w:qFormat/>
    <w:uiPriority w:val="0"/>
    <w:pPr>
      <w:spacing w:line="360" w:lineRule="auto"/>
      <w:ind w:firstLine="480" w:firstLineChars="200"/>
    </w:pPr>
    <w:rPr>
      <w:sz w:val="24"/>
    </w:rPr>
  </w:style>
  <w:style w:type="paragraph" w:customStyle="1" w:styleId="776">
    <w:name w:val="Char Char Char Char Char Char Char Char Char Char Char Char Char Char Char Char"/>
    <w:basedOn w:val="1"/>
    <w:autoRedefine/>
    <w:qFormat/>
    <w:uiPriority w:val="0"/>
    <w:rPr>
      <w:rFonts w:cs="宋体"/>
      <w:bCs/>
      <w:color w:val="000000"/>
      <w:szCs w:val="28"/>
    </w:rPr>
  </w:style>
  <w:style w:type="paragraph" w:customStyle="1" w:styleId="777">
    <w:name w:val="修订1"/>
    <w:autoRedefine/>
    <w:semiHidden/>
    <w:qFormat/>
    <w:uiPriority w:val="0"/>
    <w:rPr>
      <w:rFonts w:ascii="Times New Roman" w:hAnsi="Times New Roman" w:eastAsia="宋体" w:cs="Times New Roman"/>
      <w:kern w:val="2"/>
      <w:sz w:val="24"/>
      <w:szCs w:val="21"/>
      <w:lang w:val="en-US" w:eastAsia="zh-CN" w:bidi="ar-SA"/>
    </w:rPr>
  </w:style>
  <w:style w:type="paragraph" w:customStyle="1" w:styleId="778">
    <w:name w:val="文本框"/>
    <w:basedOn w:val="1"/>
    <w:autoRedefine/>
    <w:qFormat/>
    <w:uiPriority w:val="0"/>
    <w:pPr>
      <w:adjustRightInd w:val="0"/>
      <w:snapToGrid w:val="0"/>
      <w:spacing w:line="300" w:lineRule="exact"/>
      <w:jc w:val="center"/>
    </w:pPr>
    <w:rPr>
      <w:sz w:val="24"/>
    </w:rPr>
  </w:style>
  <w:style w:type="paragraph" w:customStyle="1" w:styleId="779">
    <w:name w:val="xl69"/>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780">
    <w:name w:val="五号表格"/>
    <w:next w:val="1"/>
    <w:autoRedefine/>
    <w:qFormat/>
    <w:uiPriority w:val="0"/>
    <w:rPr>
      <w:rFonts w:ascii="宋体" w:hAnsi="Times New Roman" w:eastAsia="宋体" w:cs="Times New Roman"/>
      <w:sz w:val="21"/>
      <w:lang w:val="en-US" w:eastAsia="zh-CN" w:bidi="ar-SA"/>
    </w:rPr>
  </w:style>
  <w:style w:type="paragraph" w:customStyle="1" w:styleId="781">
    <w:name w:val="样式 样式 样式 首行缩进:  2 字符 + 首行缩进:  2 字符 + 首行缩进:  2 字符"/>
    <w:basedOn w:val="1"/>
    <w:autoRedefine/>
    <w:qFormat/>
    <w:uiPriority w:val="0"/>
    <w:pPr>
      <w:spacing w:line="360" w:lineRule="auto"/>
      <w:ind w:firstLine="480" w:firstLineChars="200"/>
    </w:pPr>
    <w:rPr>
      <w:rFonts w:eastAsia="仿宋_GB2312"/>
      <w:sz w:val="24"/>
      <w:szCs w:val="20"/>
    </w:rPr>
  </w:style>
  <w:style w:type="paragraph" w:customStyle="1" w:styleId="782">
    <w:name w:val="xl18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783">
    <w:name w:val="xl88"/>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84">
    <w:name w:val="注释"/>
    <w:basedOn w:val="211"/>
    <w:autoRedefine/>
    <w:qFormat/>
    <w:uiPriority w:val="0"/>
    <w:pPr>
      <w:ind w:firstLine="420"/>
    </w:pPr>
    <w:rPr>
      <w:sz w:val="21"/>
      <w:szCs w:val="24"/>
    </w:rPr>
  </w:style>
  <w:style w:type="paragraph" w:customStyle="1" w:styleId="785">
    <w:name w:val="xl131"/>
    <w:basedOn w:val="1"/>
    <w:autoRedefine/>
    <w:qFormat/>
    <w:uiPriority w:val="0"/>
    <w:pPr>
      <w:widowControl/>
      <w:pBdr>
        <w:left w:val="single" w:color="auto" w:sz="4" w:space="0"/>
        <w:right w:val="single" w:color="auto" w:sz="8" w:space="0"/>
      </w:pBdr>
      <w:spacing w:before="100" w:beforeAutospacing="1" w:after="100" w:afterAutospacing="1"/>
      <w:jc w:val="left"/>
    </w:pPr>
    <w:rPr>
      <w:rFonts w:ascii="Arial Unicode MS" w:hAnsi="Arial Unicode MS"/>
      <w:kern w:val="0"/>
    </w:rPr>
  </w:style>
  <w:style w:type="paragraph" w:customStyle="1" w:styleId="786">
    <w:name w:val="段"/>
    <w:autoRedefine/>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787">
    <w:name w:val="xl80"/>
    <w:basedOn w:val="1"/>
    <w:autoRedefine/>
    <w:qFormat/>
    <w:uiPriority w:val="0"/>
    <w:pPr>
      <w:widowControl/>
      <w:pBdr>
        <w:left w:val="single" w:color="auto" w:sz="12" w:space="0"/>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88">
    <w:name w:val="样式 标题 2东明_节Chapter HeadingHeading 2 HiddenHeading 2 CCBShea..."/>
    <w:basedOn w:val="4"/>
    <w:autoRedefine/>
    <w:qFormat/>
    <w:uiPriority w:val="0"/>
    <w:pPr>
      <w:spacing w:before="0" w:after="0" w:line="360" w:lineRule="auto"/>
    </w:pPr>
    <w:rPr>
      <w:rFonts w:ascii="Times New Roman" w:hAnsi="Times New Roman" w:cs="宋体"/>
      <w:kern w:val="44"/>
      <w:sz w:val="28"/>
      <w:szCs w:val="20"/>
      <w:lang w:val="zh-CN"/>
    </w:rPr>
  </w:style>
  <w:style w:type="paragraph" w:customStyle="1" w:styleId="789">
    <w:name w:val="Char Char Char4 Char Char Char Char Char Char3"/>
    <w:basedOn w:val="1"/>
    <w:autoRedefine/>
    <w:qFormat/>
    <w:uiPriority w:val="0"/>
    <w:rPr>
      <w:rFonts w:ascii="宋体" w:hAnsi="宋体" w:cs="宋体"/>
      <w:sz w:val="24"/>
    </w:rPr>
  </w:style>
  <w:style w:type="paragraph" w:customStyle="1" w:styleId="790">
    <w:name w:val="前言、引言标题"/>
    <w:next w:val="1"/>
    <w:autoRedefine/>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791">
    <w:name w:val="项目编号"/>
    <w:basedOn w:val="1"/>
    <w:next w:val="1"/>
    <w:autoRedefine/>
    <w:qFormat/>
    <w:uiPriority w:val="0"/>
    <w:pPr>
      <w:spacing w:before="120" w:after="120" w:line="360" w:lineRule="auto"/>
    </w:pPr>
    <w:rPr>
      <w:sz w:val="24"/>
      <w:szCs w:val="20"/>
    </w:rPr>
  </w:style>
  <w:style w:type="paragraph" w:customStyle="1" w:styleId="792">
    <w:name w:val="xl38"/>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793">
    <w:name w:val="图目"/>
    <w:basedOn w:val="1"/>
    <w:autoRedefine/>
    <w:qFormat/>
    <w:uiPriority w:val="0"/>
    <w:pPr>
      <w:snapToGrid w:val="0"/>
      <w:spacing w:before="360" w:after="360" w:line="440" w:lineRule="atLeast"/>
      <w:jc w:val="center"/>
    </w:pPr>
    <w:rPr>
      <w:rFonts w:ascii="黑体" w:hAnsi="Arial" w:eastAsia="黑体"/>
      <w:sz w:val="24"/>
      <w:szCs w:val="20"/>
    </w:rPr>
  </w:style>
  <w:style w:type="paragraph" w:customStyle="1" w:styleId="794">
    <w:name w:val="Char Char Char1 Char Char Char Char Char Char Char Char Char Char"/>
    <w:basedOn w:val="1"/>
    <w:autoRedefine/>
    <w:qFormat/>
    <w:uiPriority w:val="0"/>
  </w:style>
  <w:style w:type="paragraph" w:customStyle="1" w:styleId="795">
    <w:name w:val="表居中（中文）"/>
    <w:basedOn w:val="1"/>
    <w:autoRedefine/>
    <w:qFormat/>
    <w:uiPriority w:val="0"/>
    <w:pPr>
      <w:adjustRightInd w:val="0"/>
      <w:spacing w:line="380" w:lineRule="atLeast"/>
      <w:jc w:val="center"/>
      <w:textAlignment w:val="baseline"/>
    </w:pPr>
    <w:rPr>
      <w:rFonts w:eastAsia="楷体_GB2312"/>
      <w:kern w:val="0"/>
      <w:sz w:val="24"/>
      <w:szCs w:val="20"/>
    </w:rPr>
  </w:style>
  <w:style w:type="paragraph" w:customStyle="1" w:styleId="796">
    <w:name w:val="xl18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797">
    <w:name w:val="样式a"/>
    <w:basedOn w:val="1"/>
    <w:autoRedefine/>
    <w:qFormat/>
    <w:uiPriority w:val="0"/>
    <w:pPr>
      <w:adjustRightInd w:val="0"/>
      <w:snapToGrid w:val="0"/>
      <w:spacing w:line="420" w:lineRule="exact"/>
      <w:ind w:firstLine="200" w:firstLineChars="200"/>
      <w:textAlignment w:val="baseline"/>
    </w:pPr>
    <w:rPr>
      <w:kern w:val="0"/>
      <w:sz w:val="24"/>
    </w:rPr>
  </w:style>
  <w:style w:type="paragraph" w:customStyle="1" w:styleId="798">
    <w:name w:val="xl71"/>
    <w:basedOn w:val="1"/>
    <w:autoRedefine/>
    <w:qFormat/>
    <w:uiPriority w:val="0"/>
    <w:pPr>
      <w:widowControl/>
      <w:spacing w:before="100" w:beforeAutospacing="1" w:after="100" w:afterAutospacing="1"/>
      <w:jc w:val="left"/>
    </w:pPr>
    <w:rPr>
      <w:rFonts w:ascii="宋体" w:hAnsi="宋体"/>
      <w:b/>
      <w:bCs/>
      <w:kern w:val="0"/>
      <w:sz w:val="20"/>
      <w:szCs w:val="20"/>
    </w:rPr>
  </w:style>
  <w:style w:type="paragraph" w:customStyle="1" w:styleId="799">
    <w:name w:val="xl98"/>
    <w:basedOn w:val="1"/>
    <w:autoRedefine/>
    <w:qFormat/>
    <w:uiPriority w:val="0"/>
    <w:pPr>
      <w:widowControl/>
      <w:pBdr>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00">
    <w:name w:val="4"/>
    <w:basedOn w:val="1"/>
    <w:autoRedefine/>
    <w:qFormat/>
    <w:uiPriority w:val="0"/>
    <w:rPr>
      <w:sz w:val="28"/>
    </w:rPr>
  </w:style>
  <w:style w:type="paragraph" w:customStyle="1" w:styleId="801">
    <w:name w:val="样式 标题 1章标题 11标题 1H1一、 + 行距: 1.5 倍行距4"/>
    <w:basedOn w:val="3"/>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802">
    <w:name w:val="样式 列表 2 + 华文仿宋 居中"/>
    <w:basedOn w:val="35"/>
    <w:autoRedefine/>
    <w:qFormat/>
    <w:uiPriority w:val="0"/>
    <w:pPr>
      <w:ind w:left="0" w:leftChars="0" w:firstLine="0" w:firstLineChars="0"/>
      <w:jc w:val="center"/>
    </w:pPr>
    <w:rPr>
      <w:rFonts w:ascii="宋体" w:hAnsi="宋体" w:eastAsia="宋体"/>
      <w:snapToGrid/>
      <w:kern w:val="2"/>
      <w:sz w:val="21"/>
      <w:szCs w:val="21"/>
    </w:rPr>
  </w:style>
  <w:style w:type="paragraph" w:customStyle="1" w:styleId="803">
    <w:name w:val="样式 样式 首行缩进:  0.85 厘米 行距: 1.5 倍行距 + 段后: 0.3 行"/>
    <w:basedOn w:val="804"/>
    <w:autoRedefine/>
    <w:semiHidden/>
    <w:qFormat/>
    <w:uiPriority w:val="0"/>
  </w:style>
  <w:style w:type="paragraph" w:customStyle="1" w:styleId="804">
    <w:name w:val="样式 首行缩进:  0.85 厘米 行距: 1.5 倍行距"/>
    <w:basedOn w:val="1"/>
    <w:autoRedefine/>
    <w:semiHidden/>
    <w:qFormat/>
    <w:uiPriority w:val="0"/>
    <w:pPr>
      <w:snapToGrid w:val="0"/>
      <w:spacing w:beforeLines="50" w:line="360" w:lineRule="auto"/>
      <w:ind w:firstLine="480" w:firstLineChars="200"/>
    </w:pPr>
    <w:rPr>
      <w:sz w:val="24"/>
      <w:szCs w:val="20"/>
    </w:rPr>
  </w:style>
  <w:style w:type="paragraph" w:customStyle="1" w:styleId="805">
    <w:name w:val="正文首行缩进2"/>
    <w:basedOn w:val="1"/>
    <w:autoRedefine/>
    <w:qFormat/>
    <w:uiPriority w:val="0"/>
    <w:pPr>
      <w:snapToGrid w:val="0"/>
      <w:spacing w:line="500" w:lineRule="exact"/>
      <w:ind w:firstLine="480" w:firstLineChars="200"/>
    </w:pPr>
    <w:rPr>
      <w:sz w:val="18"/>
      <w:szCs w:val="20"/>
    </w:rPr>
  </w:style>
  <w:style w:type="paragraph" w:customStyle="1" w:styleId="806">
    <w:name w:val="font6"/>
    <w:basedOn w:val="1"/>
    <w:autoRedefine/>
    <w:qFormat/>
    <w:uiPriority w:val="0"/>
    <w:pPr>
      <w:widowControl/>
      <w:spacing w:before="100" w:beforeAutospacing="1" w:after="100" w:afterAutospacing="1"/>
      <w:jc w:val="left"/>
    </w:pPr>
    <w:rPr>
      <w:rFonts w:ascii="宋体" w:hAnsi="宋体"/>
      <w:b/>
      <w:bCs/>
      <w:kern w:val="0"/>
      <w:sz w:val="24"/>
    </w:rPr>
  </w:style>
  <w:style w:type="paragraph" w:customStyle="1" w:styleId="807">
    <w:name w:val="p6"/>
    <w:basedOn w:val="1"/>
    <w:autoRedefine/>
    <w:qFormat/>
    <w:uiPriority w:val="0"/>
    <w:pPr>
      <w:tabs>
        <w:tab w:val="left" w:pos="4720"/>
      </w:tabs>
      <w:spacing w:line="240" w:lineRule="atLeast"/>
      <w:ind w:left="3280"/>
      <w:jc w:val="left"/>
    </w:pPr>
    <w:rPr>
      <w:rFonts w:ascii="Arial" w:hAnsi="Arial"/>
      <w:snapToGrid w:val="0"/>
      <w:kern w:val="0"/>
      <w:sz w:val="24"/>
      <w:szCs w:val="20"/>
      <w:lang w:eastAsia="en-US"/>
    </w:rPr>
  </w:style>
  <w:style w:type="paragraph" w:customStyle="1" w:styleId="808">
    <w:name w:val="Char Char Char Char3"/>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809">
    <w:name w:val="font11"/>
    <w:basedOn w:val="1"/>
    <w:autoRedefine/>
    <w:qFormat/>
    <w:uiPriority w:val="0"/>
    <w:pPr>
      <w:widowControl/>
      <w:spacing w:before="100" w:beforeAutospacing="1" w:after="100" w:afterAutospacing="1"/>
      <w:jc w:val="left"/>
    </w:pPr>
    <w:rPr>
      <w:rFonts w:ascii="Arial" w:hAnsi="Arial" w:cs="Arial"/>
      <w:b/>
      <w:bCs/>
      <w:kern w:val="0"/>
      <w:sz w:val="22"/>
      <w:szCs w:val="22"/>
    </w:rPr>
  </w:style>
  <w:style w:type="paragraph" w:customStyle="1" w:styleId="810">
    <w:name w:val="样式 上标 Char"/>
    <w:basedOn w:val="685"/>
    <w:next w:val="685"/>
    <w:autoRedefine/>
    <w:qFormat/>
    <w:uiPriority w:val="0"/>
    <w:pPr>
      <w:spacing w:before="0" w:after="0" w:line="320" w:lineRule="exact"/>
      <w:ind w:firstLine="200"/>
    </w:pPr>
    <w:rPr>
      <w:caps/>
      <w:szCs w:val="36"/>
    </w:rPr>
  </w:style>
  <w:style w:type="paragraph" w:customStyle="1" w:styleId="811">
    <w:name w:val="样式 样式 首行缩进:  2 字符 + 首行缩进:  2 字符2"/>
    <w:basedOn w:val="1"/>
    <w:autoRedefine/>
    <w:qFormat/>
    <w:uiPriority w:val="0"/>
    <w:pPr>
      <w:spacing w:line="440" w:lineRule="exact"/>
      <w:ind w:firstLine="584" w:firstLineChars="200"/>
    </w:pPr>
    <w:rPr>
      <w:rFonts w:eastAsia="楷体_GB2312" w:cs="宋体"/>
      <w:spacing w:val="6"/>
      <w:kern w:val="0"/>
      <w:sz w:val="28"/>
      <w:szCs w:val="20"/>
    </w:rPr>
  </w:style>
  <w:style w:type="paragraph" w:customStyle="1" w:styleId="812">
    <w:name w:val="xl22"/>
    <w:basedOn w:val="1"/>
    <w:autoRedefine/>
    <w:qFormat/>
    <w:uiPriority w:val="0"/>
    <w:pPr>
      <w:widowControl/>
      <w:pBdr>
        <w:bottom w:val="single" w:color="auto" w:sz="4" w:space="0"/>
        <w:right w:val="single" w:color="auto" w:sz="4" w:space="0"/>
      </w:pBdr>
      <w:spacing w:before="100" w:after="100"/>
      <w:jc w:val="center"/>
    </w:pPr>
    <w:rPr>
      <w:rFonts w:ascii="宋体" w:hAnsi="宋体"/>
      <w:kern w:val="0"/>
      <w:szCs w:val="20"/>
    </w:rPr>
  </w:style>
  <w:style w:type="paragraph" w:customStyle="1" w:styleId="813">
    <w:name w:val="正文缩进3"/>
    <w:basedOn w:val="1"/>
    <w:autoRedefine/>
    <w:qFormat/>
    <w:uiPriority w:val="0"/>
    <w:pPr>
      <w:adjustRightInd w:val="0"/>
      <w:ind w:firstLine="420" w:firstLineChars="200"/>
      <w:textAlignment w:val="baseline"/>
    </w:pPr>
    <w:rPr>
      <w:rFonts w:hint="eastAsia" w:hAnsi="宋体"/>
      <w:sz w:val="24"/>
      <w:szCs w:val="20"/>
    </w:rPr>
  </w:style>
  <w:style w:type="paragraph" w:customStyle="1" w:styleId="814">
    <w:name w:val="样式 标题 2 + 首行缩进:  2.5 字符"/>
    <w:basedOn w:val="4"/>
    <w:autoRedefine/>
    <w:qFormat/>
    <w:uiPriority w:val="0"/>
    <w:pPr>
      <w:keepNext w:val="0"/>
      <w:keepLines w:val="0"/>
      <w:tabs>
        <w:tab w:val="left" w:pos="840"/>
      </w:tabs>
      <w:spacing w:before="0" w:after="0" w:line="240" w:lineRule="auto"/>
      <w:ind w:left="840" w:hanging="420"/>
    </w:pPr>
    <w:rPr>
      <w:rFonts w:ascii="Times New Roman" w:hAnsi="Times New Roman" w:eastAsia="楷体_GB2312" w:cs="宋体"/>
      <w:b w:val="0"/>
      <w:bCs w:val="0"/>
      <w:kern w:val="0"/>
      <w:sz w:val="28"/>
      <w:szCs w:val="20"/>
    </w:rPr>
  </w:style>
  <w:style w:type="paragraph" w:customStyle="1" w:styleId="815">
    <w:name w:val="xl132"/>
    <w:basedOn w:val="1"/>
    <w:autoRedefine/>
    <w:qFormat/>
    <w:uiPriority w:val="0"/>
    <w:pPr>
      <w:widowControl/>
      <w:pBdr>
        <w:top w:val="single" w:color="auto" w:sz="12" w:space="0"/>
        <w:lef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816">
    <w:name w:val="xl66"/>
    <w:basedOn w:val="1"/>
    <w:autoRedefine/>
    <w:qFormat/>
    <w:uiPriority w:val="0"/>
    <w:pPr>
      <w:widowControl/>
      <w:spacing w:before="100" w:beforeAutospacing="1" w:after="100" w:afterAutospacing="1"/>
      <w:jc w:val="center"/>
      <w:textAlignment w:val="bottom"/>
    </w:pPr>
    <w:rPr>
      <w:rFonts w:ascii="宋体" w:hAnsi="宋体"/>
      <w:b/>
      <w:bCs/>
      <w:color w:val="0000FF"/>
      <w:kern w:val="0"/>
      <w:sz w:val="22"/>
      <w:szCs w:val="22"/>
    </w:rPr>
  </w:style>
  <w:style w:type="paragraph" w:customStyle="1" w:styleId="817">
    <w:name w:val="dandan6-13正文 Char Char Char Char Char Char"/>
    <w:basedOn w:val="1"/>
    <w:next w:val="1"/>
    <w:autoRedefine/>
    <w:qFormat/>
    <w:uiPriority w:val="0"/>
    <w:pPr>
      <w:keepNext/>
      <w:keepLines/>
      <w:widowControl/>
      <w:adjustRightInd w:val="0"/>
      <w:spacing w:before="40" w:after="40" w:line="360" w:lineRule="auto"/>
      <w:ind w:firstLine="200" w:firstLineChars="200"/>
      <w:textAlignment w:val="baseline"/>
    </w:pPr>
    <w:rPr>
      <w:szCs w:val="20"/>
    </w:rPr>
  </w:style>
  <w:style w:type="paragraph" w:customStyle="1" w:styleId="818">
    <w:name w:val="xl120"/>
    <w:basedOn w:val="1"/>
    <w:autoRedefine/>
    <w:qFormat/>
    <w:uiPriority w:val="0"/>
    <w:pPr>
      <w:widowControl/>
      <w:spacing w:before="100" w:beforeAutospacing="1" w:after="100" w:afterAutospacing="1"/>
      <w:jc w:val="left"/>
      <w:textAlignment w:val="center"/>
    </w:pPr>
    <w:rPr>
      <w:rFonts w:ascii="Arial Unicode MS" w:hAnsi="Arial Unicode MS"/>
      <w:kern w:val="0"/>
      <w:sz w:val="12"/>
      <w:szCs w:val="12"/>
    </w:rPr>
  </w:style>
  <w:style w:type="paragraph" w:customStyle="1" w:styleId="819">
    <w:name w:val="xl105"/>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820">
    <w:name w:val="目录3"/>
    <w:basedOn w:val="1"/>
    <w:autoRedefine/>
    <w:qFormat/>
    <w:uiPriority w:val="0"/>
    <w:pPr>
      <w:tabs>
        <w:tab w:val="right" w:leader="dot" w:pos="8112"/>
        <w:tab w:val="right" w:leader="dot" w:pos="8160"/>
        <w:tab w:val="right" w:leader="dot" w:pos="8280"/>
      </w:tabs>
      <w:spacing w:line="480" w:lineRule="exact"/>
      <w:ind w:left="1134"/>
      <w:jc w:val="left"/>
    </w:pPr>
    <w:rPr>
      <w:bCs/>
      <w:sz w:val="28"/>
      <w:szCs w:val="20"/>
    </w:rPr>
  </w:style>
  <w:style w:type="paragraph" w:customStyle="1" w:styleId="821">
    <w:name w:val="xl28"/>
    <w:basedOn w:val="1"/>
    <w:autoRedefine/>
    <w:qFormat/>
    <w:uiPriority w:val="0"/>
    <w:pPr>
      <w:widowControl/>
      <w:spacing w:before="100" w:beforeAutospacing="1" w:after="100" w:afterAutospacing="1"/>
      <w:jc w:val="center"/>
      <w:textAlignment w:val="bottom"/>
    </w:pPr>
    <w:rPr>
      <w:rFonts w:ascii="Arial" w:hAnsi="Arial" w:cs="Arial"/>
      <w:b/>
      <w:bCs/>
      <w:kern w:val="0"/>
      <w:sz w:val="24"/>
    </w:rPr>
  </w:style>
  <w:style w:type="paragraph" w:customStyle="1" w:styleId="822">
    <w:name w:val="样式 段前: 3 磅 段后: 3 磅"/>
    <w:basedOn w:val="1"/>
    <w:autoRedefine/>
    <w:qFormat/>
    <w:uiPriority w:val="0"/>
    <w:pPr>
      <w:adjustRightInd w:val="0"/>
      <w:snapToGrid w:val="0"/>
      <w:spacing w:line="360" w:lineRule="auto"/>
      <w:ind w:firstLine="480" w:firstLineChars="200"/>
    </w:pPr>
    <w:rPr>
      <w:rFonts w:ascii="宋体" w:hAnsi="宋体" w:cs="宋体"/>
      <w:snapToGrid w:val="0"/>
      <w:color w:val="000000"/>
      <w:kern w:val="0"/>
      <w:sz w:val="24"/>
    </w:rPr>
  </w:style>
  <w:style w:type="paragraph" w:customStyle="1" w:styleId="823">
    <w:name w:val="xl157"/>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824">
    <w:name w:val="Char Char Char Char4"/>
    <w:basedOn w:val="1"/>
    <w:autoRedefine/>
    <w:qFormat/>
    <w:uiPriority w:val="0"/>
    <w:pPr>
      <w:snapToGrid w:val="0"/>
      <w:ind w:firstLine="200" w:firstLineChars="200"/>
    </w:pPr>
  </w:style>
  <w:style w:type="paragraph" w:customStyle="1" w:styleId="825">
    <w:name w:val="p0"/>
    <w:basedOn w:val="1"/>
    <w:autoRedefine/>
    <w:qFormat/>
    <w:uiPriority w:val="0"/>
    <w:pPr>
      <w:widowControl/>
    </w:pPr>
    <w:rPr>
      <w:kern w:val="0"/>
    </w:rPr>
  </w:style>
  <w:style w:type="paragraph" w:customStyle="1" w:styleId="826">
    <w:name w:val="xl166"/>
    <w:basedOn w:val="1"/>
    <w:autoRedefine/>
    <w:qFormat/>
    <w:uiPriority w:val="0"/>
    <w:pPr>
      <w:widowControl/>
      <w:pBdr>
        <w:left w:val="single" w:color="auto" w:sz="12" w:space="0"/>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827">
    <w:name w:val="xl46"/>
    <w:basedOn w:val="1"/>
    <w:autoRedefine/>
    <w:qFormat/>
    <w:uiPriority w:val="0"/>
    <w:pPr>
      <w:widowControl/>
      <w:pBdr>
        <w:left w:val="single" w:color="auto" w:sz="8" w:space="0"/>
        <w:bottom w:val="single" w:color="auto" w:sz="4" w:space="0"/>
        <w:right w:val="single" w:color="auto" w:sz="4" w:space="0"/>
      </w:pBdr>
      <w:spacing w:before="100" w:beforeAutospacing="1" w:after="100" w:afterAutospacing="1"/>
      <w:jc w:val="center"/>
    </w:pPr>
    <w:rPr>
      <w:rFonts w:ascii="Arial Unicode MS" w:hAnsi="Arial Unicode MS" w:eastAsia="Arial Unicode MS"/>
      <w:kern w:val="0"/>
      <w:sz w:val="24"/>
    </w:rPr>
  </w:style>
  <w:style w:type="paragraph" w:customStyle="1" w:styleId="828">
    <w:name w:val="xl25"/>
    <w:basedOn w:val="1"/>
    <w:autoRedefine/>
    <w:qFormat/>
    <w:uiPriority w:val="0"/>
    <w:pPr>
      <w:widowControl/>
      <w:pBdr>
        <w:bottom w:val="single" w:color="auto" w:sz="4" w:space="0"/>
        <w:right w:val="single" w:color="auto" w:sz="4" w:space="0"/>
      </w:pBdr>
      <w:spacing w:before="100" w:beforeAutospacing="1" w:after="100" w:afterAutospacing="1"/>
      <w:jc w:val="center"/>
      <w:textAlignment w:val="top"/>
    </w:pPr>
    <w:rPr>
      <w:kern w:val="0"/>
    </w:rPr>
  </w:style>
  <w:style w:type="paragraph" w:customStyle="1" w:styleId="829">
    <w:name w:val="正文可研"/>
    <w:basedOn w:val="1"/>
    <w:autoRedefine/>
    <w:qFormat/>
    <w:uiPriority w:val="0"/>
    <w:pPr>
      <w:autoSpaceDE w:val="0"/>
      <w:autoSpaceDN w:val="0"/>
      <w:adjustRightInd w:val="0"/>
      <w:spacing w:line="360" w:lineRule="auto"/>
      <w:ind w:firstLine="480" w:firstLineChars="200"/>
      <w:textAlignment w:val="baseline"/>
    </w:pPr>
    <w:rPr>
      <w:rFonts w:ascii="宋体" w:hAnsi="Tms Rmn" w:cs="宋体"/>
      <w:kern w:val="0"/>
      <w:sz w:val="24"/>
      <w:szCs w:val="20"/>
    </w:rPr>
  </w:style>
  <w:style w:type="paragraph" w:customStyle="1" w:styleId="830">
    <w:name w:val="正文样式3"/>
    <w:basedOn w:val="1"/>
    <w:autoRedefine/>
    <w:qFormat/>
    <w:uiPriority w:val="0"/>
    <w:pPr>
      <w:keepLines/>
      <w:adjustRightInd w:val="0"/>
      <w:spacing w:line="20" w:lineRule="atLeast"/>
      <w:ind w:firstLine="200" w:firstLineChars="200"/>
      <w:jc w:val="center"/>
      <w:textAlignment w:val="baseline"/>
    </w:pPr>
    <w:rPr>
      <w:rFonts w:eastAsia="仿宋_GB2312"/>
      <w:kern w:val="0"/>
      <w:sz w:val="24"/>
      <w:szCs w:val="20"/>
    </w:rPr>
  </w:style>
  <w:style w:type="paragraph" w:customStyle="1" w:styleId="831">
    <w:name w:val="Date1"/>
    <w:basedOn w:val="1"/>
    <w:next w:val="1"/>
    <w:autoRedefine/>
    <w:qFormat/>
    <w:uiPriority w:val="0"/>
    <w:pPr>
      <w:adjustRightInd w:val="0"/>
      <w:textAlignment w:val="baseline"/>
    </w:pPr>
  </w:style>
  <w:style w:type="paragraph" w:customStyle="1" w:styleId="832">
    <w:name w:val="表格中"/>
    <w:basedOn w:val="1"/>
    <w:autoRedefine/>
    <w:qFormat/>
    <w:uiPriority w:val="0"/>
    <w:rPr>
      <w:rFonts w:ascii="宋体"/>
    </w:rPr>
  </w:style>
  <w:style w:type="paragraph" w:customStyle="1" w:styleId="833">
    <w:name w:val="Char31"/>
    <w:basedOn w:val="1"/>
    <w:autoRedefine/>
    <w:qFormat/>
    <w:uiPriority w:val="0"/>
    <w:pPr>
      <w:spacing w:line="360" w:lineRule="auto"/>
      <w:ind w:firstLine="200" w:firstLineChars="200"/>
    </w:pPr>
    <w:rPr>
      <w:rFonts w:ascii="宋体" w:hAnsi="宋体" w:cs="宋体"/>
      <w:sz w:val="24"/>
    </w:rPr>
  </w:style>
  <w:style w:type="paragraph" w:customStyle="1" w:styleId="834">
    <w:name w:val="式中："/>
    <w:basedOn w:val="286"/>
    <w:autoRedefine/>
    <w:qFormat/>
    <w:uiPriority w:val="0"/>
    <w:pPr>
      <w:spacing w:after="0"/>
      <w:ind w:left="500" w:leftChars="500" w:firstLine="0" w:firstLineChars="0"/>
      <w:jc w:val="left"/>
    </w:pPr>
  </w:style>
  <w:style w:type="paragraph" w:customStyle="1" w:styleId="835">
    <w:name w:val="xl161"/>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836">
    <w:name w:val="defaultfont"/>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837">
    <w:name w:val="普通文字 Char Char"/>
    <w:basedOn w:val="1"/>
    <w:next w:val="77"/>
    <w:autoRedefine/>
    <w:qFormat/>
    <w:uiPriority w:val="0"/>
    <w:rPr>
      <w:sz w:val="24"/>
    </w:rPr>
  </w:style>
  <w:style w:type="paragraph" w:customStyle="1" w:styleId="838">
    <w:name w:val="xl44"/>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839">
    <w:name w:val="xl142"/>
    <w:basedOn w:val="1"/>
    <w:autoRedefine/>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840">
    <w:name w:val="_Style 1"/>
    <w:basedOn w:val="1"/>
    <w:next w:val="8"/>
    <w:autoRedefine/>
    <w:qFormat/>
    <w:uiPriority w:val="0"/>
    <w:pPr>
      <w:adjustRightInd w:val="0"/>
      <w:spacing w:line="288" w:lineRule="auto"/>
      <w:ind w:firstLine="480"/>
      <w:textAlignment w:val="baseline"/>
    </w:pPr>
    <w:rPr>
      <w:rFonts w:ascii="宋体" w:hAnsi="宋体" w:cs="宋体"/>
      <w:sz w:val="24"/>
    </w:rPr>
  </w:style>
  <w:style w:type="paragraph" w:customStyle="1" w:styleId="841">
    <w:name w:val="xl56"/>
    <w:basedOn w:val="1"/>
    <w:autoRedefine/>
    <w:qFormat/>
    <w:uiPriority w:val="0"/>
    <w:pPr>
      <w:widowControl/>
      <w:spacing w:before="100" w:beforeAutospacing="1" w:after="100" w:afterAutospacing="1"/>
      <w:jc w:val="right"/>
    </w:pPr>
    <w:rPr>
      <w:rFonts w:ascii="Arial" w:hAnsi="Arial" w:cs="Arial"/>
      <w:b/>
      <w:bCs/>
      <w:i/>
      <w:iCs/>
      <w:kern w:val="0"/>
      <w:sz w:val="22"/>
      <w:szCs w:val="22"/>
    </w:rPr>
  </w:style>
  <w:style w:type="paragraph" w:customStyle="1" w:styleId="842">
    <w:name w:val="样式 样式 左侧:  2 字符 + 首行缩进:  2 字符 Char"/>
    <w:basedOn w:val="1"/>
    <w:autoRedefine/>
    <w:qFormat/>
    <w:uiPriority w:val="0"/>
    <w:pPr>
      <w:tabs>
        <w:tab w:val="left" w:pos="540"/>
      </w:tabs>
      <w:spacing w:line="360" w:lineRule="auto"/>
      <w:ind w:firstLine="478" w:firstLineChars="199"/>
    </w:pPr>
    <w:rPr>
      <w:rFonts w:ascii="宋体" w:hAnsi="宋体"/>
      <w:bCs/>
      <w:sz w:val="24"/>
    </w:rPr>
  </w:style>
  <w:style w:type="paragraph" w:customStyle="1" w:styleId="843">
    <w:name w:val="样式 标题 2 + 左侧:  0厘米 首行缩进:  0 厘米 右侧:  1 字符"/>
    <w:basedOn w:val="4"/>
    <w:autoRedefine/>
    <w:qFormat/>
    <w:uiPriority w:val="0"/>
    <w:pPr>
      <w:keepNext w:val="0"/>
      <w:keepLines w:val="0"/>
      <w:tabs>
        <w:tab w:val="left" w:pos="280"/>
        <w:tab w:val="left" w:pos="1400"/>
      </w:tabs>
      <w:adjustRightInd w:val="0"/>
      <w:snapToGrid w:val="0"/>
      <w:spacing w:before="50" w:after="240" w:line="480" w:lineRule="exact"/>
      <w:ind w:left="1233" w:right="280" w:rightChars="100" w:firstLine="567"/>
      <w:jc w:val="left"/>
    </w:pPr>
    <w:rPr>
      <w:rFonts w:ascii="Times New Roman" w:hAnsi="Times New Roman" w:eastAsia="宋体"/>
      <w:b w:val="0"/>
      <w:bCs w:val="0"/>
      <w:sz w:val="28"/>
      <w:szCs w:val="20"/>
    </w:rPr>
  </w:style>
  <w:style w:type="paragraph" w:customStyle="1" w:styleId="844">
    <w:name w:val="表格（大）"/>
    <w:basedOn w:val="1"/>
    <w:autoRedefine/>
    <w:qFormat/>
    <w:uiPriority w:val="0"/>
    <w:pPr>
      <w:jc w:val="center"/>
    </w:pPr>
    <w:rPr>
      <w:rFonts w:ascii="仿宋_GB2312" w:eastAsia="仿宋_GB2312"/>
      <w:color w:val="000000"/>
      <w:sz w:val="24"/>
      <w:szCs w:val="20"/>
    </w:rPr>
  </w:style>
  <w:style w:type="paragraph" w:customStyle="1" w:styleId="845">
    <w:name w:val="表格注释"/>
    <w:basedOn w:val="1"/>
    <w:next w:val="685"/>
    <w:autoRedefine/>
    <w:qFormat/>
    <w:uiPriority w:val="0"/>
    <w:pPr>
      <w:spacing w:before="240" w:after="240" w:line="480" w:lineRule="exact"/>
      <w:jc w:val="center"/>
    </w:pPr>
    <w:rPr>
      <w:sz w:val="24"/>
      <w:szCs w:val="20"/>
    </w:rPr>
  </w:style>
  <w:style w:type="paragraph" w:customStyle="1" w:styleId="846">
    <w:name w:val="标题16.1.1.1"/>
    <w:basedOn w:val="6"/>
    <w:autoRedefine/>
    <w:qFormat/>
    <w:uiPriority w:val="0"/>
    <w:pPr>
      <w:tabs>
        <w:tab w:val="left" w:pos="360"/>
      </w:tabs>
      <w:spacing w:before="120" w:after="120" w:line="312" w:lineRule="auto"/>
      <w:ind w:left="864" w:hanging="864"/>
      <w:contextualSpacing/>
    </w:pPr>
    <w:rPr>
      <w:rFonts w:ascii="Arial" w:hAnsi="Arial" w:eastAsia="黑体"/>
      <w:sz w:val="21"/>
      <w:szCs w:val="24"/>
    </w:rPr>
  </w:style>
  <w:style w:type="paragraph" w:customStyle="1" w:styleId="847">
    <w:name w:val="xl151"/>
    <w:basedOn w:val="1"/>
    <w:autoRedefine/>
    <w:qFormat/>
    <w:uiPriority w:val="0"/>
    <w:pPr>
      <w:widowControl/>
      <w:spacing w:before="100" w:beforeAutospacing="1" w:after="100" w:afterAutospacing="1"/>
      <w:jc w:val="left"/>
    </w:pPr>
    <w:rPr>
      <w:kern w:val="0"/>
      <w:sz w:val="16"/>
      <w:szCs w:val="16"/>
    </w:rPr>
  </w:style>
  <w:style w:type="paragraph" w:customStyle="1" w:styleId="848">
    <w:name w:val="样式 表格正文样式A-MHZ-居中定表长格文本 + 五号"/>
    <w:basedOn w:val="1"/>
    <w:autoRedefine/>
    <w:qFormat/>
    <w:uiPriority w:val="0"/>
    <w:pPr>
      <w:spacing w:line="360" w:lineRule="auto"/>
      <w:jc w:val="center"/>
    </w:pPr>
    <w:rPr>
      <w:rFonts w:cs="宋体"/>
      <w:kern w:val="24"/>
      <w:sz w:val="24"/>
    </w:rPr>
  </w:style>
  <w:style w:type="paragraph" w:customStyle="1" w:styleId="849">
    <w:name w:val="xl27"/>
    <w:basedOn w:val="1"/>
    <w:autoRedefine/>
    <w:qFormat/>
    <w:uiPriority w:val="0"/>
    <w:pPr>
      <w:widowControl/>
      <w:pBdr>
        <w:bottom w:val="single" w:color="auto" w:sz="12" w:space="0"/>
      </w:pBdr>
      <w:spacing w:before="100" w:after="100"/>
      <w:jc w:val="center"/>
    </w:pPr>
    <w:rPr>
      <w:rFonts w:ascii="宋体" w:hAnsi="宋体"/>
      <w:kern w:val="0"/>
      <w:szCs w:val="20"/>
    </w:rPr>
  </w:style>
  <w:style w:type="paragraph" w:customStyle="1" w:styleId="850">
    <w:name w:val="注："/>
    <w:next w:val="1"/>
    <w:autoRedefine/>
    <w:qFormat/>
    <w:uiPriority w:val="0"/>
    <w:pPr>
      <w:spacing w:line="300" w:lineRule="exact"/>
    </w:pPr>
    <w:rPr>
      <w:rFonts w:ascii="Times New Roman" w:hAnsi="Times New Roman" w:eastAsia="宋体" w:cs="宋体"/>
      <w:bCs/>
      <w:kern w:val="2"/>
      <w:sz w:val="18"/>
      <w:lang w:val="en-US" w:eastAsia="zh-CN" w:bidi="ar-SA"/>
    </w:rPr>
  </w:style>
  <w:style w:type="paragraph" w:customStyle="1" w:styleId="851">
    <w:name w:val="xl167"/>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852">
    <w:name w:val="正文表标题"/>
    <w:next w:val="1"/>
    <w:autoRedefine/>
    <w:qFormat/>
    <w:uiPriority w:val="0"/>
    <w:pPr>
      <w:numPr>
        <w:ilvl w:val="0"/>
        <w:numId w:val="8"/>
      </w:numPr>
      <w:spacing w:beforeLines="50" w:afterLines="50"/>
      <w:jc w:val="center"/>
    </w:pPr>
    <w:rPr>
      <w:rFonts w:ascii="黑体" w:hAnsi="Times New Roman" w:eastAsia="黑体" w:cs="Times New Roman"/>
      <w:sz w:val="21"/>
      <w:lang w:val="en-US" w:eastAsia="zh-CN" w:bidi="ar-SA"/>
    </w:rPr>
  </w:style>
  <w:style w:type="paragraph" w:customStyle="1" w:styleId="853">
    <w:name w:val="样式 样式 标题 4 + 宋体 行距: 1.5 倍行距 + 段前: 0.5 行"/>
    <w:basedOn w:val="634"/>
    <w:autoRedefine/>
    <w:qFormat/>
    <w:uiPriority w:val="0"/>
    <w:pPr>
      <w:snapToGrid/>
      <w:spacing w:beforeLines="0"/>
      <w:ind w:left="1984" w:hanging="1984"/>
      <w:jc w:val="both"/>
    </w:pPr>
    <w:rPr>
      <w:rFonts w:ascii="Times New Roman" w:eastAsia="黑体" w:cs="Times New Roman"/>
    </w:rPr>
  </w:style>
  <w:style w:type="paragraph" w:customStyle="1" w:styleId="854">
    <w:name w:val="小四表文左齐"/>
    <w:basedOn w:val="1"/>
    <w:autoRedefine/>
    <w:qFormat/>
    <w:uiPriority w:val="0"/>
    <w:pPr>
      <w:jc w:val="center"/>
    </w:pPr>
    <w:rPr>
      <w:rFonts w:ascii="仿宋_GB2312" w:hAnsi="宋体" w:eastAsia="仿宋_GB2312"/>
    </w:rPr>
  </w:style>
  <w:style w:type="paragraph" w:customStyle="1" w:styleId="855">
    <w:name w:val="TOC 标题2"/>
    <w:basedOn w:val="3"/>
    <w:next w:val="1"/>
    <w:autoRedefine/>
    <w:unhideWhenUsed/>
    <w:qFormat/>
    <w:uiPriority w:val="39"/>
    <w:pPr>
      <w:keepLines/>
      <w:widowControl/>
      <w:overflowPunct/>
      <w:snapToGrid/>
      <w:spacing w:before="240" w:after="0"/>
      <w:ind w:left="0" w:firstLine="0"/>
      <w:jc w:val="left"/>
      <w:outlineLvl w:val="9"/>
    </w:pPr>
    <w:rPr>
      <w:rFonts w:ascii="Cambria" w:hAnsi="Cambria" w:eastAsia="宋体"/>
      <w:b w:val="0"/>
      <w:bCs w:val="0"/>
      <w:color w:val="365F91"/>
      <w:kern w:val="0"/>
      <w:sz w:val="32"/>
      <w:szCs w:val="32"/>
    </w:rPr>
  </w:style>
  <w:style w:type="paragraph" w:customStyle="1" w:styleId="856">
    <w:name w:val="项目段落"/>
    <w:basedOn w:val="1"/>
    <w:autoRedefine/>
    <w:qFormat/>
    <w:uiPriority w:val="0"/>
    <w:pPr>
      <w:spacing w:before="60" w:line="360" w:lineRule="auto"/>
      <w:ind w:left="476" w:firstLine="482"/>
    </w:pPr>
    <w:rPr>
      <w:rFonts w:ascii="Arial" w:hAnsi="Arial" w:eastAsia="仿宋_GB2312"/>
      <w:kern w:val="0"/>
      <w:sz w:val="24"/>
      <w:szCs w:val="20"/>
    </w:rPr>
  </w:style>
  <w:style w:type="paragraph" w:customStyle="1" w:styleId="857">
    <w:name w:val="Char Char Char Char Char Char Char Char Char1 Char Char Char Char Char Char Char Char1 Char Char Char"/>
    <w:basedOn w:val="1"/>
    <w:autoRedefine/>
    <w:qFormat/>
    <w:uiPriority w:val="0"/>
    <w:pPr>
      <w:snapToGrid w:val="0"/>
      <w:spacing w:line="360" w:lineRule="auto"/>
      <w:ind w:firstLine="200" w:firstLineChars="200"/>
    </w:pPr>
    <w:rPr>
      <w:rFonts w:eastAsia="仿宋_GB2312"/>
      <w:sz w:val="24"/>
    </w:rPr>
  </w:style>
  <w:style w:type="paragraph" w:customStyle="1" w:styleId="858">
    <w:name w:val="默认段落字体 Para Char Char Char1 Char Char"/>
    <w:basedOn w:val="1"/>
    <w:autoRedefine/>
    <w:qFormat/>
    <w:uiPriority w:val="0"/>
    <w:rPr>
      <w:sz w:val="24"/>
    </w:rPr>
  </w:style>
  <w:style w:type="paragraph" w:customStyle="1" w:styleId="859">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860">
    <w:name w:val="xl48"/>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861">
    <w:name w:val="1正文段落"/>
    <w:basedOn w:val="1"/>
    <w:autoRedefine/>
    <w:qFormat/>
    <w:uiPriority w:val="0"/>
    <w:pPr>
      <w:spacing w:line="360" w:lineRule="auto"/>
      <w:ind w:firstLine="480" w:firstLineChars="200"/>
      <w:jc w:val="left"/>
    </w:pPr>
    <w:rPr>
      <w:snapToGrid w:val="0"/>
      <w:kern w:val="0"/>
      <w:sz w:val="24"/>
    </w:rPr>
  </w:style>
  <w:style w:type="paragraph" w:customStyle="1" w:styleId="862">
    <w:name w:val="五号字表格"/>
    <w:basedOn w:val="728"/>
    <w:autoRedefine/>
    <w:qFormat/>
    <w:uiPriority w:val="0"/>
    <w:pPr>
      <w:adjustRightInd w:val="0"/>
      <w:textAlignment w:val="baseline"/>
    </w:pPr>
    <w:rPr>
      <w:rFonts w:ascii="宋体"/>
      <w:kern w:val="0"/>
      <w:szCs w:val="20"/>
    </w:rPr>
  </w:style>
  <w:style w:type="paragraph" w:customStyle="1" w:styleId="863">
    <w:name w:val="样式 首行缩进:  2 字符"/>
    <w:basedOn w:val="1"/>
    <w:autoRedefine/>
    <w:qFormat/>
    <w:uiPriority w:val="0"/>
    <w:pPr>
      <w:snapToGrid w:val="0"/>
      <w:spacing w:line="500" w:lineRule="exact"/>
      <w:ind w:firstLine="480" w:firstLineChars="200"/>
      <w:jc w:val="left"/>
    </w:pPr>
    <w:rPr>
      <w:rFonts w:cs="宋体"/>
      <w:sz w:val="24"/>
      <w:szCs w:val="20"/>
    </w:rPr>
  </w:style>
  <w:style w:type="paragraph" w:customStyle="1" w:styleId="864">
    <w:name w:val="标题6"/>
    <w:basedOn w:val="1"/>
    <w:next w:val="81"/>
    <w:autoRedefine/>
    <w:qFormat/>
    <w:uiPriority w:val="0"/>
    <w:pPr>
      <w:keepNext/>
      <w:spacing w:line="360" w:lineRule="auto"/>
      <w:ind w:firstLine="567"/>
      <w:jc w:val="left"/>
      <w:outlineLvl w:val="5"/>
    </w:pPr>
    <w:rPr>
      <w:sz w:val="28"/>
    </w:rPr>
  </w:style>
  <w:style w:type="paragraph" w:customStyle="1" w:styleId="865">
    <w:name w:val="图标题"/>
    <w:basedOn w:val="424"/>
    <w:autoRedefine/>
    <w:qFormat/>
    <w:uiPriority w:val="0"/>
    <w:pPr>
      <w:adjustRightInd/>
      <w:snapToGrid/>
      <w:spacing w:before="0" w:after="0" w:line="300" w:lineRule="exact"/>
      <w:jc w:val="both"/>
    </w:pPr>
    <w:rPr>
      <w:rFonts w:ascii="仿宋_GB2312" w:eastAsia="仿宋_GB2312"/>
      <w:kern w:val="0"/>
      <w:szCs w:val="24"/>
    </w:rPr>
  </w:style>
  <w:style w:type="paragraph" w:customStyle="1" w:styleId="866">
    <w:name w:val="1条目"/>
    <w:basedOn w:val="743"/>
    <w:autoRedefine/>
    <w:qFormat/>
    <w:uiPriority w:val="0"/>
    <w:pPr>
      <w:ind w:left="851"/>
    </w:pPr>
    <w:rPr>
      <w:rFonts w:ascii="宋体" w:hAnsi="宋体"/>
      <w:b/>
      <w:sz w:val="30"/>
      <w:szCs w:val="30"/>
    </w:rPr>
  </w:style>
  <w:style w:type="paragraph" w:customStyle="1" w:styleId="867">
    <w:name w:val="源程序"/>
    <w:autoRedefine/>
    <w:qFormat/>
    <w:uiPriority w:val="0"/>
    <w:pPr>
      <w:widowControl w:val="0"/>
      <w:kinsoku w:val="0"/>
      <w:wordWrap w:val="0"/>
      <w:overflowPunct w:val="0"/>
      <w:autoSpaceDE w:val="0"/>
      <w:autoSpaceDN w:val="0"/>
      <w:adjustRightInd w:val="0"/>
      <w:ind w:left="482"/>
    </w:pPr>
    <w:rPr>
      <w:rFonts w:ascii="Courier New" w:hAnsi="Courier New" w:eastAsia="仿宋_GB2312" w:cs="Times New Roman"/>
      <w:snapToGrid w:val="0"/>
      <w:sz w:val="24"/>
      <w:lang w:val="en-US" w:eastAsia="zh-CN" w:bidi="ar-SA"/>
    </w:rPr>
  </w:style>
  <w:style w:type="paragraph" w:customStyle="1" w:styleId="868">
    <w:name w:val="三级标题 大王 20100426"/>
    <w:basedOn w:val="1"/>
    <w:autoRedefine/>
    <w:qFormat/>
    <w:uiPriority w:val="0"/>
    <w:pPr>
      <w:numPr>
        <w:ilvl w:val="3"/>
        <w:numId w:val="4"/>
      </w:numPr>
      <w:spacing w:beforeLines="20" w:afterLines="50"/>
      <w:ind w:left="0" w:firstLine="0"/>
      <w:outlineLvl w:val="2"/>
    </w:pPr>
    <w:rPr>
      <w:rFonts w:eastAsia="黑体"/>
      <w:sz w:val="28"/>
      <w:szCs w:val="28"/>
    </w:rPr>
  </w:style>
  <w:style w:type="paragraph" w:customStyle="1" w:styleId="869">
    <w:name w:val="xl78"/>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870">
    <w:name w:val="h"/>
    <w:basedOn w:val="1"/>
    <w:autoRedefine/>
    <w:qFormat/>
    <w:uiPriority w:val="0"/>
    <w:pPr>
      <w:spacing w:before="60"/>
      <w:ind w:firstLine="482"/>
    </w:pPr>
    <w:rPr>
      <w:rFonts w:ascii="Arial" w:hAnsi="Arial" w:eastAsia="仿宋_GB2312"/>
      <w:kern w:val="0"/>
      <w:sz w:val="24"/>
      <w:szCs w:val="20"/>
    </w:rPr>
  </w:style>
  <w:style w:type="paragraph" w:customStyle="1" w:styleId="871">
    <w:name w:val="xl43"/>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872">
    <w:name w:val="Char Char Char Char Char Char1"/>
    <w:basedOn w:val="1"/>
    <w:autoRedefine/>
    <w:qFormat/>
    <w:uiPriority w:val="0"/>
    <w:rPr>
      <w:sz w:val="24"/>
    </w:rPr>
  </w:style>
  <w:style w:type="paragraph" w:customStyle="1" w:styleId="873">
    <w:name w:val="xl106"/>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74">
    <w:name w:val="列出段落1"/>
    <w:basedOn w:val="1"/>
    <w:autoRedefine/>
    <w:qFormat/>
    <w:uiPriority w:val="34"/>
    <w:pPr>
      <w:widowControl/>
      <w:adjustRightInd w:val="0"/>
      <w:snapToGrid w:val="0"/>
      <w:spacing w:after="200"/>
      <w:ind w:firstLine="420" w:firstLineChars="200"/>
      <w:jc w:val="left"/>
    </w:pPr>
    <w:rPr>
      <w:rFonts w:ascii="Tahoma" w:hAnsi="Tahoma" w:eastAsia="微软雅黑"/>
      <w:kern w:val="0"/>
      <w:sz w:val="22"/>
      <w:szCs w:val="22"/>
    </w:rPr>
  </w:style>
  <w:style w:type="paragraph" w:customStyle="1" w:styleId="875">
    <w:name w:val="GY3"/>
    <w:basedOn w:val="1"/>
    <w:autoRedefine/>
    <w:qFormat/>
    <w:uiPriority w:val="0"/>
    <w:pPr>
      <w:adjustRightInd w:val="0"/>
      <w:snapToGrid w:val="0"/>
      <w:spacing w:line="360" w:lineRule="auto"/>
    </w:pPr>
    <w:rPr>
      <w:rFonts w:ascii="黑体" w:hAnsi="宋体" w:eastAsia="黑体"/>
      <w:sz w:val="28"/>
      <w:szCs w:val="20"/>
    </w:rPr>
  </w:style>
  <w:style w:type="paragraph" w:customStyle="1" w:styleId="876">
    <w:name w:val="xl108"/>
    <w:basedOn w:val="1"/>
    <w:autoRedefine/>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77">
    <w:name w:val="Char Char Char Char Char Char2"/>
    <w:basedOn w:val="1"/>
    <w:autoRedefine/>
    <w:qFormat/>
    <w:uiPriority w:val="0"/>
    <w:rPr>
      <w:sz w:val="24"/>
    </w:rPr>
  </w:style>
  <w:style w:type="paragraph" w:customStyle="1" w:styleId="878">
    <w:name w:val="样式2.2.5"/>
    <w:basedOn w:val="1"/>
    <w:autoRedefine/>
    <w:qFormat/>
    <w:uiPriority w:val="0"/>
    <w:pPr>
      <w:spacing w:beforeLines="50" w:line="360" w:lineRule="auto"/>
      <w:outlineLvl w:val="3"/>
    </w:pPr>
    <w:rPr>
      <w:b/>
      <w:sz w:val="24"/>
    </w:rPr>
  </w:style>
  <w:style w:type="paragraph" w:customStyle="1" w:styleId="879">
    <w:name w:val="xl54"/>
    <w:basedOn w:val="1"/>
    <w:autoRedefine/>
    <w:qFormat/>
    <w:uiPriority w:val="0"/>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880">
    <w:name w:val="扉页 黑体"/>
    <w:basedOn w:val="1"/>
    <w:autoRedefine/>
    <w:qFormat/>
    <w:uiPriority w:val="0"/>
    <w:pPr>
      <w:spacing w:before="240" w:after="240" w:line="480" w:lineRule="exact"/>
      <w:ind w:firstLine="640" w:firstLineChars="200"/>
      <w:jc w:val="left"/>
    </w:pPr>
    <w:rPr>
      <w:rFonts w:eastAsia="黑体"/>
      <w:bCs/>
      <w:sz w:val="32"/>
      <w:szCs w:val="20"/>
    </w:rPr>
  </w:style>
  <w:style w:type="paragraph" w:customStyle="1" w:styleId="881">
    <w:name w:val="图文框"/>
    <w:basedOn w:val="1"/>
    <w:autoRedefine/>
    <w:qFormat/>
    <w:uiPriority w:val="0"/>
    <w:pPr>
      <w:widowControl/>
      <w:spacing w:line="240" w:lineRule="exact"/>
      <w:jc w:val="center"/>
    </w:pPr>
    <w:rPr>
      <w:rFonts w:ascii="仿宋_GB2312" w:hAnsi="宋体" w:eastAsia="仿宋_GB2312"/>
      <w:spacing w:val="-14"/>
      <w:kern w:val="0"/>
      <w:sz w:val="18"/>
      <w:szCs w:val="20"/>
    </w:rPr>
  </w:style>
  <w:style w:type="paragraph" w:customStyle="1" w:styleId="882">
    <w:name w:val="样式 样式3 + 首行缩进:  2 字符"/>
    <w:basedOn w:val="1"/>
    <w:autoRedefine/>
    <w:qFormat/>
    <w:uiPriority w:val="0"/>
    <w:pPr>
      <w:widowControl/>
      <w:spacing w:line="440" w:lineRule="exact"/>
      <w:ind w:firstLine="560" w:firstLineChars="200"/>
      <w:contextualSpacing/>
      <w:jc w:val="left"/>
    </w:pPr>
    <w:rPr>
      <w:rFonts w:cs="宋体"/>
      <w:kern w:val="0"/>
    </w:rPr>
  </w:style>
  <w:style w:type="paragraph" w:customStyle="1" w:styleId="883">
    <w:name w:val="纯文本2"/>
    <w:basedOn w:val="1"/>
    <w:autoRedefine/>
    <w:qFormat/>
    <w:uiPriority w:val="0"/>
    <w:pPr>
      <w:autoSpaceDE w:val="0"/>
      <w:autoSpaceDN w:val="0"/>
      <w:adjustRightInd w:val="0"/>
      <w:textAlignment w:val="baseline"/>
    </w:pPr>
    <w:rPr>
      <w:rFonts w:ascii="宋体"/>
      <w:szCs w:val="20"/>
    </w:rPr>
  </w:style>
  <w:style w:type="paragraph" w:customStyle="1" w:styleId="884">
    <w:name w:val="样式 标题 1章标题 1H11.1标题 111标题 1 + 行距: 固定值 30 磅"/>
    <w:basedOn w:val="3"/>
    <w:autoRedefine/>
    <w:qFormat/>
    <w:uiPriority w:val="0"/>
    <w:pPr>
      <w:keepNext w:val="0"/>
      <w:pageBreakBefore/>
      <w:tabs>
        <w:tab w:val="left" w:pos="390"/>
      </w:tabs>
      <w:overflowPunct/>
      <w:snapToGrid/>
      <w:spacing w:after="120" w:line="600" w:lineRule="exact"/>
      <w:ind w:left="390" w:firstLine="0"/>
      <w:jc w:val="center"/>
    </w:pPr>
    <w:rPr>
      <w:rFonts w:ascii="黑体" w:hAnsi="Calibri" w:cs="宋体"/>
      <w:color w:val="auto"/>
      <w:sz w:val="44"/>
      <w:szCs w:val="20"/>
    </w:rPr>
  </w:style>
  <w:style w:type="paragraph" w:customStyle="1" w:styleId="885">
    <w:name w:val="样式 样式 样式 标题 3东明_小节H3条标题1.1.1二级节名h33rd level3l3CTHeading 3 - ... ...1"/>
    <w:basedOn w:val="774"/>
    <w:autoRedefine/>
    <w:qFormat/>
    <w:uiPriority w:val="0"/>
    <w:pPr>
      <w:spacing w:after="0"/>
    </w:pPr>
  </w:style>
  <w:style w:type="paragraph" w:customStyle="1" w:styleId="886">
    <w:name w:val="Char Char Char Char Char Char Char Char Char Char Char Char1 Char Char Char Char"/>
    <w:basedOn w:val="1"/>
    <w:next w:val="1"/>
    <w:autoRedefine/>
    <w:semiHidden/>
    <w:qFormat/>
    <w:uiPriority w:val="0"/>
    <w:pPr>
      <w:spacing w:line="336" w:lineRule="auto"/>
      <w:ind w:firstLine="200" w:firstLineChars="200"/>
    </w:pPr>
    <w:rPr>
      <w:rFonts w:ascii="宋体" w:hAnsi="宋体" w:eastAsia="汉鼎简书宋" w:cs="宋体"/>
      <w:sz w:val="24"/>
    </w:rPr>
  </w:style>
  <w:style w:type="paragraph" w:customStyle="1" w:styleId="887">
    <w:name w:val="Char"/>
    <w:basedOn w:val="1"/>
    <w:autoRedefine/>
    <w:qFormat/>
    <w:uiPriority w:val="0"/>
  </w:style>
  <w:style w:type="paragraph" w:customStyle="1" w:styleId="888">
    <w:name w:val="Char Char Char Char"/>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889">
    <w:name w:val="5"/>
    <w:autoRedefine/>
    <w:qFormat/>
    <w:uiPriority w:val="0"/>
    <w:rPr>
      <w:rFonts w:ascii="Calibri" w:hAnsi="Calibri" w:eastAsia="宋体" w:cs="Times New Roman"/>
      <w:kern w:val="2"/>
      <w:sz w:val="21"/>
      <w:szCs w:val="22"/>
      <w:lang w:val="en-US" w:eastAsia="zh-CN" w:bidi="ar-SA"/>
    </w:rPr>
  </w:style>
  <w:style w:type="paragraph" w:customStyle="1" w:styleId="890">
    <w:name w:val="字元 字元"/>
    <w:basedOn w:val="1"/>
    <w:autoRedefine/>
    <w:qFormat/>
    <w:uiPriority w:val="0"/>
  </w:style>
  <w:style w:type="paragraph" w:customStyle="1" w:styleId="891">
    <w:name w:val="样式 样式 样式 标题 3 + 两端对齐 + 段后: 0.1 行 +"/>
    <w:basedOn w:val="1"/>
    <w:autoRedefine/>
    <w:semiHidden/>
    <w:qFormat/>
    <w:uiPriority w:val="0"/>
    <w:pPr>
      <w:keepNext/>
      <w:keepLines/>
      <w:widowControl/>
      <w:tabs>
        <w:tab w:val="left" w:pos="0"/>
        <w:tab w:val="left" w:pos="2700"/>
      </w:tabs>
      <w:spacing w:line="320" w:lineRule="exact"/>
      <w:contextualSpacing/>
      <w:jc w:val="center"/>
    </w:pPr>
    <w:rPr>
      <w:rFonts w:cs="宋体"/>
      <w:bCs/>
      <w:kern w:val="0"/>
    </w:rPr>
  </w:style>
  <w:style w:type="paragraph" w:customStyle="1" w:styleId="892">
    <w:name w:val="xl126"/>
    <w:basedOn w:val="1"/>
    <w:autoRedefine/>
    <w:qFormat/>
    <w:uiPriority w:val="0"/>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893">
    <w:name w:val="xl47"/>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894">
    <w:name w:val="法规"/>
    <w:basedOn w:val="1"/>
    <w:autoRedefine/>
    <w:qFormat/>
    <w:uiPriority w:val="0"/>
    <w:pPr>
      <w:tabs>
        <w:tab w:val="left" w:pos="400"/>
      </w:tabs>
      <w:spacing w:line="440" w:lineRule="exact"/>
      <w:ind w:firstLine="400"/>
    </w:pPr>
    <w:rPr>
      <w:sz w:val="25"/>
      <w:szCs w:val="20"/>
    </w:rPr>
  </w:style>
  <w:style w:type="paragraph" w:customStyle="1" w:styleId="895">
    <w:name w:val="正文首行缩进1"/>
    <w:basedOn w:val="1"/>
    <w:next w:val="1"/>
    <w:autoRedefine/>
    <w:qFormat/>
    <w:uiPriority w:val="0"/>
    <w:pPr>
      <w:tabs>
        <w:tab w:val="left" w:pos="540"/>
        <w:tab w:val="left" w:pos="1440"/>
        <w:tab w:val="left" w:pos="2448"/>
        <w:tab w:val="left" w:pos="3000"/>
        <w:tab w:val="left" w:pos="3888"/>
        <w:tab w:val="left" w:pos="4800"/>
        <w:tab w:val="left" w:pos="5040"/>
        <w:tab w:val="left" w:pos="5883"/>
        <w:tab w:val="left" w:pos="6300"/>
        <w:tab w:val="left" w:pos="7353"/>
        <w:tab w:val="left" w:pos="8613"/>
      </w:tabs>
      <w:autoSpaceDE w:val="0"/>
      <w:autoSpaceDN w:val="0"/>
      <w:adjustRightInd w:val="0"/>
      <w:snapToGrid w:val="0"/>
      <w:spacing w:line="300" w:lineRule="auto"/>
      <w:ind w:firstLine="561"/>
      <w:textAlignment w:val="baseline"/>
    </w:pPr>
    <w:rPr>
      <w:kern w:val="0"/>
      <w:sz w:val="28"/>
    </w:rPr>
  </w:style>
  <w:style w:type="paragraph" w:customStyle="1" w:styleId="896">
    <w:name w:val="样式 标题 2东明_节 + 行距: 1.5 倍行距"/>
    <w:basedOn w:val="4"/>
    <w:autoRedefine/>
    <w:qFormat/>
    <w:uiPriority w:val="0"/>
    <w:pPr>
      <w:keepLines w:val="0"/>
      <w:widowControl/>
      <w:spacing w:before="240" w:after="60" w:line="360" w:lineRule="auto"/>
      <w:jc w:val="left"/>
    </w:pPr>
    <w:rPr>
      <w:rFonts w:ascii="Cambria" w:hAnsi="Cambria" w:eastAsia="宋体" w:cs="宋体"/>
      <w:kern w:val="0"/>
      <w:sz w:val="30"/>
      <w:szCs w:val="20"/>
      <w:lang w:eastAsia="en-US" w:bidi="en-US"/>
    </w:rPr>
  </w:style>
  <w:style w:type="paragraph" w:customStyle="1" w:styleId="897">
    <w:name w:val="xl30"/>
    <w:basedOn w:val="1"/>
    <w:autoRedefine/>
    <w:qFormat/>
    <w:uiPriority w:val="0"/>
    <w:pPr>
      <w:widowControl/>
      <w:pBdr>
        <w:bottom w:val="single" w:color="auto" w:sz="4" w:space="0"/>
        <w:right w:val="single" w:color="auto" w:sz="4" w:space="0"/>
      </w:pBdr>
      <w:spacing w:before="100" w:beforeAutospacing="1" w:after="100" w:afterAutospacing="1"/>
    </w:pPr>
    <w:rPr>
      <w:rFonts w:hint="eastAsia" w:ascii="宋体" w:hAnsi="宋体"/>
      <w:kern w:val="0"/>
    </w:rPr>
  </w:style>
  <w:style w:type="paragraph" w:customStyle="1" w:styleId="898">
    <w:name w:val="样式38"/>
    <w:basedOn w:val="3"/>
    <w:autoRedefine/>
    <w:qFormat/>
    <w:uiPriority w:val="0"/>
    <w:pPr>
      <w:tabs>
        <w:tab w:val="left" w:pos="720"/>
      </w:tabs>
      <w:overflowPunct/>
      <w:snapToGrid/>
      <w:spacing w:before="340" w:beforeLines="100" w:after="330" w:afterLines="100" w:line="360" w:lineRule="auto"/>
      <w:ind w:left="0" w:firstLine="0"/>
      <w:jc w:val="center"/>
    </w:pPr>
    <w:rPr>
      <w:rFonts w:ascii="黑体" w:hAnsi="Calibri"/>
      <w:b w:val="0"/>
      <w:bCs w:val="0"/>
      <w:color w:val="auto"/>
      <w:kern w:val="2"/>
      <w:sz w:val="32"/>
      <w:szCs w:val="32"/>
    </w:rPr>
  </w:style>
  <w:style w:type="paragraph" w:customStyle="1" w:styleId="899">
    <w:name w:val="样式 Char"/>
    <w:basedOn w:val="1"/>
    <w:next w:val="685"/>
    <w:autoRedefine/>
    <w:qFormat/>
    <w:uiPriority w:val="0"/>
    <w:pPr>
      <w:numPr>
        <w:ilvl w:val="0"/>
        <w:numId w:val="9"/>
      </w:numPr>
      <w:adjustRightInd w:val="0"/>
      <w:snapToGrid w:val="0"/>
      <w:spacing w:before="240" w:after="240" w:line="480" w:lineRule="exact"/>
    </w:pPr>
    <w:rPr>
      <w:sz w:val="28"/>
    </w:rPr>
  </w:style>
  <w:style w:type="paragraph" w:customStyle="1" w:styleId="900">
    <w:name w:val="样式28"/>
    <w:basedOn w:val="901"/>
    <w:autoRedefine/>
    <w:qFormat/>
    <w:uiPriority w:val="0"/>
    <w:pPr>
      <w:spacing w:beforeLines="50" w:afterLines="50"/>
      <w:ind w:firstLine="0" w:firstLineChars="0"/>
      <w:jc w:val="center"/>
    </w:pPr>
    <w:rPr>
      <w:rFonts w:ascii="宋体" w:eastAsia="宋体"/>
      <w:b/>
      <w:snapToGrid w:val="0"/>
      <w:color w:val="000000"/>
      <w:szCs w:val="28"/>
    </w:rPr>
  </w:style>
  <w:style w:type="paragraph" w:customStyle="1" w:styleId="901">
    <w:name w:val="样式17"/>
    <w:basedOn w:val="1"/>
    <w:autoRedefine/>
    <w:qFormat/>
    <w:uiPriority w:val="0"/>
    <w:pPr>
      <w:ind w:firstLine="560" w:firstLineChars="200"/>
    </w:pPr>
    <w:rPr>
      <w:rFonts w:ascii="黑体" w:hAnsi="宋体" w:eastAsia="黑体"/>
      <w:sz w:val="28"/>
      <w:szCs w:val="20"/>
    </w:rPr>
  </w:style>
  <w:style w:type="paragraph" w:customStyle="1" w:styleId="902">
    <w:name w:val="font10"/>
    <w:basedOn w:val="1"/>
    <w:autoRedefine/>
    <w:qFormat/>
    <w:uiPriority w:val="0"/>
    <w:pPr>
      <w:widowControl/>
      <w:spacing w:before="100" w:beforeAutospacing="1" w:after="100" w:afterAutospacing="1"/>
      <w:jc w:val="left"/>
    </w:pPr>
    <w:rPr>
      <w:rFonts w:ascii="Arial" w:hAnsi="Arial" w:cs="Arial"/>
      <w:kern w:val="0"/>
      <w:sz w:val="20"/>
      <w:szCs w:val="20"/>
    </w:rPr>
  </w:style>
  <w:style w:type="paragraph" w:customStyle="1" w:styleId="903">
    <w:name w:val="东明_表格"/>
    <w:basedOn w:val="904"/>
    <w:autoRedefine/>
    <w:qFormat/>
    <w:uiPriority w:val="0"/>
    <w:pPr>
      <w:spacing w:before="100" w:beforeAutospacing="1" w:after="100" w:afterAutospacing="1" w:line="240" w:lineRule="auto"/>
    </w:pPr>
    <w:rPr>
      <w:rFonts w:ascii="黑体" w:hAnsi="黑体" w:eastAsia="黑体"/>
      <w:szCs w:val="24"/>
    </w:rPr>
  </w:style>
  <w:style w:type="paragraph" w:customStyle="1" w:styleId="904">
    <w:name w:val="表格正文"/>
    <w:basedOn w:val="1"/>
    <w:autoRedefine/>
    <w:qFormat/>
    <w:uiPriority w:val="0"/>
    <w:pPr>
      <w:spacing w:line="360" w:lineRule="exact"/>
      <w:jc w:val="center"/>
    </w:pPr>
    <w:rPr>
      <w:szCs w:val="20"/>
    </w:rPr>
  </w:style>
  <w:style w:type="paragraph" w:customStyle="1" w:styleId="905">
    <w:name w:val="xl122"/>
    <w:basedOn w:val="1"/>
    <w:autoRedefine/>
    <w:qFormat/>
    <w:uiPriority w:val="0"/>
    <w:pPr>
      <w:widowControl/>
      <w:pBdr>
        <w:lef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06">
    <w:name w:val="正文文字 3"/>
    <w:basedOn w:val="1"/>
    <w:autoRedefine/>
    <w:qFormat/>
    <w:uiPriority w:val="0"/>
    <w:pPr>
      <w:spacing w:line="280" w:lineRule="exact"/>
      <w:jc w:val="center"/>
    </w:pPr>
    <w:rPr>
      <w:rFonts w:ascii="仿宋_GB2312" w:hAnsi="Arial Black" w:eastAsia="仿宋_GB2312" w:cs="仿宋_GB2312"/>
    </w:rPr>
  </w:style>
  <w:style w:type="paragraph" w:customStyle="1" w:styleId="907">
    <w:name w:val="文本居中"/>
    <w:basedOn w:val="1"/>
    <w:autoRedefine/>
    <w:qFormat/>
    <w:uiPriority w:val="0"/>
    <w:pPr>
      <w:adjustRightInd w:val="0"/>
      <w:spacing w:line="360" w:lineRule="auto"/>
      <w:jc w:val="center"/>
    </w:pPr>
    <w:rPr>
      <w:sz w:val="28"/>
    </w:rPr>
  </w:style>
  <w:style w:type="paragraph" w:customStyle="1" w:styleId="908">
    <w:name w:val="xl112"/>
    <w:basedOn w:val="1"/>
    <w:autoRedefine/>
    <w:qFormat/>
    <w:uiPriority w:val="0"/>
    <w:pPr>
      <w:widowControl/>
      <w:pBdr>
        <w:right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909">
    <w:name w:val="Char Char Char Char Char Char Char Char Char Char1 Char Char Char Char Char Char"/>
    <w:basedOn w:val="1"/>
    <w:autoRedefine/>
    <w:qFormat/>
    <w:uiPriority w:val="0"/>
    <w:pPr>
      <w:widowControl/>
      <w:contextualSpacing/>
      <w:jc w:val="left"/>
    </w:pPr>
    <w:rPr>
      <w:rFonts w:cs="宋体"/>
      <w:kern w:val="0"/>
    </w:rPr>
  </w:style>
  <w:style w:type="paragraph" w:customStyle="1" w:styleId="910">
    <w:name w:val="xl103"/>
    <w:basedOn w:val="1"/>
    <w:autoRedefine/>
    <w:qFormat/>
    <w:uiPriority w:val="0"/>
    <w:pPr>
      <w:widowControl/>
      <w:pBdr>
        <w:left w:val="single" w:color="auto" w:sz="4" w:space="0"/>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11">
    <w:name w:val="yz"/>
    <w:basedOn w:val="9"/>
    <w:autoRedefine/>
    <w:qFormat/>
    <w:uiPriority w:val="0"/>
    <w:pPr>
      <w:widowControl w:val="0"/>
      <w:tabs>
        <w:tab w:val="left" w:pos="900"/>
      </w:tabs>
      <w:adjustRightInd w:val="0"/>
      <w:snapToGrid/>
      <w:spacing w:before="0" w:after="0" w:line="240" w:lineRule="auto"/>
      <w:ind w:right="0" w:firstLine="200" w:firstLineChars="200"/>
      <w:textAlignment w:val="baseline"/>
    </w:pPr>
    <w:rPr>
      <w:rFonts w:hint="eastAsia" w:ascii="宋体" w:hAnsi="宋体"/>
      <w:sz w:val="24"/>
      <w:szCs w:val="24"/>
    </w:rPr>
  </w:style>
  <w:style w:type="paragraph" w:customStyle="1" w:styleId="912">
    <w:name w:val="标准符号 行距1倍"/>
    <w:basedOn w:val="1"/>
    <w:autoRedefine/>
    <w:qFormat/>
    <w:uiPriority w:val="0"/>
    <w:pPr>
      <w:adjustRightInd w:val="0"/>
      <w:snapToGrid w:val="0"/>
      <w:spacing w:beforeLines="50"/>
      <w:jc w:val="center"/>
      <w:textAlignment w:val="center"/>
    </w:pPr>
    <w:rPr>
      <w:rFonts w:ascii="黑体" w:eastAsia="黑体" w:cs="宋体"/>
      <w:color w:val="000000"/>
      <w:kern w:val="0"/>
      <w:sz w:val="24"/>
    </w:rPr>
  </w:style>
  <w:style w:type="paragraph" w:customStyle="1" w:styleId="913">
    <w:name w:val="2.2.1"/>
    <w:basedOn w:val="6"/>
    <w:autoRedefine/>
    <w:qFormat/>
    <w:uiPriority w:val="0"/>
    <w:pPr>
      <w:tabs>
        <w:tab w:val="left" w:pos="864"/>
      </w:tabs>
      <w:spacing w:before="0" w:after="0" w:line="360" w:lineRule="auto"/>
      <w:ind w:left="864" w:hanging="864"/>
      <w:jc w:val="left"/>
    </w:pPr>
    <w:rPr>
      <w:rFonts w:ascii="宋体" w:hAnsi="Arial"/>
      <w:b w:val="0"/>
      <w:color w:val="000000"/>
      <w:sz w:val="24"/>
    </w:rPr>
  </w:style>
  <w:style w:type="paragraph" w:customStyle="1" w:styleId="914">
    <w:name w:val="Char1 Char Char Char"/>
    <w:basedOn w:val="1"/>
    <w:autoRedefine/>
    <w:qFormat/>
    <w:uiPriority w:val="0"/>
    <w:pPr>
      <w:spacing w:line="360" w:lineRule="auto"/>
      <w:ind w:firstLine="200" w:firstLineChars="200"/>
    </w:pPr>
    <w:rPr>
      <w:rFonts w:ascii="宋体" w:hAnsi="宋体" w:cs="宋体"/>
      <w:sz w:val="24"/>
    </w:rPr>
  </w:style>
  <w:style w:type="paragraph" w:customStyle="1" w:styleId="915">
    <w:name w:val="TOC 标题1"/>
    <w:basedOn w:val="3"/>
    <w:next w:val="1"/>
    <w:autoRedefine/>
    <w:qFormat/>
    <w:uiPriority w:val="39"/>
    <w:pPr>
      <w:keepLines/>
      <w:widowControl/>
      <w:tabs>
        <w:tab w:val="left" w:pos="390"/>
      </w:tabs>
      <w:overflowPunct/>
      <w:snapToGrid/>
      <w:spacing w:before="480" w:after="0" w:line="276" w:lineRule="auto"/>
      <w:ind w:left="390" w:firstLine="0"/>
      <w:jc w:val="left"/>
      <w:outlineLvl w:val="9"/>
    </w:pPr>
    <w:rPr>
      <w:rFonts w:ascii="Cambria" w:hAnsi="Cambria" w:eastAsia="宋体"/>
      <w:color w:val="365F91"/>
      <w:kern w:val="0"/>
      <w:sz w:val="28"/>
      <w:szCs w:val="28"/>
    </w:rPr>
  </w:style>
  <w:style w:type="paragraph" w:customStyle="1" w:styleId="916">
    <w:name w:val="小节标题"/>
    <w:basedOn w:val="1"/>
    <w:autoRedefine/>
    <w:qFormat/>
    <w:uiPriority w:val="0"/>
    <w:pPr>
      <w:widowControl/>
      <w:spacing w:before="175" w:after="102" w:line="351" w:lineRule="atLeast"/>
      <w:contextualSpacing/>
      <w:textAlignment w:val="baseline"/>
    </w:pPr>
    <w:rPr>
      <w:rFonts w:eastAsia="黑体"/>
      <w:color w:val="000000"/>
      <w:kern w:val="0"/>
      <w:szCs w:val="20"/>
      <w:u w:color="000000"/>
    </w:rPr>
  </w:style>
  <w:style w:type="paragraph" w:customStyle="1" w:styleId="917">
    <w:name w:val="高表内"/>
    <w:basedOn w:val="43"/>
    <w:autoRedefine/>
    <w:qFormat/>
    <w:uiPriority w:val="0"/>
    <w:pPr>
      <w:autoSpaceDE w:val="0"/>
      <w:adjustRightInd w:val="0"/>
      <w:snapToGrid w:val="0"/>
      <w:jc w:val="center"/>
      <w:textAlignment w:val="baseline"/>
    </w:pPr>
    <w:rPr>
      <w:rFonts w:ascii="Arial" w:hAnsi="Arial" w:eastAsia="楷体_GB2312" w:cs="Times New Roman"/>
      <w:kern w:val="0"/>
      <w:sz w:val="24"/>
      <w:szCs w:val="24"/>
    </w:rPr>
  </w:style>
  <w:style w:type="paragraph" w:customStyle="1" w:styleId="918">
    <w:name w:val="正文 + 宋体"/>
    <w:basedOn w:val="1"/>
    <w:autoRedefine/>
    <w:qFormat/>
    <w:uiPriority w:val="0"/>
    <w:pPr>
      <w:tabs>
        <w:tab w:val="left" w:pos="6120"/>
      </w:tabs>
      <w:adjustRightInd w:val="0"/>
      <w:spacing w:line="500" w:lineRule="exact"/>
      <w:ind w:firstLine="420" w:firstLineChars="150"/>
      <w:jc w:val="left"/>
    </w:pPr>
    <w:rPr>
      <w:rFonts w:ascii="宋体" w:hAnsi="宋体"/>
      <w:sz w:val="28"/>
      <w:szCs w:val="28"/>
    </w:rPr>
  </w:style>
  <w:style w:type="paragraph" w:customStyle="1" w:styleId="919">
    <w:name w:val="xl165"/>
    <w:basedOn w:val="1"/>
    <w:autoRedefine/>
    <w:qFormat/>
    <w:uiPriority w:val="0"/>
    <w:pPr>
      <w:widowControl/>
      <w:pBdr>
        <w:top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920">
    <w:name w:val="样式 标题 1 + (中文) 宋体 小三 行距: 多倍行距 1.35 字行"/>
    <w:basedOn w:val="3"/>
    <w:autoRedefine/>
    <w:qFormat/>
    <w:uiPriority w:val="0"/>
    <w:pPr>
      <w:keepLines/>
      <w:tabs>
        <w:tab w:val="left" w:pos="390"/>
        <w:tab w:val="left" w:pos="432"/>
      </w:tabs>
      <w:overflowPunct/>
      <w:spacing w:before="0" w:after="0" w:line="360" w:lineRule="auto"/>
    </w:pPr>
    <w:rPr>
      <w:rFonts w:ascii="宋体" w:hAnsi="宋体" w:eastAsia="宋体"/>
      <w:color w:val="auto"/>
      <w:sz w:val="32"/>
      <w:szCs w:val="32"/>
    </w:rPr>
  </w:style>
  <w:style w:type="paragraph" w:customStyle="1" w:styleId="921">
    <w:name w:val="表字1"/>
    <w:basedOn w:val="1"/>
    <w:autoRedefine/>
    <w:qFormat/>
    <w:uiPriority w:val="0"/>
    <w:pPr>
      <w:adjustRightInd w:val="0"/>
      <w:spacing w:line="360" w:lineRule="auto"/>
      <w:jc w:val="center"/>
      <w:textAlignment w:val="baseline"/>
    </w:pPr>
    <w:rPr>
      <w:rFonts w:ascii="宋体"/>
      <w:kern w:val="0"/>
      <w:szCs w:val="20"/>
    </w:rPr>
  </w:style>
  <w:style w:type="paragraph" w:customStyle="1" w:styleId="922">
    <w:name w:val="xl42"/>
    <w:basedOn w:val="1"/>
    <w:autoRedefine/>
    <w:qFormat/>
    <w:uiPriority w:val="0"/>
    <w:pPr>
      <w:widowControl/>
      <w:pBdr>
        <w:bottom w:val="dotted" w:color="auto" w:sz="4" w:space="0"/>
        <w:right w:val="dotted" w:color="auto" w:sz="4" w:space="0"/>
      </w:pBdr>
      <w:spacing w:before="100" w:beforeAutospacing="1" w:after="100" w:afterAutospacing="1"/>
      <w:jc w:val="center"/>
    </w:pPr>
    <w:rPr>
      <w:kern w:val="0"/>
    </w:rPr>
  </w:style>
  <w:style w:type="paragraph" w:customStyle="1" w:styleId="923">
    <w:name w:val="Char Char Char Char Char Char Char Char Char Char Char Char1 Char Char Char Char1"/>
    <w:basedOn w:val="1"/>
    <w:autoRedefine/>
    <w:qFormat/>
    <w:uiPriority w:val="0"/>
    <w:pPr>
      <w:widowControl/>
      <w:contextualSpacing/>
      <w:jc w:val="left"/>
    </w:pPr>
    <w:rPr>
      <w:rFonts w:cs="宋体"/>
      <w:kern w:val="0"/>
    </w:rPr>
  </w:style>
  <w:style w:type="paragraph" w:customStyle="1" w:styleId="924">
    <w:name w:val="1 Char Char Char Char Char Char Char"/>
    <w:basedOn w:val="1"/>
    <w:autoRedefine/>
    <w:qFormat/>
    <w:uiPriority w:val="0"/>
    <w:pPr>
      <w:spacing w:line="360" w:lineRule="auto"/>
      <w:ind w:firstLine="200" w:firstLineChars="200"/>
    </w:pPr>
    <w:rPr>
      <w:rFonts w:ascii="宋体" w:hAnsi="宋体" w:cs="宋体"/>
      <w:sz w:val="24"/>
    </w:rPr>
  </w:style>
  <w:style w:type="paragraph" w:customStyle="1" w:styleId="925">
    <w:name w:val="样式 正文001 + 首行缩进:  2 字符1"/>
    <w:basedOn w:val="1"/>
    <w:autoRedefine/>
    <w:qFormat/>
    <w:uiPriority w:val="0"/>
    <w:pPr>
      <w:spacing w:before="60" w:line="460" w:lineRule="exact"/>
      <w:ind w:firstLine="480" w:firstLineChars="200"/>
    </w:pPr>
    <w:rPr>
      <w:sz w:val="24"/>
      <w:szCs w:val="20"/>
    </w:rPr>
  </w:style>
  <w:style w:type="paragraph" w:customStyle="1" w:styleId="926">
    <w:name w:val="样式 标题 1章标题 11标题 1H1一、 + 行距: 1.5 倍行距"/>
    <w:basedOn w:val="3"/>
    <w:autoRedefine/>
    <w:qFormat/>
    <w:uiPriority w:val="0"/>
    <w:pPr>
      <w:keepLines/>
      <w:overflowPunct/>
      <w:spacing w:before="340" w:after="330" w:line="360" w:lineRule="auto"/>
      <w:ind w:left="3845" w:hanging="3845"/>
      <w:jc w:val="center"/>
    </w:pPr>
    <w:rPr>
      <w:rFonts w:cs="宋体"/>
      <w:color w:val="auto"/>
      <w:sz w:val="44"/>
      <w:szCs w:val="20"/>
    </w:rPr>
  </w:style>
  <w:style w:type="paragraph" w:customStyle="1" w:styleId="927">
    <w:name w:val="1 Char"/>
    <w:basedOn w:val="1"/>
    <w:autoRedefine/>
    <w:qFormat/>
    <w:uiPriority w:val="0"/>
    <w:pPr>
      <w:spacing w:line="360" w:lineRule="auto"/>
      <w:ind w:firstLine="200" w:firstLineChars="200"/>
    </w:pPr>
    <w:rPr>
      <w:rFonts w:ascii="宋体" w:hAnsi="宋体" w:cs="宋体"/>
      <w:sz w:val="24"/>
    </w:rPr>
  </w:style>
  <w:style w:type="paragraph" w:customStyle="1" w:styleId="928">
    <w:name w:val="工艺正文"/>
    <w:basedOn w:val="1"/>
    <w:autoRedefine/>
    <w:qFormat/>
    <w:uiPriority w:val="0"/>
    <w:pPr>
      <w:adjustRightInd w:val="0"/>
      <w:snapToGrid w:val="0"/>
      <w:spacing w:line="360" w:lineRule="auto"/>
      <w:ind w:firstLine="580"/>
    </w:pPr>
    <w:rPr>
      <w:rFonts w:ascii="宋体"/>
      <w:sz w:val="28"/>
      <w:szCs w:val="20"/>
    </w:rPr>
  </w:style>
  <w:style w:type="paragraph" w:customStyle="1" w:styleId="929">
    <w:name w:val="正文 黑体"/>
    <w:basedOn w:val="1"/>
    <w:autoRedefine/>
    <w:qFormat/>
    <w:uiPriority w:val="0"/>
    <w:pPr>
      <w:spacing w:before="240" w:after="240" w:line="480" w:lineRule="exact"/>
      <w:ind w:firstLine="560" w:firstLineChars="200"/>
    </w:pPr>
    <w:rPr>
      <w:rFonts w:eastAsia="黑体"/>
      <w:sz w:val="28"/>
      <w:szCs w:val="20"/>
    </w:rPr>
  </w:style>
  <w:style w:type="paragraph" w:customStyle="1" w:styleId="930">
    <w:name w:val="xl175"/>
    <w:basedOn w:val="1"/>
    <w:autoRedefine/>
    <w:qFormat/>
    <w:uiPriority w:val="0"/>
    <w:pPr>
      <w:widowControl/>
      <w:pBdr>
        <w:left w:val="single" w:color="auto" w:sz="12" w:space="0"/>
        <w:right w:val="single" w:color="auto" w:sz="4" w:space="0"/>
      </w:pBdr>
      <w:spacing w:before="100" w:beforeAutospacing="1" w:after="100" w:afterAutospacing="1"/>
      <w:jc w:val="left"/>
    </w:pPr>
    <w:rPr>
      <w:rFonts w:ascii="Arial Unicode MS" w:hAnsi="Arial Unicode MS"/>
      <w:kern w:val="0"/>
    </w:rPr>
  </w:style>
  <w:style w:type="paragraph" w:customStyle="1" w:styleId="931">
    <w:name w:val="xl140"/>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932">
    <w:name w:val="z-窗体底端1"/>
    <w:basedOn w:val="1"/>
    <w:next w:val="1"/>
    <w:autoRedefine/>
    <w:qFormat/>
    <w:uiPriority w:val="0"/>
    <w:pPr>
      <w:widowControl/>
      <w:pBdr>
        <w:top w:val="single" w:color="auto" w:sz="6" w:space="1"/>
      </w:pBdr>
      <w:jc w:val="center"/>
    </w:pPr>
    <w:rPr>
      <w:rFonts w:ascii="Arial" w:hAnsi="Arial" w:cs="Arial"/>
      <w:vanish/>
      <w:kern w:val="0"/>
      <w:sz w:val="16"/>
      <w:szCs w:val="16"/>
    </w:rPr>
  </w:style>
  <w:style w:type="paragraph" w:customStyle="1" w:styleId="933">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34">
    <w:name w:val="正文 黑体 Char"/>
    <w:basedOn w:val="685"/>
    <w:next w:val="685"/>
    <w:autoRedefine/>
    <w:qFormat/>
    <w:uiPriority w:val="0"/>
    <w:rPr>
      <w:rFonts w:eastAsia="黑体"/>
    </w:rPr>
  </w:style>
  <w:style w:type="paragraph" w:customStyle="1" w:styleId="935">
    <w:name w:val="xl24"/>
    <w:basedOn w:val="1"/>
    <w:autoRedefine/>
    <w:qFormat/>
    <w:uiPriority w:val="0"/>
    <w:pPr>
      <w:widowControl/>
      <w:spacing w:before="100" w:after="100"/>
      <w:jc w:val="center"/>
    </w:pPr>
    <w:rPr>
      <w:rFonts w:ascii="宋体" w:hAnsi="宋体"/>
      <w:kern w:val="0"/>
      <w:sz w:val="24"/>
      <w:szCs w:val="20"/>
    </w:rPr>
  </w:style>
  <w:style w:type="paragraph" w:customStyle="1" w:styleId="936">
    <w:name w:val="表中"/>
    <w:autoRedefine/>
    <w:qFormat/>
    <w:uiPriority w:val="0"/>
    <w:pPr>
      <w:adjustRightInd w:val="0"/>
      <w:snapToGrid w:val="0"/>
      <w:jc w:val="right"/>
    </w:pPr>
    <w:rPr>
      <w:rFonts w:ascii="Times New Roman" w:hAnsi="Times New Roman" w:eastAsia="宋体" w:cs="Times New Roman"/>
      <w:kern w:val="44"/>
      <w:sz w:val="18"/>
      <w:lang w:val="en-US" w:eastAsia="zh-CN" w:bidi="ar-SA"/>
    </w:rPr>
  </w:style>
  <w:style w:type="paragraph" w:customStyle="1" w:styleId="937">
    <w:name w:val="编制说明"/>
    <w:basedOn w:val="1"/>
    <w:autoRedefine/>
    <w:qFormat/>
    <w:uiPriority w:val="0"/>
    <w:pPr>
      <w:topLinePunct/>
      <w:adjustRightInd w:val="0"/>
      <w:snapToGrid w:val="0"/>
      <w:ind w:firstLine="420"/>
      <w:contextualSpacing/>
    </w:pPr>
    <w:rPr>
      <w:rFonts w:eastAsia="仿宋_GB2312"/>
      <w:szCs w:val="20"/>
    </w:rPr>
  </w:style>
  <w:style w:type="paragraph" w:customStyle="1" w:styleId="938">
    <w:name w:val="Char Char1"/>
    <w:basedOn w:val="1"/>
    <w:autoRedefine/>
    <w:qFormat/>
    <w:uiPriority w:val="0"/>
    <w:pPr>
      <w:spacing w:line="360" w:lineRule="auto"/>
      <w:ind w:firstLine="200" w:firstLineChars="200"/>
      <w:jc w:val="left"/>
    </w:pPr>
    <w:rPr>
      <w:rFonts w:ascii="宋体" w:hAnsi="宋体" w:cs="宋体"/>
      <w:sz w:val="24"/>
    </w:rPr>
  </w:style>
  <w:style w:type="paragraph" w:customStyle="1" w:styleId="939">
    <w:name w:val="xl141"/>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940">
    <w:name w:val="xl79"/>
    <w:basedOn w:val="1"/>
    <w:autoRedefine/>
    <w:qFormat/>
    <w:uiPriority w:val="0"/>
    <w:pPr>
      <w:widowControl/>
      <w:pBdr>
        <w:bottom w:val="single" w:color="auto" w:sz="12" w:space="0"/>
      </w:pBdr>
      <w:spacing w:before="100" w:beforeAutospacing="1" w:after="100" w:afterAutospacing="1"/>
      <w:jc w:val="left"/>
      <w:textAlignment w:val="center"/>
    </w:pPr>
    <w:rPr>
      <w:kern w:val="0"/>
      <w:sz w:val="12"/>
      <w:szCs w:val="12"/>
    </w:rPr>
  </w:style>
  <w:style w:type="paragraph" w:customStyle="1" w:styleId="941">
    <w:name w:val="xl153"/>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942">
    <w:name w:val="xl145"/>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943">
    <w:name w:val="xl163"/>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944">
    <w:name w:val="图号"/>
    <w:basedOn w:val="1"/>
    <w:autoRedefine/>
    <w:qFormat/>
    <w:uiPriority w:val="0"/>
    <w:pPr>
      <w:tabs>
        <w:tab w:val="left" w:pos="8160"/>
      </w:tabs>
      <w:adjustRightInd w:val="0"/>
      <w:spacing w:before="120" w:after="120" w:line="320" w:lineRule="exact"/>
      <w:jc w:val="center"/>
      <w:textAlignment w:val="baseline"/>
    </w:pPr>
    <w:rPr>
      <w:rFonts w:ascii="黑体" w:hAnsi="宋体" w:eastAsia="黑体"/>
      <w:spacing w:val="6"/>
      <w:sz w:val="24"/>
    </w:rPr>
  </w:style>
  <w:style w:type="paragraph" w:customStyle="1" w:styleId="945">
    <w:name w:val="样式 标题 2节H2（一）Underrubrik1prop2Heading 2 HiddenHeading 2 C..."/>
    <w:basedOn w:val="4"/>
    <w:autoRedefine/>
    <w:qFormat/>
    <w:uiPriority w:val="0"/>
    <w:pPr>
      <w:tabs>
        <w:tab w:val="left" w:pos="840"/>
      </w:tabs>
      <w:spacing w:before="240" w:after="240" w:line="480" w:lineRule="exact"/>
      <w:ind w:left="840"/>
    </w:pPr>
    <w:rPr>
      <w:rFonts w:cs="宋体"/>
      <w:b w:val="0"/>
      <w:kern w:val="0"/>
      <w:szCs w:val="20"/>
    </w:rPr>
  </w:style>
  <w:style w:type="paragraph" w:customStyle="1" w:styleId="946">
    <w:name w:val="unnamed11"/>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947">
    <w:name w:val="Char2 Char Char Char Char Char Char Char Char Char"/>
    <w:basedOn w:val="1"/>
    <w:autoRedefine/>
    <w:qFormat/>
    <w:uiPriority w:val="0"/>
    <w:rPr>
      <w:sz w:val="24"/>
    </w:rPr>
  </w:style>
  <w:style w:type="paragraph" w:customStyle="1" w:styleId="948">
    <w:name w:val="工业统一题目"/>
    <w:basedOn w:val="1"/>
    <w:autoRedefine/>
    <w:qFormat/>
    <w:uiPriority w:val="0"/>
    <w:pPr>
      <w:adjustRightInd w:val="0"/>
      <w:snapToGrid w:val="0"/>
      <w:spacing w:line="360" w:lineRule="auto"/>
      <w:jc w:val="left"/>
    </w:pPr>
    <w:rPr>
      <w:rFonts w:ascii="宋体"/>
      <w:b/>
      <w:sz w:val="28"/>
      <w:szCs w:val="20"/>
    </w:rPr>
  </w:style>
  <w:style w:type="paragraph" w:customStyle="1" w:styleId="949">
    <w:name w:val="Char Char Char Char Char Char Char Char Char Char Char Char Char Char Char Char Char Char Char"/>
    <w:basedOn w:val="1"/>
    <w:autoRedefine/>
    <w:qFormat/>
    <w:uiPriority w:val="0"/>
  </w:style>
  <w:style w:type="paragraph" w:customStyle="1" w:styleId="950">
    <w:name w:val="Table Paragraph"/>
    <w:basedOn w:val="1"/>
    <w:autoRedefine/>
    <w:unhideWhenUsed/>
    <w:qFormat/>
    <w:uiPriority w:val="1"/>
    <w:pPr>
      <w:widowControl/>
      <w:adjustRightInd w:val="0"/>
      <w:snapToGrid w:val="0"/>
      <w:spacing w:after="200"/>
      <w:jc w:val="left"/>
    </w:pPr>
    <w:rPr>
      <w:rFonts w:ascii="Tahoma" w:hAnsi="Tahoma" w:eastAsia="微软雅黑"/>
      <w:kern w:val="0"/>
      <w:sz w:val="22"/>
      <w:szCs w:val="22"/>
    </w:rPr>
  </w:style>
  <w:style w:type="paragraph" w:customStyle="1" w:styleId="951">
    <w:name w:val="款"/>
    <w:basedOn w:val="1"/>
    <w:autoRedefine/>
    <w:qFormat/>
    <w:uiPriority w:val="0"/>
    <w:pPr>
      <w:spacing w:line="360" w:lineRule="auto"/>
    </w:pPr>
    <w:rPr>
      <w:szCs w:val="20"/>
    </w:rPr>
  </w:style>
  <w:style w:type="paragraph" w:customStyle="1" w:styleId="952">
    <w:name w:val="xl192"/>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53">
    <w:name w:val="备注"/>
    <w:basedOn w:val="475"/>
    <w:autoRedefine/>
    <w:qFormat/>
    <w:uiPriority w:val="0"/>
    <w:pPr>
      <w:spacing w:line="360" w:lineRule="exact"/>
    </w:pPr>
    <w:rPr>
      <w:sz w:val="21"/>
    </w:rPr>
  </w:style>
  <w:style w:type="paragraph" w:customStyle="1" w:styleId="954">
    <w:name w:val="font0"/>
    <w:basedOn w:val="1"/>
    <w:autoRedefine/>
    <w:qFormat/>
    <w:uiPriority w:val="0"/>
    <w:pPr>
      <w:widowControl/>
      <w:spacing w:before="100" w:beforeAutospacing="1" w:after="100" w:afterAutospacing="1"/>
      <w:jc w:val="left"/>
    </w:pPr>
    <w:rPr>
      <w:rFonts w:hint="eastAsia" w:ascii="宋体" w:hAnsi="宋体"/>
      <w:kern w:val="0"/>
      <w:sz w:val="24"/>
    </w:rPr>
  </w:style>
  <w:style w:type="paragraph" w:customStyle="1" w:styleId="955">
    <w:name w:val="+正文 Char Char"/>
    <w:basedOn w:val="1"/>
    <w:autoRedefine/>
    <w:qFormat/>
    <w:uiPriority w:val="0"/>
    <w:pPr>
      <w:spacing w:line="360" w:lineRule="auto"/>
      <w:ind w:firstLine="200" w:firstLineChars="200"/>
    </w:pPr>
    <w:rPr>
      <w:sz w:val="24"/>
      <w:szCs w:val="28"/>
    </w:rPr>
  </w:style>
  <w:style w:type="paragraph" w:customStyle="1" w:styleId="956">
    <w:name w:val="font13"/>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957">
    <w:name w:val="xl190"/>
    <w:basedOn w:val="1"/>
    <w:autoRedefine/>
    <w:qFormat/>
    <w:uiPriority w:val="0"/>
    <w:pPr>
      <w:widowControl/>
      <w:pBdr>
        <w:top w:val="single" w:color="auto" w:sz="12" w:space="0"/>
      </w:pBdr>
      <w:spacing w:before="100" w:beforeAutospacing="1" w:after="100" w:afterAutospacing="1"/>
      <w:jc w:val="left"/>
      <w:textAlignment w:val="center"/>
    </w:pPr>
    <w:rPr>
      <w:rFonts w:ascii="Arial Unicode MS" w:hAnsi="Arial Unicode MS"/>
      <w:kern w:val="0"/>
      <w:sz w:val="12"/>
      <w:szCs w:val="12"/>
    </w:rPr>
  </w:style>
  <w:style w:type="paragraph" w:customStyle="1" w:styleId="958">
    <w:name w:val="xl172"/>
    <w:basedOn w:val="1"/>
    <w:autoRedefine/>
    <w:qFormat/>
    <w:uiPriority w:val="0"/>
    <w:pPr>
      <w:widowControl/>
      <w:pBdr>
        <w:top w:val="single" w:color="auto" w:sz="12" w:space="0"/>
        <w:left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959">
    <w:name w:val="B1"/>
    <w:basedOn w:val="1"/>
    <w:next w:val="1"/>
    <w:autoRedefine/>
    <w:qFormat/>
    <w:uiPriority w:val="0"/>
    <w:pPr>
      <w:keepNext/>
      <w:tabs>
        <w:tab w:val="left" w:pos="624"/>
      </w:tabs>
      <w:adjustRightInd w:val="0"/>
      <w:spacing w:before="240" w:line="360" w:lineRule="auto"/>
      <w:ind w:left="624" w:hanging="624"/>
      <w:textAlignment w:val="baseline"/>
    </w:pPr>
    <w:rPr>
      <w:kern w:val="24"/>
      <w:sz w:val="28"/>
      <w:szCs w:val="20"/>
    </w:rPr>
  </w:style>
  <w:style w:type="paragraph" w:customStyle="1" w:styleId="960">
    <w:name w:val="表格0"/>
    <w:next w:val="1"/>
    <w:autoRedefine/>
    <w:qFormat/>
    <w:uiPriority w:val="99"/>
    <w:pPr>
      <w:adjustRightInd w:val="0"/>
      <w:snapToGrid w:val="0"/>
      <w:jc w:val="center"/>
    </w:pPr>
    <w:rPr>
      <w:rFonts w:ascii="Times New Roman" w:hAnsi="Times New Roman" w:eastAsia="宋体" w:cs="Times New Roman"/>
      <w:sz w:val="21"/>
      <w:lang w:val="en-US" w:eastAsia="zh-CN" w:bidi="ar-SA"/>
    </w:rPr>
  </w:style>
  <w:style w:type="paragraph" w:customStyle="1" w:styleId="961">
    <w:name w:val="目录2"/>
    <w:basedOn w:val="70"/>
    <w:next w:val="42"/>
    <w:autoRedefine/>
    <w:qFormat/>
    <w:uiPriority w:val="0"/>
    <w:pPr>
      <w:keepNext/>
      <w:widowControl/>
      <w:tabs>
        <w:tab w:val="right" w:leader="dot" w:pos="8160"/>
        <w:tab w:val="right" w:leader="dot" w:pos="8640"/>
        <w:tab w:val="right" w:leader="dot" w:pos="8820"/>
      </w:tabs>
      <w:spacing w:beforeLines="50" w:afterLines="50" w:line="480" w:lineRule="exact"/>
      <w:ind w:left="567"/>
      <w:jc w:val="both"/>
    </w:pPr>
    <w:rPr>
      <w:rFonts w:ascii="Calibri" w:hAnsi="Calibri"/>
      <w:kern w:val="0"/>
      <w:sz w:val="28"/>
      <w:szCs w:val="24"/>
      <w:lang w:bidi="en-US"/>
    </w:rPr>
  </w:style>
  <w:style w:type="paragraph" w:customStyle="1" w:styleId="962">
    <w:name w:val="xl51"/>
    <w:basedOn w:val="1"/>
    <w:autoRedefine/>
    <w:qFormat/>
    <w:uiPriority w:val="0"/>
    <w:pPr>
      <w:widowControl/>
      <w:spacing w:before="100" w:beforeAutospacing="1" w:after="100" w:afterAutospacing="1"/>
      <w:jc w:val="left"/>
    </w:pPr>
    <w:rPr>
      <w:rFonts w:ascii="Arial" w:hAnsi="Arial" w:cs="Arial"/>
      <w:b/>
      <w:bCs/>
      <w:kern w:val="0"/>
      <w:sz w:val="22"/>
      <w:szCs w:val="22"/>
    </w:rPr>
  </w:style>
  <w:style w:type="paragraph" w:customStyle="1" w:styleId="963">
    <w:name w:val="新正文样式"/>
    <w:basedOn w:val="1"/>
    <w:autoRedefine/>
    <w:qFormat/>
    <w:uiPriority w:val="0"/>
    <w:pPr>
      <w:tabs>
        <w:tab w:val="left" w:pos="567"/>
      </w:tabs>
      <w:spacing w:line="360" w:lineRule="auto"/>
      <w:ind w:firstLine="567"/>
    </w:pPr>
    <w:rPr>
      <w:spacing w:val="20"/>
      <w:sz w:val="24"/>
      <w:szCs w:val="20"/>
    </w:rPr>
  </w:style>
  <w:style w:type="paragraph" w:customStyle="1" w:styleId="964">
    <w:name w:val="表格编号"/>
    <w:basedOn w:val="1"/>
    <w:autoRedefine/>
    <w:qFormat/>
    <w:uiPriority w:val="0"/>
    <w:pPr>
      <w:snapToGrid w:val="0"/>
      <w:spacing w:before="300" w:after="200" w:line="500" w:lineRule="exact"/>
      <w:jc w:val="left"/>
    </w:pPr>
    <w:rPr>
      <w:sz w:val="24"/>
    </w:rPr>
  </w:style>
  <w:style w:type="paragraph" w:customStyle="1" w:styleId="965">
    <w:name w:val="Char Char Char Char Char Char Char Char Char Char1"/>
    <w:basedOn w:val="1"/>
    <w:autoRedefine/>
    <w:qFormat/>
    <w:uiPriority w:val="0"/>
    <w:pPr>
      <w:widowControl/>
      <w:contextualSpacing/>
      <w:jc w:val="left"/>
    </w:pPr>
    <w:rPr>
      <w:rFonts w:cs="宋体"/>
      <w:kern w:val="0"/>
    </w:rPr>
  </w:style>
  <w:style w:type="paragraph" w:customStyle="1" w:styleId="966">
    <w:name w:val="正文001"/>
    <w:basedOn w:val="1"/>
    <w:autoRedefine/>
    <w:qFormat/>
    <w:uiPriority w:val="0"/>
    <w:pPr>
      <w:spacing w:before="60" w:line="460" w:lineRule="exact"/>
      <w:ind w:firstLine="200" w:firstLineChars="200"/>
    </w:pPr>
    <w:rPr>
      <w:sz w:val="24"/>
      <w:szCs w:val="20"/>
    </w:rPr>
  </w:style>
  <w:style w:type="paragraph" w:customStyle="1" w:styleId="967">
    <w:name w:val="正文图标题"/>
    <w:next w:val="1"/>
    <w:autoRedefine/>
    <w:qFormat/>
    <w:uiPriority w:val="0"/>
    <w:pPr>
      <w:numPr>
        <w:ilvl w:val="0"/>
        <w:numId w:val="10"/>
      </w:numPr>
      <w:tabs>
        <w:tab w:val="left" w:pos="360"/>
      </w:tabs>
      <w:spacing w:beforeLines="50" w:afterLines="50"/>
      <w:jc w:val="center"/>
    </w:pPr>
    <w:rPr>
      <w:rFonts w:ascii="黑体" w:hAnsi="Times New Roman" w:eastAsia="黑体" w:cs="Times New Roman"/>
      <w:sz w:val="21"/>
      <w:lang w:val="en-US" w:eastAsia="zh-CN" w:bidi="ar-SA"/>
    </w:rPr>
  </w:style>
  <w:style w:type="paragraph" w:customStyle="1" w:styleId="968">
    <w:name w:val="Char Char Char Char Char Char Char1"/>
    <w:basedOn w:val="1"/>
    <w:autoRedefine/>
    <w:qFormat/>
    <w:uiPriority w:val="0"/>
    <w:pPr>
      <w:widowControl/>
      <w:contextualSpacing/>
      <w:jc w:val="left"/>
    </w:pPr>
    <w:rPr>
      <w:rFonts w:cs="宋体"/>
      <w:kern w:val="0"/>
    </w:rPr>
  </w:style>
  <w:style w:type="paragraph" w:customStyle="1" w:styleId="969">
    <w:name w:val="xl111"/>
    <w:basedOn w:val="1"/>
    <w:autoRedefine/>
    <w:qFormat/>
    <w:uiPriority w:val="0"/>
    <w:pPr>
      <w:widowControl/>
      <w:pBdr>
        <w:top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70">
    <w:name w:val="xl35"/>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971">
    <w:name w:val="表内4号居中"/>
    <w:autoRedefine/>
    <w:qFormat/>
    <w:uiPriority w:val="0"/>
    <w:pPr>
      <w:adjustRightInd w:val="0"/>
      <w:snapToGrid w:val="0"/>
      <w:spacing w:line="360" w:lineRule="auto"/>
      <w:jc w:val="center"/>
    </w:pPr>
    <w:rPr>
      <w:rFonts w:ascii="Arial" w:hAnsi="Arial" w:eastAsia="宋体" w:cs="Times New Roman"/>
      <w:spacing w:val="20"/>
      <w:sz w:val="21"/>
      <w:lang w:val="en-US" w:eastAsia="zh-CN" w:bidi="ar-SA"/>
    </w:rPr>
  </w:style>
  <w:style w:type="paragraph" w:customStyle="1" w:styleId="972">
    <w:name w:val="xl128"/>
    <w:basedOn w:val="1"/>
    <w:autoRedefine/>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73">
    <w:name w:val="样式 标题 3 + (西文) Times New Roman (中文) 宋体 小四 加粗"/>
    <w:basedOn w:val="5"/>
    <w:autoRedefine/>
    <w:qFormat/>
    <w:uiPriority w:val="0"/>
    <w:pPr>
      <w:tabs>
        <w:tab w:val="left" w:pos="1021"/>
      </w:tabs>
      <w:spacing w:before="156" w:after="0" w:afterLines="50" w:line="360" w:lineRule="auto"/>
      <w:ind w:left="1021" w:hanging="1021"/>
    </w:pPr>
    <w:rPr>
      <w:rFonts w:ascii="宋体" w:hAnsi="宋体"/>
      <w:b w:val="0"/>
      <w:snapToGrid w:val="0"/>
      <w:sz w:val="28"/>
      <w:szCs w:val="28"/>
    </w:rPr>
  </w:style>
  <w:style w:type="paragraph" w:customStyle="1" w:styleId="974">
    <w:name w:val="默认段落字体 Para Char Char Char Char Char Char"/>
    <w:basedOn w:val="1"/>
    <w:autoRedefine/>
    <w:qFormat/>
    <w:uiPriority w:val="0"/>
  </w:style>
  <w:style w:type="paragraph" w:customStyle="1" w:styleId="975">
    <w:name w:val="xl158"/>
    <w:basedOn w:val="1"/>
    <w:autoRedefine/>
    <w:qFormat/>
    <w:uiPriority w:val="0"/>
    <w:pPr>
      <w:widowControl/>
      <w:pBdr>
        <w:bottom w:val="single" w:color="auto" w:sz="8"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976">
    <w:name w:val="表样式2"/>
    <w:basedOn w:val="1"/>
    <w:autoRedefine/>
    <w:qFormat/>
    <w:uiPriority w:val="0"/>
    <w:pPr>
      <w:jc w:val="center"/>
    </w:pPr>
    <w:rPr>
      <w:kern w:val="0"/>
    </w:rPr>
  </w:style>
  <w:style w:type="paragraph" w:customStyle="1" w:styleId="977">
    <w:name w:val="xl95"/>
    <w:basedOn w:val="1"/>
    <w:autoRedefine/>
    <w:qFormat/>
    <w:uiPriority w:val="0"/>
    <w:pPr>
      <w:widowControl/>
      <w:spacing w:before="100" w:beforeAutospacing="1" w:after="100" w:afterAutospacing="1"/>
      <w:jc w:val="right"/>
    </w:pPr>
    <w:rPr>
      <w:rFonts w:ascii="Arial Unicode MS" w:hAnsi="Arial Unicode MS"/>
      <w:kern w:val="0"/>
      <w:sz w:val="12"/>
      <w:szCs w:val="12"/>
    </w:rPr>
  </w:style>
  <w:style w:type="paragraph" w:customStyle="1" w:styleId="978">
    <w:name w:val="xl100"/>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979">
    <w:name w:val="Char Char Char Char Char Char Char Char Char Char Char Char Char"/>
    <w:basedOn w:val="1"/>
    <w:autoRedefine/>
    <w:qFormat/>
    <w:uiPriority w:val="0"/>
    <w:pPr>
      <w:widowControl/>
      <w:spacing w:after="160" w:line="240" w:lineRule="exact"/>
      <w:jc w:val="left"/>
    </w:pPr>
  </w:style>
  <w:style w:type="paragraph" w:customStyle="1" w:styleId="980">
    <w:name w:val="font1"/>
    <w:basedOn w:val="1"/>
    <w:autoRedefine/>
    <w:qFormat/>
    <w:uiPriority w:val="0"/>
    <w:pPr>
      <w:widowControl/>
      <w:spacing w:before="100" w:beforeAutospacing="1" w:after="100" w:afterAutospacing="1"/>
      <w:jc w:val="left"/>
    </w:pPr>
    <w:rPr>
      <w:rFonts w:hint="eastAsia" w:ascii="宋体" w:hAnsi="宋体"/>
      <w:kern w:val="0"/>
      <w:sz w:val="24"/>
    </w:rPr>
  </w:style>
  <w:style w:type="paragraph" w:customStyle="1" w:styleId="981">
    <w:name w:val="CM88"/>
    <w:basedOn w:val="732"/>
    <w:next w:val="732"/>
    <w:autoRedefine/>
    <w:qFormat/>
    <w:uiPriority w:val="0"/>
    <w:pPr>
      <w:spacing w:after="175"/>
    </w:pPr>
    <w:rPr>
      <w:rFonts w:ascii="黑体" w:eastAsia="黑体"/>
      <w:color w:val="auto"/>
    </w:rPr>
  </w:style>
  <w:style w:type="paragraph" w:customStyle="1" w:styleId="982">
    <w:name w:val="font14"/>
    <w:basedOn w:val="1"/>
    <w:autoRedefine/>
    <w:qFormat/>
    <w:uiPriority w:val="0"/>
    <w:pPr>
      <w:widowControl/>
      <w:spacing w:before="100" w:beforeAutospacing="1" w:after="100" w:afterAutospacing="1"/>
      <w:jc w:val="left"/>
    </w:pPr>
    <w:rPr>
      <w:rFonts w:ascii="宋体" w:hAnsi="宋体"/>
      <w:b/>
      <w:bCs/>
      <w:i/>
      <w:iCs/>
      <w:kern w:val="0"/>
      <w:sz w:val="22"/>
      <w:szCs w:val="22"/>
    </w:rPr>
  </w:style>
  <w:style w:type="paragraph" w:customStyle="1" w:styleId="983">
    <w:name w:val="xl67"/>
    <w:basedOn w:val="1"/>
    <w:autoRedefine/>
    <w:qFormat/>
    <w:uiPriority w:val="0"/>
    <w:pPr>
      <w:widowControl/>
      <w:spacing w:before="100" w:beforeAutospacing="1" w:after="100" w:afterAutospacing="1"/>
      <w:jc w:val="center"/>
    </w:pPr>
    <w:rPr>
      <w:rFonts w:ascii="宋体" w:hAnsi="宋体"/>
      <w:b/>
      <w:bCs/>
      <w:kern w:val="0"/>
      <w:sz w:val="22"/>
      <w:szCs w:val="22"/>
    </w:rPr>
  </w:style>
  <w:style w:type="paragraph" w:customStyle="1" w:styleId="984">
    <w:name w:val="xl89"/>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985">
    <w:name w:val="Char Char 字元 字元 字元 Char Char Char Char"/>
    <w:basedOn w:val="1"/>
    <w:autoRedefine/>
    <w:qFormat/>
    <w:uiPriority w:val="0"/>
    <w:pPr>
      <w:adjustRightInd w:val="0"/>
      <w:spacing w:line="360" w:lineRule="auto"/>
    </w:pPr>
  </w:style>
  <w:style w:type="paragraph" w:customStyle="1" w:styleId="986">
    <w:name w:val="Char Char8 Char"/>
    <w:basedOn w:val="5"/>
    <w:autoRedefine/>
    <w:semiHidden/>
    <w:qFormat/>
    <w:uiPriority w:val="0"/>
    <w:pPr>
      <w:tabs>
        <w:tab w:val="left" w:pos="360"/>
        <w:tab w:val="left" w:pos="900"/>
      </w:tabs>
      <w:spacing w:before="0" w:after="120" w:line="360" w:lineRule="auto"/>
      <w:ind w:left="542" w:leftChars="-12" w:firstLine="200" w:firstLineChars="200"/>
    </w:pPr>
    <w:rPr>
      <w:rFonts w:ascii="宋体" w:hAnsi="宋体" w:cs="宋体"/>
      <w:b w:val="0"/>
      <w:bCs w:val="0"/>
      <w:sz w:val="24"/>
      <w:szCs w:val="24"/>
    </w:rPr>
  </w:style>
  <w:style w:type="paragraph" w:customStyle="1" w:styleId="987">
    <w:name w:val="xl29"/>
    <w:basedOn w:val="1"/>
    <w:autoRedefine/>
    <w:qFormat/>
    <w:uiPriority w:val="0"/>
    <w:pPr>
      <w:widowControl/>
      <w:spacing w:before="100" w:beforeAutospacing="1" w:after="100" w:afterAutospacing="1"/>
      <w:jc w:val="left"/>
      <w:textAlignment w:val="bottom"/>
    </w:pPr>
    <w:rPr>
      <w:rFonts w:ascii="Arial" w:hAnsi="Arial" w:cs="Arial"/>
      <w:b/>
      <w:bCs/>
      <w:kern w:val="0"/>
      <w:sz w:val="22"/>
      <w:szCs w:val="22"/>
    </w:rPr>
  </w:style>
  <w:style w:type="paragraph" w:customStyle="1" w:styleId="988">
    <w:name w:val="封面"/>
    <w:basedOn w:val="1"/>
    <w:autoRedefine/>
    <w:qFormat/>
    <w:uiPriority w:val="0"/>
    <w:pPr>
      <w:adjustRightInd w:val="0"/>
      <w:spacing w:before="60" w:line="360" w:lineRule="auto"/>
      <w:ind w:firstLine="482"/>
      <w:jc w:val="center"/>
      <w:textAlignment w:val="baseline"/>
    </w:pPr>
    <w:rPr>
      <w:rFonts w:ascii="Arial" w:hAnsi="Arial" w:eastAsia="仿宋_GB2312"/>
      <w:b/>
      <w:kern w:val="0"/>
      <w:sz w:val="30"/>
      <w:szCs w:val="20"/>
    </w:rPr>
  </w:style>
  <w:style w:type="paragraph" w:customStyle="1" w:styleId="989">
    <w:name w:val="Char21"/>
    <w:basedOn w:val="1"/>
    <w:autoRedefine/>
    <w:qFormat/>
    <w:uiPriority w:val="0"/>
    <w:pPr>
      <w:spacing w:line="360" w:lineRule="auto"/>
      <w:ind w:firstLine="200" w:firstLineChars="200"/>
    </w:pPr>
    <w:rPr>
      <w:rFonts w:ascii="宋体" w:hAnsi="宋体" w:cs="宋体"/>
      <w:sz w:val="24"/>
    </w:rPr>
  </w:style>
  <w:style w:type="paragraph" w:customStyle="1" w:styleId="990">
    <w:name w:val="简单回函地址"/>
    <w:basedOn w:val="1"/>
    <w:autoRedefine/>
    <w:qFormat/>
    <w:uiPriority w:val="0"/>
  </w:style>
  <w:style w:type="paragraph" w:customStyle="1" w:styleId="991">
    <w:name w:val="页眉左"/>
    <w:basedOn w:val="53"/>
    <w:autoRedefine/>
    <w:qFormat/>
    <w:uiPriority w:val="0"/>
    <w:pPr>
      <w:pBdr>
        <w:bottom w:val="none" w:color="auto" w:sz="0" w:space="0"/>
      </w:pBdr>
      <w:adjustRightInd w:val="0"/>
      <w:snapToGrid/>
      <w:spacing w:before="60" w:after="60" w:line="240" w:lineRule="atLeast"/>
      <w:jc w:val="left"/>
      <w:textAlignment w:val="baseline"/>
    </w:pPr>
    <w:rPr>
      <w:sz w:val="22"/>
      <w:lang w:val="en-GB"/>
    </w:rPr>
  </w:style>
  <w:style w:type="paragraph" w:customStyle="1" w:styleId="992">
    <w:name w:val="样式 四号"/>
    <w:basedOn w:val="1"/>
    <w:autoRedefine/>
    <w:qFormat/>
    <w:uiPriority w:val="0"/>
    <w:pPr>
      <w:spacing w:line="360" w:lineRule="auto"/>
      <w:ind w:firstLine="480" w:firstLineChars="200"/>
    </w:pPr>
    <w:rPr>
      <w:rFonts w:ascii="宋体" w:hAnsi="宋体"/>
      <w:snapToGrid w:val="0"/>
      <w:kern w:val="0"/>
      <w:sz w:val="24"/>
    </w:rPr>
  </w:style>
  <w:style w:type="paragraph" w:customStyle="1" w:styleId="993">
    <w:name w:val="Char12"/>
    <w:basedOn w:val="1"/>
    <w:autoRedefine/>
    <w:qFormat/>
    <w:uiPriority w:val="0"/>
  </w:style>
  <w:style w:type="paragraph" w:customStyle="1" w:styleId="994">
    <w:name w:val="样式 标题 3 + 段前: 0.5 行 段后: 0.2 行"/>
    <w:basedOn w:val="5"/>
    <w:autoRedefine/>
    <w:qFormat/>
    <w:uiPriority w:val="0"/>
    <w:pPr>
      <w:spacing w:before="0" w:beforeLines="30" w:after="0" w:line="600" w:lineRule="exact"/>
      <w:ind w:firstLine="480" w:firstLineChars="200"/>
    </w:pPr>
    <w:rPr>
      <w:rFonts w:eastAsia="黑体" w:cs="宋体"/>
      <w:b w:val="0"/>
      <w:sz w:val="26"/>
      <w:szCs w:val="20"/>
    </w:rPr>
  </w:style>
  <w:style w:type="paragraph" w:customStyle="1" w:styleId="995">
    <w:name w:val="目录"/>
    <w:basedOn w:val="4"/>
    <w:next w:val="1"/>
    <w:autoRedefine/>
    <w:qFormat/>
    <w:uiPriority w:val="0"/>
    <w:pPr>
      <w:keepLines w:val="0"/>
      <w:widowControl/>
      <w:tabs>
        <w:tab w:val="left" w:pos="0"/>
        <w:tab w:val="left" w:pos="8280"/>
      </w:tabs>
      <w:spacing w:before="480" w:after="60" w:line="480" w:lineRule="exact"/>
      <w:ind w:right="50" w:rightChars="50"/>
      <w:jc w:val="left"/>
    </w:pPr>
    <w:rPr>
      <w:b w:val="0"/>
      <w:iCs/>
      <w:kern w:val="44"/>
      <w:szCs w:val="28"/>
      <w:lang w:eastAsia="en-US" w:bidi="en-US"/>
    </w:rPr>
  </w:style>
  <w:style w:type="paragraph" w:customStyle="1" w:styleId="996">
    <w:name w:val="默认段落字体 Para Char Char Char Char Char Char Char"/>
    <w:basedOn w:val="1"/>
    <w:autoRedefine/>
    <w:qFormat/>
    <w:uiPriority w:val="0"/>
    <w:pPr>
      <w:adjustRightInd w:val="0"/>
      <w:spacing w:line="360" w:lineRule="auto"/>
      <w:textAlignment w:val="baseline"/>
    </w:pPr>
    <w:rPr>
      <w:kern w:val="0"/>
      <w:sz w:val="24"/>
      <w:szCs w:val="20"/>
    </w:rPr>
  </w:style>
  <w:style w:type="paragraph" w:customStyle="1" w:styleId="997">
    <w:name w:val="封面 宋体"/>
    <w:basedOn w:val="998"/>
    <w:autoRedefine/>
    <w:qFormat/>
    <w:uiPriority w:val="0"/>
    <w:rPr>
      <w:rFonts w:ascii="宋体-方正超大字符集" w:hAnsi="宋体-方正超大字符集" w:eastAsia="宋体-方正超大字符集"/>
      <w:b w:val="0"/>
      <w:bCs/>
      <w:sz w:val="32"/>
    </w:rPr>
  </w:style>
  <w:style w:type="paragraph" w:customStyle="1" w:styleId="998">
    <w:name w:val="封面 黑体"/>
    <w:basedOn w:val="1"/>
    <w:autoRedefine/>
    <w:qFormat/>
    <w:uiPriority w:val="0"/>
    <w:pPr>
      <w:spacing w:before="240" w:after="240" w:line="480" w:lineRule="exact"/>
      <w:jc w:val="center"/>
    </w:pPr>
    <w:rPr>
      <w:b/>
      <w:sz w:val="30"/>
    </w:rPr>
  </w:style>
  <w:style w:type="paragraph" w:customStyle="1" w:styleId="999">
    <w:name w:val="表格段落1"/>
    <w:basedOn w:val="1"/>
    <w:autoRedefine/>
    <w:qFormat/>
    <w:uiPriority w:val="0"/>
    <w:pPr>
      <w:adjustRightInd w:val="0"/>
      <w:snapToGrid w:val="0"/>
      <w:spacing w:line="320" w:lineRule="exact"/>
      <w:jc w:val="center"/>
    </w:pPr>
  </w:style>
  <w:style w:type="paragraph" w:customStyle="1" w:styleId="1000">
    <w:name w:val="小五表文"/>
    <w:autoRedefine/>
    <w:qFormat/>
    <w:uiPriority w:val="0"/>
    <w:pPr>
      <w:jc w:val="center"/>
    </w:pPr>
    <w:rPr>
      <w:rFonts w:ascii="Times New Roman" w:hAnsi="Times New Roman" w:eastAsia="仿宋_GB2312" w:cs="Times New Roman"/>
      <w:sz w:val="18"/>
      <w:lang w:val="en-US" w:eastAsia="zh-CN" w:bidi="ar-SA"/>
    </w:rPr>
  </w:style>
  <w:style w:type="paragraph" w:customStyle="1" w:styleId="1001">
    <w:name w:val="xl83"/>
    <w:basedOn w:val="1"/>
    <w:autoRedefine/>
    <w:qFormat/>
    <w:uiPriority w:val="0"/>
    <w:pPr>
      <w:widowControl/>
      <w:pBdr>
        <w:top w:val="single" w:color="auto" w:sz="12" w:space="0"/>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02">
    <w:name w:val="style23"/>
    <w:basedOn w:val="1"/>
    <w:autoRedefine/>
    <w:qFormat/>
    <w:uiPriority w:val="0"/>
    <w:pPr>
      <w:widowControl/>
      <w:spacing w:before="100" w:beforeAutospacing="1" w:after="100" w:afterAutospacing="1"/>
      <w:jc w:val="left"/>
    </w:pPr>
    <w:rPr>
      <w:rFonts w:ascii="宋体" w:hAnsi="宋体"/>
      <w:b/>
      <w:bCs/>
      <w:color w:val="990000"/>
      <w:kern w:val="0"/>
    </w:rPr>
  </w:style>
  <w:style w:type="paragraph" w:customStyle="1" w:styleId="1003">
    <w:name w:val="说明书"/>
    <w:basedOn w:val="1"/>
    <w:autoRedefine/>
    <w:qFormat/>
    <w:uiPriority w:val="0"/>
    <w:pPr>
      <w:widowControl/>
      <w:adjustRightInd w:val="0"/>
      <w:spacing w:line="500" w:lineRule="exact"/>
      <w:ind w:firstLine="624"/>
      <w:contextualSpacing/>
      <w:jc w:val="left"/>
      <w:textAlignment w:val="baseline"/>
    </w:pPr>
    <w:rPr>
      <w:rFonts w:ascii="Arial" w:hAnsi="Arial" w:cs="宋体"/>
      <w:kern w:val="0"/>
      <w:sz w:val="28"/>
      <w:szCs w:val="20"/>
    </w:rPr>
  </w:style>
  <w:style w:type="paragraph" w:customStyle="1" w:styleId="1004">
    <w:name w:val="xl194"/>
    <w:basedOn w:val="1"/>
    <w:autoRedefine/>
    <w:qFormat/>
    <w:uiPriority w:val="0"/>
    <w:pPr>
      <w:widowControl/>
      <w:spacing w:before="100" w:beforeAutospacing="1" w:after="100" w:afterAutospacing="1"/>
      <w:jc w:val="center"/>
    </w:pPr>
    <w:rPr>
      <w:kern w:val="0"/>
      <w:sz w:val="16"/>
      <w:szCs w:val="16"/>
    </w:rPr>
  </w:style>
  <w:style w:type="paragraph" w:customStyle="1" w:styleId="1005">
    <w:name w:val="Char Char Char Char Char Char1 Char Char Char Char Char Char Char"/>
    <w:basedOn w:val="1"/>
    <w:autoRedefine/>
    <w:qFormat/>
    <w:uiPriority w:val="0"/>
  </w:style>
  <w:style w:type="paragraph" w:customStyle="1" w:styleId="1006">
    <w:name w:val="样式111"/>
    <w:basedOn w:val="691"/>
    <w:autoRedefine/>
    <w:qFormat/>
    <w:uiPriority w:val="0"/>
    <w:rPr>
      <w:sz w:val="21"/>
    </w:rPr>
  </w:style>
  <w:style w:type="paragraph" w:customStyle="1" w:styleId="1007">
    <w:name w:val="xl138"/>
    <w:basedOn w:val="1"/>
    <w:autoRedefine/>
    <w:qFormat/>
    <w:uiPriority w:val="0"/>
    <w:pPr>
      <w:widowControl/>
      <w:pBdr>
        <w:left w:val="single" w:color="auto" w:sz="4" w:space="0"/>
        <w:bottom w:val="single" w:color="auto" w:sz="8" w:space="0"/>
      </w:pBdr>
      <w:spacing w:before="100" w:beforeAutospacing="1" w:after="100" w:afterAutospacing="1"/>
      <w:jc w:val="center"/>
      <w:textAlignment w:val="center"/>
    </w:pPr>
    <w:rPr>
      <w:kern w:val="0"/>
      <w:sz w:val="12"/>
      <w:szCs w:val="12"/>
    </w:rPr>
  </w:style>
  <w:style w:type="paragraph" w:customStyle="1" w:styleId="1008">
    <w:name w:val="样式11"/>
    <w:basedOn w:val="486"/>
    <w:autoRedefine/>
    <w:qFormat/>
    <w:uiPriority w:val="0"/>
    <w:pPr>
      <w:adjustRightInd w:val="0"/>
      <w:spacing w:line="240" w:lineRule="auto"/>
      <w:textAlignment w:val="baseline"/>
    </w:pPr>
    <w:rPr>
      <w:rFonts w:ascii="仿宋_GB2312" w:eastAsia="仿宋_GB2312"/>
      <w:color w:val="000000"/>
      <w:sz w:val="24"/>
      <w:szCs w:val="24"/>
    </w:rPr>
  </w:style>
  <w:style w:type="paragraph" w:customStyle="1" w:styleId="1009">
    <w:name w:val="dash6b63-6587"/>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010">
    <w:name w:val="font9"/>
    <w:basedOn w:val="1"/>
    <w:autoRedefine/>
    <w:qFormat/>
    <w:uiPriority w:val="0"/>
    <w:pPr>
      <w:widowControl/>
      <w:spacing w:before="100" w:beforeAutospacing="1" w:after="100" w:afterAutospacing="1"/>
      <w:jc w:val="left"/>
    </w:pPr>
    <w:rPr>
      <w:rFonts w:ascii="Arial" w:hAnsi="Arial" w:cs="Arial"/>
      <w:b/>
      <w:bCs/>
      <w:kern w:val="0"/>
      <w:sz w:val="28"/>
      <w:szCs w:val="28"/>
    </w:rPr>
  </w:style>
  <w:style w:type="paragraph" w:customStyle="1" w:styleId="1011">
    <w:name w:val="Char Char Char Char Char Char Char Char Char Char Char Char Char Char Char Char1"/>
    <w:basedOn w:val="1"/>
    <w:autoRedefine/>
    <w:qFormat/>
    <w:uiPriority w:val="0"/>
  </w:style>
  <w:style w:type="paragraph" w:customStyle="1" w:styleId="1012">
    <w:name w:val="xl41"/>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013">
    <w:name w:val="xl137"/>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sz w:val="12"/>
      <w:szCs w:val="12"/>
    </w:rPr>
  </w:style>
  <w:style w:type="paragraph" w:customStyle="1" w:styleId="1014">
    <w:name w:val="title1"/>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015">
    <w:name w:val="表中居中文字"/>
    <w:basedOn w:val="1"/>
    <w:autoRedefine/>
    <w:qFormat/>
    <w:uiPriority w:val="0"/>
    <w:pPr>
      <w:numPr>
        <w:ilvl w:val="3"/>
        <w:numId w:val="11"/>
      </w:numPr>
      <w:tabs>
        <w:tab w:val="clear" w:pos="2249"/>
      </w:tabs>
      <w:ind w:left="0" w:firstLine="0"/>
    </w:pPr>
    <w:rPr>
      <w:rFonts w:ascii="宋体" w:hAnsi="宋体" w:cs="Arial"/>
      <w:bCs/>
      <w:color w:val="FF0000"/>
      <w:sz w:val="24"/>
      <w:szCs w:val="18"/>
    </w:rPr>
  </w:style>
  <w:style w:type="paragraph" w:customStyle="1" w:styleId="1016">
    <w:name w:val="高段文"/>
    <w:basedOn w:val="1"/>
    <w:autoRedefine/>
    <w:qFormat/>
    <w:uiPriority w:val="0"/>
    <w:pPr>
      <w:spacing w:line="300" w:lineRule="auto"/>
      <w:ind w:firstLine="200" w:firstLineChars="200"/>
    </w:pPr>
    <w:rPr>
      <w:rFonts w:ascii="Arial" w:hAnsi="Arial" w:eastAsia="楷体_GB2312"/>
      <w:sz w:val="28"/>
      <w:szCs w:val="28"/>
    </w:rPr>
  </w:style>
  <w:style w:type="paragraph" w:customStyle="1" w:styleId="1017">
    <w:name w:val="6"/>
    <w:basedOn w:val="1"/>
    <w:next w:val="72"/>
    <w:autoRedefine/>
    <w:qFormat/>
    <w:uiPriority w:val="0"/>
    <w:pPr>
      <w:spacing w:after="120" w:line="480" w:lineRule="auto"/>
    </w:pPr>
  </w:style>
  <w:style w:type="paragraph" w:customStyle="1" w:styleId="1018">
    <w:name w:val="封面 名称"/>
    <w:basedOn w:val="998"/>
    <w:next w:val="998"/>
    <w:autoRedefine/>
    <w:qFormat/>
    <w:uiPriority w:val="0"/>
    <w:pPr>
      <w:spacing w:line="640" w:lineRule="exact"/>
    </w:pPr>
    <w:rPr>
      <w:rFonts w:eastAsia="宋体-方正超大字符集"/>
      <w:spacing w:val="40"/>
      <w:sz w:val="44"/>
      <w:szCs w:val="44"/>
    </w:rPr>
  </w:style>
  <w:style w:type="paragraph" w:customStyle="1" w:styleId="1019">
    <w:name w:val="EIA正文"/>
    <w:basedOn w:val="1"/>
    <w:autoRedefine/>
    <w:qFormat/>
    <w:uiPriority w:val="0"/>
    <w:pPr>
      <w:ind w:firstLine="200" w:firstLineChars="200"/>
    </w:pPr>
    <w:rPr>
      <w:color w:val="000000"/>
      <w:sz w:val="24"/>
      <w:szCs w:val="20"/>
    </w:rPr>
  </w:style>
  <w:style w:type="paragraph" w:customStyle="1" w:styleId="1020">
    <w:name w:val="MTDisplayEquation"/>
    <w:basedOn w:val="1"/>
    <w:next w:val="1"/>
    <w:autoRedefine/>
    <w:qFormat/>
    <w:uiPriority w:val="0"/>
    <w:pPr>
      <w:tabs>
        <w:tab w:val="center" w:pos="4540"/>
        <w:tab w:val="right" w:pos="9080"/>
      </w:tabs>
      <w:snapToGrid w:val="0"/>
      <w:spacing w:line="360" w:lineRule="auto"/>
    </w:pPr>
    <w:rPr>
      <w:i/>
    </w:rPr>
  </w:style>
  <w:style w:type="paragraph" w:customStyle="1" w:styleId="1021">
    <w:name w:val="Plain Text1"/>
    <w:basedOn w:val="1"/>
    <w:autoRedefine/>
    <w:qFormat/>
    <w:uiPriority w:val="0"/>
    <w:pPr>
      <w:widowControl/>
      <w:autoSpaceDE w:val="0"/>
      <w:autoSpaceDN w:val="0"/>
      <w:adjustRightInd w:val="0"/>
      <w:contextualSpacing/>
      <w:jc w:val="left"/>
    </w:pPr>
    <w:rPr>
      <w:rFonts w:cs="宋体"/>
      <w:kern w:val="0"/>
      <w:szCs w:val="20"/>
    </w:rPr>
  </w:style>
  <w:style w:type="paragraph" w:customStyle="1" w:styleId="1022">
    <w:name w:val="样式3"/>
    <w:basedOn w:val="1"/>
    <w:autoRedefine/>
    <w:qFormat/>
    <w:uiPriority w:val="0"/>
    <w:pPr>
      <w:widowControl/>
      <w:jc w:val="left"/>
    </w:pPr>
    <w:rPr>
      <w:spacing w:val="-4"/>
      <w:sz w:val="24"/>
    </w:rPr>
  </w:style>
  <w:style w:type="paragraph" w:customStyle="1" w:styleId="1023">
    <w:name w:val="xl188"/>
    <w:basedOn w:val="1"/>
    <w:autoRedefine/>
    <w:qFormat/>
    <w:uiPriority w:val="0"/>
    <w:pPr>
      <w:widowControl/>
      <w:spacing w:before="100" w:beforeAutospacing="1" w:after="100" w:afterAutospacing="1"/>
      <w:jc w:val="left"/>
      <w:textAlignment w:val="center"/>
    </w:pPr>
    <w:rPr>
      <w:kern w:val="0"/>
      <w:sz w:val="12"/>
      <w:szCs w:val="12"/>
    </w:rPr>
  </w:style>
  <w:style w:type="paragraph" w:customStyle="1" w:styleId="1024">
    <w:name w:val="xl183"/>
    <w:basedOn w:val="1"/>
    <w:autoRedefine/>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025">
    <w:name w:val="xl197"/>
    <w:basedOn w:val="1"/>
    <w:autoRedefine/>
    <w:qFormat/>
    <w:uiPriority w:val="0"/>
    <w:pPr>
      <w:widowControl/>
      <w:pBdr>
        <w:left w:val="single" w:color="auto" w:sz="4" w:space="0"/>
        <w:bottom w:val="single" w:color="auto" w:sz="8" w:space="0"/>
        <w:right w:val="single" w:color="auto" w:sz="4" w:space="0"/>
      </w:pBdr>
      <w:spacing w:before="100" w:beforeAutospacing="1" w:after="100" w:afterAutospacing="1"/>
      <w:jc w:val="center"/>
    </w:pPr>
    <w:rPr>
      <w:rFonts w:ascii="Arial Unicode MS" w:hAnsi="Arial Unicode MS"/>
      <w:kern w:val="0"/>
    </w:rPr>
  </w:style>
  <w:style w:type="paragraph" w:customStyle="1" w:styleId="1026">
    <w:name w:val="样式 四号 首行缩进:  2 字符"/>
    <w:basedOn w:val="1"/>
    <w:autoRedefine/>
    <w:qFormat/>
    <w:uiPriority w:val="0"/>
    <w:pPr>
      <w:spacing w:line="480" w:lineRule="atLeast"/>
      <w:ind w:firstLine="200" w:firstLineChars="200"/>
    </w:pPr>
    <w:rPr>
      <w:sz w:val="24"/>
    </w:rPr>
  </w:style>
  <w:style w:type="paragraph" w:customStyle="1" w:styleId="1027">
    <w:name w:val="Char3"/>
    <w:basedOn w:val="1"/>
    <w:autoRedefine/>
    <w:qFormat/>
    <w:uiPriority w:val="0"/>
    <w:pPr>
      <w:spacing w:before="60" w:line="360" w:lineRule="auto"/>
      <w:ind w:firstLine="200" w:firstLineChars="200"/>
    </w:pPr>
    <w:rPr>
      <w:rFonts w:eastAsia="黑体"/>
      <w:sz w:val="30"/>
    </w:rPr>
  </w:style>
  <w:style w:type="paragraph" w:customStyle="1" w:styleId="1028">
    <w:name w:val="unnamed1"/>
    <w:basedOn w:val="1"/>
    <w:autoRedefine/>
    <w:qFormat/>
    <w:uiPriority w:val="0"/>
    <w:pPr>
      <w:widowControl/>
      <w:spacing w:before="100" w:beforeAutospacing="1" w:after="100" w:afterAutospacing="1" w:line="345" w:lineRule="atLeast"/>
      <w:jc w:val="left"/>
    </w:pPr>
    <w:rPr>
      <w:rFonts w:ascii="ˎ̥" w:hAnsi="ˎ̥" w:cs="宋体"/>
      <w:color w:val="000000"/>
      <w:kern w:val="0"/>
      <w:sz w:val="18"/>
      <w:szCs w:val="18"/>
    </w:rPr>
  </w:style>
  <w:style w:type="paragraph" w:customStyle="1" w:styleId="1029">
    <w:name w:val="xl97"/>
    <w:basedOn w:val="1"/>
    <w:autoRedefine/>
    <w:qFormat/>
    <w:uiPriority w:val="0"/>
    <w:pPr>
      <w:widowControl/>
      <w:pBdr>
        <w:top w:val="single" w:color="auto" w:sz="12" w:space="0"/>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30">
    <w:name w:val="00000000000000"/>
    <w:basedOn w:val="1"/>
    <w:autoRedefine/>
    <w:qFormat/>
    <w:uiPriority w:val="0"/>
    <w:pPr>
      <w:adjustRightInd w:val="0"/>
      <w:snapToGrid w:val="0"/>
      <w:spacing w:line="360" w:lineRule="auto"/>
      <w:ind w:firstLine="480" w:firstLineChars="200"/>
    </w:pPr>
    <w:rPr>
      <w:rFonts w:ascii="宋体" w:hAnsi="宋体"/>
      <w:bCs/>
      <w:kern w:val="18"/>
      <w:sz w:val="24"/>
    </w:rPr>
  </w:style>
  <w:style w:type="paragraph" w:customStyle="1" w:styleId="1031">
    <w:name w:val="五号 居中"/>
    <w:basedOn w:val="1"/>
    <w:autoRedefine/>
    <w:qFormat/>
    <w:uiPriority w:val="0"/>
    <w:pPr>
      <w:snapToGrid w:val="0"/>
      <w:spacing w:line="500" w:lineRule="exact"/>
      <w:jc w:val="center"/>
    </w:pPr>
    <w:rPr>
      <w:rFonts w:cs="宋体"/>
      <w:kern w:val="0"/>
      <w:szCs w:val="20"/>
    </w:rPr>
  </w:style>
  <w:style w:type="paragraph" w:customStyle="1" w:styleId="1032">
    <w:name w:val="xl114"/>
    <w:basedOn w:val="1"/>
    <w:autoRedefine/>
    <w:qFormat/>
    <w:uiPriority w:val="0"/>
    <w:pPr>
      <w:widowControl/>
      <w:pBdr>
        <w:left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033">
    <w:name w:val="xl93"/>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034">
    <w:name w:val="样式 标题 21.1标题 21.1标题2标题 2 Char1节_Heading 2标2 + 段前: 0.5 行..."/>
    <w:basedOn w:val="4"/>
    <w:autoRedefine/>
    <w:qFormat/>
    <w:uiPriority w:val="0"/>
    <w:pPr>
      <w:keepNext w:val="0"/>
      <w:adjustRightInd w:val="0"/>
      <w:snapToGrid w:val="0"/>
      <w:spacing w:before="120" w:beforeLines="50" w:after="120" w:afterLines="50" w:line="240" w:lineRule="auto"/>
      <w:ind w:left="576" w:hanging="576"/>
      <w:contextualSpacing/>
      <w:jc w:val="left"/>
    </w:pPr>
    <w:rPr>
      <w:rFonts w:ascii="宋体" w:hAnsi="宋体" w:eastAsia="宋体" w:cs="宋体"/>
      <w:bCs w:val="0"/>
      <w:color w:val="000000"/>
      <w:sz w:val="24"/>
      <w:szCs w:val="20"/>
    </w:rPr>
  </w:style>
  <w:style w:type="paragraph" w:customStyle="1" w:styleId="1035">
    <w:name w:val="样式 样式 首行缩进:  2 字符1 + 首行缩进:  2 字符"/>
    <w:basedOn w:val="1"/>
    <w:autoRedefine/>
    <w:qFormat/>
    <w:uiPriority w:val="0"/>
    <w:pPr>
      <w:adjustRightInd w:val="0"/>
      <w:spacing w:line="360" w:lineRule="auto"/>
      <w:ind w:firstLine="519" w:firstLineChars="200"/>
    </w:pPr>
    <w:rPr>
      <w:rFonts w:cs="宋体"/>
      <w:snapToGrid w:val="0"/>
      <w:kern w:val="0"/>
      <w:sz w:val="28"/>
      <w:szCs w:val="28"/>
    </w:rPr>
  </w:style>
  <w:style w:type="paragraph" w:customStyle="1" w:styleId="1036">
    <w:name w:val="Char Char1 Char"/>
    <w:basedOn w:val="1"/>
    <w:autoRedefine/>
    <w:qFormat/>
    <w:uiPriority w:val="0"/>
    <w:pPr>
      <w:spacing w:line="360" w:lineRule="auto"/>
      <w:ind w:firstLine="200" w:firstLineChars="200"/>
    </w:pPr>
  </w:style>
  <w:style w:type="paragraph" w:customStyle="1" w:styleId="1037">
    <w:name w:val="xl65"/>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038">
    <w:name w:val="xl147"/>
    <w:basedOn w:val="1"/>
    <w:autoRedefine/>
    <w:qFormat/>
    <w:uiPriority w:val="0"/>
    <w:pPr>
      <w:widowControl/>
      <w:spacing w:before="100" w:beforeAutospacing="1" w:after="100" w:afterAutospacing="1"/>
      <w:jc w:val="center"/>
    </w:pPr>
    <w:rPr>
      <w:rFonts w:ascii="Arial Unicode MS" w:hAnsi="Arial Unicode MS"/>
      <w:kern w:val="0"/>
    </w:rPr>
  </w:style>
  <w:style w:type="paragraph" w:customStyle="1" w:styleId="1039">
    <w:name w:val="图框"/>
    <w:basedOn w:val="1"/>
    <w:autoRedefine/>
    <w:qFormat/>
    <w:uiPriority w:val="0"/>
    <w:pPr>
      <w:jc w:val="center"/>
    </w:pPr>
    <w:rPr>
      <w:szCs w:val="15"/>
    </w:rPr>
  </w:style>
  <w:style w:type="paragraph" w:customStyle="1" w:styleId="1040">
    <w:name w:val="xl63"/>
    <w:basedOn w:val="1"/>
    <w:autoRedefine/>
    <w:qFormat/>
    <w:uiPriority w:val="0"/>
    <w:pPr>
      <w:widowControl/>
      <w:spacing w:before="100" w:after="100"/>
      <w:jc w:val="center"/>
      <w:textAlignment w:val="center"/>
    </w:pPr>
    <w:rPr>
      <w:rFonts w:hint="eastAsia" w:ascii="黑体" w:hAnsi="宋体" w:eastAsia="黑体"/>
      <w:kern w:val="0"/>
      <w:sz w:val="24"/>
      <w:szCs w:val="20"/>
    </w:rPr>
  </w:style>
  <w:style w:type="paragraph" w:customStyle="1" w:styleId="1041">
    <w:name w:val="样式1"/>
    <w:basedOn w:val="7"/>
    <w:autoRedefine/>
    <w:qFormat/>
    <w:uiPriority w:val="0"/>
    <w:pPr>
      <w:keepNext w:val="0"/>
      <w:keepLines w:val="0"/>
      <w:tabs>
        <w:tab w:val="clear" w:pos="1008"/>
      </w:tabs>
      <w:spacing w:before="0" w:after="0" w:line="360" w:lineRule="exact"/>
      <w:ind w:left="0" w:firstLine="0"/>
      <w:jc w:val="center"/>
      <w:outlineLvl w:val="9"/>
    </w:pPr>
    <w:rPr>
      <w:rFonts w:ascii="宋体" w:hAnsi="宋体"/>
      <w:b w:val="0"/>
      <w:sz w:val="18"/>
      <w:szCs w:val="21"/>
    </w:rPr>
  </w:style>
  <w:style w:type="paragraph" w:styleId="1042">
    <w:name w:val="List Paragraph"/>
    <w:basedOn w:val="1"/>
    <w:autoRedefine/>
    <w:qFormat/>
    <w:uiPriority w:val="34"/>
    <w:pPr>
      <w:ind w:firstLine="420" w:firstLineChars="200"/>
    </w:pPr>
    <w:rPr>
      <w:szCs w:val="20"/>
    </w:rPr>
  </w:style>
  <w:style w:type="paragraph" w:customStyle="1" w:styleId="1043">
    <w:name w:val="xl101"/>
    <w:basedOn w:val="1"/>
    <w:autoRedefine/>
    <w:qFormat/>
    <w:uiPriority w:val="0"/>
    <w:pPr>
      <w:widowControl/>
      <w:pBdr>
        <w:left w:val="single" w:color="auto" w:sz="4" w:space="0"/>
        <w:right w:val="single" w:color="auto" w:sz="12"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044">
    <w:name w:val="纯文本 + Times New Roman"/>
    <w:basedOn w:val="43"/>
    <w:autoRedefine/>
    <w:qFormat/>
    <w:uiPriority w:val="0"/>
    <w:pPr>
      <w:pBdr>
        <w:bottom w:val="single" w:color="auto" w:sz="6" w:space="1"/>
      </w:pBdr>
      <w:jc w:val="center"/>
    </w:pPr>
    <w:rPr>
      <w:rFonts w:ascii="Times New Roman" w:hAnsi="Times New Roman" w:cs="Times New Roman"/>
    </w:rPr>
  </w:style>
  <w:style w:type="paragraph" w:customStyle="1" w:styleId="1045">
    <w:name w:val="font12"/>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1046">
    <w:name w:val="xl40"/>
    <w:basedOn w:val="1"/>
    <w:autoRedefine/>
    <w:qFormat/>
    <w:uiPriority w:val="0"/>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1047">
    <w:name w:val="xl150"/>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048">
    <w:name w:val="main"/>
    <w:basedOn w:val="1"/>
    <w:autoRedefine/>
    <w:qFormat/>
    <w:uiPriority w:val="0"/>
    <w:pPr>
      <w:widowControl/>
      <w:spacing w:before="100" w:beforeAutospacing="1" w:after="100" w:afterAutospacing="1"/>
      <w:jc w:val="left"/>
    </w:pPr>
    <w:rPr>
      <w:rFonts w:ascii="宋体" w:hAnsi="宋体" w:cs="宋体"/>
      <w:color w:val="000000"/>
      <w:kern w:val="0"/>
      <w:sz w:val="24"/>
    </w:rPr>
  </w:style>
  <w:style w:type="paragraph" w:customStyle="1" w:styleId="1049">
    <w:name w:val="工艺1"/>
    <w:basedOn w:val="1"/>
    <w:autoRedefine/>
    <w:qFormat/>
    <w:uiPriority w:val="0"/>
    <w:pPr>
      <w:adjustRightInd w:val="0"/>
      <w:snapToGrid w:val="0"/>
      <w:spacing w:line="360" w:lineRule="auto"/>
    </w:pPr>
    <w:rPr>
      <w:rFonts w:hint="eastAsia" w:ascii="宋体"/>
      <w:b/>
      <w:sz w:val="28"/>
      <w:szCs w:val="20"/>
    </w:rPr>
  </w:style>
  <w:style w:type="paragraph" w:customStyle="1" w:styleId="1050">
    <w:name w:val="默认段落字体 Para Char Char Char Char Char Char Char Char Char Char Char Char Char"/>
    <w:basedOn w:val="1"/>
    <w:autoRedefine/>
    <w:qFormat/>
    <w:uiPriority w:val="0"/>
  </w:style>
  <w:style w:type="paragraph" w:customStyle="1" w:styleId="1051">
    <w:name w:val="图注"/>
    <w:basedOn w:val="1"/>
    <w:next w:val="1"/>
    <w:autoRedefine/>
    <w:qFormat/>
    <w:uiPriority w:val="0"/>
    <w:pPr>
      <w:spacing w:before="120" w:line="320" w:lineRule="atLeast"/>
      <w:ind w:left="7" w:leftChars="-27" w:hanging="72" w:hangingChars="30"/>
      <w:jc w:val="center"/>
    </w:pPr>
    <w:rPr>
      <w:rFonts w:ascii="宋体" w:hAnsi="宋体"/>
      <w:bCs/>
      <w:color w:val="000000"/>
      <w:kern w:val="0"/>
      <w:sz w:val="24"/>
    </w:rPr>
  </w:style>
  <w:style w:type="paragraph" w:customStyle="1" w:styleId="1052">
    <w:name w:val="表格文字-居中"/>
    <w:basedOn w:val="1"/>
    <w:next w:val="1"/>
    <w:autoRedefine/>
    <w:qFormat/>
    <w:uiPriority w:val="0"/>
    <w:pPr>
      <w:jc w:val="center"/>
    </w:pPr>
    <w:rPr>
      <w:rFonts w:ascii="宋体"/>
      <w:sz w:val="24"/>
    </w:rPr>
  </w:style>
  <w:style w:type="paragraph" w:customStyle="1" w:styleId="1053">
    <w:name w:val="报告标题2"/>
    <w:basedOn w:val="4"/>
    <w:autoRedefine/>
    <w:qFormat/>
    <w:uiPriority w:val="0"/>
    <w:pPr>
      <w:tabs>
        <w:tab w:val="left" w:pos="840"/>
      </w:tabs>
      <w:spacing w:line="360" w:lineRule="auto"/>
      <w:ind w:left="840"/>
    </w:pPr>
    <w:rPr>
      <w:rFonts w:ascii="Times New Roman" w:hAnsi="Times New Roman" w:eastAsia="宋体"/>
      <w:kern w:val="0"/>
    </w:rPr>
  </w:style>
  <w:style w:type="paragraph" w:customStyle="1" w:styleId="1054">
    <w:name w:val="xl72"/>
    <w:basedOn w:val="1"/>
    <w:autoRedefine/>
    <w:qFormat/>
    <w:uiPriority w:val="0"/>
    <w:pPr>
      <w:widowControl/>
      <w:spacing w:before="100" w:beforeAutospacing="1" w:after="100" w:afterAutospacing="1"/>
      <w:jc w:val="left"/>
    </w:pPr>
    <w:rPr>
      <w:rFonts w:ascii="宋体" w:hAnsi="宋体"/>
      <w:b/>
      <w:bCs/>
      <w:kern w:val="0"/>
      <w:sz w:val="24"/>
    </w:rPr>
  </w:style>
  <w:style w:type="paragraph" w:customStyle="1" w:styleId="1055">
    <w:name w:val="表格内容 + 左对齐"/>
    <w:basedOn w:val="324"/>
    <w:autoRedefine/>
    <w:qFormat/>
    <w:uiPriority w:val="0"/>
    <w:rPr>
      <w:rFonts w:cs="宋体"/>
      <w:szCs w:val="20"/>
    </w:rPr>
  </w:style>
  <w:style w:type="paragraph" w:customStyle="1" w:styleId="1056">
    <w:name w:val="样式 四号 首行缩进:  2 字符 段前: 5 磅 段后: 5 磅 行距: 单倍行距"/>
    <w:basedOn w:val="1"/>
    <w:autoRedefine/>
    <w:qFormat/>
    <w:uiPriority w:val="0"/>
    <w:pPr>
      <w:spacing w:before="100" w:beforeAutospacing="1" w:after="100" w:afterAutospacing="1"/>
      <w:ind w:firstLine="200" w:firstLineChars="200"/>
    </w:pPr>
    <w:rPr>
      <w:rFonts w:cs="宋体"/>
      <w:sz w:val="28"/>
      <w:szCs w:val="20"/>
    </w:rPr>
  </w:style>
  <w:style w:type="paragraph" w:customStyle="1" w:styleId="1057">
    <w:name w:val="xl37"/>
    <w:basedOn w:val="1"/>
    <w:autoRedefine/>
    <w:qFormat/>
    <w:uiPriority w:val="0"/>
    <w:pPr>
      <w:widowControl/>
      <w:spacing w:before="100" w:beforeAutospacing="1" w:after="100" w:afterAutospacing="1"/>
      <w:jc w:val="left"/>
    </w:pPr>
    <w:rPr>
      <w:rFonts w:ascii="Arial" w:hAnsi="Arial" w:cs="Arial"/>
      <w:kern w:val="0"/>
      <w:sz w:val="24"/>
    </w:rPr>
  </w:style>
  <w:style w:type="paragraph" w:customStyle="1" w:styleId="1058">
    <w:name w:val="xl70"/>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1059">
    <w:name w:val="样式36"/>
    <w:basedOn w:val="1060"/>
    <w:autoRedefine/>
    <w:qFormat/>
    <w:uiPriority w:val="0"/>
    <w:pPr>
      <w:tabs>
        <w:tab w:val="left" w:pos="540"/>
        <w:tab w:val="left" w:pos="5250"/>
      </w:tabs>
      <w:ind w:firstLine="554" w:firstLineChars="198"/>
    </w:pPr>
    <w:rPr>
      <w:bCs w:val="0"/>
      <w:szCs w:val="28"/>
    </w:rPr>
  </w:style>
  <w:style w:type="paragraph" w:customStyle="1" w:styleId="1060">
    <w:name w:val="样式29"/>
    <w:basedOn w:val="1"/>
    <w:autoRedefine/>
    <w:qFormat/>
    <w:uiPriority w:val="0"/>
    <w:pPr>
      <w:tabs>
        <w:tab w:val="left" w:pos="540"/>
      </w:tabs>
      <w:ind w:firstLine="560" w:firstLineChars="200"/>
    </w:pPr>
    <w:rPr>
      <w:rFonts w:ascii="宋体" w:hAnsi="宋体"/>
      <w:bCs/>
      <w:color w:val="000000"/>
      <w:sz w:val="28"/>
    </w:rPr>
  </w:style>
  <w:style w:type="paragraph" w:customStyle="1" w:styleId="1061">
    <w:name w:val="宏福4"/>
    <w:basedOn w:val="1"/>
    <w:autoRedefine/>
    <w:qFormat/>
    <w:uiPriority w:val="0"/>
    <w:pPr>
      <w:adjustRightInd w:val="0"/>
      <w:spacing w:line="400" w:lineRule="atLeast"/>
      <w:ind w:firstLine="567"/>
      <w:jc w:val="left"/>
      <w:textAlignment w:val="baseline"/>
    </w:pPr>
    <w:rPr>
      <w:sz w:val="28"/>
      <w:szCs w:val="28"/>
    </w:rPr>
  </w:style>
  <w:style w:type="paragraph" w:customStyle="1" w:styleId="1062">
    <w:name w:val="样式 调研标题2 + 非加粗"/>
    <w:basedOn w:val="1"/>
    <w:autoRedefine/>
    <w:qFormat/>
    <w:uiPriority w:val="0"/>
    <w:pPr>
      <w:keepNext/>
      <w:keepLines/>
      <w:snapToGrid w:val="0"/>
      <w:spacing w:before="240" w:after="120" w:line="360" w:lineRule="exact"/>
      <w:outlineLvl w:val="1"/>
    </w:pPr>
    <w:rPr>
      <w:rFonts w:ascii="Arial" w:hAnsi="Arial" w:cs="宋体"/>
      <w:b/>
      <w:bCs/>
      <w:color w:val="000000"/>
      <w:sz w:val="28"/>
      <w:szCs w:val="32"/>
    </w:rPr>
  </w:style>
  <w:style w:type="paragraph" w:customStyle="1" w:styleId="1063">
    <w:name w:val="style2"/>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064">
    <w:name w:val="1.1.1.1"/>
    <w:basedOn w:val="1"/>
    <w:autoRedefine/>
    <w:qFormat/>
    <w:uiPriority w:val="0"/>
    <w:pPr>
      <w:spacing w:line="600" w:lineRule="exact"/>
      <w:outlineLvl w:val="0"/>
    </w:pPr>
    <w:rPr>
      <w:rFonts w:ascii="黑体" w:eastAsia="黑体"/>
      <w:sz w:val="24"/>
    </w:rPr>
  </w:style>
  <w:style w:type="paragraph" w:customStyle="1" w:styleId="1065">
    <w:name w:val="xl155"/>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066">
    <w:name w:val="封面标准号1"/>
    <w:autoRedefine/>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sz w:val="28"/>
      <w:lang w:val="en-US" w:eastAsia="zh-CN" w:bidi="ar-SA"/>
    </w:rPr>
  </w:style>
  <w:style w:type="paragraph" w:customStyle="1" w:styleId="1067">
    <w:name w:val="font15"/>
    <w:basedOn w:val="1"/>
    <w:autoRedefine/>
    <w:qFormat/>
    <w:uiPriority w:val="0"/>
    <w:pPr>
      <w:widowControl/>
      <w:spacing w:before="100" w:beforeAutospacing="1" w:after="100" w:afterAutospacing="1"/>
      <w:jc w:val="left"/>
    </w:pPr>
    <w:rPr>
      <w:rFonts w:ascii="Tahoma" w:hAnsi="Tahoma" w:cs="Tahoma"/>
      <w:b/>
      <w:bCs/>
      <w:color w:val="000000"/>
      <w:kern w:val="0"/>
      <w:sz w:val="16"/>
      <w:szCs w:val="16"/>
    </w:rPr>
  </w:style>
  <w:style w:type="paragraph" w:customStyle="1" w:styleId="1068">
    <w:name w:val="Char6"/>
    <w:basedOn w:val="1"/>
    <w:autoRedefine/>
    <w:qFormat/>
    <w:uiPriority w:val="0"/>
  </w:style>
  <w:style w:type="paragraph" w:customStyle="1" w:styleId="1069">
    <w:name w:val=".66l.66l"/>
    <w:basedOn w:val="1"/>
    <w:autoRedefine/>
    <w:semiHidden/>
    <w:qFormat/>
    <w:uiPriority w:val="0"/>
    <w:pPr>
      <w:autoSpaceDE w:val="0"/>
      <w:autoSpaceDN w:val="0"/>
      <w:adjustRightInd w:val="0"/>
      <w:spacing w:line="312" w:lineRule="atLeast"/>
      <w:ind w:firstLine="570"/>
      <w:textAlignment w:val="baseline"/>
    </w:pPr>
    <w:rPr>
      <w:rFonts w:ascii="宋体"/>
      <w:kern w:val="0"/>
      <w:sz w:val="28"/>
      <w:szCs w:val="20"/>
    </w:rPr>
  </w:style>
  <w:style w:type="paragraph" w:customStyle="1" w:styleId="1070">
    <w:name w:val="环表头"/>
    <w:basedOn w:val="1"/>
    <w:autoRedefine/>
    <w:qFormat/>
    <w:uiPriority w:val="0"/>
    <w:pPr>
      <w:widowControl/>
      <w:tabs>
        <w:tab w:val="left" w:pos="0"/>
      </w:tabs>
      <w:adjustRightInd w:val="0"/>
      <w:spacing w:beforeLines="50" w:afterLines="50" w:line="400" w:lineRule="exact"/>
      <w:ind w:right="-266"/>
      <w:jc w:val="center"/>
      <w:textAlignment w:val="baseline"/>
    </w:pPr>
    <w:rPr>
      <w:rFonts w:ascii="宋体" w:hAnsi="宋体"/>
      <w:b/>
      <w:kern w:val="0"/>
      <w:sz w:val="24"/>
    </w:rPr>
  </w:style>
  <w:style w:type="paragraph" w:customStyle="1" w:styleId="1071">
    <w:name w:val="Char Char Char Char Char Char Char Char Char Char Char Char Char2"/>
    <w:basedOn w:val="1"/>
    <w:autoRedefine/>
    <w:qFormat/>
    <w:uiPriority w:val="0"/>
    <w:pPr>
      <w:spacing w:line="360" w:lineRule="auto"/>
      <w:ind w:firstLine="200" w:firstLineChars="200"/>
    </w:pPr>
    <w:rPr>
      <w:rFonts w:ascii="宋体" w:hAnsi="宋体" w:cs="宋体"/>
      <w:sz w:val="24"/>
    </w:rPr>
  </w:style>
  <w:style w:type="paragraph" w:customStyle="1" w:styleId="1072">
    <w:name w:val="xl84"/>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73">
    <w:name w:val="样式 标题 1 + 首行缩进:  2.5 字符"/>
    <w:basedOn w:val="3"/>
    <w:autoRedefine/>
    <w:qFormat/>
    <w:uiPriority w:val="0"/>
    <w:pPr>
      <w:keepNext w:val="0"/>
      <w:tabs>
        <w:tab w:val="left" w:pos="390"/>
      </w:tabs>
      <w:overflowPunct/>
      <w:snapToGrid/>
      <w:spacing w:before="100" w:after="100" w:line="240" w:lineRule="auto"/>
      <w:ind w:left="390" w:hanging="390" w:firstLineChars="200"/>
    </w:pPr>
    <w:rPr>
      <w:rFonts w:ascii="Calibri" w:hAnsi="Calibri" w:eastAsia="楷体_GB2312"/>
      <w:color w:val="auto"/>
      <w:sz w:val="28"/>
      <w:szCs w:val="28"/>
    </w:rPr>
  </w:style>
  <w:style w:type="paragraph" w:customStyle="1" w:styleId="1074">
    <w:name w:val="xl64"/>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075">
    <w:name w:val="xl94"/>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76">
    <w:name w:val="unnamed2"/>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077">
    <w:name w:val="封面正文"/>
    <w:autoRedefine/>
    <w:qFormat/>
    <w:uiPriority w:val="0"/>
    <w:pPr>
      <w:jc w:val="both"/>
    </w:pPr>
    <w:rPr>
      <w:rFonts w:ascii="Times New Roman" w:hAnsi="Times New Roman" w:eastAsia="宋体" w:cs="Times New Roman"/>
      <w:lang w:val="en-US" w:eastAsia="zh-CN" w:bidi="ar-SA"/>
    </w:rPr>
  </w:style>
  <w:style w:type="paragraph" w:customStyle="1" w:styleId="1078">
    <w:name w:val="样式 样式 样式 标题 3东明_小节H3条标题1.1.1二级节名h33rd level3l3CTHeading 3 - ... ..."/>
    <w:basedOn w:val="774"/>
    <w:autoRedefine/>
    <w:qFormat/>
    <w:uiPriority w:val="0"/>
    <w:pPr>
      <w:spacing w:after="0"/>
    </w:pPr>
  </w:style>
  <w:style w:type="paragraph" w:customStyle="1" w:styleId="1079">
    <w:name w:val="样式 标题 4 + 黑色 左侧:  -0.01 厘米 首行缩进:  0.01 厘米"/>
    <w:basedOn w:val="6"/>
    <w:autoRedefine/>
    <w:qFormat/>
    <w:uiPriority w:val="0"/>
    <w:pPr>
      <w:tabs>
        <w:tab w:val="left" w:pos="1080"/>
        <w:tab w:val="left" w:pos="1680"/>
      </w:tabs>
      <w:spacing w:before="0" w:beforeLines="50" w:after="0" w:line="312" w:lineRule="auto"/>
      <w:ind w:left="864" w:hanging="864" w:firstLineChars="250"/>
      <w:jc w:val="left"/>
    </w:pPr>
    <w:rPr>
      <w:rFonts w:ascii="仿宋_GB2312" w:hAnsi="Arial" w:eastAsia="仿宋_GB2312" w:cs="宋体"/>
      <w:b w:val="0"/>
      <w:bCs w:val="0"/>
      <w:color w:val="000000"/>
      <w:szCs w:val="20"/>
    </w:rPr>
  </w:style>
  <w:style w:type="paragraph" w:customStyle="1" w:styleId="1080">
    <w:name w:val="徐正文"/>
    <w:basedOn w:val="1"/>
    <w:autoRedefine/>
    <w:qFormat/>
    <w:uiPriority w:val="0"/>
    <w:pPr>
      <w:adjustRightInd w:val="0"/>
      <w:snapToGrid w:val="0"/>
      <w:spacing w:line="500" w:lineRule="atLeast"/>
      <w:ind w:firstLine="200" w:firstLineChars="200"/>
    </w:pPr>
    <w:rPr>
      <w:rFonts w:ascii="宋体" w:hAnsi="宋体"/>
      <w:bCs/>
      <w:sz w:val="24"/>
    </w:rPr>
  </w:style>
  <w:style w:type="paragraph" w:customStyle="1" w:styleId="1081">
    <w:name w:val="样式110"/>
    <w:basedOn w:val="1082"/>
    <w:autoRedefine/>
    <w:qFormat/>
    <w:uiPriority w:val="0"/>
    <w:pPr>
      <w:adjustRightInd w:val="0"/>
    </w:pPr>
  </w:style>
  <w:style w:type="paragraph" w:customStyle="1" w:styleId="1082">
    <w:name w:val="图框文字"/>
    <w:basedOn w:val="1"/>
    <w:autoRedefine/>
    <w:qFormat/>
    <w:uiPriority w:val="0"/>
    <w:pPr>
      <w:jc w:val="center"/>
      <w:textAlignment w:val="center"/>
    </w:pPr>
  </w:style>
  <w:style w:type="paragraph" w:customStyle="1" w:styleId="1083">
    <w:name w:val="xl86"/>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084">
    <w:name w:val="xl189"/>
    <w:basedOn w:val="1"/>
    <w:autoRedefine/>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1085">
    <w:name w:val="xl74"/>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086">
    <w:name w:val="font8"/>
    <w:basedOn w:val="1"/>
    <w:autoRedefine/>
    <w:qFormat/>
    <w:uiPriority w:val="0"/>
    <w:pPr>
      <w:widowControl/>
      <w:spacing w:before="100" w:beforeAutospacing="1" w:after="100" w:afterAutospacing="1"/>
      <w:jc w:val="left"/>
    </w:pPr>
    <w:rPr>
      <w:rFonts w:ascii="Arial" w:hAnsi="Arial" w:cs="Arial"/>
      <w:b/>
      <w:bCs/>
      <w:kern w:val="0"/>
      <w:sz w:val="24"/>
    </w:rPr>
  </w:style>
  <w:style w:type="paragraph" w:customStyle="1" w:styleId="1087">
    <w:name w:val="Char1 Char Char Char Char Char Char"/>
    <w:basedOn w:val="1"/>
    <w:autoRedefine/>
    <w:qFormat/>
    <w:uiPriority w:val="0"/>
    <w:pPr>
      <w:widowControl/>
      <w:contextualSpacing/>
      <w:jc w:val="left"/>
    </w:pPr>
    <w:rPr>
      <w:rFonts w:cs="宋体"/>
      <w:kern w:val="0"/>
    </w:rPr>
  </w:style>
  <w:style w:type="paragraph" w:customStyle="1" w:styleId="1088">
    <w:name w:val="xl185"/>
    <w:basedOn w:val="1"/>
    <w:autoRedefine/>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89">
    <w:name w:val="表格文字-左对齐"/>
    <w:basedOn w:val="1"/>
    <w:next w:val="1"/>
    <w:autoRedefine/>
    <w:qFormat/>
    <w:uiPriority w:val="0"/>
    <w:rPr>
      <w:rFonts w:ascii="宋体"/>
      <w:sz w:val="24"/>
    </w:rPr>
  </w:style>
  <w:style w:type="paragraph" w:customStyle="1" w:styleId="1090">
    <w:name w:val="目录1"/>
    <w:basedOn w:val="57"/>
    <w:autoRedefine/>
    <w:qFormat/>
    <w:uiPriority w:val="0"/>
    <w:pPr>
      <w:keepNext/>
      <w:widowControl/>
      <w:tabs>
        <w:tab w:val="right" w:leader="dot" w:pos="8160"/>
        <w:tab w:val="right" w:leader="dot" w:pos="8280"/>
        <w:tab w:val="right" w:leader="dot" w:pos="8820"/>
      </w:tabs>
      <w:snapToGrid/>
      <w:spacing w:beforeLines="50" w:afterLines="50" w:line="480" w:lineRule="exact"/>
    </w:pPr>
    <w:rPr>
      <w:rFonts w:ascii="宋体" w:hAnsi="宋体"/>
      <w:b w:val="0"/>
      <w:bCs w:val="0"/>
      <w:kern w:val="0"/>
      <w:sz w:val="30"/>
      <w:szCs w:val="24"/>
      <w:lang w:val="zh-CN" w:bidi="en-US"/>
    </w:rPr>
  </w:style>
  <w:style w:type="paragraph" w:customStyle="1" w:styleId="1091">
    <w:name w:val="默认段落字体 Para Char"/>
    <w:basedOn w:val="1"/>
    <w:next w:val="1"/>
    <w:autoRedefine/>
    <w:qFormat/>
    <w:uiPriority w:val="0"/>
    <w:pPr>
      <w:spacing w:line="360" w:lineRule="auto"/>
      <w:ind w:firstLine="200" w:firstLineChars="200"/>
    </w:pPr>
    <w:rPr>
      <w:rFonts w:ascii="宋体" w:hAnsi="宋体" w:cs="宋体"/>
      <w:sz w:val="24"/>
    </w:rPr>
  </w:style>
  <w:style w:type="paragraph" w:customStyle="1" w:styleId="1092">
    <w:name w:val="菏泽-标题 3"/>
    <w:basedOn w:val="1"/>
    <w:next w:val="1"/>
    <w:autoRedefine/>
    <w:qFormat/>
    <w:uiPriority w:val="0"/>
    <w:pPr>
      <w:keepNext/>
      <w:keepLines/>
      <w:overflowPunct w:val="0"/>
      <w:snapToGrid w:val="0"/>
      <w:spacing w:line="440" w:lineRule="exact"/>
      <w:ind w:firstLine="359" w:firstLineChars="128"/>
      <w:outlineLvl w:val="2"/>
    </w:pPr>
    <w:rPr>
      <w:rFonts w:ascii="华文细黑" w:hAnsi="华文细黑" w:eastAsia="华文细黑"/>
      <w:b/>
      <w:sz w:val="28"/>
      <w:szCs w:val="28"/>
    </w:rPr>
  </w:style>
  <w:style w:type="paragraph" w:customStyle="1" w:styleId="1093">
    <w:name w:val="xl171"/>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1094">
    <w:name w:val="heading"/>
    <w:basedOn w:val="1"/>
    <w:next w:val="1"/>
    <w:autoRedefine/>
    <w:qFormat/>
    <w:uiPriority w:val="0"/>
    <w:pPr>
      <w:keepNext/>
      <w:keepLines/>
      <w:tabs>
        <w:tab w:val="left" w:pos="576"/>
      </w:tabs>
      <w:spacing w:line="360" w:lineRule="auto"/>
      <w:ind w:left="576"/>
      <w:outlineLvl w:val="1"/>
    </w:pPr>
    <w:rPr>
      <w:rFonts w:ascii="宋体" w:hAnsi="Arial Black" w:cs="宋体"/>
      <w:sz w:val="24"/>
    </w:rPr>
  </w:style>
  <w:style w:type="paragraph" w:customStyle="1" w:styleId="1095">
    <w:name w:val="页脚2"/>
    <w:basedOn w:val="51"/>
    <w:autoRedefine/>
    <w:qFormat/>
    <w:uiPriority w:val="0"/>
    <w:pPr>
      <w:pBdr>
        <w:top w:val="single" w:color="auto" w:sz="4" w:space="1"/>
      </w:pBdr>
      <w:wordWrap w:val="0"/>
      <w:snapToGrid/>
      <w:ind w:right="190"/>
      <w:jc w:val="right"/>
    </w:pPr>
    <w:rPr>
      <w:rFonts w:ascii="宋体" w:hAnsi="宋体"/>
      <w:kern w:val="2"/>
      <w:szCs w:val="18"/>
    </w:rPr>
  </w:style>
  <w:style w:type="paragraph" w:customStyle="1" w:styleId="1096">
    <w:name w:val="甲乙酮2"/>
    <w:basedOn w:val="393"/>
    <w:next w:val="1"/>
    <w:autoRedefine/>
    <w:qFormat/>
    <w:uiPriority w:val="0"/>
  </w:style>
  <w:style w:type="paragraph" w:customStyle="1" w:styleId="1097">
    <w:name w:val="xl182"/>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kern w:val="0"/>
      <w:sz w:val="16"/>
      <w:szCs w:val="16"/>
    </w:rPr>
  </w:style>
  <w:style w:type="paragraph" w:customStyle="1" w:styleId="1098">
    <w:name w:val="表格式"/>
    <w:basedOn w:val="64"/>
    <w:autoRedefine/>
    <w:qFormat/>
    <w:uiPriority w:val="0"/>
    <w:pPr>
      <w:snapToGrid/>
      <w:spacing w:line="340" w:lineRule="exact"/>
      <w:jc w:val="center"/>
    </w:pPr>
    <w:rPr>
      <w:rFonts w:ascii="Courier New" w:hAnsi="Courier New"/>
    </w:rPr>
  </w:style>
  <w:style w:type="paragraph" w:customStyle="1" w:styleId="1099">
    <w:name w:val="xl68"/>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1100">
    <w:name w:val="xl119"/>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1101">
    <w:name w:val="Char1 Char Char Char Char Char Char Char Char Char"/>
    <w:basedOn w:val="1"/>
    <w:autoRedefine/>
    <w:qFormat/>
    <w:uiPriority w:val="0"/>
    <w:rPr>
      <w:sz w:val="24"/>
    </w:rPr>
  </w:style>
  <w:style w:type="paragraph" w:customStyle="1" w:styleId="1102">
    <w:name w:val="xl136"/>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1103">
    <w:name w:val="Char Char Char Char Char Char1 Char Char Char Char"/>
    <w:basedOn w:val="1"/>
    <w:autoRedefine/>
    <w:qFormat/>
    <w:uiPriority w:val="0"/>
    <w:rPr>
      <w:sz w:val="24"/>
    </w:rPr>
  </w:style>
  <w:style w:type="paragraph" w:customStyle="1" w:styleId="1104">
    <w:name w:val="xl39"/>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105">
    <w:name w:val="节标题"/>
    <w:basedOn w:val="1"/>
    <w:next w:val="1"/>
    <w:autoRedefine/>
    <w:qFormat/>
    <w:uiPriority w:val="0"/>
    <w:pPr>
      <w:widowControl/>
      <w:spacing w:line="578" w:lineRule="atLeast"/>
      <w:jc w:val="center"/>
      <w:textAlignment w:val="baseline"/>
    </w:pPr>
    <w:rPr>
      <w:color w:val="000000"/>
      <w:kern w:val="0"/>
      <w:sz w:val="28"/>
      <w:szCs w:val="20"/>
      <w:u w:color="000000"/>
    </w:rPr>
  </w:style>
  <w:style w:type="paragraph" w:customStyle="1" w:styleId="1106">
    <w:name w:val="表格内容2"/>
    <w:basedOn w:val="324"/>
    <w:autoRedefine/>
    <w:qFormat/>
    <w:uiPriority w:val="0"/>
    <w:pPr>
      <w:overflowPunct w:val="0"/>
      <w:autoSpaceDE/>
      <w:autoSpaceDN/>
      <w:snapToGrid w:val="0"/>
      <w:textAlignment w:val="baseline"/>
    </w:pPr>
    <w:rPr>
      <w:rFonts w:cs="Arial"/>
      <w:color w:val="000000"/>
      <w:szCs w:val="24"/>
    </w:rPr>
  </w:style>
  <w:style w:type="paragraph" w:customStyle="1" w:styleId="1107">
    <w:name w:val="bh1"/>
    <w:basedOn w:val="1"/>
    <w:autoRedefine/>
    <w:qFormat/>
    <w:uiPriority w:val="0"/>
    <w:pPr>
      <w:widowControl/>
      <w:jc w:val="left"/>
    </w:pPr>
    <w:rPr>
      <w:rFonts w:ascii="宋体" w:hAnsi="宋体" w:cs="宋体"/>
      <w:kern w:val="0"/>
      <w:sz w:val="24"/>
    </w:rPr>
  </w:style>
  <w:style w:type="paragraph" w:customStyle="1" w:styleId="1108">
    <w:name w:val="xl127"/>
    <w:basedOn w:val="1"/>
    <w:autoRedefine/>
    <w:qFormat/>
    <w:uiPriority w:val="0"/>
    <w:pPr>
      <w:widowControl/>
      <w:pBdr>
        <w:top w:val="single" w:color="auto" w:sz="8"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09">
    <w:name w:val="中文报告书样式"/>
    <w:basedOn w:val="1"/>
    <w:autoRedefine/>
    <w:qFormat/>
    <w:uiPriority w:val="0"/>
    <w:pPr>
      <w:adjustRightInd w:val="0"/>
      <w:spacing w:line="480" w:lineRule="atLeast"/>
      <w:ind w:firstLine="482"/>
      <w:textAlignment w:val="baseline"/>
    </w:pPr>
    <w:rPr>
      <w:kern w:val="24"/>
      <w:sz w:val="24"/>
      <w:szCs w:val="20"/>
    </w:rPr>
  </w:style>
  <w:style w:type="paragraph" w:customStyle="1" w:styleId="1110">
    <w:name w:val="xl121"/>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1111">
    <w:name w:val="样式 上标"/>
    <w:basedOn w:val="685"/>
    <w:next w:val="685"/>
    <w:autoRedefine/>
    <w:qFormat/>
    <w:uiPriority w:val="0"/>
    <w:pPr>
      <w:spacing w:before="0" w:after="0" w:line="320" w:lineRule="exact"/>
      <w:ind w:firstLine="200"/>
    </w:pPr>
    <w:rPr>
      <w:caps/>
      <w:szCs w:val="36"/>
    </w:rPr>
  </w:style>
  <w:style w:type="paragraph" w:customStyle="1" w:styleId="1112">
    <w:name w:val="表内5S"/>
    <w:basedOn w:val="1"/>
    <w:autoRedefine/>
    <w:qFormat/>
    <w:uiPriority w:val="0"/>
    <w:pPr>
      <w:spacing w:line="300" w:lineRule="atLeast"/>
      <w:jc w:val="center"/>
    </w:pPr>
    <w:rPr>
      <w:rFonts w:eastAsia="方正宋三简体"/>
      <w:szCs w:val="20"/>
    </w:rPr>
  </w:style>
  <w:style w:type="paragraph" w:customStyle="1" w:styleId="1113">
    <w:name w:val="xl178"/>
    <w:basedOn w:val="1"/>
    <w:autoRedefine/>
    <w:qFormat/>
    <w:uiPriority w:val="0"/>
    <w:pPr>
      <w:widowControl/>
      <w:spacing w:before="100" w:beforeAutospacing="1" w:after="100" w:afterAutospacing="1"/>
      <w:jc w:val="center"/>
    </w:pPr>
    <w:rPr>
      <w:rFonts w:ascii="Arial Unicode MS" w:hAnsi="Arial Unicode MS"/>
      <w:kern w:val="0"/>
      <w:sz w:val="12"/>
      <w:szCs w:val="12"/>
    </w:rPr>
  </w:style>
  <w:style w:type="paragraph" w:customStyle="1" w:styleId="1114">
    <w:name w:val="表格内容格式"/>
    <w:basedOn w:val="1"/>
    <w:autoRedefine/>
    <w:qFormat/>
    <w:uiPriority w:val="0"/>
    <w:pPr>
      <w:adjustRightInd w:val="0"/>
      <w:spacing w:line="240" w:lineRule="atLeast"/>
      <w:jc w:val="center"/>
      <w:textAlignment w:val="baseline"/>
    </w:pPr>
    <w:rPr>
      <w:snapToGrid w:val="0"/>
      <w:color w:val="000000"/>
      <w:kern w:val="0"/>
      <w:szCs w:val="20"/>
    </w:rPr>
  </w:style>
  <w:style w:type="paragraph" w:customStyle="1" w:styleId="1115">
    <w:name w:val="xl187"/>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kern w:val="0"/>
      <w:sz w:val="16"/>
      <w:szCs w:val="16"/>
    </w:rPr>
  </w:style>
  <w:style w:type="paragraph" w:customStyle="1" w:styleId="1116">
    <w:name w:val="标题四"/>
    <w:basedOn w:val="5"/>
    <w:autoRedefine/>
    <w:qFormat/>
    <w:uiPriority w:val="0"/>
    <w:pPr>
      <w:tabs>
        <w:tab w:val="left" w:pos="0"/>
        <w:tab w:val="left" w:pos="1260"/>
      </w:tabs>
      <w:spacing w:before="0" w:after="0" w:line="240" w:lineRule="auto"/>
      <w:ind w:left="1260" w:hanging="420"/>
      <w:contextualSpacing/>
    </w:pPr>
    <w:rPr>
      <w:rFonts w:ascii="黑体" w:eastAsia="黑体"/>
      <w:sz w:val="28"/>
      <w:szCs w:val="28"/>
    </w:rPr>
  </w:style>
  <w:style w:type="paragraph" w:customStyle="1" w:styleId="1117">
    <w:name w:val="正文居中"/>
    <w:basedOn w:val="57"/>
    <w:autoRedefine/>
    <w:qFormat/>
    <w:uiPriority w:val="0"/>
    <w:pPr>
      <w:tabs>
        <w:tab w:val="left" w:pos="244"/>
        <w:tab w:val="left" w:pos="720"/>
      </w:tabs>
      <w:adjustRightInd w:val="0"/>
      <w:snapToGrid/>
      <w:jc w:val="center"/>
    </w:pPr>
    <w:rPr>
      <w:rFonts w:ascii="宋体" w:hAnsi="Arial"/>
      <w:b w:val="0"/>
      <w:bCs w:val="0"/>
      <w:caps w:val="0"/>
      <w:sz w:val="28"/>
      <w:szCs w:val="28"/>
    </w:rPr>
  </w:style>
  <w:style w:type="paragraph" w:customStyle="1" w:styleId="1118">
    <w:name w:val="正文文字"/>
    <w:basedOn w:val="33"/>
    <w:autoRedefine/>
    <w:qFormat/>
    <w:uiPriority w:val="0"/>
    <w:pPr>
      <w:widowControl/>
      <w:spacing w:after="0" w:line="360" w:lineRule="auto"/>
      <w:ind w:left="0" w:leftChars="0" w:firstLine="200" w:firstLineChars="200"/>
      <w:jc w:val="left"/>
    </w:pPr>
    <w:rPr>
      <w:rFonts w:ascii="Calibri" w:hAnsi="Calibri" w:eastAsia="仿宋_GB2312"/>
      <w:color w:val="000000"/>
      <w:szCs w:val="24"/>
      <w:lang w:eastAsia="en-US" w:bidi="en-US"/>
    </w:rPr>
  </w:style>
  <w:style w:type="paragraph" w:customStyle="1" w:styleId="1119">
    <w:name w:val="Char1"/>
    <w:basedOn w:val="1"/>
    <w:autoRedefine/>
    <w:qFormat/>
    <w:uiPriority w:val="0"/>
    <w:pPr>
      <w:spacing w:line="240" w:lineRule="exact"/>
      <w:ind w:firstLine="200" w:firstLineChars="200"/>
    </w:pPr>
    <w:rPr>
      <w:sz w:val="28"/>
      <w:szCs w:val="28"/>
    </w:rPr>
  </w:style>
  <w:style w:type="paragraph" w:customStyle="1" w:styleId="1120">
    <w:name w:val="正文 首行缩进:  2 字符 Char Char"/>
    <w:basedOn w:val="1"/>
    <w:autoRedefine/>
    <w:qFormat/>
    <w:uiPriority w:val="0"/>
    <w:pPr>
      <w:spacing w:before="240" w:after="240" w:line="480" w:lineRule="exact"/>
      <w:ind w:firstLine="560" w:firstLineChars="200"/>
    </w:pPr>
    <w:rPr>
      <w:sz w:val="28"/>
      <w:szCs w:val="20"/>
    </w:rPr>
  </w:style>
  <w:style w:type="paragraph" w:customStyle="1" w:styleId="1121">
    <w:name w:val="Char Char Char Char Char Char Char Char Char Char Char Char Char1"/>
    <w:basedOn w:val="1"/>
    <w:autoRedefine/>
    <w:qFormat/>
    <w:uiPriority w:val="0"/>
    <w:pPr>
      <w:jc w:val="center"/>
    </w:pPr>
    <w:rPr>
      <w:rFonts w:ascii="宋体"/>
    </w:rPr>
  </w:style>
  <w:style w:type="paragraph" w:customStyle="1" w:styleId="1122">
    <w:name w:val="样式27"/>
    <w:basedOn w:val="3"/>
    <w:autoRedefine/>
    <w:qFormat/>
    <w:uiPriority w:val="0"/>
    <w:pPr>
      <w:keepNext w:val="0"/>
      <w:tabs>
        <w:tab w:val="left" w:pos="390"/>
      </w:tabs>
      <w:overflowPunct/>
      <w:snapToGrid/>
      <w:spacing w:before="340" w:beforeLines="100" w:after="330" w:afterLines="100" w:line="360" w:lineRule="auto"/>
      <w:ind w:left="390" w:firstLine="0"/>
      <w:jc w:val="center"/>
      <w:outlineLvl w:val="9"/>
    </w:pPr>
    <w:rPr>
      <w:rFonts w:ascii="黑体" w:hAnsi="Calibri" w:cs="Arial Unicode MS"/>
      <w:b w:val="0"/>
      <w:bCs w:val="0"/>
      <w:color w:val="auto"/>
      <w:kern w:val="2"/>
      <w:sz w:val="32"/>
      <w:szCs w:val="32"/>
    </w:rPr>
  </w:style>
  <w:style w:type="paragraph" w:customStyle="1" w:styleId="1123">
    <w:name w:val="ST20_32"/>
    <w:basedOn w:val="51"/>
    <w:autoRedefine/>
    <w:qFormat/>
    <w:uiPriority w:val="0"/>
    <w:pPr>
      <w:contextualSpacing/>
    </w:pPr>
    <w:rPr>
      <w:kern w:val="2"/>
      <w:sz w:val="21"/>
      <w:szCs w:val="21"/>
    </w:rPr>
  </w:style>
  <w:style w:type="paragraph" w:customStyle="1" w:styleId="1124">
    <w:name w:val="xl34"/>
    <w:basedOn w:val="1"/>
    <w:autoRedefine/>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kern w:val="0"/>
      <w:sz w:val="20"/>
      <w:szCs w:val="20"/>
    </w:rPr>
  </w:style>
  <w:style w:type="paragraph" w:customStyle="1" w:styleId="1125">
    <w:name w:val="Char Char3 Char Char"/>
    <w:basedOn w:val="1"/>
    <w:autoRedefine/>
    <w:qFormat/>
    <w:uiPriority w:val="0"/>
    <w:pPr>
      <w:spacing w:line="360" w:lineRule="auto"/>
      <w:ind w:firstLine="200" w:firstLineChars="200"/>
    </w:pPr>
    <w:rPr>
      <w:rFonts w:ascii="宋体" w:hAnsi="宋体" w:cs="宋体"/>
      <w:sz w:val="24"/>
    </w:rPr>
  </w:style>
  <w:style w:type="paragraph" w:customStyle="1" w:styleId="1126">
    <w:name w:val="Char Char Char Char2"/>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127">
    <w:name w:val="列出段落11"/>
    <w:basedOn w:val="1"/>
    <w:autoRedefine/>
    <w:qFormat/>
    <w:uiPriority w:val="0"/>
    <w:pPr>
      <w:spacing w:line="360" w:lineRule="auto"/>
      <w:ind w:firstLine="420" w:firstLineChars="200"/>
    </w:pPr>
    <w:rPr>
      <w:sz w:val="24"/>
    </w:rPr>
  </w:style>
  <w:style w:type="paragraph" w:customStyle="1" w:styleId="1128">
    <w:name w:val="样式44"/>
    <w:basedOn w:val="1"/>
    <w:autoRedefine/>
    <w:qFormat/>
    <w:uiPriority w:val="0"/>
    <w:pPr>
      <w:spacing w:line="500" w:lineRule="exact"/>
      <w:ind w:firstLine="594" w:firstLineChars="212"/>
    </w:pPr>
    <w:rPr>
      <w:rFonts w:ascii="宋体" w:hAnsi="宋体"/>
      <w:sz w:val="28"/>
      <w:szCs w:val="20"/>
    </w:rPr>
  </w:style>
  <w:style w:type="paragraph" w:customStyle="1" w:styleId="1129">
    <w:name w:val="正文4"/>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1130">
    <w:name w:val="样式 列表 + 左侧:  0 厘米 悬挂缩进: 2 字符"/>
    <w:basedOn w:val="64"/>
    <w:autoRedefine/>
    <w:qFormat/>
    <w:uiPriority w:val="0"/>
    <w:pPr>
      <w:tabs>
        <w:tab w:val="center" w:pos="4153"/>
        <w:tab w:val="right" w:pos="8306"/>
      </w:tabs>
      <w:spacing w:line="240" w:lineRule="auto"/>
      <w:jc w:val="center"/>
    </w:pPr>
    <w:rPr>
      <w:rFonts w:eastAsia="方正仿宋_GBK" w:cs="宋体"/>
      <w:szCs w:val="21"/>
    </w:rPr>
  </w:style>
  <w:style w:type="paragraph" w:customStyle="1" w:styleId="1131">
    <w:name w:val="Char Char Char Char Char Char1 Char Char Char Char Char Char Char1"/>
    <w:basedOn w:val="1"/>
    <w:autoRedefine/>
    <w:qFormat/>
    <w:uiPriority w:val="0"/>
  </w:style>
  <w:style w:type="paragraph" w:customStyle="1" w:styleId="1132">
    <w:name w:val="文字"/>
    <w:basedOn w:val="1"/>
    <w:next w:val="1"/>
    <w:autoRedefine/>
    <w:qFormat/>
    <w:uiPriority w:val="0"/>
    <w:pPr>
      <w:autoSpaceDE w:val="0"/>
      <w:autoSpaceDN w:val="0"/>
      <w:adjustRightInd w:val="0"/>
      <w:contextualSpacing/>
      <w:jc w:val="left"/>
    </w:pPr>
    <w:rPr>
      <w:rFonts w:ascii="Fang Song" w:eastAsia="Fang Song"/>
      <w:kern w:val="0"/>
    </w:rPr>
  </w:style>
  <w:style w:type="paragraph" w:customStyle="1" w:styleId="1133">
    <w:name w:val="正文无空格"/>
    <w:basedOn w:val="1"/>
    <w:autoRedefine/>
    <w:qFormat/>
    <w:uiPriority w:val="0"/>
    <w:pPr>
      <w:spacing w:line="360" w:lineRule="auto"/>
      <w:jc w:val="left"/>
    </w:pPr>
    <w:rPr>
      <w:rFonts w:ascii="宋体" w:hAnsi="宋体"/>
      <w:sz w:val="28"/>
      <w:szCs w:val="28"/>
    </w:rPr>
  </w:style>
  <w:style w:type="paragraph" w:customStyle="1" w:styleId="1134">
    <w:name w:val="框图"/>
    <w:basedOn w:val="1"/>
    <w:autoRedefine/>
    <w:qFormat/>
    <w:uiPriority w:val="0"/>
    <w:pPr>
      <w:adjustRightInd w:val="0"/>
      <w:snapToGrid w:val="0"/>
      <w:jc w:val="center"/>
    </w:pPr>
    <w:rPr>
      <w:rFonts w:hAnsi="宋体"/>
      <w:b/>
    </w:rPr>
  </w:style>
  <w:style w:type="paragraph" w:customStyle="1" w:styleId="1135">
    <w:name w:val="表格文字2"/>
    <w:basedOn w:val="1"/>
    <w:autoRedefine/>
    <w:semiHidden/>
    <w:qFormat/>
    <w:uiPriority w:val="0"/>
    <w:pPr>
      <w:tabs>
        <w:tab w:val="left" w:pos="277"/>
        <w:tab w:val="left" w:pos="600"/>
        <w:tab w:val="left" w:pos="780"/>
        <w:tab w:val="left" w:pos="2517"/>
      </w:tabs>
      <w:adjustRightInd w:val="0"/>
      <w:spacing w:before="60"/>
      <w:jc w:val="center"/>
      <w:textAlignment w:val="baseline"/>
    </w:pPr>
    <w:rPr>
      <w:rFonts w:eastAsia="楷体_GB2312"/>
      <w:kern w:val="0"/>
      <w:sz w:val="24"/>
      <w:szCs w:val="20"/>
    </w:rPr>
  </w:style>
  <w:style w:type="paragraph" w:customStyle="1" w:styleId="1136">
    <w:name w:val="CM31"/>
    <w:basedOn w:val="1"/>
    <w:next w:val="1"/>
    <w:autoRedefine/>
    <w:qFormat/>
    <w:uiPriority w:val="0"/>
    <w:pPr>
      <w:autoSpaceDE w:val="0"/>
      <w:autoSpaceDN w:val="0"/>
      <w:adjustRightInd w:val="0"/>
      <w:spacing w:line="468" w:lineRule="atLeast"/>
      <w:jc w:val="left"/>
    </w:pPr>
    <w:rPr>
      <w:rFonts w:ascii="黑体" w:eastAsia="黑体"/>
      <w:kern w:val="0"/>
      <w:sz w:val="24"/>
    </w:rPr>
  </w:style>
  <w:style w:type="paragraph" w:customStyle="1" w:styleId="1137">
    <w:name w:val="表样式1"/>
    <w:basedOn w:val="1"/>
    <w:autoRedefine/>
    <w:qFormat/>
    <w:uiPriority w:val="0"/>
    <w:pPr>
      <w:spacing w:line="320" w:lineRule="exact"/>
      <w:ind w:firstLine="200" w:firstLineChars="200"/>
    </w:pPr>
    <w:rPr>
      <w:rFonts w:ascii="宋体" w:hAnsi="宋体"/>
      <w:color w:val="000000"/>
      <w:sz w:val="24"/>
      <w:szCs w:val="18"/>
    </w:rPr>
  </w:style>
  <w:style w:type="paragraph" w:customStyle="1" w:styleId="1138">
    <w:name w:val="表题"/>
    <w:basedOn w:val="8"/>
    <w:autoRedefine/>
    <w:semiHidden/>
    <w:qFormat/>
    <w:uiPriority w:val="0"/>
    <w:pPr>
      <w:spacing w:line="100" w:lineRule="atLeast"/>
      <w:ind w:firstLine="0"/>
      <w:jc w:val="center"/>
    </w:pPr>
    <w:rPr>
      <w:sz w:val="24"/>
    </w:rPr>
  </w:style>
  <w:style w:type="paragraph" w:customStyle="1" w:styleId="1139">
    <w:name w:val="样式23"/>
    <w:basedOn w:val="1"/>
    <w:autoRedefine/>
    <w:qFormat/>
    <w:uiPriority w:val="0"/>
    <w:pPr>
      <w:spacing w:beforeLines="50" w:afterLines="100"/>
      <w:ind w:right="141" w:rightChars="67" w:firstLine="480" w:firstLineChars="200"/>
    </w:pPr>
    <w:rPr>
      <w:rFonts w:ascii="黑体" w:eastAsia="黑体"/>
      <w:sz w:val="24"/>
      <w:szCs w:val="20"/>
    </w:rPr>
  </w:style>
  <w:style w:type="paragraph" w:customStyle="1" w:styleId="1140">
    <w:name w:val="title2"/>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141">
    <w:name w:val="xl110"/>
    <w:basedOn w:val="1"/>
    <w:autoRedefine/>
    <w:qFormat/>
    <w:uiPriority w:val="0"/>
    <w:pPr>
      <w:widowControl/>
      <w:pBdr>
        <w:top w:val="single" w:color="auto" w:sz="12" w:space="0"/>
        <w:bottom w:val="single" w:color="auto" w:sz="8" w:space="0"/>
      </w:pBdr>
      <w:spacing w:before="100" w:beforeAutospacing="1" w:after="100" w:afterAutospacing="1"/>
      <w:jc w:val="center"/>
      <w:textAlignment w:val="center"/>
    </w:pPr>
    <w:rPr>
      <w:rFonts w:ascii="Arial Unicode MS" w:hAnsi="Arial Unicode MS"/>
      <w:kern w:val="0"/>
    </w:rPr>
  </w:style>
  <w:style w:type="paragraph" w:customStyle="1" w:styleId="1142">
    <w:name w:val="xl195"/>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kern w:val="0"/>
    </w:rPr>
  </w:style>
  <w:style w:type="paragraph" w:customStyle="1" w:styleId="1143">
    <w:name w:val="表格文字中对齐"/>
    <w:basedOn w:val="1"/>
    <w:autoRedefine/>
    <w:qFormat/>
    <w:uiPriority w:val="0"/>
    <w:pPr>
      <w:spacing w:line="320" w:lineRule="exact"/>
      <w:jc w:val="center"/>
    </w:pPr>
    <w:rPr>
      <w:rFonts w:ascii="宋体" w:hAnsi="宋体"/>
      <w:color w:val="000000"/>
      <w:kern w:val="0"/>
    </w:rPr>
  </w:style>
  <w:style w:type="paragraph" w:customStyle="1" w:styleId="1144">
    <w:name w:val="引用文章"/>
    <w:basedOn w:val="1"/>
    <w:autoRedefine/>
    <w:qFormat/>
    <w:uiPriority w:val="0"/>
    <w:pPr>
      <w:spacing w:line="360" w:lineRule="auto"/>
      <w:ind w:firstLine="420" w:firstLineChars="200"/>
    </w:pPr>
    <w:rPr>
      <w:rFonts w:eastAsia="楷体_GB2312" w:cs="宋体"/>
      <w:sz w:val="24"/>
      <w:szCs w:val="20"/>
    </w:rPr>
  </w:style>
  <w:style w:type="paragraph" w:customStyle="1" w:styleId="1145">
    <w:name w:val="p17"/>
    <w:basedOn w:val="1"/>
    <w:autoRedefine/>
    <w:qFormat/>
    <w:uiPriority w:val="0"/>
    <w:pPr>
      <w:widowControl/>
      <w:snapToGrid w:val="0"/>
      <w:spacing w:line="480" w:lineRule="atLeast"/>
      <w:ind w:firstLine="482"/>
    </w:pPr>
    <w:rPr>
      <w:kern w:val="0"/>
      <w:sz w:val="24"/>
    </w:rPr>
  </w:style>
  <w:style w:type="paragraph" w:customStyle="1" w:styleId="1146">
    <w:name w:val="Char2 Char Char Char1"/>
    <w:basedOn w:val="1"/>
    <w:autoRedefine/>
    <w:qFormat/>
    <w:uiPriority w:val="0"/>
    <w:pPr>
      <w:spacing w:line="360" w:lineRule="auto"/>
      <w:ind w:firstLine="200" w:firstLineChars="200"/>
    </w:pPr>
    <w:rPr>
      <w:rFonts w:ascii="宋体" w:hAnsi="宋体" w:cs="宋体"/>
      <w:sz w:val="24"/>
    </w:rPr>
  </w:style>
  <w:style w:type="paragraph" w:customStyle="1" w:styleId="1147">
    <w:name w:val="报告标题1"/>
    <w:basedOn w:val="3"/>
    <w:autoRedefine/>
    <w:qFormat/>
    <w:uiPriority w:val="0"/>
    <w:pPr>
      <w:keepLines/>
      <w:tabs>
        <w:tab w:val="left" w:pos="390"/>
      </w:tabs>
      <w:overflowPunct/>
      <w:snapToGrid/>
      <w:spacing w:before="200" w:after="200" w:line="360" w:lineRule="auto"/>
      <w:ind w:left="390" w:firstLine="0"/>
    </w:pPr>
    <w:rPr>
      <w:rFonts w:ascii="Calibri" w:hAnsi="Calibri" w:eastAsia="宋体"/>
      <w:color w:val="auto"/>
      <w:sz w:val="44"/>
      <w:szCs w:val="44"/>
    </w:rPr>
  </w:style>
  <w:style w:type="paragraph" w:customStyle="1" w:styleId="1148">
    <w:name w:val="表格项目"/>
    <w:basedOn w:val="904"/>
    <w:next w:val="904"/>
    <w:autoRedefine/>
    <w:semiHidden/>
    <w:qFormat/>
    <w:uiPriority w:val="0"/>
    <w:pPr>
      <w:spacing w:before="100" w:beforeAutospacing="1" w:after="100" w:afterAutospacing="1" w:line="240" w:lineRule="auto"/>
    </w:pPr>
    <w:rPr>
      <w:b/>
      <w:bCs/>
      <w:caps/>
      <w:szCs w:val="21"/>
    </w:rPr>
  </w:style>
  <w:style w:type="paragraph" w:customStyle="1" w:styleId="1149">
    <w:name w:val="1.1"/>
    <w:basedOn w:val="1"/>
    <w:autoRedefine/>
    <w:qFormat/>
    <w:uiPriority w:val="0"/>
    <w:pPr>
      <w:spacing w:line="600" w:lineRule="exact"/>
      <w:outlineLvl w:val="0"/>
    </w:pPr>
    <w:rPr>
      <w:rFonts w:eastAsia="黑体"/>
      <w:sz w:val="32"/>
    </w:rPr>
  </w:style>
  <w:style w:type="paragraph" w:customStyle="1" w:styleId="1150">
    <w:name w:val="表格标题栏文字"/>
    <w:basedOn w:val="1"/>
    <w:next w:val="1"/>
    <w:autoRedefine/>
    <w:qFormat/>
    <w:uiPriority w:val="0"/>
    <w:pPr>
      <w:jc w:val="center"/>
    </w:pPr>
    <w:rPr>
      <w:rFonts w:ascii="黑体" w:eastAsia="黑体"/>
      <w:caps/>
      <w:sz w:val="24"/>
    </w:rPr>
  </w:style>
  <w:style w:type="paragraph" w:customStyle="1" w:styleId="1151">
    <w:name w:val="Char1 Char Char Char1"/>
    <w:basedOn w:val="1"/>
    <w:autoRedefine/>
    <w:qFormat/>
    <w:uiPriority w:val="0"/>
    <w:pPr>
      <w:spacing w:line="360" w:lineRule="auto"/>
      <w:ind w:firstLine="200" w:firstLineChars="200"/>
    </w:pPr>
    <w:rPr>
      <w:rFonts w:ascii="宋体" w:hAnsi="宋体" w:cs="宋体"/>
      <w:sz w:val="24"/>
    </w:rPr>
  </w:style>
  <w:style w:type="paragraph" w:customStyle="1" w:styleId="1152">
    <w:name w:val="正文-1"/>
    <w:basedOn w:val="1"/>
    <w:autoRedefine/>
    <w:qFormat/>
    <w:uiPriority w:val="0"/>
    <w:pPr>
      <w:adjustRightInd w:val="0"/>
      <w:spacing w:line="440" w:lineRule="exact"/>
      <w:ind w:firstLine="200" w:firstLineChars="200"/>
    </w:pPr>
    <w:rPr>
      <w:sz w:val="24"/>
      <w:szCs w:val="20"/>
    </w:rPr>
  </w:style>
  <w:style w:type="paragraph" w:customStyle="1" w:styleId="1153">
    <w:name w:val="Char Char Char Char Char Char Char Char Char Char Char Char Char Char Char Char Char Char Char Char Char Char Char Char"/>
    <w:basedOn w:val="1"/>
    <w:autoRedefine/>
    <w:qFormat/>
    <w:uiPriority w:val="0"/>
    <w:pPr>
      <w:widowControl/>
      <w:contextualSpacing/>
      <w:jc w:val="left"/>
    </w:pPr>
    <w:rPr>
      <w:rFonts w:cs="宋体"/>
      <w:kern w:val="0"/>
    </w:rPr>
  </w:style>
  <w:style w:type="paragraph" w:customStyle="1" w:styleId="1154">
    <w:name w:val="xl177"/>
    <w:basedOn w:val="1"/>
    <w:autoRedefine/>
    <w:qFormat/>
    <w:uiPriority w:val="0"/>
    <w:pPr>
      <w:widowControl/>
      <w:pBdr>
        <w:lef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155">
    <w:name w:val="k4"/>
    <w:basedOn w:val="9"/>
    <w:autoRedefine/>
    <w:qFormat/>
    <w:uiPriority w:val="0"/>
    <w:pPr>
      <w:widowControl w:val="0"/>
      <w:numPr>
        <w:ilvl w:val="0"/>
        <w:numId w:val="12"/>
      </w:numPr>
      <w:tabs>
        <w:tab w:val="left" w:pos="360"/>
        <w:tab w:val="clear" w:pos="504"/>
      </w:tabs>
      <w:snapToGrid/>
      <w:spacing w:before="0" w:after="0" w:line="360" w:lineRule="auto"/>
      <w:ind w:left="0" w:right="0" w:firstLine="480"/>
    </w:pPr>
    <w:rPr>
      <w:rFonts w:ascii="宋体" w:hAnsi="Courier New"/>
      <w:b/>
      <w:kern w:val="2"/>
      <w:sz w:val="28"/>
    </w:rPr>
  </w:style>
  <w:style w:type="paragraph" w:customStyle="1" w:styleId="1156">
    <w:name w:val="cdb"/>
    <w:basedOn w:val="1"/>
    <w:autoRedefine/>
    <w:qFormat/>
    <w:uiPriority w:val="0"/>
    <w:pPr>
      <w:spacing w:before="120"/>
      <w:ind w:left="851" w:firstLine="482"/>
    </w:pPr>
    <w:rPr>
      <w:szCs w:val="20"/>
    </w:rPr>
  </w:style>
  <w:style w:type="paragraph" w:customStyle="1" w:styleId="1157">
    <w:name w:val="东明_a"/>
    <w:basedOn w:val="1"/>
    <w:autoRedefine/>
    <w:qFormat/>
    <w:uiPriority w:val="0"/>
    <w:pPr>
      <w:spacing w:before="240" w:after="240" w:line="480" w:lineRule="exact"/>
      <w:ind w:left="560"/>
    </w:pPr>
    <w:rPr>
      <w:b/>
      <w:bCs/>
      <w:sz w:val="28"/>
      <w:szCs w:val="20"/>
    </w:rPr>
  </w:style>
  <w:style w:type="paragraph" w:customStyle="1" w:styleId="1158">
    <w:name w:val="样式 标题 1章标题 11标题 1H1一、 + 行距: 1.5 倍行距5"/>
    <w:basedOn w:val="3"/>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1159">
    <w:name w:val="图 标题"/>
    <w:basedOn w:val="286"/>
    <w:autoRedefine/>
    <w:qFormat/>
    <w:uiPriority w:val="0"/>
    <w:pPr>
      <w:spacing w:line="240" w:lineRule="auto"/>
      <w:ind w:firstLine="0" w:firstLineChars="0"/>
      <w:jc w:val="center"/>
    </w:pPr>
    <w:rPr>
      <w:b/>
      <w:color w:val="FF0000"/>
    </w:rPr>
  </w:style>
  <w:style w:type="paragraph" w:customStyle="1" w:styleId="1160">
    <w:name w:val="表中文字1"/>
    <w:autoRedefine/>
    <w:qFormat/>
    <w:uiPriority w:val="0"/>
    <w:pPr>
      <w:widowControl w:val="0"/>
      <w:adjustRightInd w:val="0"/>
      <w:snapToGrid w:val="0"/>
      <w:spacing w:line="280" w:lineRule="exact"/>
      <w:jc w:val="center"/>
    </w:pPr>
    <w:rPr>
      <w:rFonts w:ascii="仿宋_GB2312" w:hAnsi="Times New Roman" w:eastAsia="仿宋_GB2312" w:cs="Times New Roman"/>
      <w:kern w:val="2"/>
      <w:sz w:val="24"/>
      <w:szCs w:val="24"/>
      <w:lang w:val="en-US" w:eastAsia="zh-CN" w:bidi="ar-SA"/>
    </w:rPr>
  </w:style>
  <w:style w:type="paragraph" w:customStyle="1" w:styleId="1161">
    <w:name w:val="流程"/>
    <w:basedOn w:val="1"/>
    <w:autoRedefine/>
    <w:qFormat/>
    <w:uiPriority w:val="0"/>
    <w:pPr>
      <w:topLinePunct/>
      <w:adjustRightInd w:val="0"/>
      <w:snapToGrid w:val="0"/>
      <w:jc w:val="center"/>
    </w:pPr>
    <w:rPr>
      <w:rFonts w:cs="宋体"/>
      <w:bCs/>
      <w:color w:val="000000"/>
      <w:szCs w:val="20"/>
    </w:rPr>
  </w:style>
  <w:style w:type="paragraph" w:customStyle="1" w:styleId="1162">
    <w:name w:val="样式12"/>
    <w:basedOn w:val="1082"/>
    <w:autoRedefine/>
    <w:qFormat/>
    <w:uiPriority w:val="0"/>
    <w:pPr>
      <w:adjustRightInd w:val="0"/>
    </w:pPr>
    <w:rPr>
      <w:rFonts w:ascii="仿宋_GB2312" w:hAnsi="宋体" w:eastAsia="仿宋_GB2312"/>
      <w:b/>
      <w:color w:val="FF0000"/>
      <w:szCs w:val="30"/>
    </w:rPr>
  </w:style>
  <w:style w:type="paragraph" w:customStyle="1" w:styleId="1163">
    <w:name w:val="样式32"/>
    <w:basedOn w:val="1"/>
    <w:autoRedefine/>
    <w:qFormat/>
    <w:uiPriority w:val="0"/>
    <w:pPr>
      <w:spacing w:line="360" w:lineRule="auto"/>
      <w:ind w:firstLine="480" w:firstLineChars="200"/>
    </w:pPr>
    <w:rPr>
      <w:rFonts w:ascii="宋体" w:hAnsi="宋体"/>
      <w:spacing w:val="-20"/>
      <w:sz w:val="28"/>
      <w:szCs w:val="28"/>
    </w:rPr>
  </w:style>
  <w:style w:type="paragraph" w:customStyle="1" w:styleId="1164">
    <w:name w:val="样式 正文（首行缩进两字） + 宋体 小四 加粗 行距: 固定值 24 磅"/>
    <w:basedOn w:val="8"/>
    <w:autoRedefine/>
    <w:qFormat/>
    <w:uiPriority w:val="0"/>
    <w:pPr>
      <w:tabs>
        <w:tab w:val="left" w:pos="5940"/>
      </w:tabs>
      <w:adjustRightInd w:val="0"/>
      <w:spacing w:line="480" w:lineRule="exact"/>
      <w:ind w:firstLine="0" w:firstLineChars="0"/>
      <w:jc w:val="center"/>
      <w:textAlignment w:val="baseline"/>
    </w:pPr>
    <w:rPr>
      <w:sz w:val="24"/>
    </w:rPr>
  </w:style>
  <w:style w:type="paragraph" w:customStyle="1" w:styleId="1165">
    <w:name w:val="碳酸钙标题3"/>
    <w:basedOn w:val="5"/>
    <w:autoRedefine/>
    <w:qFormat/>
    <w:uiPriority w:val="0"/>
    <w:pPr>
      <w:tabs>
        <w:tab w:val="left" w:pos="1260"/>
        <w:tab w:val="left" w:pos="2126"/>
      </w:tabs>
      <w:spacing w:line="360" w:lineRule="auto"/>
      <w:ind w:left="1701" w:firstLine="435"/>
    </w:pPr>
    <w:rPr>
      <w:color w:val="000000"/>
      <w:kern w:val="0"/>
      <w:sz w:val="24"/>
    </w:rPr>
  </w:style>
  <w:style w:type="paragraph" w:customStyle="1" w:styleId="1166">
    <w:name w:val="样式 标题 2节 + 段前: 1 行 段后: 0.5 行1"/>
    <w:basedOn w:val="1"/>
    <w:autoRedefine/>
    <w:qFormat/>
    <w:uiPriority w:val="0"/>
    <w:pPr>
      <w:numPr>
        <w:ilvl w:val="1"/>
        <w:numId w:val="13"/>
      </w:numPr>
    </w:pPr>
  </w:style>
  <w:style w:type="paragraph" w:customStyle="1" w:styleId="1167">
    <w:name w:val="Char Char1 Char Char Char Char Char Char Char Char Char Char Char Char Char Char Char Char Char Char Char Char1 Char1"/>
    <w:basedOn w:val="1"/>
    <w:autoRedefine/>
    <w:qFormat/>
    <w:uiPriority w:val="0"/>
    <w:pPr>
      <w:spacing w:line="360" w:lineRule="auto"/>
      <w:ind w:firstLine="200" w:firstLineChars="200"/>
    </w:pPr>
    <w:rPr>
      <w:szCs w:val="20"/>
    </w:rPr>
  </w:style>
  <w:style w:type="paragraph" w:customStyle="1" w:styleId="1168">
    <w:name w:val="xl55"/>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1169">
    <w:name w:val="一级标题 大王 20100426"/>
    <w:basedOn w:val="1"/>
    <w:autoRedefine/>
    <w:qFormat/>
    <w:uiPriority w:val="0"/>
    <w:pPr>
      <w:numPr>
        <w:ilvl w:val="1"/>
        <w:numId w:val="4"/>
      </w:numPr>
      <w:tabs>
        <w:tab w:val="left" w:pos="284"/>
      </w:tabs>
      <w:spacing w:beforeLines="20" w:afterLines="50"/>
      <w:ind w:left="425" w:hanging="425"/>
      <w:outlineLvl w:val="0"/>
    </w:pPr>
    <w:rPr>
      <w:rFonts w:eastAsia="黑体"/>
      <w:b/>
      <w:sz w:val="30"/>
      <w:szCs w:val="30"/>
    </w:rPr>
  </w:style>
  <w:style w:type="paragraph" w:customStyle="1" w:styleId="1170">
    <w:name w:val="xl184"/>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71">
    <w:name w:val="表内正文"/>
    <w:basedOn w:val="1"/>
    <w:autoRedefine/>
    <w:qFormat/>
    <w:uiPriority w:val="0"/>
    <w:rPr>
      <w:sz w:val="24"/>
    </w:rPr>
  </w:style>
  <w:style w:type="paragraph" w:customStyle="1" w:styleId="1172">
    <w:name w:val="图名文字"/>
    <w:autoRedefine/>
    <w:qFormat/>
    <w:uiPriority w:val="0"/>
    <w:pPr>
      <w:adjustRightInd w:val="0"/>
      <w:spacing w:after="60"/>
      <w:jc w:val="center"/>
    </w:pPr>
    <w:rPr>
      <w:rFonts w:ascii="Times New Roman" w:hAnsi="Times New Roman" w:eastAsia="黑体" w:cs="Times New Roman"/>
      <w:sz w:val="21"/>
      <w:lang w:val="en-US" w:eastAsia="zh-CN" w:bidi="ar-SA"/>
    </w:rPr>
  </w:style>
  <w:style w:type="paragraph" w:customStyle="1" w:styleId="1173">
    <w:name w:val="标准正文"/>
    <w:basedOn w:val="1"/>
    <w:autoRedefine/>
    <w:qFormat/>
    <w:uiPriority w:val="0"/>
    <w:pPr>
      <w:spacing w:line="500" w:lineRule="exact"/>
      <w:ind w:firstLine="200" w:firstLineChars="200"/>
      <w:jc w:val="left"/>
    </w:pPr>
    <w:rPr>
      <w:rFonts w:ascii="Calibri" w:hAnsi="Calibri"/>
      <w:kern w:val="0"/>
      <w:sz w:val="24"/>
      <w:szCs w:val="20"/>
    </w:rPr>
  </w:style>
  <w:style w:type="paragraph" w:customStyle="1" w:styleId="1174">
    <w:name w:val="样式 样式 首行缩进:  0.77 厘米 行距: 固定值 20 磅 + 居中 首行缩进:  0 厘米 行距: 单倍行距"/>
    <w:basedOn w:val="1"/>
    <w:autoRedefine/>
    <w:qFormat/>
    <w:uiPriority w:val="0"/>
    <w:pPr>
      <w:spacing w:line="240" w:lineRule="atLeast"/>
      <w:jc w:val="center"/>
    </w:pPr>
    <w:rPr>
      <w:color w:val="000000"/>
    </w:rPr>
  </w:style>
  <w:style w:type="paragraph" w:customStyle="1" w:styleId="1175">
    <w:name w:val="font7"/>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1176">
    <w:name w:val="xl61"/>
    <w:basedOn w:val="1"/>
    <w:autoRedefine/>
    <w:qFormat/>
    <w:uiPriority w:val="0"/>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1177">
    <w:name w:val="表内5号居中"/>
    <w:autoRedefine/>
    <w:qFormat/>
    <w:uiPriority w:val="0"/>
    <w:pPr>
      <w:widowControl w:val="0"/>
      <w:adjustRightInd w:val="0"/>
      <w:snapToGrid w:val="0"/>
      <w:jc w:val="center"/>
      <w:textAlignment w:val="baseline"/>
    </w:pPr>
    <w:rPr>
      <w:rFonts w:ascii="Times New Roman" w:hAnsi="Times New Roman" w:eastAsia="宋体" w:cs="Times New Roman"/>
      <w:b/>
      <w:bCs/>
      <w:sz w:val="24"/>
      <w:lang w:val="en-US" w:eastAsia="zh-CN" w:bidi="ar-SA"/>
    </w:rPr>
  </w:style>
  <w:style w:type="paragraph" w:customStyle="1" w:styleId="1178">
    <w:name w:val="工业统一表格文字"/>
    <w:basedOn w:val="1"/>
    <w:autoRedefine/>
    <w:qFormat/>
    <w:uiPriority w:val="0"/>
    <w:pPr>
      <w:adjustRightInd w:val="0"/>
      <w:snapToGrid w:val="0"/>
      <w:spacing w:beforeLines="20" w:afterLines="20"/>
      <w:ind w:left="-20" w:leftChars="-20" w:right="-20" w:rightChars="-20"/>
      <w:jc w:val="center"/>
    </w:pPr>
    <w:rPr>
      <w:rFonts w:ascii="宋体"/>
      <w:szCs w:val="20"/>
    </w:rPr>
  </w:style>
  <w:style w:type="paragraph" w:customStyle="1" w:styleId="1179">
    <w:name w:val="注解"/>
    <w:autoRedefine/>
    <w:qFormat/>
    <w:uiPriority w:val="0"/>
    <w:pPr>
      <w:widowControl w:val="0"/>
      <w:jc w:val="center"/>
    </w:pPr>
    <w:rPr>
      <w:rFonts w:ascii="宋体" w:hAnsi="Arial Black" w:eastAsia="宋体" w:cs="Times New Roman"/>
      <w:kern w:val="2"/>
      <w:sz w:val="18"/>
      <w:lang w:val="en-US" w:eastAsia="zh-CN" w:bidi="ar-SA"/>
    </w:rPr>
  </w:style>
  <w:style w:type="paragraph" w:customStyle="1" w:styleId="1180">
    <w:name w:val="表格内容1"/>
    <w:basedOn w:val="324"/>
    <w:autoRedefine/>
    <w:qFormat/>
    <w:uiPriority w:val="0"/>
    <w:pPr>
      <w:autoSpaceDE/>
      <w:autoSpaceDN/>
      <w:adjustRightInd/>
    </w:pPr>
    <w:rPr>
      <w:rFonts w:cs="宋体"/>
      <w:kern w:val="2"/>
      <w:szCs w:val="20"/>
    </w:rPr>
  </w:style>
  <w:style w:type="paragraph" w:customStyle="1" w:styleId="1181">
    <w:name w:val="表1"/>
    <w:basedOn w:val="1"/>
    <w:autoRedefine/>
    <w:qFormat/>
    <w:uiPriority w:val="0"/>
    <w:pPr>
      <w:jc w:val="center"/>
    </w:pPr>
    <w:rPr>
      <w:rFonts w:ascii="宋体" w:hAnsi="宋体"/>
      <w:color w:val="000000"/>
    </w:rPr>
  </w:style>
  <w:style w:type="paragraph" w:customStyle="1" w:styleId="1182">
    <w:name w:val="Char Char1 Char Char Char Char Char Char Char Char Char Char Char Char Char Char Char Char Char Char Char Char1 Char"/>
    <w:basedOn w:val="1"/>
    <w:autoRedefine/>
    <w:qFormat/>
    <w:uiPriority w:val="0"/>
    <w:pPr>
      <w:adjustRightInd w:val="0"/>
      <w:snapToGrid w:val="0"/>
      <w:spacing w:line="360" w:lineRule="auto"/>
      <w:ind w:firstLine="200" w:firstLineChars="200"/>
    </w:pPr>
    <w:rPr>
      <w:rFonts w:ascii="仿宋_GB2312" w:eastAsia="仿宋_GB2312"/>
      <w:sz w:val="28"/>
    </w:rPr>
  </w:style>
  <w:style w:type="paragraph" w:customStyle="1" w:styleId="1183">
    <w:name w:val="默认段落字体 Para Char Char Char Char Char Char Char Char Char1 Char Char Char Char Char Char Char Char Char Char"/>
    <w:basedOn w:val="1"/>
    <w:autoRedefine/>
    <w:qFormat/>
    <w:uiPriority w:val="0"/>
    <w:pPr>
      <w:shd w:val="clear" w:color="auto" w:fill="000080"/>
    </w:pPr>
    <w:rPr>
      <w:rFonts w:ascii="Tahoma" w:hAnsi="Tahoma"/>
      <w:kern w:val="0"/>
      <w:sz w:val="20"/>
    </w:rPr>
  </w:style>
  <w:style w:type="paragraph" w:customStyle="1" w:styleId="1184">
    <w:name w:val="样式 行距: 1.5 倍行距 首行缩进:  2.25 字符"/>
    <w:basedOn w:val="1"/>
    <w:autoRedefine/>
    <w:qFormat/>
    <w:uiPriority w:val="0"/>
    <w:pPr>
      <w:spacing w:afterLines="100" w:line="360" w:lineRule="auto"/>
    </w:pPr>
    <w:rPr>
      <w:rFonts w:ascii="宋体" w:hAnsi="宋体" w:cs="宋体"/>
      <w:sz w:val="24"/>
      <w:szCs w:val="20"/>
    </w:rPr>
  </w:style>
  <w:style w:type="paragraph" w:customStyle="1" w:styleId="1185">
    <w:name w:val="Char Char Char Char Char Char Char Char Char1"/>
    <w:basedOn w:val="1"/>
    <w:autoRedefine/>
    <w:qFormat/>
    <w:uiPriority w:val="0"/>
    <w:pPr>
      <w:widowControl/>
      <w:spacing w:after="160" w:line="240" w:lineRule="exact"/>
      <w:jc w:val="left"/>
    </w:pPr>
    <w:rPr>
      <w:rFonts w:ascii="Calibri" w:hAnsi="Calibri"/>
      <w:szCs w:val="22"/>
    </w:rPr>
  </w:style>
  <w:style w:type="paragraph" w:customStyle="1" w:styleId="1186">
    <w:name w:val="xl125"/>
    <w:basedOn w:val="1"/>
    <w:autoRedefine/>
    <w:qFormat/>
    <w:uiPriority w:val="0"/>
    <w:pPr>
      <w:widowControl/>
      <w:spacing w:before="100" w:beforeAutospacing="1" w:after="100" w:afterAutospacing="1"/>
      <w:jc w:val="left"/>
      <w:textAlignment w:val="center"/>
    </w:pPr>
    <w:rPr>
      <w:rFonts w:ascii="Arial Unicode MS" w:hAnsi="Arial Unicode MS"/>
      <w:kern w:val="0"/>
      <w:sz w:val="16"/>
      <w:szCs w:val="16"/>
    </w:rPr>
  </w:style>
  <w:style w:type="paragraph" w:customStyle="1" w:styleId="1187">
    <w:name w:val="正文表格5号"/>
    <w:basedOn w:val="1"/>
    <w:autoRedefine/>
    <w:qFormat/>
    <w:uiPriority w:val="0"/>
    <w:pPr>
      <w:adjustRightInd w:val="0"/>
      <w:spacing w:line="460" w:lineRule="exact"/>
      <w:textAlignment w:val="baseline"/>
    </w:pPr>
    <w:rPr>
      <w:rFonts w:ascii="宋体"/>
      <w:kern w:val="0"/>
      <w:szCs w:val="20"/>
    </w:rPr>
  </w:style>
  <w:style w:type="paragraph" w:customStyle="1" w:styleId="1188">
    <w:name w:val="Char Char Char Char Char Char Char Char Char Char3"/>
    <w:basedOn w:val="1"/>
    <w:autoRedefine/>
    <w:qFormat/>
    <w:uiPriority w:val="0"/>
  </w:style>
  <w:style w:type="paragraph" w:customStyle="1" w:styleId="1189">
    <w:name w:val="Char2 Char Char Char"/>
    <w:basedOn w:val="1"/>
    <w:autoRedefine/>
    <w:semiHidden/>
    <w:qFormat/>
    <w:uiPriority w:val="0"/>
    <w:pPr>
      <w:spacing w:line="360" w:lineRule="auto"/>
      <w:ind w:firstLine="200" w:firstLineChars="200"/>
    </w:pPr>
    <w:rPr>
      <w:rFonts w:ascii="宋体" w:hAnsi="宋体" w:cs="宋体"/>
      <w:sz w:val="24"/>
    </w:rPr>
  </w:style>
  <w:style w:type="paragraph" w:customStyle="1" w:styleId="1190">
    <w:name w:val="字元"/>
    <w:basedOn w:val="1"/>
    <w:autoRedefine/>
    <w:qFormat/>
    <w:uiPriority w:val="0"/>
    <w:pPr>
      <w:widowControl/>
      <w:jc w:val="left"/>
    </w:pPr>
    <w:rPr>
      <w:rFonts w:eastAsia="仿宋_GB2312"/>
      <w:kern w:val="0"/>
      <w:sz w:val="24"/>
      <w:szCs w:val="20"/>
    </w:rPr>
  </w:style>
  <w:style w:type="paragraph" w:customStyle="1" w:styleId="1191">
    <w:name w:val="默认段落字体 Para Char Char Char1 Char Char Char Char Char Char Char Char Char Char"/>
    <w:basedOn w:val="1"/>
    <w:autoRedefine/>
    <w:qFormat/>
    <w:uiPriority w:val="0"/>
    <w:rPr>
      <w:sz w:val="24"/>
    </w:rPr>
  </w:style>
  <w:style w:type="paragraph" w:customStyle="1" w:styleId="1192">
    <w:name w:val="样式 样式 题注 + (西文) 宋体 + 段后: 1 行"/>
    <w:basedOn w:val="1"/>
    <w:autoRedefine/>
    <w:qFormat/>
    <w:uiPriority w:val="0"/>
    <w:pPr>
      <w:keepNext/>
      <w:spacing w:line="360" w:lineRule="auto"/>
      <w:ind w:firstLine="200" w:firstLineChars="200"/>
      <w:jc w:val="left"/>
    </w:pPr>
    <w:rPr>
      <w:rFonts w:ascii="宋体" w:hAnsi="宋体" w:cs="宋体"/>
      <w:color w:val="000000"/>
      <w:sz w:val="28"/>
      <w:szCs w:val="20"/>
    </w:rPr>
  </w:style>
  <w:style w:type="paragraph" w:customStyle="1" w:styleId="1193">
    <w:name w:val="表头0"/>
    <w:autoRedefine/>
    <w:qFormat/>
    <w:uiPriority w:val="0"/>
    <w:pPr>
      <w:adjustRightInd w:val="0"/>
      <w:snapToGrid w:val="0"/>
      <w:spacing w:beforeLines="10" w:line="360" w:lineRule="auto"/>
      <w:jc w:val="center"/>
    </w:pPr>
    <w:rPr>
      <w:rFonts w:ascii="Times New Roman" w:hAnsi="Times New Roman" w:eastAsia="宋体" w:cs="Times New Roman"/>
      <w:b/>
      <w:sz w:val="21"/>
      <w:lang w:val="en-US" w:eastAsia="zh-CN" w:bidi="ar-SA"/>
    </w:rPr>
  </w:style>
  <w:style w:type="paragraph" w:customStyle="1" w:styleId="1194">
    <w:name w:val="表字"/>
    <w:basedOn w:val="1"/>
    <w:autoRedefine/>
    <w:qFormat/>
    <w:uiPriority w:val="0"/>
    <w:pPr>
      <w:jc w:val="center"/>
    </w:pPr>
    <w:rPr>
      <w:rFonts w:ascii="宋体"/>
      <w:szCs w:val="20"/>
    </w:rPr>
  </w:style>
  <w:style w:type="paragraph" w:customStyle="1" w:styleId="1195">
    <w:name w:val="xl135"/>
    <w:basedOn w:val="1"/>
    <w:autoRedefine/>
    <w:qFormat/>
    <w:uiPriority w:val="0"/>
    <w:pPr>
      <w:widowControl/>
      <w:spacing w:before="100" w:beforeAutospacing="1" w:after="100" w:afterAutospacing="1"/>
      <w:jc w:val="center"/>
    </w:pPr>
    <w:rPr>
      <w:rFonts w:ascii="Arial Unicode MS" w:hAnsi="Arial Unicode MS"/>
      <w:kern w:val="0"/>
      <w:sz w:val="16"/>
      <w:szCs w:val="16"/>
    </w:rPr>
  </w:style>
  <w:style w:type="paragraph" w:customStyle="1" w:styleId="1196">
    <w:name w:val="xl60"/>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197">
    <w:name w:val="样式 样式 样式 默认段落字体 Para Char Char Char Char + 字距调整二号 + +"/>
    <w:basedOn w:val="1"/>
    <w:autoRedefine/>
    <w:qFormat/>
    <w:uiPriority w:val="0"/>
    <w:pPr>
      <w:spacing w:beforeLines="50" w:afterLines="50" w:line="360" w:lineRule="auto"/>
      <w:jc w:val="center"/>
    </w:pPr>
    <w:rPr>
      <w:rFonts w:eastAsia="黑体"/>
      <w:kern w:val="44"/>
      <w:sz w:val="32"/>
    </w:rPr>
  </w:style>
  <w:style w:type="paragraph" w:customStyle="1" w:styleId="1198">
    <w:name w:val="Char Char Char2 Char"/>
    <w:basedOn w:val="1"/>
    <w:autoRedefine/>
    <w:qFormat/>
    <w:uiPriority w:val="0"/>
    <w:pPr>
      <w:spacing w:line="360" w:lineRule="auto"/>
      <w:ind w:firstLine="200" w:firstLineChars="200"/>
    </w:pPr>
    <w:rPr>
      <w:rFonts w:ascii="宋体" w:hAnsi="宋体" w:cs="宋体"/>
      <w:sz w:val="24"/>
    </w:rPr>
  </w:style>
  <w:style w:type="paragraph" w:customStyle="1" w:styleId="1199">
    <w:name w:val="Char Char2 Char Char"/>
    <w:basedOn w:val="1"/>
    <w:autoRedefine/>
    <w:qFormat/>
    <w:uiPriority w:val="0"/>
  </w:style>
  <w:style w:type="paragraph" w:customStyle="1" w:styleId="1200">
    <w:name w:val="默认段落字体 Para Char Char Char1 Char Char Char Char"/>
    <w:basedOn w:val="1"/>
    <w:autoRedefine/>
    <w:qFormat/>
    <w:uiPriority w:val="0"/>
    <w:pPr>
      <w:tabs>
        <w:tab w:val="left" w:pos="360"/>
      </w:tabs>
    </w:pPr>
    <w:rPr>
      <w:szCs w:val="20"/>
    </w:rPr>
  </w:style>
  <w:style w:type="paragraph" w:customStyle="1" w:styleId="1201">
    <w:name w:val="Char Char3 Char Char Char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1202">
    <w:name w:val="- 页码 -"/>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1203">
    <w:name w:val="xl87"/>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204">
    <w:name w:val="样式 标题 2 + 行距: 1.5 倍行距2"/>
    <w:basedOn w:val="4"/>
    <w:autoRedefine/>
    <w:semiHidden/>
    <w:qFormat/>
    <w:uiPriority w:val="0"/>
    <w:pPr>
      <w:snapToGrid w:val="0"/>
      <w:spacing w:before="120" w:beforeLines="100" w:after="120" w:afterLines="100" w:line="240" w:lineRule="auto"/>
      <w:ind w:left="1134" w:hanging="992"/>
      <w:jc w:val="left"/>
    </w:pPr>
    <w:rPr>
      <w:rFonts w:ascii="Times New Roman" w:hAnsi="Times New Roman" w:cs="宋体"/>
      <w:sz w:val="28"/>
      <w:szCs w:val="28"/>
    </w:rPr>
  </w:style>
  <w:style w:type="paragraph" w:customStyle="1" w:styleId="1205">
    <w:name w:val="xl19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06">
    <w:name w:val="东明_正文 Char"/>
    <w:basedOn w:val="1"/>
    <w:autoRedefine/>
    <w:qFormat/>
    <w:uiPriority w:val="0"/>
    <w:pPr>
      <w:spacing w:before="240" w:after="240" w:line="480" w:lineRule="exact"/>
      <w:ind w:firstLine="560" w:firstLineChars="200"/>
    </w:pPr>
    <w:rPr>
      <w:sz w:val="28"/>
      <w:szCs w:val="20"/>
    </w:rPr>
  </w:style>
  <w:style w:type="paragraph" w:customStyle="1" w:styleId="1207">
    <w:name w:val="样式15"/>
    <w:basedOn w:val="1"/>
    <w:autoRedefine/>
    <w:qFormat/>
    <w:uiPriority w:val="0"/>
    <w:pPr>
      <w:numPr>
        <w:ilvl w:val="0"/>
        <w:numId w:val="14"/>
      </w:numPr>
      <w:tabs>
        <w:tab w:val="left" w:pos="432"/>
      </w:tabs>
    </w:pPr>
    <w:rPr>
      <w:sz w:val="24"/>
    </w:rPr>
  </w:style>
  <w:style w:type="paragraph" w:customStyle="1" w:styleId="1208">
    <w:name w:val="样式 标题 1章标题 11标题 1H1一、 + 行距: 单倍行距"/>
    <w:basedOn w:val="3"/>
    <w:autoRedefine/>
    <w:semiHidden/>
    <w:qFormat/>
    <w:uiPriority w:val="0"/>
    <w:pPr>
      <w:keepLines/>
      <w:overflowPunct/>
      <w:spacing w:before="340" w:after="330" w:line="240" w:lineRule="auto"/>
      <w:ind w:left="3845" w:hanging="3845"/>
      <w:jc w:val="center"/>
    </w:pPr>
    <w:rPr>
      <w:rFonts w:cs="宋体"/>
      <w:color w:val="auto"/>
      <w:sz w:val="44"/>
      <w:szCs w:val="20"/>
    </w:rPr>
  </w:style>
  <w:style w:type="paragraph" w:customStyle="1" w:styleId="1209">
    <w:name w:val="xl113"/>
    <w:basedOn w:val="1"/>
    <w:autoRedefine/>
    <w:qFormat/>
    <w:uiPriority w:val="0"/>
    <w:pPr>
      <w:widowControl/>
      <w:pBdr>
        <w:top w:val="single" w:color="auto" w:sz="8" w:space="0"/>
        <w:bottom w:val="single" w:color="auto" w:sz="12" w:space="0"/>
      </w:pBdr>
      <w:spacing w:before="100" w:beforeAutospacing="1" w:after="100" w:afterAutospacing="1"/>
      <w:jc w:val="left"/>
    </w:pPr>
    <w:rPr>
      <w:rFonts w:ascii="Arial Unicode MS" w:hAnsi="Arial Unicode MS"/>
      <w:kern w:val="0"/>
      <w:sz w:val="16"/>
      <w:szCs w:val="16"/>
    </w:rPr>
  </w:style>
  <w:style w:type="paragraph" w:customStyle="1" w:styleId="1210">
    <w:name w:val="封面标准文稿编辑信息"/>
    <w:autoRedefine/>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1211">
    <w:name w:val="xl152"/>
    <w:basedOn w:val="1"/>
    <w:autoRedefine/>
    <w:qFormat/>
    <w:uiPriority w:val="0"/>
    <w:pPr>
      <w:widowControl/>
      <w:spacing w:before="100" w:beforeAutospacing="1" w:after="100" w:afterAutospacing="1"/>
      <w:jc w:val="left"/>
      <w:textAlignment w:val="center"/>
    </w:pPr>
    <w:rPr>
      <w:rFonts w:ascii="Arial Unicode MS" w:hAnsi="Arial Unicode MS"/>
      <w:kern w:val="0"/>
      <w:sz w:val="16"/>
      <w:szCs w:val="16"/>
    </w:rPr>
  </w:style>
  <w:style w:type="paragraph" w:customStyle="1" w:styleId="1212">
    <w:name w:val="Char Char Char Char Char Char Char Char Char Char1 Char Char Char"/>
    <w:basedOn w:val="1"/>
    <w:autoRedefine/>
    <w:qFormat/>
    <w:uiPriority w:val="0"/>
    <w:pPr>
      <w:widowControl/>
      <w:contextualSpacing/>
      <w:jc w:val="left"/>
    </w:pPr>
    <w:rPr>
      <w:rFonts w:cs="宋体"/>
      <w:kern w:val="0"/>
    </w:rPr>
  </w:style>
  <w:style w:type="paragraph" w:customStyle="1" w:styleId="1213">
    <w:name w:val="表头样式1"/>
    <w:basedOn w:val="1"/>
    <w:autoRedefine/>
    <w:qFormat/>
    <w:uiPriority w:val="0"/>
    <w:pPr>
      <w:widowControl/>
      <w:tabs>
        <w:tab w:val="left" w:pos="2310"/>
      </w:tabs>
      <w:autoSpaceDE w:val="0"/>
      <w:autoSpaceDN w:val="0"/>
      <w:adjustRightInd w:val="0"/>
      <w:spacing w:line="480" w:lineRule="exact"/>
      <w:contextualSpacing/>
      <w:jc w:val="center"/>
    </w:pPr>
    <w:rPr>
      <w:rFonts w:cs="宋体"/>
      <w:b/>
      <w:bCs/>
      <w:kern w:val="0"/>
    </w:rPr>
  </w:style>
  <w:style w:type="paragraph" w:customStyle="1" w:styleId="1214">
    <w:name w:val="xl75"/>
    <w:basedOn w:val="1"/>
    <w:autoRedefine/>
    <w:qFormat/>
    <w:uiPriority w:val="0"/>
    <w:pPr>
      <w:widowControl/>
      <w:spacing w:before="100" w:beforeAutospacing="1" w:after="100" w:afterAutospacing="1"/>
      <w:jc w:val="left"/>
    </w:pPr>
    <w:rPr>
      <w:kern w:val="0"/>
      <w:sz w:val="12"/>
      <w:szCs w:val="12"/>
    </w:rPr>
  </w:style>
  <w:style w:type="paragraph" w:customStyle="1" w:styleId="1215">
    <w:name w:val="CM18"/>
    <w:basedOn w:val="1"/>
    <w:next w:val="1"/>
    <w:autoRedefine/>
    <w:qFormat/>
    <w:uiPriority w:val="0"/>
    <w:pPr>
      <w:autoSpaceDE w:val="0"/>
      <w:autoSpaceDN w:val="0"/>
      <w:adjustRightInd w:val="0"/>
      <w:spacing w:line="468" w:lineRule="atLeast"/>
      <w:contextualSpacing/>
      <w:jc w:val="left"/>
    </w:pPr>
    <w:rPr>
      <w:rFonts w:ascii="黑体" w:eastAsia="黑体"/>
      <w:kern w:val="0"/>
    </w:rPr>
  </w:style>
  <w:style w:type="paragraph" w:customStyle="1" w:styleId="1216">
    <w:name w:val="xl109"/>
    <w:basedOn w:val="1"/>
    <w:autoRedefine/>
    <w:qFormat/>
    <w:uiPriority w:val="0"/>
    <w:pPr>
      <w:widowControl/>
      <w:pBdr>
        <w:top w:val="single" w:color="auto" w:sz="12"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17">
    <w:name w:val="菏泽-标题4"/>
    <w:basedOn w:val="1"/>
    <w:autoRedefine/>
    <w:qFormat/>
    <w:uiPriority w:val="0"/>
    <w:pPr>
      <w:spacing w:line="440" w:lineRule="exact"/>
      <w:ind w:firstLine="420" w:firstLineChars="200"/>
    </w:pPr>
    <w:rPr>
      <w:rFonts w:ascii="华文细黑" w:hAnsi="华文细黑" w:eastAsia="华文细黑"/>
      <w:b/>
      <w:szCs w:val="20"/>
    </w:rPr>
  </w:style>
  <w:style w:type="paragraph" w:customStyle="1" w:styleId="1218">
    <w:name w:val="xl99"/>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19">
    <w:name w:val="IDC A-Head (2nd Line)"/>
    <w:basedOn w:val="1"/>
    <w:next w:val="1"/>
    <w:autoRedefine/>
    <w:qFormat/>
    <w:uiPriority w:val="0"/>
    <w:pPr>
      <w:widowControl/>
      <w:jc w:val="center"/>
    </w:pPr>
    <w:rPr>
      <w:caps/>
      <w:kern w:val="0"/>
      <w:sz w:val="24"/>
      <w:szCs w:val="20"/>
    </w:rPr>
  </w:style>
  <w:style w:type="paragraph" w:customStyle="1" w:styleId="1220">
    <w:name w:val="样式 正文文本 + 首行缩进:  2 字符 段前: 0.5 行"/>
    <w:basedOn w:val="1"/>
    <w:autoRedefine/>
    <w:qFormat/>
    <w:uiPriority w:val="0"/>
    <w:pPr>
      <w:widowControl/>
      <w:spacing w:line="360" w:lineRule="auto"/>
      <w:ind w:firstLine="480" w:firstLineChars="200"/>
    </w:pPr>
    <w:rPr>
      <w:rFonts w:ascii="宋体" w:hAnsi="宋体" w:cs="宋体"/>
      <w:color w:val="000000"/>
      <w:sz w:val="24"/>
    </w:rPr>
  </w:style>
  <w:style w:type="paragraph" w:customStyle="1" w:styleId="1221">
    <w:name w:val="CM22"/>
    <w:basedOn w:val="732"/>
    <w:next w:val="732"/>
    <w:autoRedefine/>
    <w:qFormat/>
    <w:uiPriority w:val="0"/>
    <w:pPr>
      <w:spacing w:after="145"/>
    </w:pPr>
    <w:rPr>
      <w:color w:val="auto"/>
    </w:rPr>
  </w:style>
  <w:style w:type="paragraph" w:customStyle="1" w:styleId="1222">
    <w:name w:val="xl148"/>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rPr>
  </w:style>
  <w:style w:type="paragraph" w:customStyle="1" w:styleId="1223">
    <w:name w:val="正文表"/>
    <w:basedOn w:val="1"/>
    <w:autoRedefine/>
    <w:qFormat/>
    <w:uiPriority w:val="0"/>
    <w:pPr>
      <w:tabs>
        <w:tab w:val="left" w:pos="2451"/>
        <w:tab w:val="left" w:pos="4614"/>
        <w:tab w:val="left" w:pos="6777"/>
        <w:tab w:val="left" w:pos="8940"/>
      </w:tabs>
      <w:autoSpaceDE w:val="0"/>
      <w:autoSpaceDN w:val="0"/>
      <w:adjustRightInd w:val="0"/>
      <w:contextualSpacing/>
      <w:jc w:val="center"/>
      <w:textAlignment w:val="bottom"/>
    </w:pPr>
    <w:rPr>
      <w:color w:val="000000"/>
      <w:kern w:val="0"/>
      <w:sz w:val="28"/>
      <w:szCs w:val="20"/>
    </w:rPr>
  </w:style>
  <w:style w:type="paragraph" w:customStyle="1" w:styleId="1224">
    <w:name w:val="p15"/>
    <w:basedOn w:val="1"/>
    <w:autoRedefine/>
    <w:qFormat/>
    <w:uiPriority w:val="0"/>
    <w:pPr>
      <w:widowControl/>
      <w:jc w:val="left"/>
    </w:pPr>
    <w:rPr>
      <w:rFonts w:ascii="宋体" w:hAnsi="宋体" w:cs="宋体"/>
      <w:kern w:val="0"/>
      <w:sz w:val="24"/>
    </w:rPr>
  </w:style>
  <w:style w:type="paragraph" w:customStyle="1" w:styleId="1225">
    <w:name w:val="样式9"/>
    <w:basedOn w:val="3"/>
    <w:autoRedefine/>
    <w:qFormat/>
    <w:uiPriority w:val="0"/>
    <w:pPr>
      <w:keepLines/>
      <w:tabs>
        <w:tab w:val="left" w:pos="390"/>
      </w:tabs>
      <w:overflowPunct/>
      <w:snapToGrid/>
      <w:spacing w:before="340" w:beforeLines="200" w:after="330" w:afterLines="200" w:line="520" w:lineRule="exact"/>
      <w:ind w:left="390" w:firstLine="0"/>
    </w:pPr>
    <w:rPr>
      <w:rFonts w:ascii="Calibri" w:hAnsi="Calibri" w:eastAsia="宋体"/>
      <w:color w:val="auto"/>
      <w:sz w:val="44"/>
      <w:szCs w:val="44"/>
    </w:rPr>
  </w:style>
  <w:style w:type="paragraph" w:customStyle="1" w:styleId="1226">
    <w:name w:val="环评正文"/>
    <w:basedOn w:val="3"/>
    <w:autoRedefine/>
    <w:qFormat/>
    <w:uiPriority w:val="0"/>
    <w:pPr>
      <w:keepNext w:val="0"/>
      <w:overflowPunct/>
      <w:snapToGrid/>
      <w:spacing w:before="60" w:after="60" w:line="400" w:lineRule="exact"/>
      <w:ind w:left="0" w:firstLine="480" w:firstLineChars="200"/>
      <w:outlineLvl w:val="9"/>
    </w:pPr>
    <w:rPr>
      <w:rFonts w:eastAsia="仿宋_GB2312"/>
      <w:b w:val="0"/>
      <w:color w:val="auto"/>
      <w:sz w:val="24"/>
      <w:szCs w:val="28"/>
    </w:rPr>
  </w:style>
  <w:style w:type="paragraph" w:customStyle="1" w:styleId="1227">
    <w:name w:val="xl129"/>
    <w:basedOn w:val="1"/>
    <w:autoRedefine/>
    <w:qFormat/>
    <w:uiPriority w:val="0"/>
    <w:pPr>
      <w:widowControl/>
      <w:pBdr>
        <w:righ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28">
    <w:name w:val="text4"/>
    <w:basedOn w:val="1"/>
    <w:autoRedefine/>
    <w:qFormat/>
    <w:uiPriority w:val="0"/>
    <w:pPr>
      <w:widowControl/>
      <w:spacing w:after="150" w:line="336" w:lineRule="auto"/>
      <w:ind w:firstLine="400"/>
      <w:jc w:val="left"/>
    </w:pPr>
    <w:rPr>
      <w:rFonts w:ascii="Arial Unicode MS" w:hAnsi="Arial Unicode MS"/>
      <w:color w:val="333300"/>
      <w:kern w:val="0"/>
      <w:sz w:val="20"/>
      <w:szCs w:val="20"/>
    </w:rPr>
  </w:style>
  <w:style w:type="paragraph" w:customStyle="1" w:styleId="1229">
    <w:name w:val="xl164"/>
    <w:basedOn w:val="1"/>
    <w:autoRedefine/>
    <w:qFormat/>
    <w:uiPriority w:val="0"/>
    <w:pPr>
      <w:widowControl/>
      <w:pBdr>
        <w:left w:val="single" w:color="auto" w:sz="12" w:space="0"/>
        <w:bottom w:val="single" w:color="auto" w:sz="12" w:space="0"/>
      </w:pBdr>
      <w:spacing w:before="100" w:beforeAutospacing="1" w:after="100" w:afterAutospacing="1"/>
      <w:jc w:val="center"/>
    </w:pPr>
    <w:rPr>
      <w:rFonts w:ascii="Arial Unicode MS" w:hAnsi="Arial Unicode MS"/>
      <w:kern w:val="0"/>
    </w:rPr>
  </w:style>
  <w:style w:type="paragraph" w:customStyle="1" w:styleId="1230">
    <w:name w:val="Char Char Char Char Char Char Char Char Char Char2"/>
    <w:basedOn w:val="1"/>
    <w:autoRedefine/>
    <w:qFormat/>
    <w:uiPriority w:val="0"/>
    <w:pPr>
      <w:widowControl/>
      <w:contextualSpacing/>
      <w:jc w:val="left"/>
    </w:pPr>
    <w:rPr>
      <w:rFonts w:cs="宋体"/>
      <w:kern w:val="0"/>
    </w:rPr>
  </w:style>
  <w:style w:type="paragraph" w:customStyle="1" w:styleId="1231">
    <w:name w:val="样式 标题 4东明_小节2Char Char Char Char Char Char Char Char Char Char..."/>
    <w:basedOn w:val="6"/>
    <w:autoRedefine/>
    <w:semiHidden/>
    <w:qFormat/>
    <w:uiPriority w:val="0"/>
    <w:pPr>
      <w:snapToGrid w:val="0"/>
      <w:spacing w:before="0" w:after="0" w:line="600" w:lineRule="exact"/>
      <w:ind w:left="2884" w:hanging="1984"/>
    </w:pPr>
    <w:rPr>
      <w:rFonts w:ascii="Times New Roman" w:hAnsi="Times New Roman" w:eastAsia="黑体" w:cs="宋体"/>
      <w:b w:val="0"/>
      <w:sz w:val="24"/>
      <w:szCs w:val="20"/>
    </w:rPr>
  </w:style>
  <w:style w:type="paragraph" w:customStyle="1" w:styleId="1232">
    <w:name w:val="表标题7.2"/>
    <w:basedOn w:val="1"/>
    <w:autoRedefine/>
    <w:qFormat/>
    <w:uiPriority w:val="0"/>
    <w:pPr>
      <w:numPr>
        <w:ilvl w:val="0"/>
        <w:numId w:val="15"/>
      </w:numPr>
      <w:tabs>
        <w:tab w:val="left" w:pos="3765"/>
        <w:tab w:val="center" w:pos="4060"/>
        <w:tab w:val="right" w:pos="8261"/>
        <w:tab w:val="clear" w:pos="726"/>
      </w:tabs>
      <w:suppressAutoHyphens/>
      <w:adjustRightInd w:val="0"/>
      <w:spacing w:beforeLines="100" w:line="0" w:lineRule="atLeast"/>
      <w:ind w:left="3041"/>
      <w:jc w:val="center"/>
    </w:pPr>
    <w:rPr>
      <w:rFonts w:ascii="黑体" w:eastAsia="黑体" w:cs="宋体"/>
      <w:b/>
      <w:bCs/>
      <w:spacing w:val="6"/>
      <w:kern w:val="0"/>
      <w:sz w:val="24"/>
    </w:rPr>
  </w:style>
  <w:style w:type="paragraph" w:customStyle="1" w:styleId="1233">
    <w:name w:val="xl107"/>
    <w:basedOn w:val="1"/>
    <w:autoRedefine/>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34">
    <w:name w:val="样式 标题 4 + (符号) 宋体 段前: 6 磅"/>
    <w:basedOn w:val="6"/>
    <w:autoRedefine/>
    <w:qFormat/>
    <w:uiPriority w:val="0"/>
    <w:pPr>
      <w:snapToGrid w:val="0"/>
      <w:spacing w:before="0" w:after="0" w:line="540" w:lineRule="exact"/>
      <w:ind w:left="2884" w:hanging="1984"/>
      <w:jc w:val="left"/>
    </w:pPr>
    <w:rPr>
      <w:rFonts w:ascii="Times New Roman" w:hAnsi="宋体" w:cs="宋体"/>
      <w:sz w:val="24"/>
      <w:szCs w:val="20"/>
    </w:rPr>
  </w:style>
  <w:style w:type="paragraph" w:customStyle="1" w:styleId="1235">
    <w:name w:val="Char11"/>
    <w:basedOn w:val="1"/>
    <w:autoRedefine/>
    <w:qFormat/>
    <w:uiPriority w:val="0"/>
    <w:pPr>
      <w:snapToGrid w:val="0"/>
      <w:spacing w:line="500" w:lineRule="exact"/>
      <w:contextualSpacing/>
    </w:pPr>
    <w:rPr>
      <w:rFonts w:eastAsia="仿宋_GB2312"/>
    </w:rPr>
  </w:style>
  <w:style w:type="paragraph" w:customStyle="1" w:styleId="1236">
    <w:name w:val="表体"/>
    <w:basedOn w:val="160"/>
    <w:autoRedefine/>
    <w:semiHidden/>
    <w:qFormat/>
    <w:uiPriority w:val="0"/>
    <w:pPr>
      <w:overflowPunct w:val="0"/>
      <w:autoSpaceDE w:val="0"/>
      <w:autoSpaceDN w:val="0"/>
      <w:snapToGrid/>
      <w:spacing w:line="300" w:lineRule="atLeast"/>
      <w:jc w:val="left"/>
    </w:pPr>
    <w:rPr>
      <w:rFonts w:eastAsia="宋体"/>
      <w:color w:val="000000"/>
      <w:spacing w:val="0"/>
      <w:kern w:val="24"/>
      <w:sz w:val="18"/>
    </w:rPr>
  </w:style>
  <w:style w:type="paragraph" w:customStyle="1" w:styleId="1237">
    <w:name w:val="wj12"/>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1238">
    <w:name w:val="xl156"/>
    <w:basedOn w:val="1"/>
    <w:autoRedefine/>
    <w:qFormat/>
    <w:uiPriority w:val="0"/>
    <w:pPr>
      <w:widowControl/>
      <w:pBdr>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239">
    <w:name w:val="样式 标题 51)项标5 +"/>
    <w:basedOn w:val="7"/>
    <w:autoRedefine/>
    <w:qFormat/>
    <w:uiPriority w:val="0"/>
    <w:pPr>
      <w:keepNext w:val="0"/>
      <w:keepLines w:val="0"/>
      <w:tabs>
        <w:tab w:val="left" w:pos="987"/>
        <w:tab w:val="clear" w:pos="1008"/>
      </w:tabs>
      <w:spacing w:before="0" w:after="0" w:line="360" w:lineRule="auto"/>
      <w:ind w:left="987" w:hanging="420"/>
      <w:contextualSpacing/>
    </w:pPr>
    <w:rPr>
      <w:rFonts w:hAnsi="Arial"/>
      <w:b w:val="0"/>
      <w:bCs/>
      <w:color w:val="000000"/>
      <w:spacing w:val="3"/>
      <w:szCs w:val="28"/>
    </w:rPr>
  </w:style>
  <w:style w:type="paragraph" w:customStyle="1" w:styleId="1240">
    <w:name w:val="xl81"/>
    <w:basedOn w:val="1"/>
    <w:autoRedefine/>
    <w:qFormat/>
    <w:uiPriority w:val="0"/>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241">
    <w:name w:val="菏泽-正文 Char"/>
    <w:basedOn w:val="1"/>
    <w:autoRedefine/>
    <w:qFormat/>
    <w:uiPriority w:val="0"/>
    <w:pPr>
      <w:spacing w:line="440" w:lineRule="exact"/>
      <w:ind w:firstLine="420" w:firstLineChars="200"/>
    </w:pPr>
    <w:rPr>
      <w:rFonts w:ascii="Arial" w:hAnsi="Arial" w:eastAsia="华文细黑"/>
    </w:rPr>
  </w:style>
  <w:style w:type="paragraph" w:customStyle="1" w:styleId="1242">
    <w:name w:val="小Ꮄ"/>
    <w:basedOn w:val="1"/>
    <w:autoRedefine/>
    <w:qFormat/>
    <w:uiPriority w:val="0"/>
    <w:pPr>
      <w:spacing w:before="60" w:after="60" w:line="360" w:lineRule="auto"/>
    </w:pPr>
  </w:style>
  <w:style w:type="paragraph" w:customStyle="1" w:styleId="1243">
    <w:name w:val="xl130"/>
    <w:basedOn w:val="1"/>
    <w:autoRedefine/>
    <w:qFormat/>
    <w:uiPriority w:val="0"/>
    <w:pPr>
      <w:widowControl/>
      <w:pBdr>
        <w:left w:val="single" w:color="auto" w:sz="4" w:space="0"/>
        <w:righ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44">
    <w:name w:val="样式 样式 样式 标题 4 + 宋体 行距: 1.5 倍行距 + 段前: 0.5 行 + Times New Roman"/>
    <w:basedOn w:val="853"/>
    <w:autoRedefine/>
    <w:qFormat/>
    <w:uiPriority w:val="0"/>
    <w:pPr>
      <w:snapToGrid w:val="0"/>
      <w:spacing w:beforeLines="50" w:after="120"/>
      <w:ind w:left="2884" w:hanging="2884"/>
      <w:jc w:val="left"/>
    </w:pPr>
    <w:rPr>
      <w:rFonts w:hAnsi="Times New Roman"/>
      <w:b w:val="0"/>
    </w:rPr>
  </w:style>
  <w:style w:type="paragraph" w:customStyle="1" w:styleId="1245">
    <w:name w:val="xl174"/>
    <w:basedOn w:val="1"/>
    <w:autoRedefine/>
    <w:qFormat/>
    <w:uiPriority w:val="0"/>
    <w:pPr>
      <w:widowControl/>
      <w:spacing w:before="100" w:beforeAutospacing="1" w:after="100" w:afterAutospacing="1"/>
      <w:jc w:val="center"/>
    </w:pPr>
    <w:rPr>
      <w:rFonts w:ascii="Arial Unicode MS" w:hAnsi="Arial Unicode MS"/>
      <w:kern w:val="0"/>
      <w:sz w:val="16"/>
      <w:szCs w:val="16"/>
    </w:rPr>
  </w:style>
  <w:style w:type="paragraph" w:customStyle="1" w:styleId="1246">
    <w:name w:val="样式 样式 样式 首行缩进:  2 字符 + 首行缩进:  2 字符 + 居中 行距: 单倍行距"/>
    <w:basedOn w:val="1"/>
    <w:autoRedefine/>
    <w:qFormat/>
    <w:uiPriority w:val="0"/>
    <w:pPr>
      <w:jc w:val="center"/>
    </w:pPr>
    <w:rPr>
      <w:rFonts w:eastAsia="仿宋_GB2312"/>
      <w:sz w:val="24"/>
      <w:szCs w:val="20"/>
    </w:rPr>
  </w:style>
  <w:style w:type="paragraph" w:customStyle="1" w:styleId="1247">
    <w:name w:val="xl45"/>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248">
    <w:name w:val="表格 左侧"/>
    <w:basedOn w:val="200"/>
    <w:autoRedefine/>
    <w:qFormat/>
    <w:uiPriority w:val="0"/>
    <w:pPr>
      <w:widowControl/>
      <w:adjustRightInd/>
      <w:snapToGrid/>
      <w:spacing w:beforeLines="0" w:afterLines="0" w:line="240" w:lineRule="auto"/>
      <w:jc w:val="left"/>
    </w:pPr>
    <w:rPr>
      <w:rFonts w:ascii="Times New Roman"/>
      <w:b/>
      <w:bCs/>
      <w:snapToGrid w:val="0"/>
      <w:kern w:val="18"/>
      <w:szCs w:val="21"/>
    </w:rPr>
  </w:style>
  <w:style w:type="paragraph" w:customStyle="1" w:styleId="1249">
    <w:name w:val="xl91"/>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50">
    <w:name w:val="xl139"/>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1251">
    <w:name w:val="font_mid"/>
    <w:basedOn w:val="1"/>
    <w:autoRedefine/>
    <w:qFormat/>
    <w:uiPriority w:val="0"/>
    <w:pPr>
      <w:widowControl/>
      <w:spacing w:before="100" w:beforeAutospacing="1" w:after="100" w:afterAutospacing="1"/>
      <w:jc w:val="left"/>
    </w:pPr>
    <w:rPr>
      <w:rFonts w:ascii="宋体" w:hAnsi="宋体"/>
      <w:color w:val="000000"/>
      <w:kern w:val="0"/>
      <w:sz w:val="24"/>
    </w:rPr>
  </w:style>
  <w:style w:type="paragraph" w:customStyle="1" w:styleId="1252">
    <w:name w:val="表格的文字"/>
    <w:basedOn w:val="1"/>
    <w:autoRedefine/>
    <w:qFormat/>
    <w:uiPriority w:val="0"/>
    <w:pPr>
      <w:spacing w:line="300" w:lineRule="exact"/>
      <w:jc w:val="center"/>
    </w:pPr>
    <w:rPr>
      <w:rFonts w:ascii="仿宋_GB2312" w:eastAsia="仿宋_GB2312"/>
      <w:bCs/>
      <w:szCs w:val="20"/>
    </w:rPr>
  </w:style>
  <w:style w:type="paragraph" w:customStyle="1" w:styleId="1253">
    <w:name w:val="新正文"/>
    <w:basedOn w:val="1"/>
    <w:autoRedefine/>
    <w:qFormat/>
    <w:uiPriority w:val="0"/>
    <w:pPr>
      <w:spacing w:line="480" w:lineRule="exact"/>
      <w:ind w:firstLine="567"/>
    </w:pPr>
    <w:rPr>
      <w:rFonts w:ascii="仿宋_GB2312" w:eastAsia="仿宋_GB2312"/>
      <w:bCs/>
      <w:kern w:val="0"/>
      <w:sz w:val="28"/>
      <w:szCs w:val="20"/>
    </w:rPr>
  </w:style>
  <w:style w:type="paragraph" w:customStyle="1" w:styleId="1254">
    <w:name w:val="brdrw15brsp20 tqctx4153t"/>
    <w:autoRedefine/>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1255">
    <w:name w:val="xl196"/>
    <w:basedOn w:val="1"/>
    <w:autoRedefine/>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kern w:val="0"/>
    </w:rPr>
  </w:style>
  <w:style w:type="paragraph" w:customStyle="1" w:styleId="1256">
    <w:name w:val="zw"/>
    <w:basedOn w:val="1"/>
    <w:autoRedefine/>
    <w:qFormat/>
    <w:uiPriority w:val="0"/>
    <w:pPr>
      <w:widowControl/>
      <w:spacing w:before="100" w:beforeAutospacing="1" w:after="100" w:afterAutospacing="1" w:line="400" w:lineRule="atLeast"/>
      <w:jc w:val="left"/>
    </w:pPr>
    <w:rPr>
      <w:rFonts w:hint="eastAsia" w:ascii="宋体" w:hAnsi="宋体"/>
      <w:kern w:val="0"/>
      <w:sz w:val="22"/>
      <w:szCs w:val="22"/>
    </w:rPr>
  </w:style>
  <w:style w:type="paragraph" w:customStyle="1" w:styleId="1257">
    <w:name w:val="3级标题"/>
    <w:basedOn w:val="1"/>
    <w:autoRedefine/>
    <w:qFormat/>
    <w:uiPriority w:val="0"/>
    <w:pPr>
      <w:spacing w:before="300" w:line="460" w:lineRule="exact"/>
      <w:outlineLvl w:val="2"/>
    </w:pPr>
    <w:rPr>
      <w:b/>
      <w:sz w:val="24"/>
      <w:szCs w:val="20"/>
    </w:rPr>
  </w:style>
  <w:style w:type="paragraph" w:customStyle="1" w:styleId="1258">
    <w:name w:val="Char51"/>
    <w:basedOn w:val="1"/>
    <w:autoRedefine/>
    <w:qFormat/>
    <w:uiPriority w:val="0"/>
  </w:style>
  <w:style w:type="paragraph" w:customStyle="1" w:styleId="1259">
    <w:name w:val="xl180"/>
    <w:basedOn w:val="1"/>
    <w:autoRedefine/>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60">
    <w:name w:val="样式 标题 2 + 段前: 0.1 行 段后: 0.1 行"/>
    <w:basedOn w:val="4"/>
    <w:autoRedefine/>
    <w:qFormat/>
    <w:uiPriority w:val="0"/>
    <w:pPr>
      <w:spacing w:before="120" w:beforeLines="100" w:after="120" w:afterLines="100" w:line="240" w:lineRule="auto"/>
      <w:ind w:left="1134" w:hanging="992"/>
    </w:pPr>
    <w:rPr>
      <w:rFonts w:ascii="Times New Roman" w:hAnsi="Times New Roman" w:cs="宋体"/>
      <w:sz w:val="30"/>
      <w:szCs w:val="20"/>
    </w:rPr>
  </w:style>
  <w:style w:type="paragraph" w:customStyle="1" w:styleId="1261">
    <w:name w:val="copyright"/>
    <w:basedOn w:val="1"/>
    <w:autoRedefine/>
    <w:qFormat/>
    <w:uiPriority w:val="0"/>
    <w:pPr>
      <w:widowControl/>
      <w:spacing w:before="100" w:beforeAutospacing="1" w:after="100" w:afterAutospacing="1"/>
      <w:ind w:firstLine="401"/>
      <w:jc w:val="left"/>
    </w:pPr>
    <w:rPr>
      <w:rFonts w:ascii="宋体" w:hAnsi="宋体" w:cs="宋体"/>
      <w:color w:val="000000"/>
      <w:kern w:val="0"/>
      <w:sz w:val="20"/>
      <w:szCs w:val="20"/>
    </w:rPr>
  </w:style>
  <w:style w:type="paragraph" w:customStyle="1" w:styleId="1262">
    <w:name w:val="样式 标题 4 + (西文) Times New Roman (中文) 宋体 小四"/>
    <w:basedOn w:val="6"/>
    <w:autoRedefine/>
    <w:qFormat/>
    <w:uiPriority w:val="0"/>
    <w:pPr>
      <w:tabs>
        <w:tab w:val="left" w:pos="1247"/>
      </w:tabs>
      <w:spacing w:before="0" w:beforeLines="25" w:after="0" w:afterLines="25" w:line="360" w:lineRule="auto"/>
      <w:ind w:left="964" w:hanging="964"/>
    </w:pPr>
    <w:rPr>
      <w:rFonts w:ascii="宋体" w:hAnsi="宋体"/>
      <w:b w:val="0"/>
      <w:bCs w:val="0"/>
      <w:sz w:val="24"/>
      <w:szCs w:val="24"/>
    </w:rPr>
  </w:style>
  <w:style w:type="paragraph" w:customStyle="1" w:styleId="1263">
    <w:name w:val="Char Char Char"/>
    <w:basedOn w:val="1"/>
    <w:autoRedefine/>
    <w:qFormat/>
    <w:uiPriority w:val="0"/>
    <w:rPr>
      <w:sz w:val="24"/>
    </w:rPr>
  </w:style>
  <w:style w:type="paragraph" w:customStyle="1" w:styleId="1264">
    <w:name w:val="东明_正文"/>
    <w:basedOn w:val="1"/>
    <w:autoRedefine/>
    <w:qFormat/>
    <w:uiPriority w:val="0"/>
    <w:pPr>
      <w:spacing w:before="240" w:after="240" w:line="480" w:lineRule="exact"/>
      <w:ind w:firstLine="560" w:firstLineChars="200"/>
    </w:pPr>
    <w:rPr>
      <w:sz w:val="28"/>
      <w:szCs w:val="20"/>
    </w:rPr>
  </w:style>
  <w:style w:type="paragraph" w:customStyle="1" w:styleId="1265">
    <w:name w:val="表格文本 小五 居中"/>
    <w:basedOn w:val="1"/>
    <w:autoRedefine/>
    <w:qFormat/>
    <w:uiPriority w:val="0"/>
    <w:pPr>
      <w:adjustRightInd w:val="0"/>
      <w:snapToGrid w:val="0"/>
      <w:jc w:val="center"/>
    </w:pPr>
    <w:rPr>
      <w:rFonts w:cs="宋体"/>
    </w:rPr>
  </w:style>
  <w:style w:type="paragraph" w:customStyle="1" w:styleId="1266">
    <w:name w:val="xl116"/>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267">
    <w:name w:val="表格样式"/>
    <w:basedOn w:val="1"/>
    <w:autoRedefine/>
    <w:qFormat/>
    <w:uiPriority w:val="0"/>
    <w:pPr>
      <w:widowControl/>
    </w:pPr>
    <w:rPr>
      <w:sz w:val="24"/>
    </w:rPr>
  </w:style>
  <w:style w:type="paragraph" w:customStyle="1" w:styleId="1268">
    <w:name w:val="表格文字中 Char Char"/>
    <w:basedOn w:val="1"/>
    <w:autoRedefine/>
    <w:qFormat/>
    <w:uiPriority w:val="0"/>
    <w:pPr>
      <w:keepNext/>
      <w:widowControl/>
      <w:spacing w:line="160" w:lineRule="atLeast"/>
      <w:contextualSpacing/>
      <w:jc w:val="center"/>
    </w:pPr>
    <w:rPr>
      <w:rFonts w:cs="宋体"/>
      <w:color w:val="000000"/>
      <w:kern w:val="0"/>
      <w:szCs w:val="20"/>
    </w:rPr>
  </w:style>
  <w:style w:type="paragraph" w:customStyle="1" w:styleId="1269">
    <w:name w:val="表文"/>
    <w:basedOn w:val="1"/>
    <w:autoRedefine/>
    <w:qFormat/>
    <w:uiPriority w:val="0"/>
    <w:pPr>
      <w:keepNext/>
      <w:adjustRightInd w:val="0"/>
      <w:spacing w:before="40" w:line="288" w:lineRule="auto"/>
      <w:jc w:val="center"/>
      <w:textAlignment w:val="baseline"/>
    </w:pPr>
    <w:rPr>
      <w:kern w:val="0"/>
      <w:sz w:val="24"/>
      <w:szCs w:val="20"/>
    </w:rPr>
  </w:style>
  <w:style w:type="paragraph" w:customStyle="1" w:styleId="1270">
    <w:name w:val="菏泽-标题 3 Char Char Char"/>
    <w:basedOn w:val="1"/>
    <w:next w:val="1"/>
    <w:autoRedefine/>
    <w:qFormat/>
    <w:uiPriority w:val="0"/>
    <w:pPr>
      <w:keepNext/>
      <w:keepLines/>
      <w:overflowPunct w:val="0"/>
      <w:snapToGrid w:val="0"/>
      <w:spacing w:line="440" w:lineRule="exact"/>
      <w:ind w:firstLine="359" w:firstLineChars="128"/>
      <w:outlineLvl w:val="2"/>
    </w:pPr>
    <w:rPr>
      <w:rFonts w:ascii="华文细黑" w:hAnsi="华文细黑" w:eastAsia="华文细黑"/>
      <w:b/>
      <w:sz w:val="28"/>
      <w:szCs w:val="28"/>
    </w:rPr>
  </w:style>
  <w:style w:type="paragraph" w:customStyle="1" w:styleId="1271">
    <w:name w:val="样式 标题 1章标题 11标题 1H1一、 + 行距: 1.5 倍行距3"/>
    <w:basedOn w:val="3"/>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1272">
    <w:name w:val="5 Char"/>
    <w:basedOn w:val="1"/>
    <w:autoRedefine/>
    <w:qFormat/>
    <w:uiPriority w:val="0"/>
    <w:rPr>
      <w:sz w:val="24"/>
    </w:rPr>
  </w:style>
  <w:style w:type="paragraph" w:customStyle="1" w:styleId="1273">
    <w:name w:val="正文内容"/>
    <w:basedOn w:val="1"/>
    <w:autoRedefine/>
    <w:qFormat/>
    <w:uiPriority w:val="0"/>
    <w:pPr>
      <w:adjustRightInd w:val="0"/>
      <w:snapToGrid w:val="0"/>
      <w:spacing w:line="360" w:lineRule="auto"/>
      <w:ind w:firstLine="510"/>
    </w:pPr>
    <w:rPr>
      <w:rFonts w:ascii="宋体" w:hAnsi="宋体"/>
      <w:snapToGrid w:val="0"/>
      <w:spacing w:val="4"/>
      <w:kern w:val="0"/>
      <w:sz w:val="24"/>
      <w:szCs w:val="20"/>
    </w:rPr>
  </w:style>
  <w:style w:type="paragraph" w:customStyle="1" w:styleId="1274">
    <w:name w:val="xl26"/>
    <w:basedOn w:val="1"/>
    <w:autoRedefine/>
    <w:qFormat/>
    <w:uiPriority w:val="0"/>
    <w:pPr>
      <w:widowControl/>
      <w:pBdr>
        <w:bottom w:val="single" w:color="auto" w:sz="4" w:space="0"/>
        <w:right w:val="single" w:color="auto" w:sz="4" w:space="0"/>
      </w:pBdr>
      <w:spacing w:before="100" w:after="100"/>
      <w:jc w:val="center"/>
      <w:textAlignment w:val="top"/>
    </w:pPr>
    <w:rPr>
      <w:kern w:val="0"/>
      <w:szCs w:val="20"/>
    </w:rPr>
  </w:style>
  <w:style w:type="paragraph" w:customStyle="1" w:styleId="1275">
    <w:name w:val="样式 标题 2 + 行距: 1.5 倍行距1"/>
    <w:basedOn w:val="4"/>
    <w:autoRedefine/>
    <w:qFormat/>
    <w:uiPriority w:val="0"/>
    <w:pPr>
      <w:snapToGrid w:val="0"/>
      <w:spacing w:before="240" w:after="240" w:line="240" w:lineRule="auto"/>
      <w:ind w:left="1134" w:hanging="992"/>
      <w:jc w:val="left"/>
    </w:pPr>
    <w:rPr>
      <w:rFonts w:ascii="Times New Roman" w:hAnsi="Times New Roman" w:cs="宋体"/>
      <w:sz w:val="28"/>
      <w:szCs w:val="20"/>
    </w:rPr>
  </w:style>
  <w:style w:type="paragraph" w:customStyle="1" w:styleId="1276">
    <w:name w:val="标题21"/>
    <w:basedOn w:val="1"/>
    <w:autoRedefine/>
    <w:qFormat/>
    <w:uiPriority w:val="0"/>
    <w:pPr>
      <w:suppressLineNumbers/>
      <w:spacing w:line="360" w:lineRule="auto"/>
      <w:outlineLvl w:val="1"/>
    </w:pPr>
    <w:rPr>
      <w:rFonts w:eastAsia="黑体"/>
      <w:sz w:val="36"/>
      <w:szCs w:val="36"/>
    </w:rPr>
  </w:style>
  <w:style w:type="paragraph" w:customStyle="1" w:styleId="1277">
    <w:name w:val="普通 (Web)"/>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278">
    <w:name w:val="样式 样式 样式 正文 首行缩进:  2 字符 SL CON + 首行缩进:  2 字符 + (符号) 宋体 + 字距调整小四"/>
    <w:basedOn w:val="1"/>
    <w:autoRedefine/>
    <w:qFormat/>
    <w:uiPriority w:val="0"/>
    <w:pPr>
      <w:widowControl/>
      <w:numPr>
        <w:ilvl w:val="0"/>
        <w:numId w:val="4"/>
      </w:numPr>
      <w:tabs>
        <w:tab w:val="left" w:pos="377"/>
      </w:tabs>
      <w:spacing w:line="360" w:lineRule="auto"/>
      <w:ind w:left="0" w:firstLine="480" w:firstLineChars="200"/>
    </w:pPr>
    <w:rPr>
      <w:rFonts w:ascii="宋体" w:hAnsi="宋体" w:cs="宋体"/>
      <w:kern w:val="24"/>
      <w:sz w:val="24"/>
    </w:rPr>
  </w:style>
  <w:style w:type="paragraph" w:customStyle="1" w:styleId="1279">
    <w:name w:val="样式 题注 + (西文) Arial (中文) 黑体 小四 Char Char"/>
    <w:basedOn w:val="23"/>
    <w:autoRedefine/>
    <w:qFormat/>
    <w:uiPriority w:val="0"/>
    <w:pPr>
      <w:keepNext/>
      <w:numPr>
        <w:ilvl w:val="0"/>
        <w:numId w:val="16"/>
      </w:numPr>
      <w:tabs>
        <w:tab w:val="left" w:pos="1620"/>
      </w:tabs>
      <w:adjustRightInd w:val="0"/>
      <w:spacing w:line="240" w:lineRule="auto"/>
      <w:ind w:left="1620" w:leftChars="600" w:hanging="360" w:hangingChars="200"/>
      <w:jc w:val="center"/>
    </w:pPr>
    <w:rPr>
      <w:sz w:val="24"/>
      <w:szCs w:val="28"/>
    </w:rPr>
  </w:style>
  <w:style w:type="paragraph" w:customStyle="1" w:styleId="1280">
    <w:name w:val="标题正4"/>
    <w:basedOn w:val="1"/>
    <w:autoRedefine/>
    <w:qFormat/>
    <w:uiPriority w:val="0"/>
    <w:pPr>
      <w:jc w:val="center"/>
    </w:pPr>
    <w:rPr>
      <w:rFonts w:ascii="仿宋_GB2312" w:eastAsia="仿宋_GB2312"/>
      <w:color w:val="000000"/>
    </w:rPr>
  </w:style>
  <w:style w:type="paragraph" w:customStyle="1" w:styleId="1281">
    <w:name w:val="xl193"/>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1282">
    <w:name w:val="表序号"/>
    <w:basedOn w:val="7"/>
    <w:autoRedefine/>
    <w:qFormat/>
    <w:uiPriority w:val="0"/>
    <w:pPr>
      <w:tabs>
        <w:tab w:val="left" w:pos="3093"/>
        <w:tab w:val="clear" w:pos="1008"/>
      </w:tabs>
      <w:spacing w:before="0" w:after="0" w:line="360" w:lineRule="auto"/>
      <w:ind w:left="3093" w:hanging="420"/>
      <w:jc w:val="center"/>
    </w:pPr>
    <w:rPr>
      <w:rFonts w:ascii="宋体" w:hAnsi="Arial"/>
      <w:kern w:val="0"/>
      <w:sz w:val="24"/>
    </w:rPr>
  </w:style>
  <w:style w:type="paragraph" w:customStyle="1" w:styleId="1283">
    <w:name w:val="ST20_1"/>
    <w:basedOn w:val="1"/>
    <w:autoRedefine/>
    <w:qFormat/>
    <w:uiPriority w:val="0"/>
    <w:pPr>
      <w:autoSpaceDE w:val="0"/>
      <w:autoSpaceDN w:val="0"/>
      <w:adjustRightInd w:val="0"/>
      <w:spacing w:line="312" w:lineRule="atLeast"/>
      <w:jc w:val="center"/>
      <w:textAlignment w:val="baseline"/>
    </w:pPr>
    <w:rPr>
      <w:rFonts w:ascii="宋体" w:hAnsi="Tms Rmn"/>
      <w:kern w:val="0"/>
      <w:sz w:val="24"/>
      <w:szCs w:val="20"/>
    </w:rPr>
  </w:style>
  <w:style w:type="paragraph" w:customStyle="1" w:styleId="1284">
    <w:name w:val="xl32"/>
    <w:basedOn w:val="1"/>
    <w:autoRedefine/>
    <w:qFormat/>
    <w:uiPriority w:val="0"/>
    <w:pPr>
      <w:widowControl/>
      <w:pBdr>
        <w:right w:val="single" w:color="auto" w:sz="4" w:space="0"/>
      </w:pBdr>
      <w:spacing w:before="100" w:beforeAutospacing="1" w:after="100" w:afterAutospacing="1"/>
      <w:jc w:val="center"/>
      <w:textAlignment w:val="bottom"/>
    </w:pPr>
    <w:rPr>
      <w:rFonts w:ascii="Arial" w:hAnsi="Arial" w:cs="Arial"/>
      <w:kern w:val="0"/>
      <w:sz w:val="28"/>
      <w:szCs w:val="28"/>
    </w:rPr>
  </w:style>
  <w:style w:type="paragraph" w:customStyle="1" w:styleId="1285">
    <w:name w:val="样式 小四 首行缩进:  1.01 厘米 行距: 1.5 倍行距"/>
    <w:basedOn w:val="1"/>
    <w:autoRedefine/>
    <w:qFormat/>
    <w:uiPriority w:val="0"/>
    <w:pPr>
      <w:spacing w:line="360" w:lineRule="auto"/>
    </w:pPr>
    <w:rPr>
      <w:rFonts w:ascii="宋体" w:hAnsi="宋体" w:cs="宋体"/>
      <w:sz w:val="24"/>
    </w:rPr>
  </w:style>
  <w:style w:type="paragraph" w:customStyle="1" w:styleId="1286">
    <w:name w:val="表头及图标"/>
    <w:basedOn w:val="411"/>
    <w:autoRedefine/>
    <w:qFormat/>
    <w:uiPriority w:val="0"/>
    <w:pPr>
      <w:ind w:firstLine="0" w:firstLineChars="0"/>
      <w:jc w:val="center"/>
    </w:pPr>
    <w:rPr>
      <w:b/>
      <w:bCs/>
      <w:sz w:val="21"/>
      <w:szCs w:val="20"/>
    </w:rPr>
  </w:style>
  <w:style w:type="paragraph" w:customStyle="1" w:styleId="1287">
    <w:name w:val="公式样式1"/>
    <w:basedOn w:val="1"/>
    <w:autoRedefine/>
    <w:qFormat/>
    <w:uiPriority w:val="0"/>
    <w:pPr>
      <w:spacing w:line="360" w:lineRule="auto"/>
      <w:ind w:firstLine="235" w:firstLineChars="100"/>
    </w:pPr>
    <w:rPr>
      <w:rFonts w:ascii="宋体" w:hAnsi="Arial Black"/>
      <w:szCs w:val="20"/>
    </w:rPr>
  </w:style>
  <w:style w:type="paragraph" w:customStyle="1" w:styleId="1288">
    <w:name w:val="样式 正文文本 + 宋体 行距: 1.5 倍行距"/>
    <w:basedOn w:val="9"/>
    <w:autoRedefine/>
    <w:qFormat/>
    <w:uiPriority w:val="0"/>
    <w:pPr>
      <w:widowControl w:val="0"/>
      <w:snapToGrid/>
      <w:spacing w:before="0" w:after="120" w:line="360" w:lineRule="auto"/>
      <w:ind w:right="0" w:firstLine="480" w:firstLineChars="200"/>
    </w:pPr>
    <w:rPr>
      <w:rFonts w:cs="宋体"/>
      <w:sz w:val="24"/>
    </w:rPr>
  </w:style>
  <w:style w:type="paragraph" w:customStyle="1" w:styleId="1289">
    <w:name w:val="样式 正文缩进正文（首行缩进两字）正文（首行缩进两字） Char Char Char Char Char Char Char..."/>
    <w:basedOn w:val="8"/>
    <w:autoRedefine/>
    <w:qFormat/>
    <w:uiPriority w:val="0"/>
    <w:pPr>
      <w:spacing w:line="312" w:lineRule="auto"/>
      <w:ind w:firstLine="539" w:firstLineChars="0"/>
    </w:pPr>
    <w:rPr>
      <w:kern w:val="0"/>
      <w:sz w:val="28"/>
      <w:szCs w:val="20"/>
    </w:rPr>
  </w:style>
  <w:style w:type="paragraph" w:customStyle="1" w:styleId="1290">
    <w:name w:val="论文正文"/>
    <w:basedOn w:val="8"/>
    <w:autoRedefine/>
    <w:qFormat/>
    <w:uiPriority w:val="0"/>
    <w:pPr>
      <w:ind w:firstLine="480"/>
    </w:pPr>
    <w:rPr>
      <w:rFonts w:ascii="宋体" w:hAnsi="宋体"/>
      <w:kern w:val="0"/>
      <w:sz w:val="28"/>
    </w:rPr>
  </w:style>
  <w:style w:type="paragraph" w:customStyle="1" w:styleId="1291">
    <w:name w:val="样式 样式 标题 2节 + (西文) Times New Roman (中文) 宋体 四号 段前: 0.5 行 段后: 0......"/>
    <w:basedOn w:val="1"/>
    <w:autoRedefine/>
    <w:qFormat/>
    <w:uiPriority w:val="0"/>
    <w:pPr>
      <w:keepNext/>
      <w:keepLines/>
      <w:adjustRightInd w:val="0"/>
      <w:snapToGrid w:val="0"/>
      <w:spacing w:beforeLines="90" w:afterLines="90" w:line="300" w:lineRule="auto"/>
      <w:ind w:left="992" w:hanging="992"/>
      <w:outlineLvl w:val="1"/>
    </w:pPr>
    <w:rPr>
      <w:rFonts w:ascii="宋体" w:hAnsi="宋体"/>
      <w:bCs/>
      <w:sz w:val="30"/>
      <w:szCs w:val="30"/>
    </w:rPr>
  </w:style>
  <w:style w:type="paragraph" w:customStyle="1" w:styleId="1292">
    <w:name w:val="CM28"/>
    <w:basedOn w:val="1"/>
    <w:next w:val="1"/>
    <w:autoRedefine/>
    <w:qFormat/>
    <w:uiPriority w:val="0"/>
    <w:pPr>
      <w:autoSpaceDE w:val="0"/>
      <w:autoSpaceDN w:val="0"/>
      <w:adjustRightInd w:val="0"/>
      <w:spacing w:line="468" w:lineRule="atLeast"/>
      <w:jc w:val="left"/>
    </w:pPr>
    <w:rPr>
      <w:rFonts w:ascii="宋体" w:cs="宋体"/>
      <w:kern w:val="0"/>
      <w:sz w:val="24"/>
    </w:rPr>
  </w:style>
  <w:style w:type="paragraph" w:customStyle="1" w:styleId="1293">
    <w:name w:val="样式 标题 1章标题 11标题 1H1一、 + 行距: 1.5 倍行距2"/>
    <w:basedOn w:val="3"/>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1294">
    <w:name w:val="xl154"/>
    <w:basedOn w:val="1"/>
    <w:autoRedefine/>
    <w:qFormat/>
    <w:uiPriority w:val="0"/>
    <w:pPr>
      <w:widowControl/>
      <w:pBdr>
        <w:left w:val="single" w:color="auto" w:sz="12" w:space="0"/>
        <w:bottom w:val="single" w:color="auto" w:sz="8" w:space="0"/>
      </w:pBdr>
      <w:spacing w:before="100" w:beforeAutospacing="1" w:after="100" w:afterAutospacing="1"/>
      <w:jc w:val="center"/>
    </w:pPr>
    <w:rPr>
      <w:rFonts w:ascii="Arial Unicode MS" w:hAnsi="Arial Unicode MS"/>
      <w:kern w:val="0"/>
      <w:sz w:val="12"/>
      <w:szCs w:val="12"/>
    </w:rPr>
  </w:style>
  <w:style w:type="paragraph" w:customStyle="1" w:styleId="1295">
    <w:name w:val="我的正文"/>
    <w:basedOn w:val="1"/>
    <w:autoRedefine/>
    <w:qFormat/>
    <w:uiPriority w:val="0"/>
    <w:pPr>
      <w:spacing w:line="360" w:lineRule="auto"/>
      <w:ind w:firstLine="480" w:firstLineChars="200"/>
    </w:pPr>
    <w:rPr>
      <w:rFonts w:cs="宋体"/>
      <w:sz w:val="24"/>
    </w:rPr>
  </w:style>
  <w:style w:type="paragraph" w:customStyle="1" w:styleId="1296">
    <w:name w:val="xl90"/>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97">
    <w:name w:val="正文1.1"/>
    <w:basedOn w:val="1"/>
    <w:autoRedefine/>
    <w:qFormat/>
    <w:uiPriority w:val="0"/>
    <w:pPr>
      <w:tabs>
        <w:tab w:val="left" w:pos="495"/>
      </w:tabs>
      <w:snapToGrid w:val="0"/>
      <w:spacing w:beforeLines="50" w:afterLines="50" w:line="360" w:lineRule="auto"/>
      <w:ind w:left="495" w:hanging="495"/>
      <w:outlineLvl w:val="2"/>
    </w:pPr>
    <w:rPr>
      <w:rFonts w:hAnsi="宋体"/>
      <w:b/>
      <w:sz w:val="30"/>
      <w:szCs w:val="30"/>
    </w:rPr>
  </w:style>
  <w:style w:type="paragraph" w:customStyle="1" w:styleId="1298">
    <w:name w:val="xl102"/>
    <w:basedOn w:val="1"/>
    <w:autoRedefine/>
    <w:qFormat/>
    <w:uiPriority w:val="0"/>
    <w:pPr>
      <w:widowControl/>
      <w:pBdr>
        <w:left w:val="single" w:color="auto" w:sz="4" w:space="0"/>
        <w:bottom w:val="single" w:color="auto" w:sz="12" w:space="0"/>
        <w:right w:val="single" w:color="auto" w:sz="12" w:space="0"/>
      </w:pBdr>
      <w:spacing w:before="100" w:beforeAutospacing="1" w:after="100" w:afterAutospacing="1"/>
      <w:jc w:val="center"/>
      <w:textAlignment w:val="center"/>
    </w:pPr>
    <w:rPr>
      <w:kern w:val="0"/>
      <w:sz w:val="12"/>
      <w:szCs w:val="12"/>
    </w:rPr>
  </w:style>
  <w:style w:type="paragraph" w:customStyle="1" w:styleId="1299">
    <w:name w:val="xl23"/>
    <w:basedOn w:val="1"/>
    <w:autoRedefine/>
    <w:qFormat/>
    <w:uiPriority w:val="0"/>
    <w:pPr>
      <w:widowControl/>
      <w:pBdr>
        <w:bottom w:val="single" w:color="auto" w:sz="4" w:space="0"/>
        <w:right w:val="single" w:color="auto" w:sz="4" w:space="0"/>
      </w:pBdr>
      <w:spacing w:before="100" w:beforeAutospacing="1" w:after="100" w:afterAutospacing="1"/>
      <w:jc w:val="center"/>
    </w:pPr>
    <w:rPr>
      <w:rFonts w:hint="eastAsia" w:ascii="仿宋_GB2312" w:hAnsi="宋体" w:eastAsia="仿宋_GB2312"/>
      <w:kern w:val="0"/>
      <w:sz w:val="24"/>
    </w:rPr>
  </w:style>
  <w:style w:type="paragraph" w:customStyle="1" w:styleId="1300">
    <w:name w:val="font16"/>
    <w:basedOn w:val="1"/>
    <w:autoRedefine/>
    <w:qFormat/>
    <w:uiPriority w:val="0"/>
    <w:pPr>
      <w:widowControl/>
      <w:spacing w:before="100" w:beforeAutospacing="1" w:after="100" w:afterAutospacing="1"/>
      <w:jc w:val="left"/>
    </w:pPr>
    <w:rPr>
      <w:rFonts w:ascii="Tahoma" w:hAnsi="Tahoma" w:cs="Tahoma"/>
      <w:color w:val="000000"/>
      <w:kern w:val="0"/>
      <w:sz w:val="16"/>
      <w:szCs w:val="16"/>
    </w:rPr>
  </w:style>
  <w:style w:type="paragraph" w:customStyle="1" w:styleId="1301">
    <w:name w:val="xl198"/>
    <w:basedOn w:val="1"/>
    <w:autoRedefine/>
    <w:qFormat/>
    <w:uiPriority w:val="0"/>
    <w:pPr>
      <w:widowControl/>
      <w:pBdr>
        <w:bottom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1302">
    <w:name w:val="xl124"/>
    <w:basedOn w:val="1"/>
    <w:autoRedefine/>
    <w:qFormat/>
    <w:uiPriority w:val="0"/>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303">
    <w:name w:val="标准公文"/>
    <w:autoRedefine/>
    <w:qFormat/>
    <w:uiPriority w:val="0"/>
    <w:pPr>
      <w:widowControl w:val="0"/>
      <w:spacing w:line="520" w:lineRule="exact"/>
      <w:ind w:firstLine="560" w:firstLineChars="200"/>
      <w:jc w:val="both"/>
    </w:pPr>
    <w:rPr>
      <w:rFonts w:ascii="宋体" w:hAnsi="宋体" w:eastAsia="宋体" w:cs="Times New Roman"/>
      <w:sz w:val="28"/>
      <w:szCs w:val="34"/>
      <w:lang w:val="en-US" w:eastAsia="zh-CN" w:bidi="ar-SA"/>
    </w:rPr>
  </w:style>
  <w:style w:type="paragraph" w:customStyle="1" w:styleId="1304">
    <w:name w:val="xl77"/>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1305">
    <w:name w:val="样式 标题 3 + 宋体 四号"/>
    <w:basedOn w:val="5"/>
    <w:autoRedefine/>
    <w:qFormat/>
    <w:uiPriority w:val="0"/>
    <w:pPr>
      <w:tabs>
        <w:tab w:val="left" w:pos="1260"/>
      </w:tabs>
      <w:spacing w:line="360" w:lineRule="auto"/>
      <w:ind w:left="1260" w:hanging="420"/>
    </w:pPr>
    <w:rPr>
      <w:rFonts w:ascii="宋体" w:hAnsi="宋体" w:eastAsia="黑体" w:cs="宋体"/>
      <w:kern w:val="0"/>
      <w:sz w:val="28"/>
      <w:szCs w:val="20"/>
    </w:rPr>
  </w:style>
  <w:style w:type="paragraph" w:customStyle="1" w:styleId="1306">
    <w:name w:val="Body Text 21"/>
    <w:basedOn w:val="1"/>
    <w:autoRedefine/>
    <w:qFormat/>
    <w:uiPriority w:val="0"/>
    <w:pPr>
      <w:adjustRightInd w:val="0"/>
      <w:textAlignment w:val="baseline"/>
    </w:pPr>
    <w:rPr>
      <w:color w:val="000000"/>
      <w:sz w:val="24"/>
      <w:szCs w:val="20"/>
    </w:rPr>
  </w:style>
  <w:style w:type="paragraph" w:customStyle="1" w:styleId="1307">
    <w:name w:val="CM74"/>
    <w:basedOn w:val="1"/>
    <w:next w:val="1"/>
    <w:autoRedefine/>
    <w:qFormat/>
    <w:uiPriority w:val="0"/>
    <w:pPr>
      <w:autoSpaceDE w:val="0"/>
      <w:autoSpaceDN w:val="0"/>
      <w:adjustRightInd w:val="0"/>
      <w:spacing w:after="180"/>
      <w:jc w:val="left"/>
    </w:pPr>
    <w:rPr>
      <w:rFonts w:ascii="Sim Sun+ 2" w:eastAsia="Sim Sun+ 2" w:cs="Sim Sun+ 2"/>
      <w:kern w:val="0"/>
      <w:sz w:val="24"/>
    </w:rPr>
  </w:style>
  <w:style w:type="paragraph" w:customStyle="1" w:styleId="1308">
    <w:name w:val="前言"/>
    <w:basedOn w:val="1"/>
    <w:autoRedefine/>
    <w:qFormat/>
    <w:uiPriority w:val="0"/>
    <w:pPr>
      <w:spacing w:line="560" w:lineRule="exact"/>
      <w:jc w:val="center"/>
    </w:pPr>
    <w:rPr>
      <w:rFonts w:cs="宋体"/>
      <w:b/>
      <w:sz w:val="30"/>
      <w:szCs w:val="20"/>
    </w:rPr>
  </w:style>
  <w:style w:type="paragraph" w:customStyle="1" w:styleId="1309">
    <w:name w:val="CM4"/>
    <w:basedOn w:val="1"/>
    <w:next w:val="1"/>
    <w:autoRedefine/>
    <w:qFormat/>
    <w:uiPriority w:val="0"/>
    <w:pPr>
      <w:autoSpaceDE w:val="0"/>
      <w:autoSpaceDN w:val="0"/>
      <w:adjustRightInd w:val="0"/>
      <w:spacing w:line="520" w:lineRule="atLeast"/>
      <w:jc w:val="left"/>
    </w:pPr>
    <w:rPr>
      <w:rFonts w:ascii="宋体"/>
      <w:kern w:val="0"/>
      <w:sz w:val="24"/>
    </w:rPr>
  </w:style>
  <w:style w:type="paragraph" w:customStyle="1" w:styleId="1310">
    <w:name w:val="xl143"/>
    <w:basedOn w:val="1"/>
    <w:autoRedefine/>
    <w:qFormat/>
    <w:uiPriority w:val="0"/>
    <w:pPr>
      <w:widowControl/>
      <w:pBdr>
        <w:top w:val="single" w:color="auto" w:sz="8" w:space="0"/>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311">
    <w:name w:val="Char Char Char Char Char Char Char Char Char Char Char Char Char Char Char Char2"/>
    <w:basedOn w:val="1"/>
    <w:autoRedefine/>
    <w:qFormat/>
    <w:uiPriority w:val="0"/>
    <w:pPr>
      <w:widowControl/>
      <w:contextualSpacing/>
      <w:jc w:val="left"/>
    </w:pPr>
    <w:rPr>
      <w:rFonts w:cs="宋体"/>
      <w:kern w:val="0"/>
    </w:rPr>
  </w:style>
  <w:style w:type="paragraph" w:customStyle="1" w:styleId="1312">
    <w:name w:val="msoplaintextcxspmiddle"/>
    <w:basedOn w:val="1"/>
    <w:autoRedefine/>
    <w:qFormat/>
    <w:uiPriority w:val="0"/>
    <w:pPr>
      <w:widowControl/>
      <w:spacing w:before="100" w:beforeAutospacing="1" w:after="100" w:afterAutospacing="1"/>
      <w:contextualSpacing/>
      <w:jc w:val="left"/>
    </w:pPr>
    <w:rPr>
      <w:rFonts w:cs="宋体"/>
      <w:kern w:val="0"/>
    </w:rPr>
  </w:style>
  <w:style w:type="paragraph" w:customStyle="1" w:styleId="1313">
    <w:name w:val="聪表标题"/>
    <w:basedOn w:val="1"/>
    <w:autoRedefine/>
    <w:qFormat/>
    <w:uiPriority w:val="0"/>
    <w:pPr>
      <w:spacing w:line="360" w:lineRule="auto"/>
      <w:jc w:val="center"/>
    </w:pPr>
    <w:rPr>
      <w:rFonts w:ascii="黑体" w:hAnsi="黑体" w:eastAsia="黑体"/>
      <w:sz w:val="24"/>
    </w:rPr>
  </w:style>
  <w:style w:type="paragraph" w:customStyle="1" w:styleId="1314">
    <w:name w:val="Style"/>
    <w:autoRedefine/>
    <w:qFormat/>
    <w:uiPriority w:val="99"/>
    <w:pPr>
      <w:widowControl w:val="0"/>
      <w:autoSpaceDE w:val="0"/>
      <w:autoSpaceDN w:val="0"/>
      <w:adjustRightInd w:val="0"/>
    </w:pPr>
    <w:rPr>
      <w:rFonts w:ascii="TimesNewRomanPSMT" w:hAnsi="TimesNewRomanPSMT" w:eastAsia="宋体" w:cs="TimesNewRomanPSMT"/>
      <w:sz w:val="24"/>
      <w:szCs w:val="24"/>
      <w:lang w:val="zh" w:eastAsia="zh-CN" w:bidi="ar-SA"/>
    </w:rPr>
  </w:style>
  <w:style w:type="table" w:customStyle="1" w:styleId="1315">
    <w:name w:val="表格aaa1"/>
    <w:basedOn w:val="83"/>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16">
    <w:name w:val="环评用表4"/>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17">
    <w:name w:val="环评用表6"/>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18">
    <w:name w:val="网格型12"/>
    <w:basedOn w:val="83"/>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19">
    <w:name w:val="网格型11"/>
    <w:basedOn w:val="83"/>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0">
    <w:name w:val="表格样式pp1"/>
    <w:basedOn w:val="83"/>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21">
    <w:name w:val="网格型8"/>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2">
    <w:name w:val="网格型 52"/>
    <w:basedOn w:val="83"/>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23">
    <w:name w:val="网格型4"/>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4">
    <w:name w:val="无格式表格 41"/>
    <w:basedOn w:val="83"/>
    <w:autoRedefine/>
    <w:qFormat/>
    <w:uiPriority w:val="44"/>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F2F2F2"/>
      </w:tcPr>
    </w:tblStylePr>
    <w:tblStylePr w:type="band1Horz">
      <w:tcPr>
        <w:shd w:val="clear" w:color="auto" w:fill="F2F2F2"/>
      </w:tcPr>
    </w:tblStylePr>
  </w:style>
  <w:style w:type="table" w:customStyle="1" w:styleId="1325">
    <w:name w:val="网格型 51"/>
    <w:basedOn w:val="83"/>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26">
    <w:name w:val="网格型浅色1"/>
    <w:basedOn w:val="83"/>
    <w:autoRedefine/>
    <w:qFormat/>
    <w:uiPriority w:val="40"/>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table" w:customStyle="1" w:styleId="1327">
    <w:name w:val="无格式表格 31"/>
    <w:basedOn w:val="83"/>
    <w:autoRedefine/>
    <w:qFormat/>
    <w:uiPriority w:val="43"/>
    <w:tblStylePr w:type="firstRow">
      <w:rPr>
        <w:b/>
        <w:bCs/>
        <w:caps/>
      </w:rPr>
      <w:tcPr>
        <w:tcBorders>
          <w:top w:val="nil"/>
          <w:left w:val="single" w:color="7F7F7F" w:sz="4" w:space="0"/>
          <w:bottom w:val="nil"/>
          <w:right w:val="nil"/>
          <w:insideH w:val="nil"/>
          <w:insideV w:val="nil"/>
          <w:tl2br w:val="nil"/>
          <w:tr2bl w:val="nil"/>
        </w:tcBorders>
      </w:tcPr>
    </w:tblStylePr>
    <w:tblStylePr w:type="lastRow">
      <w:rPr>
        <w:b/>
        <w:bCs/>
        <w:caps/>
      </w:rPr>
      <w:tcPr>
        <w:tcBorders>
          <w:top w:val="nil"/>
          <w:left w:val="nil"/>
          <w:bottom w:val="nil"/>
          <w:right w:val="nil"/>
          <w:insideH w:val="nil"/>
          <w:insideV w:val="nil"/>
          <w:tl2br w:val="nil"/>
          <w:tr2bl w:val="nil"/>
        </w:tcBorders>
      </w:tcPr>
    </w:tblStylePr>
    <w:tblStylePr w:type="firstCol">
      <w:rPr>
        <w:b/>
        <w:bCs/>
        <w:caps/>
      </w:rPr>
      <w:tcPr>
        <w:tcBorders>
          <w:top w:val="nil"/>
          <w:left w:val="nil"/>
          <w:bottom w:val="nil"/>
          <w:right w:val="single" w:color="7F7F7F" w:sz="4" w:space="0"/>
          <w:insideH w:val="nil"/>
          <w:insideV w:val="nil"/>
          <w:tl2br w:val="nil"/>
          <w:tr2bl w:val="nil"/>
        </w:tcBorders>
      </w:tcPr>
    </w:tblStylePr>
    <w:tblStylePr w:type="lastCol">
      <w:rPr>
        <w:b/>
        <w:bCs/>
        <w:caps/>
      </w:rPr>
      <w:tcPr>
        <w:tcBorders>
          <w:top w:val="nil"/>
          <w:left w:val="nil"/>
          <w:bottom w:val="nil"/>
          <w:right w:val="nil"/>
          <w:insideH w:val="nil"/>
          <w:insideV w:val="nil"/>
          <w:tl2br w:val="nil"/>
          <w:tr2bl w:val="nil"/>
        </w:tcBorders>
      </w:tcPr>
    </w:tblStylePr>
    <w:tblStylePr w:type="band1Vert">
      <w:tcPr>
        <w:shd w:val="clear" w:color="auto" w:fill="F2F2F2"/>
      </w:tcPr>
    </w:tblStylePr>
    <w:tblStylePr w:type="band1Horz">
      <w:tcPr>
        <w:shd w:val="clear" w:color="auto" w:fill="F2F2F2"/>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style>
  <w:style w:type="table" w:customStyle="1" w:styleId="1328">
    <w:name w:val="网格型14"/>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9">
    <w:name w:val="环评用表10"/>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0">
    <w:name w:val="网格型6"/>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1">
    <w:name w:val="无格式表格 21"/>
    <w:basedOn w:val="83"/>
    <w:autoRedefine/>
    <w:qFormat/>
    <w:uiPriority w:val="42"/>
    <w:tblPr>
      <w:tblBorders>
        <w:top w:val="single" w:color="7F7F7F" w:sz="4" w:space="0"/>
        <w:bottom w:val="single" w:color="7F7F7F" w:sz="4" w:space="0"/>
      </w:tblBorders>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1332">
    <w:name w:val="环评用表41"/>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3">
    <w:name w:val="正文+宋体13"/>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4">
    <w:name w:val="环评用表42"/>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5">
    <w:name w:val="环评用表8"/>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6">
    <w:name w:val="表格主题（安）1"/>
    <w:basedOn w:val="83"/>
    <w:autoRedefine/>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7">
    <w:name w:val="网格型 11"/>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38">
    <w:name w:val="网格型2"/>
    <w:basedOn w:val="83"/>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9">
    <w:name w:val="网格型 13"/>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40">
    <w:name w:val="环评用表5"/>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41">
    <w:name w:val="表格样式12"/>
    <w:basedOn w:val="83"/>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42">
    <w:name w:val="环评用表1"/>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43">
    <w:name w:val="网格型（pxg）2"/>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4">
    <w:name w:val="专业型2"/>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1345">
    <w:name w:val="环评用表3"/>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46">
    <w:name w:val="网格型 12"/>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47">
    <w:name w:val="网格型1"/>
    <w:basedOn w:val="83"/>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8">
    <w:name w:val="正文+宋体11"/>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9">
    <w:name w:val="表格样式-tjgsqiu"/>
    <w:basedOn w:val="85"/>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50">
    <w:name w:val="网格型 111"/>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51">
    <w:name w:val="表格样式-tjgsqiu2"/>
    <w:basedOn w:val="85"/>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52">
    <w:name w:val="表格样式-tjgsqiu1"/>
    <w:basedOn w:val="85"/>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53">
    <w:name w:val="环评用表7"/>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54">
    <w:name w:val="正文+宋体1"/>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5">
    <w:name w:val="表格aaa"/>
    <w:basedOn w:val="83"/>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56">
    <w:name w:val="网格型（pxg）22"/>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7">
    <w:name w:val="网格型5"/>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8">
    <w:name w:val="网格型（pxg）11"/>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9">
    <w:name w:val="表格样式pp"/>
    <w:basedOn w:val="83"/>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60">
    <w:name w:val="环评用表9"/>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61">
    <w:name w:val="环评用表2"/>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62">
    <w:name w:val="表格样式11"/>
    <w:basedOn w:val="83"/>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63">
    <w:name w:val="网格型7"/>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64">
    <w:name w:val="网格型 14"/>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65">
    <w:name w:val="环评用表11"/>
    <w:basedOn w:val="83"/>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66">
    <w:name w:val="网格型13"/>
    <w:basedOn w:val="83"/>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67">
    <w:name w:val="网格型 113"/>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68">
    <w:name w:val="专业型3"/>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1369">
    <w:name w:val="表格aaa2"/>
    <w:basedOn w:val="83"/>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70">
    <w:name w:val="网格型 112"/>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71">
    <w:name w:val="正文+宋体12"/>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2">
    <w:name w:val="表格主题（安）2"/>
    <w:basedOn w:val="83"/>
    <w:autoRedefine/>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3">
    <w:name w:val="表格样式13"/>
    <w:basedOn w:val="83"/>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74">
    <w:name w:val="网格型（pxg）1"/>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5">
    <w:name w:val="网格型（pxg）21"/>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6">
    <w:name w:val="专业型1"/>
    <w:basedOn w:val="83"/>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1377">
    <w:name w:val="表格样式1"/>
    <w:basedOn w:val="83"/>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78">
    <w:name w:val="表格样式pp3"/>
    <w:basedOn w:val="83"/>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79">
    <w:name w:val="无格式表格 51"/>
    <w:basedOn w:val="83"/>
    <w:autoRedefine/>
    <w:qFormat/>
    <w:uiPriority w:val="45"/>
    <w:tblStylePr w:type="firstRow">
      <w:rPr>
        <w:rFonts w:ascii="MS Mincho" w:hAnsi="MS Mincho" w:eastAsia="Verdana" w:cs="Times New Roman"/>
        <w:i/>
        <w:iCs/>
        <w:sz w:val="26"/>
      </w:rPr>
      <w:tcPr>
        <w:tcBorders>
          <w:top w:val="nil"/>
          <w:left w:val="single" w:color="7F7F7F" w:sz="4" w:space="0"/>
          <w:bottom w:val="nil"/>
          <w:right w:val="nil"/>
          <w:insideH w:val="nil"/>
          <w:insideV w:val="nil"/>
          <w:tl2br w:val="nil"/>
          <w:tr2bl w:val="nil"/>
        </w:tcBorders>
        <w:shd w:val="clear" w:color="auto" w:fill="FFFFFF"/>
      </w:tcPr>
    </w:tblStylePr>
    <w:tblStylePr w:type="lastRow">
      <w:rPr>
        <w:rFonts w:ascii="MS Mincho" w:hAnsi="MS Mincho" w:eastAsia="Verdana" w:cs="Times New Roman"/>
        <w:i/>
        <w:iCs/>
        <w:sz w:val="26"/>
      </w:rPr>
      <w:tcPr>
        <w:tcBorders>
          <w:top w:val="single" w:color="7F7F7F" w:sz="4" w:space="0"/>
          <w:left w:val="nil"/>
          <w:bottom w:val="nil"/>
          <w:right w:val="nil"/>
          <w:insideH w:val="nil"/>
          <w:insideV w:val="nil"/>
          <w:tl2br w:val="nil"/>
          <w:tr2bl w:val="nil"/>
        </w:tcBorders>
        <w:shd w:val="clear" w:color="auto" w:fill="FFFFFF"/>
      </w:tcPr>
    </w:tblStylePr>
    <w:tblStylePr w:type="firstCol">
      <w:pPr>
        <w:jc w:val="right"/>
      </w:pPr>
      <w:rPr>
        <w:rFonts w:ascii="MS Mincho" w:hAnsi="MS Mincho" w:eastAsia="Verdana" w:cs="Times New Roman"/>
        <w:i/>
        <w:iCs/>
        <w:sz w:val="26"/>
      </w:rPr>
      <w:tcPr>
        <w:tcBorders>
          <w:top w:val="nil"/>
          <w:left w:val="nil"/>
          <w:bottom w:val="nil"/>
          <w:right w:val="single" w:color="7F7F7F" w:sz="4" w:space="0"/>
          <w:insideH w:val="nil"/>
          <w:insideV w:val="nil"/>
          <w:tl2br w:val="nil"/>
          <w:tr2bl w:val="nil"/>
        </w:tcBorders>
        <w:shd w:val="clear" w:color="auto" w:fill="FFFFFF"/>
      </w:tcPr>
    </w:tblStylePr>
    <w:tblStylePr w:type="lastCol">
      <w:rPr>
        <w:rFonts w:ascii="MS Mincho" w:hAnsi="MS Mincho" w:eastAsia="Verdana" w:cs="Times New Roman"/>
        <w:i/>
        <w:iCs/>
        <w:sz w:val="26"/>
      </w:rPr>
      <w:tcPr>
        <w:tcBorders>
          <w:top w:val="nil"/>
          <w:left w:val="nil"/>
          <w:bottom w:val="single" w:color="7F7F7F" w:sz="4" w:space="0"/>
          <w:right w:val="nil"/>
          <w:insideH w:val="nil"/>
          <w:insideV w:val="nil"/>
          <w:tl2br w:val="nil"/>
          <w:tr2bl w:val="nil"/>
        </w:tcBorders>
        <w:shd w:val="clear" w:color="auto" w:fill="FFFFFF"/>
      </w:tcPr>
    </w:tblStylePr>
    <w:tblStylePr w:type="band1Vert">
      <w:tcPr>
        <w:shd w:val="clear" w:color="auto" w:fill="F2F2F2"/>
      </w:tcPr>
    </w:tblStylePr>
    <w:tblStylePr w:type="band1Horz">
      <w:tcPr>
        <w:shd w:val="clear" w:color="auto" w:fill="F2F2F2"/>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tblStylePr w:type="seCell">
      <w:tcPr>
        <w:tcBorders>
          <w:top w:val="nil"/>
          <w:left w:val="nil"/>
          <w:bottom w:val="nil"/>
          <w:right w:val="nil"/>
          <w:insideH w:val="nil"/>
          <w:insideV w:val="nil"/>
          <w:tl2br w:val="nil"/>
          <w:tr2bl w:val="nil"/>
        </w:tcBorders>
      </w:tcPr>
    </w:tblStylePr>
    <w:tblStylePr w:type="swCell">
      <w:tcPr>
        <w:tcBorders>
          <w:top w:val="nil"/>
          <w:left w:val="nil"/>
          <w:bottom w:val="nil"/>
          <w:right w:val="nil"/>
          <w:insideH w:val="nil"/>
          <w:insideV w:val="nil"/>
          <w:tl2br w:val="nil"/>
          <w:tr2bl w:val="nil"/>
        </w:tcBorders>
      </w:tcPr>
    </w:tblStylePr>
  </w:style>
  <w:style w:type="table" w:customStyle="1" w:styleId="1380">
    <w:name w:val="表格样式pp2"/>
    <w:basedOn w:val="83"/>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81">
    <w:name w:val="网格型（pxg）12"/>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2">
    <w:name w:val="网格型3"/>
    <w:basedOn w:val="83"/>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3">
    <w:name w:val="表格主题（安）3"/>
    <w:basedOn w:val="83"/>
    <w:autoRedefine/>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4">
    <w:name w:val="网格型（pxg）23"/>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5">
    <w:name w:val="表格aaa3"/>
    <w:basedOn w:val="83"/>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86">
    <w:name w:val="表格样式-tjgsqiu3"/>
    <w:basedOn w:val="85"/>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87">
    <w:name w:val="网格型 53"/>
    <w:basedOn w:val="83"/>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88">
    <w:name w:val="网格型（pxg）13"/>
    <w:basedOn w:val="83"/>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89">
    <w:name w:val="环保表内字（五号）"/>
    <w:basedOn w:val="1"/>
    <w:autoRedefine/>
    <w:qFormat/>
    <w:uiPriority w:val="0"/>
    <w:pPr>
      <w:adjustRightInd w:val="0"/>
      <w:snapToGrid w:val="0"/>
      <w:spacing w:line="360" w:lineRule="auto"/>
      <w:ind w:firstLine="720" w:firstLineChars="200"/>
    </w:pPr>
    <w:rPr>
      <w:snapToGrid w:val="0"/>
      <w:kern w:val="0"/>
    </w:rPr>
  </w:style>
  <w:style w:type="table" w:customStyle="1" w:styleId="1390">
    <w:name w:val="Table Normal"/>
    <w:autoRedefine/>
    <w:semiHidden/>
    <w:unhideWhenUsed/>
    <w:qFormat/>
    <w:uiPriority w:val="0"/>
    <w:tblPr>
      <w:tblCellMar>
        <w:top w:w="0" w:type="dxa"/>
        <w:left w:w="0" w:type="dxa"/>
        <w:bottom w:w="0" w:type="dxa"/>
        <w:right w:w="0" w:type="dxa"/>
      </w:tblCellMar>
    </w:tblPr>
  </w:style>
  <w:style w:type="paragraph" w:customStyle="1" w:styleId="1391">
    <w:name w:val="正文11"/>
    <w:basedOn w:val="1"/>
    <w:autoRedefine/>
    <w:qFormat/>
    <w:uiPriority w:val="0"/>
    <w:pPr>
      <w:adjustRightInd w:val="0"/>
      <w:snapToGrid w:val="0"/>
      <w:spacing w:line="360" w:lineRule="auto"/>
      <w:ind w:firstLine="539"/>
    </w:pPr>
    <w:rPr>
      <w:rFonts w:ascii="宋体" w:hAnsi="宋体"/>
      <w:bCs/>
      <w:color w:val="FF0000"/>
      <w:spacing w:val="6"/>
      <w:kern w:val="0"/>
      <w:sz w:val="24"/>
    </w:rPr>
  </w:style>
  <w:style w:type="paragraph" w:customStyle="1" w:styleId="1392">
    <w:name w:val="新格式表"/>
    <w:basedOn w:val="1"/>
    <w:qFormat/>
    <w:uiPriority w:val="0"/>
    <w:pPr>
      <w:adjustRightInd w:val="0"/>
      <w:snapToGrid w:val="0"/>
      <w:spacing w:line="0" w:lineRule="atLeast"/>
      <w:jc w:val="center"/>
    </w:pPr>
    <w:rPr>
      <w:color w:val="000000"/>
      <w:kern w:val="0"/>
      <w:sz w:val="30"/>
      <w:szCs w:val="21"/>
    </w:rPr>
  </w:style>
  <w:style w:type="paragraph" w:customStyle="1" w:styleId="1393">
    <w:name w:val="Table Text"/>
    <w:basedOn w:val="1"/>
    <w:semiHidden/>
    <w:qFormat/>
    <w:uiPriority w:val="0"/>
    <w:rPr>
      <w:rFonts w:ascii="宋体" w:hAnsi="宋体" w:eastAsia="宋体" w:cs="宋体"/>
      <w:sz w:val="24"/>
      <w:szCs w:val="24"/>
      <w:lang w:val="en-US" w:eastAsia="en-US" w:bidi="ar-SA"/>
    </w:rPr>
  </w:style>
  <w:style w:type="paragraph" w:customStyle="1" w:styleId="1394">
    <w:name w:val="正文首行缩进 221"/>
    <w:basedOn w:val="33"/>
    <w:next w:val="1"/>
    <w:autoRedefine/>
    <w:qFormat/>
    <w:uiPriority w:val="0"/>
    <w:pPr>
      <w:spacing w:before="100" w:beforeAutospacing="1" w:line="360" w:lineRule="auto"/>
      <w:ind w:firstLine="420"/>
    </w:pPr>
    <w:rPr>
      <w:szCs w:val="24"/>
    </w:rPr>
  </w:style>
  <w:style w:type="paragraph" w:customStyle="1" w:styleId="1395">
    <w:name w:val="报告表-4"/>
    <w:basedOn w:val="1"/>
    <w:qFormat/>
    <w:uiPriority w:val="0"/>
    <w:pPr>
      <w:adjustRightInd w:val="0"/>
      <w:snapToGrid w:val="0"/>
      <w:spacing w:line="360" w:lineRule="auto"/>
      <w:ind w:firstLine="720" w:firstLineChars="200"/>
    </w:pPr>
    <w:rPr>
      <w:iCs/>
      <w:sz w:val="24"/>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4.xml"/><Relationship Id="rId5" Type="http://schemas.openxmlformats.org/officeDocument/2006/relationships/footer" Target="footer3.xml"/><Relationship Id="rId48" Type="http://schemas.openxmlformats.org/officeDocument/2006/relationships/fontTable" Target="fontTable.xml"/><Relationship Id="rId47" Type="http://schemas.openxmlformats.org/officeDocument/2006/relationships/customXml" Target="../customXml/item2.xml"/><Relationship Id="rId46" Type="http://schemas.openxmlformats.org/officeDocument/2006/relationships/numbering" Target="numbering.xml"/><Relationship Id="rId45" Type="http://schemas.openxmlformats.org/officeDocument/2006/relationships/customXml" Target="../customXml/item1.xml"/><Relationship Id="rId44" Type="http://schemas.openxmlformats.org/officeDocument/2006/relationships/image" Target="media/image31.jpe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footer" Target="footer2.xml"/><Relationship Id="rId39" Type="http://schemas.openxmlformats.org/officeDocument/2006/relationships/image" Target="media/image26.jpeg"/><Relationship Id="rId38" Type="http://schemas.openxmlformats.org/officeDocument/2006/relationships/image" Target="media/image25.emf"/><Relationship Id="rId37" Type="http://schemas.openxmlformats.org/officeDocument/2006/relationships/oleObject" Target="embeddings/oleObject6.bin"/><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jpeg"/><Relationship Id="rId32" Type="http://schemas.openxmlformats.org/officeDocument/2006/relationships/image" Target="media/image20.png"/><Relationship Id="rId31" Type="http://schemas.openxmlformats.org/officeDocument/2006/relationships/image" Target="media/image19.jpe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jpeg"/><Relationship Id="rId25" Type="http://schemas.openxmlformats.org/officeDocument/2006/relationships/image" Target="media/image13.jpeg"/><Relationship Id="rId24" Type="http://schemas.openxmlformats.org/officeDocument/2006/relationships/image" Target="media/image12.jpe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emf"/><Relationship Id="rId18" Type="http://schemas.openxmlformats.org/officeDocument/2006/relationships/oleObject" Target="embeddings/oleObject5.bin"/><Relationship Id="rId17" Type="http://schemas.openxmlformats.org/officeDocument/2006/relationships/image" Target="media/image6.emf"/><Relationship Id="rId16" Type="http://schemas.openxmlformats.org/officeDocument/2006/relationships/oleObject" Target="embeddings/oleObject4.bin"/><Relationship Id="rId15" Type="http://schemas.openxmlformats.org/officeDocument/2006/relationships/image" Target="media/image5.emf"/><Relationship Id="rId14" Type="http://schemas.openxmlformats.org/officeDocument/2006/relationships/oleObject" Target="embeddings/oleObject3.bin"/><Relationship Id="rId13" Type="http://schemas.openxmlformats.org/officeDocument/2006/relationships/image" Target="media/image4.emf"/><Relationship Id="rId12" Type="http://schemas.openxmlformats.org/officeDocument/2006/relationships/oleObject" Target="embeddings/oleObject2.bin"/><Relationship Id="rId11" Type="http://schemas.openxmlformats.org/officeDocument/2006/relationships/image" Target="media/image3.emf"/><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aa362433-30e2-4aa0-8f33-758119be4240</errorID>
      <errorWord>无需设置</errorWord>
      <group>L1_Word</group>
      <groupName>字词问题</groupName>
      <ability>L2_Alias</ability>
      <abilityName>也作/曾用词</abilityName>
      <candidateList>
        <item>无须设置</item>
      </candidateList>
      <explain>词汇[无需设置]为不规范表述或旧称，其规范书面表述为[无须设置]。</explain>
      <paraID>6FDD03B3</paraID>
      <start>9</start>
      <end>13</end>
      <status>unmodified</status>
      <modifiedWord/>
      <trackRevisions>false</trackRevisions>
    </reviewItem>
    <reviewItem>
      <errorID>3e813b46-17e9-408f-b20f-d21283aa1ac8</errorID>
      <errorWord>[2022]11号</errorWord>
      <group>L1_Knowledge</group>
      <groupName>知识性问题</groupName>
      <ability>L2_Knowledge</ability>
      <abilityName>其他知识</abilityName>
      <candidateList>
        <item>〔2022〕11号</item>
      </candidateList>
      <explain>发文字号格式错误。</explain>
      <paraID> 1FA6802</paraID>
      <start>52</start>
      <end>61</end>
      <status>unmodified</status>
      <modifiedWord/>
      <trackRevisions>false</trackRevisions>
    </reviewItem>
    <reviewItem>
      <errorID>b26f5556-5a6f-4104-99e2-31ef1afb02db</errorID>
      <errorWord>-</errorWord>
      <group>L1_Punc</group>
      <groupName>标点问题</groupName>
      <ability>L2_Punc_CN</ability>
      <abilityName>标点符号问题</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44A04B83</paraID>
      <start>45</start>
      <end>46</end>
      <status>unmodified</status>
      <modifiedWord/>
      <trackRevisions>false</trackRevisions>
    </reviewItem>
    <reviewItem>
      <errorID>22d99fac-1d99-4c3a-86c2-97a46dabdd9a</errorID>
      <errorWord>-</errorWord>
      <group>L1_Format</group>
      <groupName>格式问题</groupName>
      <ability>L2_HalfPunc_CN</ability>
      <abilityName>全半角问题</abilityName>
      <candidateList>
        <item>－</item>
      </candidateList>
      <explain>文本全半角错误。</explain>
      <paraID>44A04B83</paraID>
      <start>52</start>
      <end>53</end>
      <status>unmodified</status>
      <modifiedWord/>
      <trackRevisions>false</trackRevisions>
    </reviewItem>
    <reviewItem>
      <errorID>adea1b7b-7f79-48df-b784-03f527cc38bf</errorID>
      <errorWord>&lt;</errorWord>
      <group>L1_Format</group>
      <groupName>格式问题</groupName>
      <ability>L2_HalfPunc_CN</ability>
      <abilityName>全半角问题</abilityName>
      <candidateList>
        <item>〈</item>
      </candidateList>
      <explain>文本全半角错误。</explain>
      <paraID> 63A29A7</paraID>
      <start>34</start>
      <end>35</end>
      <status>unmodified</status>
      <modifiedWord/>
      <trackRevisions>false</trackRevisions>
    </reviewItem>
    <reviewItem>
      <errorID>54281404-7365-4497-8fe8-867639f9d8ef</errorID>
      <errorWord>&gt;的通知》</errorWord>
      <group>L1_Punc</group>
      <groupName>标点问题</groupName>
      <ability>L2_Punc_CN</ability>
      <abilityName>标点符号问题</abilityName>
      <candidateList>
        <item>〉的通知》</item>
      </candidateList>
      <explain/>
      <paraID> 63A29A7</paraID>
      <start>67</start>
      <end>72</end>
      <status>unmodified</status>
      <modifiedWord/>
      <trackRevisions>false</trackRevisions>
    </reviewItem>
    <reviewItem>
      <errorID>557f273b-4c87-44f3-9e55-836df070affb</errorID>
      <errorWord>-</errorWord>
      <group>L1_Punc</group>
      <groupName>标点问题</groupName>
      <ability>L2_Punc_CN</ability>
      <abilityName>标点符号问题</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4555FE77</paraID>
      <start>20</start>
      <end>21</end>
      <status>unmodified</status>
      <modifiedWord/>
      <trackRevisions>false</trackRevisions>
    </reviewItem>
    <reviewItem>
      <errorID>274535ca-72f4-487b-b8c9-683848cca7ef</errorID>
      <errorWord>或是</errorWord>
      <group>L1_Word</group>
      <groupName>字词问题</groupName>
      <ability>L2_Typo</ability>
      <abilityName>字词错误</abilityName>
      <candidateList>
        <item>或</item>
      </candidateList>
      <explain>❶〈副〉或许；也许：慰问团已经起程，明日上午～可到达。❷〈连〉或者v▲：～多～少｜不解决桥～船的问题，过河就是一句空话｜他生怕我没听清～不注意，所以又嘱咐了一遍。❸〈书〉〈代〉指示代词。某人；有的人：～告之曰。❹〈书〉副稍微：不可～缺｜不可～忽。</explain>
      <paraID>72D05465</paraID>
      <start>24</start>
      <end>26</end>
      <status>unmodified</status>
      <modifiedWord/>
      <trackRevisions>false</trackRevisions>
    </reviewItem>
    <reviewItem>
      <errorID>b6948bd8-7bce-42e3-ad74-9d23c5c8930c</errorID>
      <errorWord>进一步加强对</errorWord>
      <group>L1_Word</group>
      <groupName>字词问题</groupName>
      <ability>L2_Typo</ability>
      <abilityName>字词错误</abilityName>
      <candidateList>
        <item>进一步加强</item>
      </candidateList>
      <explain/>
      <paraID>72146236</paraID>
      <start>2</start>
      <end>8</end>
      <status>unmodified</status>
      <modifiedWord/>
      <trackRevisions>false</trackRevisions>
    </reviewItem>
    <reviewItem>
      <errorID>11d98c78-544d-4477-a2e4-b34c012c5122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6EACBED1</paraID>
      <start>0</start>
      <end>2</end>
      <status>unmodified</status>
      <modifiedWord/>
      <trackRevisions>false</trackRevisions>
    </reviewItem>
    <reviewItem>
      <errorID>727870ba-6b5a-4aa2-910d-00324f302943</errorID>
      <errorWord>期</errorWord>
      <group>L1_Word</group>
      <groupName>字词问题</groupName>
      <ability>L2_Typo</ability>
      <abilityName>字词错误</abilityName>
      <candidateList>
        <item>期间</item>
      </candidateList>
      <explain>〈名〉某个时期里面：农忙～｜春节～｜抗战～。</explain>
      <paraID>31A73E89</paraID>
      <start>7</start>
      <end>8</end>
      <status>unmodified</status>
      <modifiedWord/>
      <trackRevisions>false</trackRevisions>
    </reviewItem>
    <reviewItem>
      <errorID>8a975517-9032-495f-b035-95d0ad2e8b49</errorID>
      <errorWord>无废城市</errorWord>
      <group>L1_Political</group>
      <groupName>政治性问题</groupName>
      <ability>L2_Keyword</ability>
      <abilityName>固定表述</abilityName>
      <candidateList>
        <item>“无废城市”</item>
      </candidateList>
      <explain>注意检查当前固定表述标点是否使用规范。</explain>
      <paraID>15B3B4CB</paraID>
      <start>23</start>
      <end>27</end>
      <status>unmodified</status>
      <modifiedWord/>
      <trackRevisions>false</trackRevisions>
    </reviewItem>
    <reviewItem>
      <errorID>7828add2-75da-4c6d-aeb3-5707c79f998f</errorID>
      <errorWord>全</errorWord>
      <group>L1_Word</group>
      <groupName>字词问题</groupName>
      <ability>L2_Typo</ability>
      <abilityName>字词错误</abilityName>
      <candidateList>
        <item>全过</item>
      </candidateList>
      <explain/>
      <paraID>15B3B4CB</paraID>
      <start>57</start>
      <end>58</end>
      <status>unmodified</status>
      <modifiedWord/>
      <trackRevisions>false</trackRevisions>
    </reviewItem>
    <reviewItem>
      <errorID>90220991-0abc-417e-9b1f-a5173c52e530</errorID>
      <errorWord>全</errorWord>
      <group>L1_Word</group>
      <groupName>字词问题</groupName>
      <ability>L2_Typo</ability>
      <abilityName>字词错误</abilityName>
      <candidateList>
        <item>全过</item>
      </candidateList>
      <explain/>
      <paraID>4FF1791B</paraID>
      <start>47</start>
      <end>48</end>
      <status>unmodified</status>
      <modifiedWord/>
      <trackRevisions>false</trackRevisions>
    </reviewItem>
    <reviewItem>
      <errorID>4f5a58f6-3882-447c-9b2c-ca4b669aa640</errorID>
      <errorWord>[2022]5号</errorWord>
      <group>L1_Knowledge</group>
      <groupName>知识性问题</groupName>
      <ability>L2_Knowledge</ability>
      <abilityName>其他知识</abilityName>
      <candidateList>
        <item>〔2022〕5号</item>
      </candidateList>
      <explain>发文字号格式错误。</explain>
      <paraID> C10A890</paraID>
      <start>33</start>
      <end>41</end>
      <status>unmodified</status>
      <modifiedWord/>
      <trackRevisions>false</trackRevisions>
    </reviewItem>
    <reviewItem>
      <errorID>0ac02bf2-54a2-40ab-b064-0931df65f6e6</errorID>
      <errorWord>[2022]5号</errorWord>
      <group>L1_Knowledge</group>
      <groupName>知识性问题</groupName>
      <ability>L2_Knowledge</ability>
      <abilityName>其他知识</abilityName>
      <candidateList>
        <item>〔2022〕5号</item>
      </candidateList>
      <explain>发文字号格式错误。</explain>
      <paraID>6CCB947B</paraID>
      <start>13</start>
      <end>21</end>
      <status>unmodified</status>
      <modifiedWord/>
      <trackRevisions>false</trackRevisions>
    </reviewItem>
    <reviewItem>
      <errorID>c5424e28-096b-4ca1-af85-bc2163d43582</errorID>
      <errorWord>限值</errorWord>
      <group>L1_Word</group>
      <groupName>字词问题</groupName>
      <ability>L2_Typo</ability>
      <abilityName>字词错误</abilityName>
      <candidateList>
        <item>限制</item>
      </candidateList>
      <explain/>
      <paraID> 61348C5</paraID>
      <start>60</start>
      <end>62</end>
      <status>unmodified</status>
      <modifiedWord/>
      <trackRevisions>false</trackRevisions>
    </reviewItem>
    <reviewItem>
      <errorID>8ad9022e-c953-4314-bb81-d3f3afafd759</errorID>
      <errorWord>设</errorWord>
      <group>L1_Word</group>
      <groupName>字词问题</groupName>
      <ability>L2_Typo</ability>
      <abilityName>字词错误</abilityName>
      <candidateList>
        <item>设立</item>
      </candidateList>
      <explain/>
      <paraID>14554FD8</paraID>
      <start>5</start>
      <end>6</end>
      <status>unmodified</status>
      <modifiedWord/>
      <trackRevisions>false</trackRevisions>
    </reviewItem>
    <reviewItem>
      <errorID>214ceb45-09a9-41ae-baf3-40a3396f1469</errorID>
      <errorWord>设</errorWord>
      <group>L1_Word</group>
      <groupName>字词问题</groupName>
      <ability>L2_Typo</ability>
      <abilityName>字词错误</abilityName>
      <candidateList>
        <item>设立</item>
      </candidateList>
      <explain/>
      <paraID> C58F8C8</paraID>
      <start>5</start>
      <end>6</end>
      <status>unmodified</status>
      <modifiedWord/>
      <trackRevisions>false</trackRevisions>
    </reviewItem>
    <reviewItem>
      <errorID>95b1090d-9cdd-4d1b-ad2a-f172caf2fc62</errorID>
      <errorWord>设施</errorWord>
      <group>L1_Word</group>
      <groupName>字词问题</groupName>
      <ability>L2_Typo</ability>
      <abilityName>字词错误</abilityName>
      <candidateList>
        <item>设置</item>
      </candidateList>
      <explain>存在发音相近字词的误用。</explain>
      <paraID> DC1E1DE</paraID>
      <start>125</start>
      <end>127</end>
      <status>unmodified</status>
      <modifiedWord/>
      <trackRevisions>false</trackRevisions>
    </reviewItem>
    <reviewItem>
      <errorID>4c3fd75a-0134-4152-b89f-c095ee1a8259</errorID>
      <errorWord>;</errorWord>
      <group>L1_Format</group>
      <groupName>格式问题</groupName>
      <ability>L2_HalfPunc_CN</ability>
      <abilityName>全半角问题</abilityName>
      <candidateList>
        <item>；</item>
      </candidateList>
      <explain>文本全半角错误。</explain>
      <paraID> B68B387</paraID>
      <start>41</start>
      <end>42</end>
      <status>unmodified</status>
      <modifiedWord/>
      <trackRevisions>false</trackRevisions>
    </reviewItem>
    <reviewItem>
      <errorID>75379fec-225c-4d68-87e2-0c6b1d4c6f33</errorID>
      <errorWord>[2017]84号</errorWord>
      <group>L1_Knowledge</group>
      <groupName>知识性问题</groupName>
      <ability>L2_Knowledge</ability>
      <abilityName>其他知识</abilityName>
      <candidateList>
        <item>〔2017〕84号</item>
      </candidateList>
      <explain>发文字号格式错误。</explain>
      <paraID>35F27E1D</paraID>
      <start>38</start>
      <end>47</end>
      <status>unmodified</status>
      <modifiedWord/>
      <trackRevisions>false</trackRevisions>
    </reviewItem>
    <reviewItem>
      <errorID>7bff4ac5-3e0e-4482-ae3f-7756ec1801e6</errorID>
      <errorWord>[2017]84号</errorWord>
      <group>L1_Knowledge</group>
      <groupName>知识性问题</groupName>
      <ability>L2_Knowledge</ability>
      <abilityName>其他知识</abilityName>
      <candidateList>
        <item>〔2017〕84号</item>
      </candidateList>
      <explain>发文字号格式错误。</explain>
      <paraID>269DC33F</paraID>
      <start>13</start>
      <end>22</end>
      <status>unmodified</status>
      <modifiedWord/>
      <trackRevisions>false</trackRevisions>
    </reviewItem>
    <reviewItem>
      <errorID>f42e4287-a0e5-4a3e-84ab-ac3f6089e1a6</errorID>
      <errorWord>要求的</errorWord>
      <group>L1_Word</group>
      <groupName>字词问题</groupName>
      <ability>L2_Typo</ability>
      <abilityName>字词错误</abilityName>
      <candidateList>
        <item>要求</item>
      </candidateList>
      <explain>❶〈动〉提出具体愿望或条件，希望得到满足或实现：～转学｜～进步｜严格～自己。❷〈名〉所提出的具体愿望或条件：满足了他的～｜符合规定的～。</explain>
      <paraID>3BB7E82E</paraID>
      <start>123</start>
      <end>126</end>
      <status>unmodified</status>
      <modifiedWord/>
      <trackRevisions>false</trackRevisions>
    </reviewItem>
    <reviewItem>
      <errorID>3b35a44a-5d19-406a-b5a9-36f3214c91c9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7633317C</paraID>
      <start>0</start>
      <end>2</end>
      <status>unmodified</status>
      <modifiedWord/>
      <trackRevisions>false</trackRevisions>
    </reviewItem>
    <reviewItem>
      <errorID>6bbcb30c-97e7-401b-9458-956bd8364007</errorID>
      <errorWord>合量</errorWord>
      <group>L1_Word</group>
      <groupName>字词问题</groupName>
      <ability>L2_Typo</ability>
      <abilityName>字词错误</abilityName>
      <candidateList>
        <item>含量</item>
      </candidateList>
      <explain/>
      <paraID> 2D94754</paraID>
      <start>2</start>
      <end>4</end>
      <status>unmodified</status>
      <modifiedWord/>
      <trackRevisions>false</trackRevisions>
    </reviewItem>
    <reviewItem>
      <errorID>42359750-4c7b-421e-aa62-d1abcdbddc16</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5C681816</paraID>
      <start>0</start>
      <end>2</end>
      <status>unmodified</status>
      <modifiedWord/>
      <trackRevisions>false</trackRevisions>
    </reviewItem>
    <reviewItem>
      <errorID>603cf65f-5f89-45f4-bbde-d928f09f89dc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17A5746C</paraID>
      <start>0</start>
      <end>2</end>
      <status>unmodified</status>
      <modifiedWord/>
      <trackRevisions>false</trackRevisions>
    </reviewItem>
    <reviewItem>
      <errorID>6e2f6335-e32e-44bb-90cd-3261045101b9</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2B0AB38C</paraID>
      <start>0</start>
      <end>2</end>
      <status>unmodified</status>
      <modifiedWord/>
      <trackRevisions>false</trackRevisions>
    </reviewItem>
    <reviewItem>
      <errorID>363cce40-7362-461b-971c-63b27f2e68c2</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26002A9E</paraID>
      <start>0</start>
      <end>2</end>
      <status>unmodified</status>
      <modifiedWord/>
      <trackRevisions>false</trackRevisions>
    </reviewItem>
    <reviewItem>
      <errorID>5b55c6ee-3cee-4bb3-b05b-b4094f5773ef</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83F7E8D</paraID>
      <start>0</start>
      <end>2</end>
      <status>unmodified</status>
      <modifiedWord/>
      <trackRevisions>false</trackRevisions>
    </reviewItem>
    <reviewItem>
      <errorID>1cf5a825-ab84-41af-baf2-c96ce642dacd</errorID>
      <errorWord>：</errorWord>
      <group>L1_Format</group>
      <groupName>格式问题</groupName>
      <ability>L2_HalfPunc_CN</ability>
      <abilityName>全半角问题</abilityName>
      <candidateList>
        <item>:</item>
      </candidateList>
      <explain>文本全半角错误。</explain>
      <paraID>6BCA806D</paraID>
      <start>238</start>
      <end>239</end>
      <status>unmodified</status>
      <modifiedWord/>
      <trackRevisions>false</trackRevisions>
    </reviewItem>
    <reviewItem>
      <errorID>734dc8fb-1c61-41ae-984d-d348e595f75e</errorID>
      <errorWord>：</errorWord>
      <group>L1_Format</group>
      <groupName>格式问题</groupName>
      <ability>L2_HalfPunc_CN</ability>
      <abilityName>全半角问题</abilityName>
      <candidateList>
        <item>:</item>
      </candidateList>
      <explain>文本全半角错误。</explain>
      <paraID>6BCA806D</paraID>
      <start>257</start>
      <end>258</end>
      <status>unmodified</status>
      <modifiedWord/>
      <trackRevisions>false</trackRevisions>
    </reviewItem>
    <reviewItem>
      <errorID>67bf619c-dbfe-402c-ad83-66d2d67f455d</errorID>
      <errorWord>合量</errorWord>
      <group>L1_Word</group>
      <groupName>字词问题</groupName>
      <ability>L2_Typo</ability>
      <abilityName>字词错误</abilityName>
      <candidateList>
        <item>含量</item>
      </candidateList>
      <explain/>
      <paraID>2294C276</paraID>
      <start>2</start>
      <end>4</end>
      <status>unmodified</status>
      <modifiedWord/>
      <trackRevisions>false</trackRevisions>
    </reviewItem>
    <reviewItem>
      <errorID>b7a7308c-507a-4f69-9246-3b6682828e76</errorID>
      <errorWord>合量</errorWord>
      <group>L1_Word</group>
      <groupName>字词问题</groupName>
      <ability>L2_Typo</ability>
      <abilityName>字词错误</abilityName>
      <candidateList>
        <item>含量</item>
      </candidateList>
      <explain/>
      <paraID>25409492</paraID>
      <start>2</start>
      <end>4</end>
      <status>unmodified</status>
      <modifiedWord/>
      <trackRevisions>false</trackRevisions>
    </reviewItem>
    <reviewItem>
      <errorID>ac56b522-9b52-4a33-9793-f42f7762ae77</errorID>
      <errorWord>-</errorWord>
      <group>L1_Format</group>
      <groupName>格式问题</groupName>
      <ability>L2_HalfPunc_CN</ability>
      <abilityName>全半角问题</abilityName>
      <candidateList>
        <item>－</item>
      </candidateList>
      <explain>文本全半角错误。</explain>
      <paraID>1EF5C5E4</paraID>
      <start>16</start>
      <end>17</end>
      <status>unmodified</status>
      <modifiedWord/>
      <trackRevisions>false</trackRevisions>
    </reviewItem>
    <reviewItem>
      <errorID>b650e44c-6814-4728-b3fe-29e5f25a53a1</errorID>
      <errorWord>：</errorWord>
      <group>L1_Format</group>
      <groupName>格式问题</groupName>
      <ability>L2_HalfPunc_CN</ability>
      <abilityName>全半角问题</abilityName>
      <candidateList>
        <item>:</item>
      </candidateList>
      <explain>文本全半角错误。</explain>
      <paraID>1EF5C5E4</paraID>
      <start>145</start>
      <end>146</end>
      <status>unmodified</status>
      <modifiedWord/>
      <trackRevisions>false</trackRevisions>
    </reviewItem>
    <reviewItem>
      <errorID>3c91be9c-646c-4d12-ab2b-1338c77d47a4</errorID>
      <errorWord>-</errorWord>
      <group>L1_Format</group>
      <groupName>格式问题</groupName>
      <ability>L2_HalfPunc_CN</ability>
      <abilityName>全半角问题</abilityName>
      <candidateList>
        <item>－</item>
      </candidateList>
      <explain>文本全半角错误。</explain>
      <paraID>62871145</paraID>
      <start>12</start>
      <end>13</end>
      <status>unmodified</status>
      <modifiedWord/>
      <trackRevisions>false</trackRevisions>
    </reviewItem>
    <reviewItem>
      <errorID>1f248304-fccb-49d0-86ea-c6fb4a77f9e0</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5AC75255</paraID>
      <start>0</start>
      <end>3</end>
      <status>unmodified</status>
      <modifiedWord/>
      <trackRevisions>false</trackRevisions>
    </reviewItem>
    <reviewItem>
      <errorID>2582d6b3-d3d5-49ab-be7d-561d542bae48</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7C825D8C</paraID>
      <start>0</start>
      <end>3</end>
      <status>unmodified</status>
      <modifiedWord/>
      <trackRevisions>false</trackRevisions>
    </reviewItem>
    <reviewItem>
      <errorID>49e8aedf-e47d-400e-af83-c6654e6536a0</errorID>
      <errorWord>计</errorWord>
      <group>L1_Word</group>
      <groupName>字词问题</groupName>
      <ability>L2_Typo</ability>
      <abilityName>字词错误</abilityName>
      <candidateList>
        <item>计算</item>
      </candidateList>
      <explain/>
      <paraID>1F12149A</paraID>
      <start>21</start>
      <end>22</end>
      <status>unmodified</status>
      <modifiedWord/>
      <trackRevisions>false</trackRevisions>
    </reviewItem>
    <reviewItem>
      <errorID>bdf70529-9080-464e-8d9d-6313f96b18be</errorID>
      <errorWord>95%-99.5%</errorWord>
      <group>L1_Knowledge</group>
      <groupName>知识性问题</groupName>
      <ability>L2_Knowledge</ability>
      <abilityName>其他知识</abilityName>
      <candidateList>
        <item>95%—99.5%</item>
      </candidateList>
      <explain>1. “95%-99.5%”中的单位“%”仅出现在后一个数字上，容易引起歧义；根据《现代汉语标点符号数字用法规范手册》，数字表示范围两边需要使用统一的格式。2. 根据标点国标 4.13 中的规则，数字、时间或地域连接符应使用（视觉上更长的）“—”或“～”。</explain>
      <paraID>2FC40FBD</paraID>
      <start>100</start>
      <end>109</end>
      <status>unmodified</status>
      <modifiedWord/>
      <trackRevisions>false</trackRevisions>
    </reviewItem>
    <reviewItem>
      <errorID>9c78050d-6d8d-40be-b760-9d54ac4e12ba</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273E8EB7</paraID>
      <start>0</start>
      <end>3</end>
      <status>unmodified</status>
      <modifiedWord/>
      <trackRevisions>false</trackRevisions>
    </reviewItem>
    <reviewItem>
      <errorID>4d3c49c2-78d1-493c-b3bd-b17192c2dd62</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 BDD0962</paraID>
      <start>102</start>
      <end>103</end>
      <status>unmodified</status>
      <modifiedWord/>
      <trackRevisions>false</trackRevisions>
    </reviewItem>
    <reviewItem>
      <errorID>ea88b10f-861c-407b-baf7-d6030d85febb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6E3C9F39</paraID>
      <start>0</start>
      <end>2</end>
      <status>unmodified</status>
      <modifiedWord/>
      <trackRevisions>false</trackRevisions>
    </reviewItem>
    <reviewItem>
      <errorID>51a5f1a8-4463-42d9-941e-273cbd30b785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5A948BFA</paraID>
      <start>1</start>
      <end>3</end>
      <status>unmodified</status>
      <modifiedWord/>
      <trackRevisions>false</trackRevisions>
    </reviewItem>
    <reviewItem>
      <errorID>ef599645-befe-4ec2-8f5c-067b23f77806</errorID>
      <errorWord>氧氯化铪</errorWord>
      <group>L1_Knowledge</group>
      <groupName>知识性问题</groupName>
      <ability>L2_Term</ability>
      <abilityName>专业术语</abilityName>
      <candidateList>
        <item>氧氯化锆</item>
      </candidateList>
      <explain/>
      <paraID>317B4F7B</paraID>
      <start>28</start>
      <end>32</end>
      <status>unmodified</status>
      <modifiedWord/>
      <trackRevisions>false</trackRevisions>
    </reviewItem>
    <reviewItem>
      <errorID>67cbdd3d-26bd-4697-a77a-4aa33587ff0a</errorID>
      <errorWord>-</errorWord>
      <group>L1_Punc</group>
      <groupName>标点问题</groupName>
      <ability>L2_Punc_CN</ability>
      <abilityName>标点符号问题</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2A7423D3</paraID>
      <start>99</start>
      <end>100</end>
      <status>unmodified</status>
      <modifiedWord/>
      <trackRevisions>false</trackRevisions>
    </reviewItem>
    <reviewItem>
      <errorID>11dbd38a-8e9a-413e-8563-332926dc402e</errorID>
      <errorWord>交有</errorWord>
      <group>L1_Word</group>
      <groupName>字词问题</groupName>
      <ability>L2_Typo</ability>
      <abilityName>字词错误</abilityName>
      <candidateList>
        <item>交由</item>
      </candidateList>
      <explain/>
      <paraID>3028C893</paraID>
      <start>72</start>
      <end>74</end>
      <status>unmodified</status>
      <modifiedWord/>
      <trackRevisions>false</trackRevisions>
    </reviewItem>
    <reviewItem>
      <errorID>0fa195a2-24f4-4d18-a189-7f7eeee75c9f</errorID>
      <errorWord>[1999]113号</errorWord>
      <group>L1_Knowledge</group>
      <groupName>知识性问题</groupName>
      <ability>L2_Knowledge</ability>
      <abilityName>其他知识</abilityName>
      <candidateList>
        <item>〔1999〕113号</item>
      </candidateList>
      <explain>发文字号格式错误。</explain>
      <paraID>44D34F19</paraID>
      <start>29</start>
      <end>39</end>
      <status>unmodified</status>
      <modifiedWord/>
      <trackRevisions>false</trackRevisions>
    </reviewItem>
    <reviewItem>
      <errorID>3858c09e-3578-4fd4-9734-218b916fc2ee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52AD84C2</paraID>
      <start>0</start>
      <end>2</end>
      <status>unmodified</status>
      <modifiedWord/>
      <trackRevisions>false</trackRevisions>
    </reviewItem>
    <reviewItem>
      <errorID>632ff8a2-0974-45a2-96a0-23f520a372cd</errorID>
      <errorWord>月1日实施</errorWord>
      <group>L1_Word</group>
      <groupName>字词问题</groupName>
      <ability>L2_Typo</ability>
      <abilityName>字词错误</abilityName>
      <candidateList>
        <item>月1日起实施</item>
      </candidateList>
      <explain/>
      <paraID>7744C136</paraID>
      <start>35</start>
      <end>40</end>
      <status>unmodified</status>
      <modifiedWord/>
      <trackRevisions>false</trackRevisions>
    </reviewItem>
    <reviewItem>
      <errorID>e7b5b867-406f-43d2-a4ee-4bb41b9eebb8</errorID>
      <errorWord>项目2025年</errorWord>
      <group>L1_Word</group>
      <groupName>字词问题</groupName>
      <ability>L2_Typo</ability>
      <abilityName>字词错误</abilityName>
      <candidateList>
        <item>项目于2025年</item>
      </candidateList>
      <explain/>
      <paraID>7744C136</paraID>
      <start>42</start>
      <end>49</end>
      <status>unmodified</status>
      <modifiedWord/>
      <trackRevisions>false</trackRevisions>
    </reviewItem>
    <reviewItem>
      <errorID>47e58328-1ddb-4f85-a401-0b1a823144f7</errorID>
      <errorWord>终端用能清洁化</errorWord>
      <group>L1_Political</group>
      <groupName>政治性问题</groupName>
      <ability>L2_Keyword</ability>
      <abilityName>固定表述</abilityName>
      <candidateList>
        <item>终端用能电气化</item>
      </candidateList>
      <explain>词汇“终端用能电气化”在特定场景下为固定表述形式，请确认此处的“终端用能清洁化”是否存在不当。</explain>
      <paraID>29341D7A</paraID>
      <start>92</start>
      <end>99</end>
      <status>unmodified</status>
      <modifiedWord/>
      <trackRevisions>false</trackRevisions>
    </reviewItem>
    <reviewItem>
      <errorID>16c39b50-3026-4b80-a734-117926fe8a28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2D0592F</paraID>
      <start>0</start>
      <end>2</end>
      <status>unmodified</status>
      <modifiedWord/>
      <trackRevisions>false</trackRevisions>
    </reviewItem>
    <reviewItem>
      <errorID>6f309f70-e368-4b48-ac4a-cc3be0ffc24d</errorID>
      <errorWord>-</errorWord>
      <group>L1_Punc</group>
      <groupName>标点问题</groupName>
      <ability>L2_Punc_CN</ability>
      <abilityName>标点符号问题</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D9DA9A8</paraID>
      <start>54</start>
      <end>55</end>
      <status>unmodified</status>
      <modifiedWord/>
      <trackRevisions>false</trackRevisions>
    </reviewItem>
    <reviewItem>
      <errorID>454d88c2-ec7b-4f38-8048-b4ba2727d898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434BEF3A</paraID>
      <start>0</start>
      <end>2</end>
      <status>unmodified</status>
      <modifiedWord/>
      <trackRevisions>false</trackRevisions>
    </reviewItem>
    <reviewItem>
      <errorID>bf320e8f-2783-49c7-bd41-3502cdcd67b9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68CA2713</paraID>
      <start>0</start>
      <end>2</end>
      <status>unmodified</status>
      <modifiedWord/>
      <trackRevisions>false</trackRevisions>
    </reviewItem>
    <reviewItem>
      <errorID>ce6b6e56-04a3-4e71-93af-73cffd20e114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254BDDFF</paraID>
      <start>0</start>
      <end>2</end>
      <status>unmodified</status>
      <modifiedWord/>
      <trackRevisions>false</trackRevisions>
    </reviewItem>
    <reviewItem>
      <errorID>52cf3ad5-748b-448f-9792-925b21b43bd1</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4D5755EC</paraID>
      <start>0</start>
      <end>2</end>
      <status>unmodified</status>
      <modifiedWord/>
      <trackRevisions>false</trackRevisions>
    </reviewItem>
    <reviewItem>
      <errorID>bd405e26-2155-456a-a1fa-3f7f4d9d45c5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31293029</paraID>
      <start>0</start>
      <end>2</end>
      <status>unmodified</status>
      <modifiedWord/>
      <trackRevisions>false</trackRevisions>
    </reviewItem>
    <reviewItem>
      <errorID>eae3bf02-250b-4e8a-a378-baabfe945c9f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5F591367</paraID>
      <start>0</start>
      <end>2</end>
      <status>unmodified</status>
      <modifiedWord/>
      <trackRevisions>false</trackRevisions>
    </reviewItem>
    <reviewItem>
      <errorID>79d00705-e13f-4227-a8c2-1ff19dda654c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2A82F6A4</paraID>
      <start>0</start>
      <end>2</end>
      <status>unmodified</status>
      <modifiedWord/>
      <trackRevisions>false</trackRevisions>
    </reviewItem>
    <reviewItem>
      <errorID>2de208c1-a47b-46a4-8e95-464a26a69ff2</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1F77DA20</paraID>
      <start>0</start>
      <end>2</end>
      <status>unmodified</status>
      <modifiedWord/>
      <trackRevisions>false</trackRevisions>
    </reviewItem>
    <reviewItem>
      <errorID>0df190f3-fcb2-4852-851f-936b19f0f9a1</errorID>
      <errorWord>[2019]132号</errorWord>
      <group>L1_Knowledge</group>
      <groupName>知识性问题</groupName>
      <ability>L2_Knowledge</ability>
      <abilityName>其他知识</abilityName>
      <candidateList>
        <item>〔2019〕132号</item>
      </candidateList>
      <explain>发文字号格式错误。</explain>
      <paraID>200C305B</paraID>
      <start>37</start>
      <end>47</end>
      <status>unmodified</status>
      <modifiedWord/>
      <trackRevisions>false</trackRevisions>
    </reviewItem>
    <reviewItem>
      <errorID>55f74952-2bbd-4d8f-806b-bf5ab0eed407</errorID>
      <errorWord>，</errorWord>
      <group>L1_Word</group>
      <groupName>字词问题</groupName>
      <ability>L2_Typo</ability>
      <abilityName>字词错误</abilityName>
      <candidateList>
        <item>，对</item>
      </candidateList>
      <explain/>
      <paraID>200C305B</paraID>
      <start>156</start>
      <end>157</end>
      <status>unmodified</status>
      <modifiedWord/>
      <trackRevisions>false</trackRevisions>
    </reviewItem>
    <reviewItem>
      <errorID>cc34e33d-f6ec-4502-b362-066da8b00080</errorID>
      <errorWord>：</errorWord>
      <group>L1_Format</group>
      <groupName>格式问题</groupName>
      <ability>L2_HalfPunc_CN</ability>
      <abilityName>全半角问题</abilityName>
      <candidateList>
        <item>:</item>
      </candidateList>
      <explain>文本全半角错误。</explain>
      <paraID>1ADF4407</paraID>
      <start>123</start>
      <end>124</end>
      <status>unmodified</status>
      <modifiedWord/>
      <trackRevisions>false</trackRevisions>
    </reviewItem>
    <reviewItem>
      <errorID>e6168d6b-b713-434b-a177-fa93fc60192e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6DBDA2B2</paraID>
      <start>6</start>
      <end>8</end>
      <status>unmodified</status>
      <modifiedWord/>
      <trackRevisions>false</trackRevisions>
    </reviewItem>
    <reviewItem>
      <errorID>af1d8282-30a1-4eb4-b84b-e645eff077a6</errorID>
      <errorWord>来自于</errorWord>
      <group>L1_Grammar</group>
      <groupName>语法问题</groupName>
      <ability>L2_Grammar</ability>
      <abilityName>语法错误</abilityName>
      <candidateList>
        <item>来自</item>
      </candidateList>
      <explain>该表达中的“来自于”存在语义重复。【词汇解析】来自：表示“来源于”。包含了“于”的意思。</explain>
      <paraID>6AB5B16B</paraID>
      <start>7</start>
      <end>10</end>
      <status>unmodified</status>
      <modifiedWord/>
      <trackRevisions>false</trackRevisions>
    </reviewItem>
    <reviewItem>
      <errorID>65c65e7f-39ce-47b3-86b1-b63195e258f2</errorID>
      <errorWord>10%~20%</errorWord>
      <group>L1_Knowledge</group>
      <groupName>知识性问题</groupName>
      <ability>L2_Knowledge</ability>
      <abilityName>其他知识</abilityName>
      <candidateList>
        <item>10%～20%</item>
      </candidateList>
      <explain>1. “10%~20%”中的单位“%”仅出现在后一个数字上，容易引起歧义；根据《现代汉语标点符号数字用法规范手册》，数字表示范围两边需要使用统一的格式。2. 根据标点国标 4.13 中的规则，数字、时间或地域连接符应使用（视觉上更长的）“—”或“～”。</explain>
      <paraID>1B2144A3</paraID>
      <start>26</start>
      <end>33</end>
      <status>unmodified</status>
      <modifiedWord/>
      <trackRevisions>false</trackRevisions>
    </reviewItem>
    <reviewItem>
      <errorID>8f96bfb7-43f9-4e64-89d2-0c4bcc276565</errorID>
      <errorWord>（</errorWord>
      <group>L1_Format</group>
      <groupName>格式问题</groupName>
      <ability>L2_HalfPunc_CN</ability>
      <abilityName>全半角问题</abilityName>
      <candidateList>
        <item>(</item>
      </candidateList>
      <explain>文本全半角错误。</explain>
      <paraID>2C4FAE5A</paraID>
      <start>0</start>
      <end>1</end>
      <status>unmodified</status>
      <modifiedWord/>
      <trackRevisions>false</trackRevisions>
    </reviewItem>
    <reviewItem>
      <errorID>3787f6d8-42e2-4fd1-a8b2-08d98216b1f2</errorID>
      <errorWord>）</errorWord>
      <group>L1_Format</group>
      <groupName>格式问题</groupName>
      <ability>L2_HalfPunc_CN</ability>
      <abilityName>全半角问题</abilityName>
      <candidateList>
        <item>)</item>
      </candidateList>
      <explain>文本全半角错误。</explain>
      <paraID>2C4FAE5A</paraID>
      <start>2</start>
      <end>3</end>
      <status>unmodified</status>
      <modifiedWord/>
      <trackRevisions>false</trackRevisions>
    </reviewItem>
    <reviewItem>
      <errorID>9a39827f-ba72-4615-a5cb-cd28076f1cd9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7F31F2EE</paraID>
      <start>0</start>
      <end>2</end>
      <status>unmodified</status>
      <modifiedWord/>
      <trackRevisions>false</trackRevisions>
    </reviewItem>
    <reviewItem>
      <errorID>a2ab3221-761c-495e-b2f4-71d23dd05c08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65100C9A</paraID>
      <start>0</start>
      <end>2</end>
      <status>unmodified</status>
      <modifiedWord/>
      <trackRevisions>false</trackRevisions>
    </reviewItem>
    <reviewItem>
      <errorID>3e75a8ef-75ca-4958-b3e5-06643dcc2e26</errorID>
      <errorWord>-</errorWord>
      <group>L1_Format</group>
      <groupName>格式问题</groupName>
      <ability>L2_HalfPunc_CN</ability>
      <abilityName>全半角问题</abilityName>
      <candidateList>
        <item>－</item>
      </candidateList>
      <explain>文本全半角错误。</explain>
      <paraID>58BD9815</paraID>
      <start>75</start>
      <end>76</end>
      <status>unmodified</status>
      <modifiedWord/>
      <trackRevisions>false</trackRevisions>
    </reviewItem>
    <reviewItem>
      <errorID>7c870a5b-acbf-43bd-b22a-43c060a075fa</errorID>
      <errorWord>-</errorWord>
      <group>L1_Format</group>
      <groupName>格式问题</groupName>
      <ability>L2_HalfPunc_CN</ability>
      <abilityName>全半角问题</abilityName>
      <candidateList>
        <item>－</item>
      </candidateList>
      <explain>文本全半角错误。</explain>
      <paraID>2E0FD01E</paraID>
      <start>101</start>
      <end>102</end>
      <status>unmodified</status>
      <modifiedWord/>
      <trackRevisions>false</trackRevisions>
    </reviewItem>
    <reviewItem>
      <errorID>d89bd13d-f81a-4e06-8011-40d0b15a4406</errorID>
      <errorWord>-</errorWord>
      <group>L1_Format</group>
      <groupName>格式问题</groupName>
      <ability>L2_HalfPunc_CN</ability>
      <abilityName>全半角问题</abilityName>
      <candidateList>
        <item>－</item>
      </candidateList>
      <explain>文本全半角错误。</explain>
      <paraID>2E0FD01E</paraID>
      <start>107</start>
      <end>108</end>
      <status>unmodified</status>
      <modifiedWord/>
      <trackRevisions>false</trackRevisions>
    </reviewItem>
    <reviewItem>
      <errorID>21bacc11-62be-4318-8f8a-bc59ee231ab0</errorID>
      <errorWord>-</errorWord>
      <group>L1_Format</group>
      <groupName>格式问题</groupName>
      <ability>L2_HalfPunc_CN</ability>
      <abilityName>全半角问题</abilityName>
      <candidateList>
        <item>－</item>
      </candidateList>
      <explain>文本全半角错误。</explain>
      <paraID>2E0FD01E</paraID>
      <start>110</start>
      <end>111</end>
      <status>unmodified</status>
      <modifiedWord/>
      <trackRevisions>false</trackRevisions>
    </reviewItem>
    <reviewItem>
      <errorID>b3544fa8-976e-4678-b593-357c8b7a6713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461E9BD1</paraID>
      <start>0</start>
      <end>2</end>
      <status>unmodified</status>
      <modifiedWord/>
      <trackRevisions>false</trackRevisions>
    </reviewItem>
    <reviewItem>
      <errorID>ef656e43-8c4f-4d62-9b3c-948494a592e9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7FED60D3</paraID>
      <start>0</start>
      <end>2</end>
      <status>unmodified</status>
      <modifiedWord/>
      <trackRevisions>false</trackRevisions>
    </reviewItem>
    <reviewItem>
      <errorID>e34141e3-6ffe-4d33-955c-4ffd15c89e97</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1CABC489</paraID>
      <start>0</start>
      <end>2</end>
      <status>unmodified</status>
      <modifiedWord/>
      <trackRevisions>false</trackRevisions>
    </reviewItem>
    <reviewItem>
      <errorID>d2adb4c5-6826-4868-b4fd-00f7fc2e0d88</errorID>
      <errorWord>每个</errorWord>
      <group>L1_Word</group>
      <groupName>字词问题</groupName>
      <ability>L2_Typo</ability>
      <abilityName>字词错误</abilityName>
      <candidateList>
        <item>每隔</item>
      </candidateList>
      <explain>存在发音相同字词的误用。</explain>
      <paraID>786B6F8B</paraID>
      <start>20</start>
      <end>22</end>
      <status>unmodified</status>
      <modifiedWord/>
      <trackRevisions>false</trackRevisions>
    </reviewItem>
    <reviewItem>
      <errorID>86ce43ac-69a2-447e-afed-f7ec8a54ea1d</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54AD57B9</paraID>
      <start>0</start>
      <end>2</end>
      <status>unmodified</status>
      <modifiedWord/>
      <trackRevisions>false</trackRevisions>
    </reviewItem>
    <reviewItem>
      <errorID>3069c53d-e986-4647-ac9c-b62b3c18ea33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7794C1C4</paraID>
      <start>0</start>
      <end>2</end>
      <status>unmodified</status>
      <modifiedWord/>
      <trackRevisions>false</trackRevisions>
    </reviewItem>
    <reviewItem>
      <errorID>0a842a50-fad8-4ed2-9e13-3460b3004b13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4D05AF1A</paraID>
      <start>0</start>
      <end>2</end>
      <status>unmodified</status>
      <modifiedWord/>
      <trackRevisions>false</trackRevisions>
    </reviewItem>
    <reviewItem>
      <errorID>a335c693-1548-43ea-89bf-447ac5c62476</errorID>
      <errorWord>。，</errorWord>
      <group>L1_Punc</group>
      <groupName>标点问题</groupName>
      <ability>L2_Punc_CN</ability>
      <abilityName>标点符号问题</abilityName>
      <candidateList>
        <item>。</item>
      </candidateList>
      <explain/>
      <paraID>3937430D</paraID>
      <start>47</start>
      <end>49</end>
      <status>unmodified</status>
      <modifiedWord/>
      <trackRevisions>false</trackRevisions>
    </reviewItem>
    <reviewItem>
      <errorID>ed74abc2-33d0-41b4-b009-c28721a637d6</errorID>
      <errorWord>95%-99.5%</errorWord>
      <group>L1_Knowledge</group>
      <groupName>知识性问题</groupName>
      <ability>L2_Knowledge</ability>
      <abilityName>其他知识</abilityName>
      <candidateList>
        <item>95%—99.5%</item>
      </candidateList>
      <explain>1. “95%-99.5%”中的单位“%”仅出现在后一个数字上，容易引起歧义；根据《现代汉语标点符号数字用法规范手册》，数字表示范围两边需要使用统一的格式。2. 根据标点国标 4.13 中的规则，数字、时间或地域连接符应使用（视觉上更长的）“—”或“～”。</explain>
      <paraID>53390B5B</paraID>
      <start>100</start>
      <end>109</end>
      <status>unmodified</status>
      <modifiedWord/>
      <trackRevisions>false</trackRevisions>
    </reviewItem>
    <reviewItem>
      <errorID>56bdc8ec-64c5-4da8-a5bc-b96fe8c10a78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6390D4E5</paraID>
      <start>0</start>
      <end>2</end>
      <status>unmodified</status>
      <modifiedWord/>
      <trackRevisions>false</trackRevisions>
    </reviewItem>
    <reviewItem>
      <errorID>e99b627c-efde-467a-8f52-92269da93860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97D68E9</paraID>
      <start>0</start>
      <end>2</end>
      <status>unmodified</status>
      <modifiedWord/>
      <trackRevisions>false</trackRevisions>
    </reviewItem>
    <reviewItem>
      <errorID>53720838-fd46-4766-8da3-faf9ac277cbc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1806935B</paraID>
      <start>0</start>
      <end>2</end>
      <status>unmodified</status>
      <modifiedWord/>
      <trackRevisions>false</trackRevisions>
    </reviewItem>
    <reviewItem>
      <errorID>e5eb8b18-0465-4297-923a-a2aeb27a26d2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4B99E3B1</paraID>
      <start>0</start>
      <end>2</end>
      <status>unmodified</status>
      <modifiedWord/>
      <trackRevisions>false</trackRevisions>
    </reviewItem>
    <reviewItem>
      <errorID>3791d4bc-2cfc-4197-92d0-46ae7ff3ee43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6FD3259F</paraID>
      <start>0</start>
      <end>2</end>
      <status>unmodified</status>
      <modifiedWord/>
      <trackRevisions>false</trackRevisions>
    </reviewItem>
    <reviewItem>
      <errorID>b0841cfc-793c-456a-9592-4d6c3b726c7a</errorID>
      <errorWord>减震</errorWord>
      <group>L1_Word</group>
      <groupName>字词问题</groupName>
      <ability>L2_Typo</ability>
      <abilityName>字词错误</abilityName>
      <candidateList>
        <item>减振</item>
      </candidateList>
      <explain>存在发音相同字词的误用。</explain>
      <paraID>45E120A0</paraID>
      <start>19</start>
      <end>21</end>
      <status>unmodified</status>
      <modifiedWord/>
      <trackRevisions>false</trackRevisions>
    </reviewItem>
    <reviewItem>
      <errorID>4cab8c16-a34b-48b1-a426-3db554e6f7ff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1A8EE04E</paraID>
      <start>0</start>
      <end>2</end>
      <status>unmodified</status>
      <modifiedWord/>
      <trackRevisions>false</trackRevisions>
    </reviewItem>
    <reviewItem>
      <errorID>09d5c605-9ef8-4ab1-8884-b9ee416dd214</errorID>
      <errorWord>）</errorWord>
      <group>L1_Punc</group>
      <groupName>标点问题</groupName>
      <ability>L2_Punc_CN</ability>
      <abilityName>标点符号问题</abilityName>
      <candidateList/>
      <explain>此处标点可能未正确匹配，请检查句子中是否存在标点冗余、缺失或使用错误的情况。</explain>
      <paraID>6D44E32A</paraID>
      <start>35</start>
      <end>36</end>
      <status>unmodified</status>
      <modifiedWord/>
      <trackRevisions>false</trackRevisions>
    </reviewItem>
    <reviewItem>
      <errorID>de90e280-d260-4876-af71-e8004fd2ed15</errorID>
      <errorWord>，</errorWord>
      <group>L1_Word</group>
      <groupName>字词问题</groupName>
      <ability>L2_Typo</ability>
      <abilityName>字词错误</abilityName>
      <candidateList>
        <item>，采</item>
      </candidateList>
      <explain/>
      <paraID>6D44E32A</paraID>
      <start>48</start>
      <end>49</end>
      <status>unmodified</status>
      <modifiedWord/>
      <trackRevisions>false</trackRevisions>
    </reviewItem>
    <reviewItem>
      <errorID>6679e4f1-daa2-4ef0-841b-eb508928bfcc</errorID>
      <errorWord>（</errorWord>
      <group>L1_Format</group>
      <groupName>格式问题</groupName>
      <ability>L2_HalfPunc_CN</ability>
      <abilityName>全半角问题</abilityName>
      <candidateList>
        <item>(</item>
      </candidateList>
      <explain>文本全半角错误。</explain>
      <paraID>15B57969</paraID>
      <start>23</start>
      <end>24</end>
      <status>unmodified</status>
      <modifiedWord/>
      <trackRevisions>false</trackRevisions>
    </reviewItem>
    <reviewItem>
      <errorID>5e5ed896-a352-450a-b85e-6fa5cd90ebf2</errorID>
      <errorWord>）</errorWord>
      <group>L1_Format</group>
      <groupName>格式问题</groupName>
      <ability>L2_HalfPunc_CN</ability>
      <abilityName>全半角问题</abilityName>
      <candidateList>
        <item>)</item>
      </candidateList>
      <explain>文本全半角错误。</explain>
      <paraID>15B57969</paraID>
      <start>27</start>
      <end>28</end>
      <status>unmodified</status>
      <modifiedWord/>
      <trackRevisions>false</trackRevisions>
    </reviewItem>
    <reviewItem>
      <errorID>28402791-47ff-488a-9db5-e5445f17a768</errorID>
      <errorWord>:</errorWord>
      <group>L1_Format</group>
      <groupName>格式问题</groupName>
      <ability>L2_HalfPunc_CN</ability>
      <abilityName>全半角问题</abilityName>
      <candidateList>
        <item>：</item>
      </candidateList>
      <explain>文本全半角错误。</explain>
      <paraID>761A8E70</paraID>
      <start>11</start>
      <end>12</end>
      <status>unmodified</status>
      <modifiedWord/>
      <trackRevisions>false</trackRevisions>
    </reviewItem>
    <reviewItem>
      <errorID>f79d1c11-9b5a-48f2-bb95-49633cf16995</errorID>
      <errorWord>;</errorWord>
      <group>L1_Format</group>
      <groupName>格式问题</groupName>
      <ability>L2_HalfPunc_CN</ability>
      <abilityName>全半角问题</abilityName>
      <candidateList>
        <item>；</item>
      </candidateList>
      <explain>文本全半角错误。</explain>
      <paraID>6A971F48</paraID>
      <start>23</start>
      <end>24</end>
      <status>unmodified</status>
      <modifiedWord/>
      <trackRevisions>false</trackRevisions>
    </reviewItem>
    <reviewItem>
      <errorID>f1137418-7c6a-4b95-979b-5ac194a86f6c</errorID>
      <errorWord>（</errorWord>
      <group>L1_Format</group>
      <groupName>格式问题</groupName>
      <ability>L2_HalfPunc_CN</ability>
      <abilityName>全半角问题</abilityName>
      <candidateList>
        <item>(</item>
      </candidateList>
      <explain>文本全半角错误。</explain>
      <paraID>2A257E85</paraID>
      <start>39</start>
      <end>40</end>
      <status>unmodified</status>
      <modifiedWord/>
      <trackRevisions>false</trackRevisions>
    </reviewItem>
    <reviewItem>
      <errorID>b16437d2-b92b-472b-8426-b44881ad5bcd</errorID>
      <errorWord>）</errorWord>
      <group>L1_Format</group>
      <groupName>格式问题</groupName>
      <ability>L2_HalfPunc_CN</ability>
      <abilityName>全半角问题</abilityName>
      <candidateList>
        <item>)</item>
      </candidateList>
      <explain>文本全半角错误。</explain>
      <paraID>2A257E85</paraID>
      <start>43</start>
      <end>44</end>
      <status>unmodified</status>
      <modifiedWord/>
      <trackRevisions>false</trackRevisions>
    </reviewItem>
    <reviewItem>
      <errorID>ae986cab-6648-4d51-b9e4-ac5037397a58</errorID>
      <errorWord>a、</errorWord>
      <group>L1_Format</group>
      <groupName>格式问题</groupName>
      <ability>L2_Ordinal</ability>
      <abilityName>序号格式</abilityName>
      <candidateList>
        <item>a.</item>
      </candidateList>
      <explain>当前序号格式不规范，建议修改为规范格式[a.]。</explain>
      <paraID>65C7E1ED</paraID>
      <start>0</start>
      <end>2</end>
      <status>unmodified</status>
      <modifiedWord/>
      <trackRevisions>false</trackRevisions>
    </reviewItem>
    <reviewItem>
      <errorID>e40d50ab-69ae-4500-99d1-488c09d5afd2</errorID>
      <errorWord>b、</errorWord>
      <group>L1_Format</group>
      <groupName>格式问题</groupName>
      <ability>L2_Ordinal</ability>
      <abilityName>序号格式</abilityName>
      <candidateList>
        <item>b.</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6B457782</paraID>
      <start>0</start>
      <end>2</end>
      <status>unmodified</status>
      <modifiedWord/>
      <trackRevisions>false</trackRevisions>
    </reviewItem>
    <reviewItem>
      <errorID>b5784d5a-56ee-4498-bf0b-c0159699165c</errorID>
      <errorWord>其它</errorWord>
      <group>L1_Word</group>
      <groupName>字词问题</groupName>
      <ability>L2_Alias</ability>
      <abilityName>也作/曾用词</abilityName>
      <candidateList>
        <item>其他</item>
      </candidateList>
      <explain>词汇[其它]为不规范表述或旧称，其规范书面表述为[其他]。</explain>
      <paraID>3187D532</paraID>
      <start>16</start>
      <end>18</end>
      <status>unmodified</status>
      <modifiedWord/>
      <trackRevisions>false</trackRevisions>
    </reviewItem>
    <reviewItem>
      <errorID>c68e9129-a6ef-4d79-9fdd-672260405d50</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2F47CFEA</paraID>
      <start>0</start>
      <end>2</end>
      <status>unmodified</status>
      <modifiedWord/>
      <trackRevisions>false</trackRevisions>
    </reviewItem>
    <reviewItem>
      <errorID>6ad7bced-ef6d-4e86-b1fa-89ea6fc77714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46DCF38C</paraID>
      <start>0</start>
      <end>2</end>
      <status>unmodified</status>
      <modifiedWord/>
      <trackRevisions>false</trackRevisions>
    </reviewItem>
    <reviewItem>
      <errorID>8e30c661-c0f9-4602-8345-5bd99ae1ba40</errorID>
      <errorWord>交有</errorWord>
      <group>L1_Word</group>
      <groupName>字词问题</groupName>
      <ability>L2_Typo</ability>
      <abilityName>字词错误</abilityName>
      <candidateList>
        <item>交由</item>
      </candidateList>
      <explain/>
      <paraID>57C1CF1C</paraID>
      <start>243</start>
      <end>245</end>
      <status>unmodified</status>
      <modifiedWord/>
      <trackRevisions>false</trackRevisions>
    </reviewItem>
    <reviewItem>
      <errorID>6065c920-a061-43fe-a9ec-5a9fae4c0697</errorID>
      <errorWord>&lt;</errorWord>
      <group>L1_Format</group>
      <groupName>格式问题</groupName>
      <ability>L2_HalfPunc_CN</ability>
      <abilityName>全半角问题</abilityName>
      <candidateList>
        <item>〈</item>
      </candidateList>
      <explain>文本全半角错误。</explain>
      <paraID>76AC4390</paraID>
      <start>15</start>
      <end>16</end>
      <status>unmodified</status>
      <modifiedWord/>
      <trackRevisions>false</trackRevisions>
    </reviewItem>
    <reviewItem>
      <errorID>f54052e2-2617-4b16-b377-eb0060c51812</errorID>
      <errorWord>&gt;》</errorWord>
      <group>L1_Punc</group>
      <groupName>标点问题</groupName>
      <ability>L2_Punc_CN</ability>
      <abilityName>标点符号问题</abilityName>
      <candidateList>
        <item>》</item>
      </candidateList>
      <explain/>
      <paraID>76AC4390</paraID>
      <start>38</start>
      <end>40</end>
      <status>unmodified</status>
      <modifiedWord/>
      <trackRevisions>false</trackRevisions>
    </reviewItem>
    <reviewItem>
      <errorID>1ab80a81-4167-4163-a363-9e4cd9de38e0</errorID>
      <errorWord>通知中</errorWord>
      <group>L1_Word</group>
      <groupName>字词问题</groupName>
      <ability>L2_Typo</ability>
      <abilityName>字词错误</abilityName>
      <candidateList>
        <item>通知</item>
      </candidateList>
      <explain>❶〈动〉把事项告诉人知道：你回去～大家，明天就动工｜你走以前～我一声。❷〈名〉通知事项的文书或口信：把～发出去｜口头～。</explain>
      <paraID>76AC4390</paraID>
      <start>41</start>
      <end>44</end>
      <status>unmodified</status>
      <modifiedWord/>
      <trackRevisions>false</trackRevisions>
    </reviewItem>
    <reviewItem>
      <errorID>85ee5275-5cd3-4241-90c3-52784f3fc959</errorID>
      <errorWord>[2017]43号</errorWord>
      <group>L1_Knowledge</group>
      <groupName>知识性问题</groupName>
      <ability>L2_Knowledge</ability>
      <abilityName>其他知识</abilityName>
      <candidateList>
        <item>〔2017〕43号</item>
      </candidateList>
      <explain>发文字号格式错误。</explain>
      <paraID> 8ACC773</paraID>
      <start>26</start>
      <end>35</end>
      <status>unmodified</status>
      <modifiedWord/>
      <trackRevisions>false</trackRevisions>
    </reviewItem>
    <reviewItem>
      <errorID>ecc388f9-bea4-47e4-aae6-6d98cc28488e</errorID>
      <errorWord>，</errorWord>
      <group>L1_Format</group>
      <groupName>格式问题</groupName>
      <ability>L2_HalfPunc_CN</ability>
      <abilityName>全半角问题</abilityName>
      <candidateList>
        <item>,</item>
      </candidateList>
      <explain>文本全半角错误。</explain>
      <paraID>38BF32B0</paraID>
      <start>3</start>
      <end>4</end>
      <status>unmodified</status>
      <modifiedWord/>
      <trackRevisions>false</trackRevisions>
    </reviewItem>
    <reviewItem>
      <errorID>fda3f9c9-a623-4346-9046-449e0797afd3</errorID>
      <errorWord>，</errorWord>
      <group>L1_Format</group>
      <groupName>格式问题</groupName>
      <ability>L2_HalfPunc_CN</ability>
      <abilityName>全半角问题</abilityName>
      <candidateList>
        <item>,</item>
      </candidateList>
      <explain>文本全半角错误。</explain>
      <paraID>438AAB42</paraID>
      <start>3</start>
      <end>4</end>
      <status>unmodified</status>
      <modifiedWord/>
      <trackRevisions>false</trackRevisions>
    </reviewItem>
    <reviewItem>
      <errorID>d7aa2cf8-82af-4644-b25f-6c816813db40</errorID>
      <errorWord>情况及</errorWord>
      <group>L1_Word</group>
      <groupName>字词问题</groupName>
      <ability>L2_Typo</ability>
      <abilityName>字词错误</abilityName>
      <candidateList>
        <item>情况</item>
      </candidateList>
      <explain>〈名〉❶情形：思想～｜工作～｜～特殊。❷指军事上的变化，泛指事情的变化、动向：这两天前线没有什么～｜他俩的关系最近又有了新的～。</explain>
      <paraID> C3C9AE1</paraID>
      <start>9</start>
      <end>12</end>
      <status>unmodified</status>
      <modifiedWord/>
      <trackRevisions>false</trackRevisions>
    </reviewItem>
    <reviewItem>
      <errorID>417588d4-a999-4862-b6d6-dcd51e39e68f</errorID>
      <errorWord>，</errorWord>
      <group>L1_Format</group>
      <groupName>格式问题</groupName>
      <ability>L2_HalfPunc_CN</ability>
      <abilityName>全半角问题</abilityName>
      <candidateList>
        <item>,</item>
      </candidateList>
      <explain>文本全半角错误。</explain>
      <paraID>272C8DD1</paraID>
      <start>4</start>
      <end>5</end>
      <status>unmodified</status>
      <modifiedWord/>
      <trackRevisions>false</trackRevisions>
    </reviewItem>
    <reviewItem>
      <errorID>5cb47e73-7531-4ba2-8a00-c46124feb2e4</errorID>
      <errorWord>、</errorWord>
      <group>L1_Punc</group>
      <groupName>标点问题</groupName>
      <ability>L2_Punc_CN</ability>
      <abilityName>标点符号问题</abilityName>
      <candidateList>
        <item>.</item>
      </candidateList>
      <explain/>
      <paraID>6C13EC38</paraID>
      <start>1</start>
      <end>2</end>
      <status>unmodified</status>
      <modifiedWord/>
      <trackRevisions>false</trackRevisions>
    </reviewItem>
    <reviewItem>
      <errorID>ee9394e9-c88e-4b83-8e5d-c2edeef585ee</errorID>
      <errorWord>，</errorWord>
      <group>L1_Format</group>
      <groupName>格式问题</groupName>
      <ability>L2_HalfPunc_CN</ability>
      <abilityName>全半角问题</abilityName>
      <candidateList>
        <item>,</item>
      </candidateList>
      <explain>文本全半角错误。</explain>
      <paraID>5D6E7ABB</paraID>
      <start>4</start>
      <end>5</end>
      <status>unmodified</status>
      <modifiedWord/>
      <trackRevisions>false</trackRevisions>
    </reviewItem>
    <reviewItem>
      <errorID>fdcff50a-0003-4b4c-918d-6f8e3742b44c</errorID>
      <errorWord>、</errorWord>
      <group>L1_Punc</group>
      <groupName>标点问题</groupName>
      <ability>L2_Punc_CN</ability>
      <abilityName>标点符号问题</abilityName>
      <candidateList>
        <item>.</item>
      </candidateList>
      <explain/>
      <paraID>39DAF77E</paraID>
      <start>1</start>
      <end>2</end>
      <status>unmodified</status>
      <modifiedWord/>
      <trackRevisions>false</trackRevisions>
    </reviewItem>
    <reviewItem>
      <errorID>95870339-e024-48cb-bc74-9071e874fdbd</errorID>
      <errorWord>，</errorWord>
      <group>L1_Format</group>
      <groupName>格式问题</groupName>
      <ability>L2_HalfPunc_CN</ability>
      <abilityName>全半角问题</abilityName>
      <candidateList>
        <item>,</item>
      </candidateList>
      <explain>文本全半角错误。</explain>
      <paraID>35E55FE8</paraID>
      <start>4</start>
      <end>5</end>
      <status>unmodified</status>
      <modifiedWord/>
      <trackRevisions>false</trackRevisions>
    </reviewItem>
    <reviewItem>
      <errorID>99bf5b31-6029-4bc8-8b3d-d329e91ff095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680D5EEE</paraID>
      <start>0</start>
      <end>2</end>
      <status>unmodified</status>
      <modifiedWord/>
      <trackRevisions>false</trackRevisions>
    </reviewItem>
    <reviewItem>
      <errorID>baea758f-d7f1-4870-869d-2f1a6595c1c3</errorID>
      <errorWord>严谨烟火</errorWord>
      <group>L1_Word</group>
      <groupName>字词问题</groupName>
      <ability>L2_Typo</ability>
      <abilityName>字词错误</abilityName>
      <candidateList>
        <item>严禁烟火</item>
      </candidateList>
      <explain/>
      <paraID>5D11B133</paraID>
      <start>147</start>
      <end>151</end>
      <status>unmodified</status>
      <modifiedWord/>
      <trackRevisions>false</trackRevisions>
    </reviewItem>
    <reviewItem>
      <errorID>951eede2-e39b-4065-a913-497d989c8e3b</errorID>
      <errorWord>，</errorWord>
      <group>L1_Format</group>
      <groupName>格式问题</groupName>
      <ability>L2_HalfPunc_CN</ability>
      <abilityName>全半角问题</abilityName>
      <candidateList>
        <item>,</item>
      </candidateList>
      <explain>文本全半角错误。</explain>
      <paraID>7391F5CE</paraID>
      <start>4</start>
      <end>5</end>
      <status>unmodified</status>
      <modifiedWord/>
      <trackRevisions>false</trackRevisions>
    </reviewItem>
    <reviewItem>
      <errorID>cf571edf-9634-4868-a778-223094c6079d</errorID>
      <errorWord>，</errorWord>
      <group>L1_Format</group>
      <groupName>格式问题</groupName>
      <ability>L2_HalfPunc_CN</ability>
      <abilityName>全半角问题</abilityName>
      <candidateList>
        <item>,</item>
      </candidateList>
      <explain>文本全半角错误。</explain>
      <paraID>1C7B01C3</paraID>
      <start>4</start>
      <end>5</end>
      <status>unmodified</status>
      <modifiedWord/>
      <trackRevisions>false</trackRevisions>
    </reviewItem>
    <reviewItem>
      <errorID>42987494-016d-4be4-9d90-a5e4a4e5ce69</errorID>
      <errorWord>，</errorWord>
      <group>L1_Format</group>
      <groupName>格式问题</groupName>
      <ability>L2_HalfPunc_CN</ability>
      <abilityName>全半角问题</abilityName>
      <candidateList>
        <item>,</item>
      </candidateList>
      <explain>文本全半角错误。</explain>
      <paraID>3134810F</paraID>
      <start>4</start>
      <end>5</end>
      <status>unmodified</status>
      <modifiedWord/>
      <trackRevisions>false</trackRevisions>
    </reviewItem>
    <reviewItem>
      <errorID>49692163-aa9b-41e2-afe6-d169bbf8c786</errorID>
      <errorWord>作好</errorWord>
      <group>L1_Word</group>
      <groupName>字词问题</groupName>
      <ability>L2_Typo</ability>
      <abilityName>字词错误</abilityName>
      <candidateList>
        <item>做好</item>
      </candidateList>
      <explain>存在发音相同字词的误用。</explain>
      <paraID>7C6A34E0</paraID>
      <start>6</start>
      <end>8</end>
      <status>unmodified</status>
      <modifiedWord/>
      <trackRevisions>false</trackRevisions>
    </reviewItem>
    <reviewItem>
      <errorID>22f910ce-f94a-4729-9a51-328e08441eb9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16F55C56</paraID>
      <start>0</start>
      <end>2</end>
      <status>unmodified</status>
      <modifiedWord/>
      <trackRevisions>false</trackRevisions>
    </reviewItem>
    <reviewItem>
      <errorID>e63345b4-d0a5-4fc1-96e8-63f63a94f836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54FDEDF1</paraID>
      <start>0</start>
      <end>2</end>
      <status>unmodified</status>
      <modifiedWord/>
      <trackRevisions>false</trackRevisions>
    </reviewItem>
    <reviewItem>
      <errorID>6dc59280-506f-4a6b-8152-1a992031dbaf</errorID>
      <errorWord>-</errorWord>
      <group>L1_Punc</group>
      <groupName>标点问题</groupName>
      <ability>L2_Punc_CN</ability>
      <abilityName>标点符号问题</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359E685D</paraID>
      <start>62</start>
      <end>63</end>
      <status>unmodified</status>
      <modifiedWord/>
      <trackRevisions>false</trackRevisions>
    </reviewItem>
    <reviewItem>
      <errorID>949d065f-18c9-4c11-8d69-d6c788a870e6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3852D141</paraID>
      <start>0</start>
      <end>2</end>
      <status>unmodified</status>
      <modifiedWord/>
      <trackRevisions>false</trackRevisions>
    </reviewItem>
    <reviewItem>
      <errorID>f5cb9e8d-692c-42c8-b6e8-54fcb2094624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17AAF6A</paraID>
      <start>0</start>
      <end>2</end>
      <status>unmodified</status>
      <modifiedWord/>
      <trackRevisions>false</trackRevisions>
    </reviewItem>
    <reviewItem>
      <errorID>276099ae-83d8-4637-ab8c-9499a14f00dd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3060FFFC</paraID>
      <start>0</start>
      <end>2</end>
      <status>unmodified</status>
      <modifiedWord/>
      <trackRevisions>false</trackRevisions>
    </reviewItem>
    <reviewItem>
      <errorID>02e2aeb8-2bab-4958-8929-26309f470ee3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2D2099A4</paraID>
      <start>0</start>
      <end>2</end>
      <status>unmodified</status>
      <modifiedWord/>
      <trackRevisions>false</trackRevisions>
    </reviewItem>
    <reviewItem>
      <errorID>e9deedbc-3c17-4d14-ab2e-1c048443679f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126D91F1</paraID>
      <start>0</start>
      <end>2</end>
      <status>unmodified</status>
      <modifiedWord/>
      <trackRevisions>false</trackRevisions>
    </reviewItem>
    <reviewItem>
      <errorID>45a8f896-252d-492d-9bf8-4bb13a298715</errorID>
      <errorWord>电器设备</errorWord>
      <group>L1_Word</group>
      <groupName>字词问题</groupName>
      <ability>L2_Typo</ability>
      <abilityName>字词错误</abilityName>
      <candidateList>
        <item>电气设备</item>
      </candidateList>
      <explain/>
      <paraID>2CEAF331</paraID>
      <start>75</start>
      <end>79</end>
      <status>unmodified</status>
      <modifiedWord/>
      <trackRevisions>false</trackRevisions>
    </reviewItem>
    <reviewItem>
      <errorID>64946afc-3026-4ee1-819c-b4d1be5220a5</errorID>
      <errorWord>电气</errorWord>
      <group>L1_Word</group>
      <groupName>字词问题</groupName>
      <ability>L2_Typo</ability>
      <abilityName>字词错误</abilityName>
      <candidateList>
        <item>电器</item>
      </candidateList>
      <explain>存在发音相同字词的误用。</explain>
      <paraID>2CEAF331</paraID>
      <start>131</start>
      <end>133</end>
      <status>unmodified</status>
      <modifiedWord/>
      <trackRevisions>false</trackRevisions>
    </reviewItem>
    <reviewItem>
      <errorID>3b555427-ebe9-4166-b6e2-7e0b097c9c00</errorID>
      <errorWord>提高</errorWord>
      <group>L1_Grammar</group>
      <groupName>语法问题</groupName>
      <ability>L2_Grammar</ability>
      <abilityName>语法错误</abilityName>
      <candidateList>
        <item>增强</item>
      </candidateList>
      <explain>“提高～意识”搭配不当，建议修改为“增强～意识”。</explain>
      <paraID> FA8A723</paraID>
      <start>72</start>
      <end>74</end>
      <status>unmodified</status>
      <modifiedWord/>
      <trackRevisions>false</trackRevisions>
    </reviewItem>
    <reviewItem>
      <errorID>448a5ffc-aba5-440d-bdde-e6b12c879f98</errorID>
      <errorWord>减震</errorWord>
      <group>L1_Word</group>
      <groupName>字词问题</groupName>
      <ability>L2_Typo</ability>
      <abilityName>字词错误</abilityName>
      <candidateList>
        <item>减振</item>
      </candidateList>
      <explain>存在发音相同字词的误用。</explain>
      <paraID> 50717DE</paraID>
      <start>12</start>
      <end>14</end>
      <status>unmodified</status>
      <modifiedWord/>
      <trackRevisions>false</trackRevisions>
    </reviewItem>
    <reviewItem>
      <errorID>ccd8d253-d34a-48eb-b930-39ff51faac4c</errorID>
      <errorWord>有关的情况和</errorWord>
      <group>L1_Word</group>
      <groupName>字词问题</groupName>
      <ability>L2_Typo</ability>
      <abilityName>字词错误</abilityName>
      <candidateList>
        <item>有关情况和</item>
      </candidateList>
      <explain/>
      <paraID>489DF7FE</paraID>
      <start>68</start>
      <end>74</end>
      <status>unmodified</status>
      <modifiedWord/>
      <trackRevisions>false</trackRevisions>
    </reviewItem>
    <reviewItem>
      <errorID>fc6d0cb5-cf82-43c7-9017-9486191d6873</errorID>
      <errorWord>各</errorWord>
      <group>L1_Word</group>
      <groupName>字词问题</groupName>
      <ability>L2_Typo</ability>
      <abilityName>字词错误</abilityName>
      <candidateList>
        <item>各项</item>
      </candidateList>
      <explain/>
      <paraID>32F58767</paraID>
      <start>3</start>
      <end>4</end>
      <status>unmodified</status>
      <modifiedWord/>
      <trackRevisions>false</trackRevisions>
    </reviewItem>
    <reviewItem>
      <errorID>5e3117e3-1861-4766-9e9e-98157caacaa9</errorID>
      <errorWord>处于良好地运行</errorWord>
      <group>L1_Word</group>
      <groupName>字词问题</groupName>
      <ability>L2_Typo</ability>
      <abilityName>字词错误</abilityName>
      <candidateList>
        <item>处于良好运行</item>
      </candidateList>
      <explain/>
      <paraID>32F58767</paraID>
      <start>33</start>
      <end>40</end>
      <status>unmodified</status>
      <modifiedWord/>
      <trackRevisions>false</trackRevisions>
    </reviewItem>
    <reviewItem>
      <errorID>d26052a0-feb6-4cf3-b177-83b8cd6126ff</errorID>
      <errorWord>需具备</errorWord>
      <group>L1_Word</group>
      <groupName>字词问题</groupName>
      <ability>L2_Typo</ability>
      <abilityName>字词错误</abilityName>
      <candidateList>
        <item>须具备</item>
      </candidateList>
      <explain/>
      <paraID>63CB1255</paraID>
      <start>111</start>
      <end>114</end>
      <status>unmodified</status>
      <modifiedWord/>
      <trackRevisions>false</trackRevisions>
    </reviewItem>
    <reviewItem>
      <errorID>767e332e-a5aa-4ec2-94a2-4acde09c4650</errorID>
      <errorWord>[2016]81号</errorWord>
      <group>L1_Knowledge</group>
      <groupName>知识性问题</groupName>
      <ability>L2_Knowledge</ability>
      <abilityName>其他知识</abilityName>
      <candidateList>
        <item>〔2016〕81号</item>
      </candidateList>
      <explain>发文字号格式错误。</explain>
      <paraID>11F2BAB5</paraID>
      <start>22</start>
      <end>31</end>
      <status>unmodified</status>
      <modifiedWord/>
      <trackRevisions>false</trackRevisions>
    </reviewItem>
    <reviewItem>
      <errorID>b74bfa8d-5754-41fa-8640-319e73c9ac19</errorID>
      <errorWord>[2016]186号</errorWord>
      <group>L1_Knowledge</group>
      <groupName>知识性问题</groupName>
      <ability>L2_Knowledge</ability>
      <abilityName>其他知识</abilityName>
      <candidateList>
        <item>〔2016〕186号</item>
      </candidateList>
      <explain>发文字号格式错误。</explain>
      <paraID>11F2BAB5</paraID>
      <start>50</start>
      <end>60</end>
      <status>unmodified</status>
      <modifiedWord/>
      <trackRevisions>false</trackRevisions>
    </reviewItem>
    <reviewItem>
      <errorID>080eba3c-3921-4687-935c-2ce6fcb0943a</errorID>
      <errorWord>[2016]81号</errorWord>
      <group>L1_Knowledge</group>
      <groupName>知识性问题</groupName>
      <ability>L2_Knowledge</ability>
      <abilityName>其他知识</abilityName>
      <candidateList>
        <item>〔2016〕81号</item>
      </candidateList>
      <explain>发文字号格式错误。</explain>
      <paraID>6DD305EC</paraID>
      <start>22</start>
      <end>31</end>
      <status>unmodified</status>
      <modifiedWord/>
      <trackRevisions>false</trackRevisions>
    </reviewItem>
    <reviewItem>
      <errorID>1ffd8192-b7f6-4450-92c8-3d37037e119a</errorID>
      <errorWord>&lt;</errorWord>
      <group>L1_Format</group>
      <groupName>格式问题</groupName>
      <ability>L2_HalfPunc_CN</ability>
      <abilityName>全半角问题</abilityName>
      <candidateList>
        <item>〈</item>
      </candidateList>
      <explain>文本全半角错误。</explain>
      <paraID>6DD305EC</paraID>
      <start>50</start>
      <end>51</end>
      <status>unmodified</status>
      <modifiedWord/>
      <trackRevisions>false</trackRevisions>
    </reviewItem>
    <reviewItem>
      <errorID>ee46a059-8b95-40b9-9a2e-09659618cb10</errorID>
      <errorWord>&gt;的通知》</errorWord>
      <group>L1_Punc</group>
      <groupName>标点问题</groupName>
      <ability>L2_Punc_CN</ability>
      <abilityName>标点符号问题</abilityName>
      <candidateList>
        <item>〉的通知》</item>
      </candidateList>
      <explain/>
      <paraID>6DD305EC</paraID>
      <start>62</start>
      <end>67</end>
      <status>unmodified</status>
      <modifiedWord/>
      <trackRevisions>false</trackRevisions>
    </reviewItem>
    <reviewItem>
      <errorID>43094d17-9b4d-492f-bf4d-c1fdcea83698</errorID>
      <errorWord>[2016]186号</errorWord>
      <group>L1_Knowledge</group>
      <groupName>知识性问题</groupName>
      <ability>L2_Knowledge</ability>
      <abilityName>其他知识</abilityName>
      <candidateList>
        <item>〔2016〕186号</item>
      </candidateList>
      <explain>发文字号格式错误。</explain>
      <paraID>6DD305EC</paraID>
      <start>71</start>
      <end>81</end>
      <status>unmodified</status>
      <modifiedWord/>
      <trackRevisions>false</trackRevisions>
    </reviewItem>
    <reviewItem>
      <errorID>906663c2-500f-49f2-baa0-30fc59d77c75</errorID>
      <errorWord>[2020]9号</errorWord>
      <group>L1_Knowledge</group>
      <groupName>知识性问题</groupName>
      <ability>L2_Knowledge</ability>
      <abilityName>其他知识</abilityName>
      <candidateList>
        <item>〔2020〕9号</item>
      </candidateList>
      <explain>发文字号格式错误。</explain>
      <paraID>56A99AF9</paraID>
      <start>33</start>
      <end>41</end>
      <status>unmodified</status>
      <modifiedWord/>
      <trackRevisions>false</trackRevisions>
    </reviewItem>
    <reviewItem>
      <errorID>c9b161b8-5b8b-493c-9508-1e6a3e1e3ad6</errorID>
      <errorWord>2020年01月06日</errorWord>
      <group>L1_Knowledge</group>
      <groupName>知识性问题</groupName>
      <ability>L2_Time</ability>
      <abilityName>日期时间</abilityName>
      <candidateList>
        <item>2020年1月6日</item>
      </candidateList>
      <explain>根据日常书写习惯，月份和日期一般会省略前导零。</explain>
      <paraID>56A99AF9</paraID>
      <start>42</start>
      <end>53</end>
      <status>unmodified</status>
      <modifiedWord/>
      <trackRevisions>false</trackRevisions>
    </reviewItem>
    <reviewItem>
      <errorID>7721a8d2-8a99-4560-95a3-0b7a48f32899</errorID>
      <errorWord>-</errorWord>
      <group>L1_Format</group>
      <groupName>格式问题</groupName>
      <ability>L2_HalfPunc_CN</ability>
      <abilityName>全半角问题</abilityName>
      <candidateList>
        <item>－</item>
      </candidateList>
      <explain>文本全半角错误。</explain>
      <paraID>56A99AF9</paraID>
      <start>94</start>
      <end>95</end>
      <status>unmodified</status>
      <modifiedWord/>
      <trackRevisions>false</trackRevisions>
    </reviewItem>
    <reviewItem>
      <errorID>d5c25037-e473-4d20-be71-2079f4642127</errorID>
      <errorWord>[1996]470号</errorWord>
      <group>L1_Knowledge</group>
      <groupName>知识性问题</groupName>
      <ability>L2_Knowledge</ability>
      <abilityName>其他知识</abilityName>
      <candidateList>
        <item>〔1996〕470号</item>
      </candidateList>
      <explain>发文字号格式错误。</explain>
      <paraID>140DFACB</paraID>
      <start>56</start>
      <end>66</end>
      <status>unmodified</status>
      <modifiedWord/>
      <trackRevisions>false</trackRevisions>
    </reviewItem>
    <reviewItem>
      <errorID>eccffa10-619b-482e-b938-4acc63c8217c</errorID>
      <errorWord>[1999]24号</errorWord>
      <group>L1_Knowledge</group>
      <groupName>知识性问题</groupName>
      <ability>L2_Knowledge</ability>
      <abilityName>其他知识</abilityName>
      <candidateList>
        <item>〔1999〕24号</item>
      </candidateList>
      <explain>发文字号格式错误。</explain>
      <paraID>564EE242</paraID>
      <start>31</start>
      <end>40</end>
      <status>unmodified</status>
      <modifiedWord/>
      <trackRevisions>false</trackRevisions>
    </reviewItem>
    <reviewItem>
      <errorID>d9d197e6-8755-4932-b4d3-9a98f0dc443a</errorID>
      <errorWord>[1999]24号</errorWord>
      <group>L1_Knowledge</group>
      <groupName>知识性问题</groupName>
      <ability>L2_Knowledge</ability>
      <abilityName>其他知识</abilityName>
      <candidateList>
        <item>〔1999〕24号</item>
      </candidateList>
      <explain>发文字号格式错误。</explain>
      <paraID>564EE242</paraID>
      <start>55</start>
      <end>64</end>
      <status>unmodified</status>
      <modifiedWord/>
      <trackRevisions>false</trackRevisions>
    </reviewItem>
    <reviewItem>
      <errorID>ba59fe3d-7eab-4767-97b9-19eaea5e5a75</errorID>
      <errorWord>（</errorWord>
      <group>L1_Format</group>
      <groupName>格式问题</groupName>
      <ability>L2_HalfPunc_CN</ability>
      <abilityName>全半角问题</abilityName>
      <candidateList>
        <item>(</item>
      </candidateList>
      <explain>文本全半角错误。</explain>
      <paraID>4D4039B0</paraID>
      <start>2</start>
      <end>3</end>
      <status>unmodified</status>
      <modifiedWord/>
      <trackRevisions>false</trackRevisions>
    </reviewItem>
    <reviewItem>
      <errorID>6bb3b69a-91d4-4a34-96d9-20db4ab9cfce</errorID>
      <errorWord>）</errorWord>
      <group>L1_Format</group>
      <groupName>格式问题</groupName>
      <ability>L2_HalfPunc_CN</ability>
      <abilityName>全半角问题</abilityName>
      <candidateList>
        <item>)</item>
      </candidateList>
      <explain>文本全半角错误。</explain>
      <paraID>4D4039B0</paraID>
      <start>4</start>
      <end>5</end>
      <status>unmodified</status>
      <modifiedWord/>
      <trackRevisions>false</trackRevisions>
    </reviewItem>
    <reviewItem>
      <errorID>eaba7845-ef71-40ab-a303-55431c134b7b</errorID>
      <errorWord>-</errorWord>
      <group>L1_Punc</group>
      <groupName>标点问题</groupName>
      <ability>L2_Punc_CN</ability>
      <abilityName>标点符号问题</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78DE0735</paraID>
      <start>38</start>
      <end>39</end>
      <status>unmodified</status>
      <modifiedWord/>
      <trackRevisions>false</trackRevisions>
    </reviewItem>
    <reviewItem>
      <errorID>21359429-d37f-4430-ba0a-ef4bc20ffb08</errorID>
      <errorWord>-</errorWord>
      <group>L1_Punc</group>
      <groupName>标点问题</groupName>
      <ability>L2_Punc_CN</ability>
      <abilityName>标点符号问题</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78DE0735</paraID>
      <start>81</start>
      <end>82</end>
      <status>unmodified</status>
      <modifiedWord/>
      <trackRevisions>false</trackRevisions>
    </reviewItem>
    <reviewItem>
      <errorID>2bbf6039-e747-419d-892c-53dcf5f2fe43</errorID>
      <errorWord>提高</errorWord>
      <group>L1_Grammar</group>
      <groupName>语法问题</groupName>
      <ability>L2_Grammar</ability>
      <abilityName>语法错误</abilityName>
      <candidateList>
        <item>增强</item>
      </candidateList>
      <explain>“提高～意识”搭配不当，建议修改为“增强～意识”。</explain>
      <paraID>253155D9</paraID>
      <start>72</start>
      <end>74</end>
      <status>unmodified</status>
      <modifiedWord/>
      <trackRevisions>false</trackRevisions>
    </reviewItem>
    <reviewItem>
      <errorID>ac7b42bb-c579-4611-ba46-1b15acbcbe1c</errorID>
      <errorWord>物质</errorWord>
      <group>L1_Word</group>
      <groupName>字词问题</groupName>
      <ability>L2_Typo</ability>
      <abilityName>字词错误</abilityName>
      <candidateList>
        <item>物资</item>
      </candidateList>
      <explain/>
      <paraID>3F50A453</paraID>
      <start>6</start>
      <end>8</end>
      <status>unmodified</status>
      <modifiedWord/>
      <trackRevisions>false</trackRevisions>
    </reviewItem>
    <reviewItem>
      <errorID>f9fc0478-f8f4-4aec-80fa-bec2d8ff1fcb</errorID>
      <errorWord>[2020]9号</errorWord>
      <group>L1_Knowledge</group>
      <groupName>知识性问题</groupName>
      <ability>L2_Knowledge</ability>
      <abilityName>其他知识</abilityName>
      <candidateList>
        <item>〔2020〕9号</item>
      </candidateList>
      <explain>发文字号格式错误。</explain>
      <paraID> A0C7D0F</paraID>
      <start>34</start>
      <end>42</end>
      <status>unmodified</status>
      <modifiedWord/>
      <trackRevisions>false</trackRevisions>
    </reviewItem>
    <reviewItem>
      <errorID>0ec1d077-d838-47a9-8f0c-8639be67ca80</errorID>
      <errorWord>2020年01月06日</errorWord>
      <group>L1_Knowledge</group>
      <groupName>知识性问题</groupName>
      <ability>L2_Time</ability>
      <abilityName>日期时间</abilityName>
      <candidateList>
        <item>2020年1月6日</item>
      </candidateList>
      <explain>根据日常书写习惯，月份和日期一般会省略前导零。</explain>
      <paraID> A0C7D0F</paraID>
      <start>43</start>
      <end>54</end>
      <status>unmodified</status>
      <modifiedWord/>
      <trackRevisions>false</trackRevisions>
    </reviewItem>
    <reviewItem>
      <errorID>422124ae-c21f-44ac-8537-0a6e5ce2b800</errorID>
      <errorWord>-</errorWord>
      <group>L1_Format</group>
      <groupName>格式问题</groupName>
      <ability>L2_HalfPunc_CN</ability>
      <abilityName>全半角问题</abilityName>
      <candidateList>
        <item>－</item>
      </candidateList>
      <explain>文本全半角错误。</explain>
      <paraID> A0C7D0F</paraID>
      <start>95</start>
      <end>96</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7d0644a-57ed-486f-9881-1ef58138b6ac}">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70</Pages>
  <Words>40</Words>
  <Characters>63</Characters>
  <Lines>432</Lines>
  <Paragraphs>121</Paragraphs>
  <TotalTime>0</TotalTime>
  <ScaleCrop>false</ScaleCrop>
  <LinksUpToDate>false</LinksUpToDate>
  <CharactersWithSpaces>63</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2021-03-28T06:51:00Z</dcterms:created>
  <dc:creator>lhj</dc:creator>
  <cp:lastModifiedBy>蓝海De记忆=?</cp:lastModifiedBy>
  <cp:lastPrinted>2025-01-10T08:32:00Z</cp:lastPrinted>
  <dcterms:modified xsi:type="dcterms:W3CDTF">2026-06-29T04:14:24Z</dcterms:modified>
  <dc:title>附件2</dc:title>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764B7A9CE8A040358B48D96AF526287E</vt:lpwstr>
  </property>
  <property fmtid="{D5CDD505-2E9C-101B-9397-08002B2CF9AE}" pid="4" name="KSOTemplateDocerSaveRecord">
    <vt:lpwstr>eyJoZGlkIjoiMjEwMDVjOTg4ZjVjYTRmZjYwZmFmNDkxZGRlMTQ4MzgiLCJ1c2VySWQiOiIyNDYwOTY4OTAifQ==</vt:lpwstr>
  </property>
</Properties>
</file>